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3CE1993C" w:rsidR="00FC6860" w:rsidRPr="00574B16" w:rsidRDefault="00291D61" w:rsidP="00C71C4F">
          <w:pPr>
            <w:pStyle w:val="Heading1"/>
            <w:rPr>
              <w:rStyle w:val="chrSubTitle"/>
              <w:color w:val="B1173B"/>
            </w:rPr>
          </w:pPr>
          <w:r>
            <w:rPr>
              <w:rStyle w:val="chrSubTitle"/>
              <w:color w:val="B1173B"/>
            </w:rPr>
            <w:t xml:space="preserve">Personal Track Safety (PTS) </w:t>
          </w:r>
          <w:r w:rsidR="002C3239">
            <w:rPr>
              <w:rStyle w:val="chrSubTitle"/>
              <w:color w:val="B1173B"/>
            </w:rPr>
            <w:t>A</w:t>
          </w:r>
          <w:r>
            <w:rPr>
              <w:rStyle w:val="chrSubTitle"/>
              <w:color w:val="B1173B"/>
            </w:rPr>
            <w:t>ssessments</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p w14:paraId="38D7D855" w14:textId="328D1F7C" w:rsidR="00FC6860" w:rsidRDefault="00E94F29" w:rsidP="00C71C4F">
          <w:pPr>
            <w:pStyle w:val="Date"/>
          </w:pPr>
          <w:r w:rsidRPr="00374BAE">
            <w:rPr>
              <w:bCs/>
            </w:rPr>
            <w:t>Date of issue</w:t>
          </w:r>
          <w:r w:rsidR="00374BAE" w:rsidRPr="00374BAE">
            <w:rPr>
              <w:bCs/>
            </w:rPr>
            <w:t>: (provided by Procurement)</w:t>
          </w:r>
        </w:p>
      </w:sdtContent>
    </w:sdt>
    <w:p w14:paraId="512B2E87" w14:textId="77777777" w:rsidR="003E5612" w:rsidRDefault="003E5612" w:rsidP="003E5612"/>
    <w:p w14:paraId="0B23CADF" w14:textId="5C89ECC6" w:rsidR="003E5612" w:rsidRPr="008669E8" w:rsidRDefault="003E5612" w:rsidP="003E5612">
      <w:pPr>
        <w:pStyle w:val="NormalBulletround"/>
        <w:rPr>
          <w:b/>
          <w:bCs/>
        </w:rPr>
      </w:pPr>
      <w:r w:rsidRPr="003E5612">
        <w:rPr>
          <w:b/>
          <w:bCs/>
        </w:rPr>
        <w:t>CPV Code:</w:t>
      </w:r>
      <w:r w:rsidR="002C3239">
        <w:t xml:space="preserve"> </w:t>
      </w:r>
      <w:r w:rsidR="002C3239" w:rsidRPr="008669E8">
        <w:rPr>
          <w:b/>
          <w:bCs/>
        </w:rPr>
        <w:t>80550000</w:t>
      </w:r>
    </w:p>
    <w:p w14:paraId="4B92FCBC" w14:textId="46E50688" w:rsidR="00FC6860" w:rsidRPr="00574B16" w:rsidRDefault="003E5612" w:rsidP="003E5612">
      <w:pPr>
        <w:pStyle w:val="NormalBulletround"/>
        <w:rPr>
          <w:b/>
          <w:bCs/>
          <w:color w:val="B1173B"/>
        </w:rPr>
      </w:pPr>
      <w:r w:rsidRPr="003E5612">
        <w:rPr>
          <w:b/>
          <w:bCs/>
        </w:rPr>
        <w:t>Tender Reference:</w:t>
      </w:r>
      <w:r w:rsidR="008B1CE4">
        <w:rPr>
          <w:b/>
          <w:bCs/>
        </w:rPr>
        <w:t xml:space="preserve"> </w:t>
      </w:r>
      <w:r w:rsidR="0071036B">
        <w:rPr>
          <w:b/>
          <w:bCs/>
        </w:rPr>
        <w:t>ORR/CT/23-3</w:t>
      </w:r>
      <w:r w:rsidR="002C3239">
        <w:rPr>
          <w:b/>
          <w:bCs/>
        </w:rPr>
        <w:t>1</w:t>
      </w:r>
    </w:p>
    <w:p w14:paraId="645E9675" w14:textId="77777777" w:rsidR="00FC6860" w:rsidRDefault="00FC6860" w:rsidP="00C71C4F"/>
    <w:p w14:paraId="60F6998D" w14:textId="01F9B9EE" w:rsidR="003E5612" w:rsidRDefault="003E5612" w:rsidP="00C71C4F">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77777777" w:rsidR="00FC6860" w:rsidRDefault="00FC6860" w:rsidP="004E1570">
      <w:pPr>
        <w:pStyle w:val="Heading2NoToc"/>
      </w:pPr>
      <w:r>
        <w:lastRenderedPageBreak/>
        <w:t>Contents</w:t>
      </w:r>
    </w:p>
    <w:p w14:paraId="0AC26175" w14:textId="635690CE" w:rsidR="005B6ED3" w:rsidRDefault="00FC6860">
      <w:pPr>
        <w:pStyle w:val="TOC1"/>
        <w:rPr>
          <w:rFonts w:asciiTheme="minorHAnsi" w:eastAsiaTheme="minorEastAsia" w:hAnsiTheme="minorHAnsi"/>
          <w:b w:val="0"/>
          <w:bCs w:val="0"/>
          <w:color w:val="auto"/>
          <w:kern w:val="2"/>
          <w:sz w:val="22"/>
          <w:lang w:eastAsia="en-GB"/>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46286751" w:history="1">
        <w:r w:rsidR="005B6ED3" w:rsidRPr="00B550E4">
          <w:rPr>
            <w:rStyle w:val="Hyperlink"/>
          </w:rPr>
          <w:t>Purpose of the document</w:t>
        </w:r>
        <w:r w:rsidR="005B6ED3">
          <w:rPr>
            <w:webHidden/>
          </w:rPr>
          <w:tab/>
        </w:r>
        <w:r w:rsidR="005B6ED3">
          <w:rPr>
            <w:webHidden/>
          </w:rPr>
          <w:fldChar w:fldCharType="begin"/>
        </w:r>
        <w:r w:rsidR="005B6ED3">
          <w:rPr>
            <w:webHidden/>
          </w:rPr>
          <w:instrText xml:space="preserve"> PAGEREF _Toc146286751 \h </w:instrText>
        </w:r>
        <w:r w:rsidR="005B6ED3">
          <w:rPr>
            <w:webHidden/>
          </w:rPr>
        </w:r>
        <w:r w:rsidR="005B6ED3">
          <w:rPr>
            <w:webHidden/>
          </w:rPr>
          <w:fldChar w:fldCharType="separate"/>
        </w:r>
        <w:r w:rsidR="005B6ED3">
          <w:rPr>
            <w:webHidden/>
          </w:rPr>
          <w:t>3</w:t>
        </w:r>
        <w:r w:rsidR="005B6ED3">
          <w:rPr>
            <w:webHidden/>
          </w:rPr>
          <w:fldChar w:fldCharType="end"/>
        </w:r>
      </w:hyperlink>
    </w:p>
    <w:p w14:paraId="5E216E6A" w14:textId="4FD847B9" w:rsidR="005B6ED3" w:rsidRDefault="0043055A">
      <w:pPr>
        <w:pStyle w:val="TOC1"/>
        <w:rPr>
          <w:rFonts w:asciiTheme="minorHAnsi" w:eastAsiaTheme="minorEastAsia" w:hAnsiTheme="minorHAnsi"/>
          <w:b w:val="0"/>
          <w:bCs w:val="0"/>
          <w:color w:val="auto"/>
          <w:kern w:val="2"/>
          <w:sz w:val="22"/>
          <w:lang w:eastAsia="en-GB"/>
          <w14:ligatures w14:val="standardContextual"/>
        </w:rPr>
      </w:pPr>
      <w:hyperlink w:anchor="_Toc146286752" w:history="1">
        <w:r w:rsidR="005B6ED3" w:rsidRPr="00B550E4">
          <w:rPr>
            <w:rStyle w:val="Hyperlink"/>
          </w:rPr>
          <w:t>1.</w:t>
        </w:r>
        <w:r w:rsidR="005B6ED3">
          <w:rPr>
            <w:rFonts w:asciiTheme="minorHAnsi" w:eastAsiaTheme="minorEastAsia" w:hAnsiTheme="minorHAnsi"/>
            <w:b w:val="0"/>
            <w:bCs w:val="0"/>
            <w:color w:val="auto"/>
            <w:kern w:val="2"/>
            <w:sz w:val="22"/>
            <w:lang w:eastAsia="en-GB"/>
            <w14:ligatures w14:val="standardContextual"/>
          </w:rPr>
          <w:tab/>
        </w:r>
        <w:r w:rsidR="005B6ED3" w:rsidRPr="00B550E4">
          <w:rPr>
            <w:rStyle w:val="Hyperlink"/>
          </w:rPr>
          <w:t>Introduction to the Office of Rail and Road</w:t>
        </w:r>
        <w:r w:rsidR="005B6ED3">
          <w:rPr>
            <w:webHidden/>
          </w:rPr>
          <w:tab/>
        </w:r>
        <w:r w:rsidR="005B6ED3">
          <w:rPr>
            <w:webHidden/>
          </w:rPr>
          <w:fldChar w:fldCharType="begin"/>
        </w:r>
        <w:r w:rsidR="005B6ED3">
          <w:rPr>
            <w:webHidden/>
          </w:rPr>
          <w:instrText xml:space="preserve"> PAGEREF _Toc146286752 \h </w:instrText>
        </w:r>
        <w:r w:rsidR="005B6ED3">
          <w:rPr>
            <w:webHidden/>
          </w:rPr>
        </w:r>
        <w:r w:rsidR="005B6ED3">
          <w:rPr>
            <w:webHidden/>
          </w:rPr>
          <w:fldChar w:fldCharType="separate"/>
        </w:r>
        <w:r w:rsidR="005B6ED3">
          <w:rPr>
            <w:webHidden/>
          </w:rPr>
          <w:t>4</w:t>
        </w:r>
        <w:r w:rsidR="005B6ED3">
          <w:rPr>
            <w:webHidden/>
          </w:rPr>
          <w:fldChar w:fldCharType="end"/>
        </w:r>
      </w:hyperlink>
    </w:p>
    <w:p w14:paraId="4395B917" w14:textId="10A81D57" w:rsidR="005B6ED3" w:rsidRDefault="0043055A">
      <w:pPr>
        <w:pStyle w:val="TOC2"/>
        <w:tabs>
          <w:tab w:val="right" w:pos="9628"/>
        </w:tabs>
        <w:rPr>
          <w:rFonts w:asciiTheme="minorHAnsi" w:eastAsiaTheme="minorEastAsia" w:hAnsiTheme="minorHAnsi"/>
          <w:noProof/>
          <w:kern w:val="2"/>
          <w:sz w:val="22"/>
          <w:lang w:eastAsia="en-GB"/>
          <w14:ligatures w14:val="standardContextual"/>
        </w:rPr>
      </w:pPr>
      <w:hyperlink w:anchor="_Toc146286753" w:history="1">
        <w:r w:rsidR="005B6ED3" w:rsidRPr="00B550E4">
          <w:rPr>
            <w:rStyle w:val="Hyperlink"/>
            <w:noProof/>
          </w:rPr>
          <w:t>Our strategic objectives</w:t>
        </w:r>
        <w:r w:rsidR="005B6ED3">
          <w:rPr>
            <w:noProof/>
            <w:webHidden/>
          </w:rPr>
          <w:tab/>
        </w:r>
        <w:r w:rsidR="005B6ED3">
          <w:rPr>
            <w:noProof/>
            <w:webHidden/>
          </w:rPr>
          <w:fldChar w:fldCharType="begin"/>
        </w:r>
        <w:r w:rsidR="005B6ED3">
          <w:rPr>
            <w:noProof/>
            <w:webHidden/>
          </w:rPr>
          <w:instrText xml:space="preserve"> PAGEREF _Toc146286753 \h </w:instrText>
        </w:r>
        <w:r w:rsidR="005B6ED3">
          <w:rPr>
            <w:noProof/>
            <w:webHidden/>
          </w:rPr>
        </w:r>
        <w:r w:rsidR="005B6ED3">
          <w:rPr>
            <w:noProof/>
            <w:webHidden/>
          </w:rPr>
          <w:fldChar w:fldCharType="separate"/>
        </w:r>
        <w:r w:rsidR="005B6ED3">
          <w:rPr>
            <w:noProof/>
            <w:webHidden/>
          </w:rPr>
          <w:t>4</w:t>
        </w:r>
        <w:r w:rsidR="005B6ED3">
          <w:rPr>
            <w:noProof/>
            <w:webHidden/>
          </w:rPr>
          <w:fldChar w:fldCharType="end"/>
        </w:r>
      </w:hyperlink>
    </w:p>
    <w:p w14:paraId="61EA865D" w14:textId="18C2B878" w:rsidR="005B6ED3" w:rsidRDefault="0043055A">
      <w:pPr>
        <w:pStyle w:val="TOC2"/>
        <w:tabs>
          <w:tab w:val="right" w:pos="9628"/>
        </w:tabs>
        <w:rPr>
          <w:rFonts w:asciiTheme="minorHAnsi" w:eastAsiaTheme="minorEastAsia" w:hAnsiTheme="minorHAnsi"/>
          <w:noProof/>
          <w:kern w:val="2"/>
          <w:sz w:val="22"/>
          <w:lang w:eastAsia="en-GB"/>
          <w14:ligatures w14:val="standardContextual"/>
        </w:rPr>
      </w:pPr>
      <w:hyperlink w:anchor="_Toc146286754" w:history="1">
        <w:r w:rsidR="005B6ED3" w:rsidRPr="00B550E4">
          <w:rPr>
            <w:rStyle w:val="Hyperlink"/>
            <w:noProof/>
          </w:rPr>
          <w:t>Supplying ORR</w:t>
        </w:r>
        <w:r w:rsidR="005B6ED3">
          <w:rPr>
            <w:noProof/>
            <w:webHidden/>
          </w:rPr>
          <w:tab/>
        </w:r>
        <w:r w:rsidR="005B6ED3">
          <w:rPr>
            <w:noProof/>
            <w:webHidden/>
          </w:rPr>
          <w:fldChar w:fldCharType="begin"/>
        </w:r>
        <w:r w:rsidR="005B6ED3">
          <w:rPr>
            <w:noProof/>
            <w:webHidden/>
          </w:rPr>
          <w:instrText xml:space="preserve"> PAGEREF _Toc146286754 \h </w:instrText>
        </w:r>
        <w:r w:rsidR="005B6ED3">
          <w:rPr>
            <w:noProof/>
            <w:webHidden/>
          </w:rPr>
        </w:r>
        <w:r w:rsidR="005B6ED3">
          <w:rPr>
            <w:noProof/>
            <w:webHidden/>
          </w:rPr>
          <w:fldChar w:fldCharType="separate"/>
        </w:r>
        <w:r w:rsidR="005B6ED3">
          <w:rPr>
            <w:noProof/>
            <w:webHidden/>
          </w:rPr>
          <w:t>4</w:t>
        </w:r>
        <w:r w:rsidR="005B6ED3">
          <w:rPr>
            <w:noProof/>
            <w:webHidden/>
          </w:rPr>
          <w:fldChar w:fldCharType="end"/>
        </w:r>
      </w:hyperlink>
    </w:p>
    <w:p w14:paraId="7D3183E9" w14:textId="01C48B85" w:rsidR="005B6ED3" w:rsidRDefault="0043055A">
      <w:pPr>
        <w:pStyle w:val="TOC2"/>
        <w:tabs>
          <w:tab w:val="right" w:pos="9628"/>
        </w:tabs>
        <w:rPr>
          <w:rFonts w:asciiTheme="minorHAnsi" w:eastAsiaTheme="minorEastAsia" w:hAnsiTheme="minorHAnsi"/>
          <w:noProof/>
          <w:kern w:val="2"/>
          <w:sz w:val="22"/>
          <w:lang w:eastAsia="en-GB"/>
          <w14:ligatures w14:val="standardContextual"/>
        </w:rPr>
      </w:pPr>
      <w:hyperlink w:anchor="_Toc146286755" w:history="1">
        <w:r w:rsidR="005B6ED3" w:rsidRPr="00B550E4">
          <w:rPr>
            <w:rStyle w:val="Hyperlink"/>
            <w:noProof/>
          </w:rPr>
          <w:t>Small and Medium Enterprises</w:t>
        </w:r>
        <w:r w:rsidR="005B6ED3">
          <w:rPr>
            <w:noProof/>
            <w:webHidden/>
          </w:rPr>
          <w:tab/>
        </w:r>
        <w:r w:rsidR="005B6ED3">
          <w:rPr>
            <w:noProof/>
            <w:webHidden/>
          </w:rPr>
          <w:fldChar w:fldCharType="begin"/>
        </w:r>
        <w:r w:rsidR="005B6ED3">
          <w:rPr>
            <w:noProof/>
            <w:webHidden/>
          </w:rPr>
          <w:instrText xml:space="preserve"> PAGEREF _Toc146286755 \h </w:instrText>
        </w:r>
        <w:r w:rsidR="005B6ED3">
          <w:rPr>
            <w:noProof/>
            <w:webHidden/>
          </w:rPr>
        </w:r>
        <w:r w:rsidR="005B6ED3">
          <w:rPr>
            <w:noProof/>
            <w:webHidden/>
          </w:rPr>
          <w:fldChar w:fldCharType="separate"/>
        </w:r>
        <w:r w:rsidR="005B6ED3">
          <w:rPr>
            <w:noProof/>
            <w:webHidden/>
          </w:rPr>
          <w:t>5</w:t>
        </w:r>
        <w:r w:rsidR="005B6ED3">
          <w:rPr>
            <w:noProof/>
            <w:webHidden/>
          </w:rPr>
          <w:fldChar w:fldCharType="end"/>
        </w:r>
      </w:hyperlink>
    </w:p>
    <w:p w14:paraId="6F9E7196" w14:textId="3F5625AE" w:rsidR="005B6ED3" w:rsidRDefault="0043055A">
      <w:pPr>
        <w:pStyle w:val="TOC1"/>
        <w:rPr>
          <w:rFonts w:asciiTheme="minorHAnsi" w:eastAsiaTheme="minorEastAsia" w:hAnsiTheme="minorHAnsi"/>
          <w:b w:val="0"/>
          <w:bCs w:val="0"/>
          <w:color w:val="auto"/>
          <w:kern w:val="2"/>
          <w:sz w:val="22"/>
          <w:lang w:eastAsia="en-GB"/>
          <w14:ligatures w14:val="standardContextual"/>
        </w:rPr>
      </w:pPr>
      <w:hyperlink w:anchor="_Toc146286756" w:history="1">
        <w:r w:rsidR="005B6ED3" w:rsidRPr="00B550E4">
          <w:rPr>
            <w:rStyle w:val="Hyperlink"/>
          </w:rPr>
          <w:t>2.</w:t>
        </w:r>
        <w:r w:rsidR="005B6ED3">
          <w:rPr>
            <w:rFonts w:asciiTheme="minorHAnsi" w:eastAsiaTheme="minorEastAsia" w:hAnsiTheme="minorHAnsi"/>
            <w:b w:val="0"/>
            <w:bCs w:val="0"/>
            <w:color w:val="auto"/>
            <w:kern w:val="2"/>
            <w:sz w:val="22"/>
            <w:lang w:eastAsia="en-GB"/>
            <w14:ligatures w14:val="standardContextual"/>
          </w:rPr>
          <w:tab/>
        </w:r>
        <w:r w:rsidR="005B6ED3" w:rsidRPr="00B550E4">
          <w:rPr>
            <w:rStyle w:val="Hyperlink"/>
          </w:rPr>
          <w:t>Statement of Requirement</w:t>
        </w:r>
        <w:r w:rsidR="005B6ED3">
          <w:rPr>
            <w:webHidden/>
          </w:rPr>
          <w:tab/>
        </w:r>
        <w:r w:rsidR="005B6ED3">
          <w:rPr>
            <w:webHidden/>
          </w:rPr>
          <w:fldChar w:fldCharType="begin"/>
        </w:r>
        <w:r w:rsidR="005B6ED3">
          <w:rPr>
            <w:webHidden/>
          </w:rPr>
          <w:instrText xml:space="preserve"> PAGEREF _Toc146286756 \h </w:instrText>
        </w:r>
        <w:r w:rsidR="005B6ED3">
          <w:rPr>
            <w:webHidden/>
          </w:rPr>
        </w:r>
        <w:r w:rsidR="005B6ED3">
          <w:rPr>
            <w:webHidden/>
          </w:rPr>
          <w:fldChar w:fldCharType="separate"/>
        </w:r>
        <w:r w:rsidR="005B6ED3">
          <w:rPr>
            <w:webHidden/>
          </w:rPr>
          <w:t>7</w:t>
        </w:r>
        <w:r w:rsidR="005B6ED3">
          <w:rPr>
            <w:webHidden/>
          </w:rPr>
          <w:fldChar w:fldCharType="end"/>
        </w:r>
      </w:hyperlink>
    </w:p>
    <w:p w14:paraId="2C786FB8" w14:textId="66852AB5" w:rsidR="005B6ED3" w:rsidRDefault="0043055A">
      <w:pPr>
        <w:pStyle w:val="TOC2"/>
        <w:tabs>
          <w:tab w:val="right" w:pos="9628"/>
        </w:tabs>
        <w:rPr>
          <w:rFonts w:asciiTheme="minorHAnsi" w:eastAsiaTheme="minorEastAsia" w:hAnsiTheme="minorHAnsi"/>
          <w:noProof/>
          <w:kern w:val="2"/>
          <w:sz w:val="22"/>
          <w:lang w:eastAsia="en-GB"/>
          <w14:ligatures w14:val="standardContextual"/>
        </w:rPr>
      </w:pPr>
      <w:hyperlink w:anchor="_Toc146286757" w:history="1">
        <w:r w:rsidR="005B6ED3" w:rsidRPr="00B550E4">
          <w:rPr>
            <w:rStyle w:val="Hyperlink"/>
            <w:noProof/>
          </w:rPr>
          <w:t>Background of the project</w:t>
        </w:r>
        <w:r w:rsidR="005B6ED3">
          <w:rPr>
            <w:noProof/>
            <w:webHidden/>
          </w:rPr>
          <w:tab/>
        </w:r>
        <w:r w:rsidR="005B6ED3">
          <w:rPr>
            <w:noProof/>
            <w:webHidden/>
          </w:rPr>
          <w:fldChar w:fldCharType="begin"/>
        </w:r>
        <w:r w:rsidR="005B6ED3">
          <w:rPr>
            <w:noProof/>
            <w:webHidden/>
          </w:rPr>
          <w:instrText xml:space="preserve"> PAGEREF _Toc146286757 \h </w:instrText>
        </w:r>
        <w:r w:rsidR="005B6ED3">
          <w:rPr>
            <w:noProof/>
            <w:webHidden/>
          </w:rPr>
        </w:r>
        <w:r w:rsidR="005B6ED3">
          <w:rPr>
            <w:noProof/>
            <w:webHidden/>
          </w:rPr>
          <w:fldChar w:fldCharType="separate"/>
        </w:r>
        <w:r w:rsidR="005B6ED3">
          <w:rPr>
            <w:noProof/>
            <w:webHidden/>
          </w:rPr>
          <w:t>7</w:t>
        </w:r>
        <w:r w:rsidR="005B6ED3">
          <w:rPr>
            <w:noProof/>
            <w:webHidden/>
          </w:rPr>
          <w:fldChar w:fldCharType="end"/>
        </w:r>
      </w:hyperlink>
    </w:p>
    <w:p w14:paraId="2362B2CC" w14:textId="359B84A1" w:rsidR="005B6ED3" w:rsidRDefault="0043055A">
      <w:pPr>
        <w:pStyle w:val="TOC2"/>
        <w:tabs>
          <w:tab w:val="right" w:pos="9628"/>
        </w:tabs>
        <w:rPr>
          <w:rFonts w:asciiTheme="minorHAnsi" w:eastAsiaTheme="minorEastAsia" w:hAnsiTheme="minorHAnsi"/>
          <w:noProof/>
          <w:kern w:val="2"/>
          <w:sz w:val="22"/>
          <w:lang w:eastAsia="en-GB"/>
          <w14:ligatures w14:val="standardContextual"/>
        </w:rPr>
      </w:pPr>
      <w:hyperlink w:anchor="_Toc146286758" w:history="1">
        <w:r w:rsidR="005B6ED3" w:rsidRPr="00B550E4">
          <w:rPr>
            <w:rStyle w:val="Hyperlink"/>
            <w:noProof/>
          </w:rPr>
          <w:t>Project Objectives and Scope</w:t>
        </w:r>
        <w:r w:rsidR="005B6ED3">
          <w:rPr>
            <w:noProof/>
            <w:webHidden/>
          </w:rPr>
          <w:tab/>
        </w:r>
        <w:r w:rsidR="005B6ED3">
          <w:rPr>
            <w:noProof/>
            <w:webHidden/>
          </w:rPr>
          <w:fldChar w:fldCharType="begin"/>
        </w:r>
        <w:r w:rsidR="005B6ED3">
          <w:rPr>
            <w:noProof/>
            <w:webHidden/>
          </w:rPr>
          <w:instrText xml:space="preserve"> PAGEREF _Toc146286758 \h </w:instrText>
        </w:r>
        <w:r w:rsidR="005B6ED3">
          <w:rPr>
            <w:noProof/>
            <w:webHidden/>
          </w:rPr>
        </w:r>
        <w:r w:rsidR="005B6ED3">
          <w:rPr>
            <w:noProof/>
            <w:webHidden/>
          </w:rPr>
          <w:fldChar w:fldCharType="separate"/>
        </w:r>
        <w:r w:rsidR="005B6ED3">
          <w:rPr>
            <w:noProof/>
            <w:webHidden/>
          </w:rPr>
          <w:t>8</w:t>
        </w:r>
        <w:r w:rsidR="005B6ED3">
          <w:rPr>
            <w:noProof/>
            <w:webHidden/>
          </w:rPr>
          <w:fldChar w:fldCharType="end"/>
        </w:r>
      </w:hyperlink>
    </w:p>
    <w:p w14:paraId="1C72047E" w14:textId="293E76B9" w:rsidR="005B6ED3" w:rsidRDefault="0043055A">
      <w:pPr>
        <w:pStyle w:val="TOC2"/>
        <w:tabs>
          <w:tab w:val="right" w:pos="9628"/>
        </w:tabs>
        <w:rPr>
          <w:rFonts w:asciiTheme="minorHAnsi" w:eastAsiaTheme="minorEastAsia" w:hAnsiTheme="minorHAnsi"/>
          <w:noProof/>
          <w:kern w:val="2"/>
          <w:sz w:val="22"/>
          <w:lang w:eastAsia="en-GB"/>
          <w14:ligatures w14:val="standardContextual"/>
        </w:rPr>
      </w:pPr>
      <w:hyperlink w:anchor="_Toc146286759" w:history="1">
        <w:r w:rsidR="005B6ED3" w:rsidRPr="00B550E4">
          <w:rPr>
            <w:rStyle w:val="Hyperlink"/>
            <w:noProof/>
          </w:rPr>
          <w:t>Deliverables and Contract Management</w:t>
        </w:r>
        <w:r w:rsidR="005B6ED3">
          <w:rPr>
            <w:noProof/>
            <w:webHidden/>
          </w:rPr>
          <w:tab/>
        </w:r>
        <w:r w:rsidR="005B6ED3">
          <w:rPr>
            <w:noProof/>
            <w:webHidden/>
          </w:rPr>
          <w:fldChar w:fldCharType="begin"/>
        </w:r>
        <w:r w:rsidR="005B6ED3">
          <w:rPr>
            <w:noProof/>
            <w:webHidden/>
          </w:rPr>
          <w:instrText xml:space="preserve"> PAGEREF _Toc146286759 \h </w:instrText>
        </w:r>
        <w:r w:rsidR="005B6ED3">
          <w:rPr>
            <w:noProof/>
            <w:webHidden/>
          </w:rPr>
        </w:r>
        <w:r w:rsidR="005B6ED3">
          <w:rPr>
            <w:noProof/>
            <w:webHidden/>
          </w:rPr>
          <w:fldChar w:fldCharType="separate"/>
        </w:r>
        <w:r w:rsidR="005B6ED3">
          <w:rPr>
            <w:noProof/>
            <w:webHidden/>
          </w:rPr>
          <w:t>8</w:t>
        </w:r>
        <w:r w:rsidR="005B6ED3">
          <w:rPr>
            <w:noProof/>
            <w:webHidden/>
          </w:rPr>
          <w:fldChar w:fldCharType="end"/>
        </w:r>
      </w:hyperlink>
    </w:p>
    <w:p w14:paraId="5D231B15" w14:textId="1F2043C7" w:rsidR="005B6ED3" w:rsidRDefault="0043055A">
      <w:pPr>
        <w:pStyle w:val="TOC2"/>
        <w:tabs>
          <w:tab w:val="right" w:pos="9628"/>
        </w:tabs>
        <w:rPr>
          <w:rFonts w:asciiTheme="minorHAnsi" w:eastAsiaTheme="minorEastAsia" w:hAnsiTheme="minorHAnsi"/>
          <w:noProof/>
          <w:kern w:val="2"/>
          <w:sz w:val="22"/>
          <w:lang w:eastAsia="en-GB"/>
          <w14:ligatures w14:val="standardContextual"/>
        </w:rPr>
      </w:pPr>
      <w:hyperlink w:anchor="_Toc146286760" w:history="1">
        <w:r w:rsidR="005B6ED3" w:rsidRPr="00B550E4">
          <w:rPr>
            <w:rStyle w:val="Hyperlink"/>
            <w:noProof/>
          </w:rPr>
          <w:t>Project Timescales</w:t>
        </w:r>
        <w:r w:rsidR="005B6ED3">
          <w:rPr>
            <w:noProof/>
            <w:webHidden/>
          </w:rPr>
          <w:tab/>
        </w:r>
        <w:r w:rsidR="005B6ED3">
          <w:rPr>
            <w:noProof/>
            <w:webHidden/>
          </w:rPr>
          <w:fldChar w:fldCharType="begin"/>
        </w:r>
        <w:r w:rsidR="005B6ED3">
          <w:rPr>
            <w:noProof/>
            <w:webHidden/>
          </w:rPr>
          <w:instrText xml:space="preserve"> PAGEREF _Toc146286760 \h </w:instrText>
        </w:r>
        <w:r w:rsidR="005B6ED3">
          <w:rPr>
            <w:noProof/>
            <w:webHidden/>
          </w:rPr>
        </w:r>
        <w:r w:rsidR="005B6ED3">
          <w:rPr>
            <w:noProof/>
            <w:webHidden/>
          </w:rPr>
          <w:fldChar w:fldCharType="separate"/>
        </w:r>
        <w:r w:rsidR="005B6ED3">
          <w:rPr>
            <w:noProof/>
            <w:webHidden/>
          </w:rPr>
          <w:t>11</w:t>
        </w:r>
        <w:r w:rsidR="005B6ED3">
          <w:rPr>
            <w:noProof/>
            <w:webHidden/>
          </w:rPr>
          <w:fldChar w:fldCharType="end"/>
        </w:r>
      </w:hyperlink>
    </w:p>
    <w:p w14:paraId="26D2CF25" w14:textId="158841EE" w:rsidR="005B6ED3" w:rsidRDefault="0043055A">
      <w:pPr>
        <w:pStyle w:val="TOC2"/>
        <w:tabs>
          <w:tab w:val="right" w:pos="9628"/>
        </w:tabs>
        <w:rPr>
          <w:rFonts w:asciiTheme="minorHAnsi" w:eastAsiaTheme="minorEastAsia" w:hAnsiTheme="minorHAnsi"/>
          <w:noProof/>
          <w:kern w:val="2"/>
          <w:sz w:val="22"/>
          <w:lang w:eastAsia="en-GB"/>
          <w14:ligatures w14:val="standardContextual"/>
        </w:rPr>
      </w:pPr>
      <w:hyperlink w:anchor="_Toc146286761" w:history="1">
        <w:r w:rsidR="005B6ED3" w:rsidRPr="00B550E4">
          <w:rPr>
            <w:rStyle w:val="Hyperlink"/>
            <w:noProof/>
          </w:rPr>
          <w:t>Further project related information for bidders</w:t>
        </w:r>
        <w:r w:rsidR="005B6ED3">
          <w:rPr>
            <w:noProof/>
            <w:webHidden/>
          </w:rPr>
          <w:tab/>
        </w:r>
        <w:r w:rsidR="005B6ED3">
          <w:rPr>
            <w:noProof/>
            <w:webHidden/>
          </w:rPr>
          <w:fldChar w:fldCharType="begin"/>
        </w:r>
        <w:r w:rsidR="005B6ED3">
          <w:rPr>
            <w:noProof/>
            <w:webHidden/>
          </w:rPr>
          <w:instrText xml:space="preserve"> PAGEREF _Toc146286761 \h </w:instrText>
        </w:r>
        <w:r w:rsidR="005B6ED3">
          <w:rPr>
            <w:noProof/>
            <w:webHidden/>
          </w:rPr>
        </w:r>
        <w:r w:rsidR="005B6ED3">
          <w:rPr>
            <w:noProof/>
            <w:webHidden/>
          </w:rPr>
          <w:fldChar w:fldCharType="separate"/>
        </w:r>
        <w:r w:rsidR="005B6ED3">
          <w:rPr>
            <w:noProof/>
            <w:webHidden/>
          </w:rPr>
          <w:t>11</w:t>
        </w:r>
        <w:r w:rsidR="005B6ED3">
          <w:rPr>
            <w:noProof/>
            <w:webHidden/>
          </w:rPr>
          <w:fldChar w:fldCharType="end"/>
        </w:r>
      </w:hyperlink>
    </w:p>
    <w:p w14:paraId="0061821B" w14:textId="08094924" w:rsidR="005B6ED3" w:rsidRDefault="0043055A">
      <w:pPr>
        <w:pStyle w:val="TOC1"/>
        <w:rPr>
          <w:rFonts w:asciiTheme="minorHAnsi" w:eastAsiaTheme="minorEastAsia" w:hAnsiTheme="minorHAnsi"/>
          <w:b w:val="0"/>
          <w:bCs w:val="0"/>
          <w:color w:val="auto"/>
          <w:kern w:val="2"/>
          <w:sz w:val="22"/>
          <w:lang w:eastAsia="en-GB"/>
          <w14:ligatures w14:val="standardContextual"/>
        </w:rPr>
      </w:pPr>
      <w:hyperlink w:anchor="_Toc146286762" w:history="1">
        <w:r w:rsidR="005B6ED3" w:rsidRPr="00B550E4">
          <w:rPr>
            <w:rStyle w:val="Hyperlink"/>
          </w:rPr>
          <w:t>3.</w:t>
        </w:r>
        <w:r w:rsidR="005B6ED3">
          <w:rPr>
            <w:rFonts w:asciiTheme="minorHAnsi" w:eastAsiaTheme="minorEastAsia" w:hAnsiTheme="minorHAnsi"/>
            <w:b w:val="0"/>
            <w:bCs w:val="0"/>
            <w:color w:val="auto"/>
            <w:kern w:val="2"/>
            <w:sz w:val="22"/>
            <w:lang w:eastAsia="en-GB"/>
            <w14:ligatures w14:val="standardContextual"/>
          </w:rPr>
          <w:tab/>
        </w:r>
        <w:r w:rsidR="005B6ED3" w:rsidRPr="00B550E4">
          <w:rPr>
            <w:rStyle w:val="Hyperlink"/>
          </w:rPr>
          <w:t>Tender Response and Evaluation Criteria</w:t>
        </w:r>
        <w:r w:rsidR="005B6ED3">
          <w:rPr>
            <w:webHidden/>
          </w:rPr>
          <w:tab/>
        </w:r>
        <w:r w:rsidR="005B6ED3">
          <w:rPr>
            <w:webHidden/>
          </w:rPr>
          <w:fldChar w:fldCharType="begin"/>
        </w:r>
        <w:r w:rsidR="005B6ED3">
          <w:rPr>
            <w:webHidden/>
          </w:rPr>
          <w:instrText xml:space="preserve"> PAGEREF _Toc146286762 \h </w:instrText>
        </w:r>
        <w:r w:rsidR="005B6ED3">
          <w:rPr>
            <w:webHidden/>
          </w:rPr>
        </w:r>
        <w:r w:rsidR="005B6ED3">
          <w:rPr>
            <w:webHidden/>
          </w:rPr>
          <w:fldChar w:fldCharType="separate"/>
        </w:r>
        <w:r w:rsidR="005B6ED3">
          <w:rPr>
            <w:webHidden/>
          </w:rPr>
          <w:t>13</w:t>
        </w:r>
        <w:r w:rsidR="005B6ED3">
          <w:rPr>
            <w:webHidden/>
          </w:rPr>
          <w:fldChar w:fldCharType="end"/>
        </w:r>
      </w:hyperlink>
    </w:p>
    <w:p w14:paraId="37C8FA1C" w14:textId="05625F78" w:rsidR="005B6ED3" w:rsidRDefault="0043055A">
      <w:pPr>
        <w:pStyle w:val="TOC2"/>
        <w:tabs>
          <w:tab w:val="right" w:pos="9628"/>
        </w:tabs>
        <w:rPr>
          <w:rFonts w:asciiTheme="minorHAnsi" w:eastAsiaTheme="minorEastAsia" w:hAnsiTheme="minorHAnsi"/>
          <w:noProof/>
          <w:kern w:val="2"/>
          <w:sz w:val="22"/>
          <w:lang w:eastAsia="en-GB"/>
          <w14:ligatures w14:val="standardContextual"/>
        </w:rPr>
      </w:pPr>
      <w:hyperlink w:anchor="_Toc146286763" w:history="1">
        <w:r w:rsidR="005B6ED3" w:rsidRPr="00B550E4">
          <w:rPr>
            <w:rStyle w:val="Hyperlink"/>
            <w:noProof/>
          </w:rPr>
          <w:t>The Tender Response</w:t>
        </w:r>
        <w:r w:rsidR="005B6ED3">
          <w:rPr>
            <w:noProof/>
            <w:webHidden/>
          </w:rPr>
          <w:tab/>
        </w:r>
        <w:r w:rsidR="005B6ED3">
          <w:rPr>
            <w:noProof/>
            <w:webHidden/>
          </w:rPr>
          <w:fldChar w:fldCharType="begin"/>
        </w:r>
        <w:r w:rsidR="005B6ED3">
          <w:rPr>
            <w:noProof/>
            <w:webHidden/>
          </w:rPr>
          <w:instrText xml:space="preserve"> PAGEREF _Toc146286763 \h </w:instrText>
        </w:r>
        <w:r w:rsidR="005B6ED3">
          <w:rPr>
            <w:noProof/>
            <w:webHidden/>
          </w:rPr>
        </w:r>
        <w:r w:rsidR="005B6ED3">
          <w:rPr>
            <w:noProof/>
            <w:webHidden/>
          </w:rPr>
          <w:fldChar w:fldCharType="separate"/>
        </w:r>
        <w:r w:rsidR="005B6ED3">
          <w:rPr>
            <w:noProof/>
            <w:webHidden/>
          </w:rPr>
          <w:t>13</w:t>
        </w:r>
        <w:r w:rsidR="005B6ED3">
          <w:rPr>
            <w:noProof/>
            <w:webHidden/>
          </w:rPr>
          <w:fldChar w:fldCharType="end"/>
        </w:r>
      </w:hyperlink>
    </w:p>
    <w:p w14:paraId="342FD5C5" w14:textId="2F94AA70" w:rsidR="005B6ED3" w:rsidRDefault="0043055A">
      <w:pPr>
        <w:pStyle w:val="TOC2"/>
        <w:tabs>
          <w:tab w:val="right" w:pos="9628"/>
        </w:tabs>
        <w:rPr>
          <w:rFonts w:asciiTheme="minorHAnsi" w:eastAsiaTheme="minorEastAsia" w:hAnsiTheme="minorHAnsi"/>
          <w:noProof/>
          <w:kern w:val="2"/>
          <w:sz w:val="22"/>
          <w:lang w:eastAsia="en-GB"/>
          <w14:ligatures w14:val="standardContextual"/>
        </w:rPr>
      </w:pPr>
      <w:hyperlink w:anchor="_Toc146286764" w:history="1">
        <w:r w:rsidR="005B6ED3" w:rsidRPr="00B550E4">
          <w:rPr>
            <w:rStyle w:val="Hyperlink"/>
            <w:noProof/>
          </w:rPr>
          <w:t>Evaluation Criteria</w:t>
        </w:r>
        <w:r w:rsidR="005B6ED3">
          <w:rPr>
            <w:noProof/>
            <w:webHidden/>
          </w:rPr>
          <w:tab/>
        </w:r>
        <w:r w:rsidR="005B6ED3">
          <w:rPr>
            <w:noProof/>
            <w:webHidden/>
          </w:rPr>
          <w:fldChar w:fldCharType="begin"/>
        </w:r>
        <w:r w:rsidR="005B6ED3">
          <w:rPr>
            <w:noProof/>
            <w:webHidden/>
          </w:rPr>
          <w:instrText xml:space="preserve"> PAGEREF _Toc146286764 \h </w:instrText>
        </w:r>
        <w:r w:rsidR="005B6ED3">
          <w:rPr>
            <w:noProof/>
            <w:webHidden/>
          </w:rPr>
        </w:r>
        <w:r w:rsidR="005B6ED3">
          <w:rPr>
            <w:noProof/>
            <w:webHidden/>
          </w:rPr>
          <w:fldChar w:fldCharType="separate"/>
        </w:r>
        <w:r w:rsidR="005B6ED3">
          <w:rPr>
            <w:noProof/>
            <w:webHidden/>
          </w:rPr>
          <w:t>14</w:t>
        </w:r>
        <w:r w:rsidR="005B6ED3">
          <w:rPr>
            <w:noProof/>
            <w:webHidden/>
          </w:rPr>
          <w:fldChar w:fldCharType="end"/>
        </w:r>
      </w:hyperlink>
    </w:p>
    <w:p w14:paraId="2A28C760" w14:textId="196E0A16" w:rsidR="005B6ED3" w:rsidRDefault="0043055A">
      <w:pPr>
        <w:pStyle w:val="TOC1"/>
        <w:rPr>
          <w:rFonts w:asciiTheme="minorHAnsi" w:eastAsiaTheme="minorEastAsia" w:hAnsiTheme="minorHAnsi"/>
          <w:b w:val="0"/>
          <w:bCs w:val="0"/>
          <w:color w:val="auto"/>
          <w:kern w:val="2"/>
          <w:sz w:val="22"/>
          <w:lang w:eastAsia="en-GB"/>
          <w14:ligatures w14:val="standardContextual"/>
        </w:rPr>
      </w:pPr>
      <w:hyperlink w:anchor="_Toc146286765" w:history="1">
        <w:r w:rsidR="005B6ED3" w:rsidRPr="00B550E4">
          <w:rPr>
            <w:rStyle w:val="Hyperlink"/>
          </w:rPr>
          <w:t>4.</w:t>
        </w:r>
        <w:r w:rsidR="005B6ED3">
          <w:rPr>
            <w:rFonts w:asciiTheme="minorHAnsi" w:eastAsiaTheme="minorEastAsia" w:hAnsiTheme="minorHAnsi"/>
            <w:b w:val="0"/>
            <w:bCs w:val="0"/>
            <w:color w:val="auto"/>
            <w:kern w:val="2"/>
            <w:sz w:val="22"/>
            <w:lang w:eastAsia="en-GB"/>
            <w14:ligatures w14:val="standardContextual"/>
          </w:rPr>
          <w:tab/>
        </w:r>
        <w:r w:rsidR="005B6ED3" w:rsidRPr="00B550E4">
          <w:rPr>
            <w:rStyle w:val="Hyperlink"/>
          </w:rPr>
          <w:t>Procurement Procedures</w:t>
        </w:r>
        <w:r w:rsidR="005B6ED3">
          <w:rPr>
            <w:webHidden/>
          </w:rPr>
          <w:tab/>
        </w:r>
        <w:r w:rsidR="005B6ED3">
          <w:rPr>
            <w:webHidden/>
          </w:rPr>
          <w:fldChar w:fldCharType="begin"/>
        </w:r>
        <w:r w:rsidR="005B6ED3">
          <w:rPr>
            <w:webHidden/>
          </w:rPr>
          <w:instrText xml:space="preserve"> PAGEREF _Toc146286765 \h </w:instrText>
        </w:r>
        <w:r w:rsidR="005B6ED3">
          <w:rPr>
            <w:webHidden/>
          </w:rPr>
        </w:r>
        <w:r w:rsidR="005B6ED3">
          <w:rPr>
            <w:webHidden/>
          </w:rPr>
          <w:fldChar w:fldCharType="separate"/>
        </w:r>
        <w:r w:rsidR="005B6ED3">
          <w:rPr>
            <w:webHidden/>
          </w:rPr>
          <w:t>17</w:t>
        </w:r>
        <w:r w:rsidR="005B6ED3">
          <w:rPr>
            <w:webHidden/>
          </w:rPr>
          <w:fldChar w:fldCharType="end"/>
        </w:r>
      </w:hyperlink>
    </w:p>
    <w:p w14:paraId="79757B6C" w14:textId="70873305" w:rsidR="005B6ED3" w:rsidRDefault="0043055A">
      <w:pPr>
        <w:pStyle w:val="TOC2"/>
        <w:tabs>
          <w:tab w:val="right" w:pos="9628"/>
        </w:tabs>
        <w:rPr>
          <w:rFonts w:asciiTheme="minorHAnsi" w:eastAsiaTheme="minorEastAsia" w:hAnsiTheme="minorHAnsi"/>
          <w:noProof/>
          <w:kern w:val="2"/>
          <w:sz w:val="22"/>
          <w:lang w:eastAsia="en-GB"/>
          <w14:ligatures w14:val="standardContextual"/>
        </w:rPr>
      </w:pPr>
      <w:hyperlink w:anchor="_Toc146286766" w:history="1">
        <w:r w:rsidR="005B6ED3" w:rsidRPr="00B550E4">
          <w:rPr>
            <w:rStyle w:val="Hyperlink"/>
            <w:noProof/>
          </w:rPr>
          <w:t>Tendering Timetable</w:t>
        </w:r>
        <w:r w:rsidR="005B6ED3">
          <w:rPr>
            <w:noProof/>
            <w:webHidden/>
          </w:rPr>
          <w:tab/>
        </w:r>
        <w:r w:rsidR="005B6ED3">
          <w:rPr>
            <w:noProof/>
            <w:webHidden/>
          </w:rPr>
          <w:fldChar w:fldCharType="begin"/>
        </w:r>
        <w:r w:rsidR="005B6ED3">
          <w:rPr>
            <w:noProof/>
            <w:webHidden/>
          </w:rPr>
          <w:instrText xml:space="preserve"> PAGEREF _Toc146286766 \h </w:instrText>
        </w:r>
        <w:r w:rsidR="005B6ED3">
          <w:rPr>
            <w:noProof/>
            <w:webHidden/>
          </w:rPr>
        </w:r>
        <w:r w:rsidR="005B6ED3">
          <w:rPr>
            <w:noProof/>
            <w:webHidden/>
          </w:rPr>
          <w:fldChar w:fldCharType="separate"/>
        </w:r>
        <w:r w:rsidR="005B6ED3">
          <w:rPr>
            <w:noProof/>
            <w:webHidden/>
          </w:rPr>
          <w:t>17</w:t>
        </w:r>
        <w:r w:rsidR="005B6ED3">
          <w:rPr>
            <w:noProof/>
            <w:webHidden/>
          </w:rPr>
          <w:fldChar w:fldCharType="end"/>
        </w:r>
      </w:hyperlink>
    </w:p>
    <w:p w14:paraId="2B0CDE5D" w14:textId="0882963B" w:rsidR="005B6ED3" w:rsidRDefault="0043055A">
      <w:pPr>
        <w:pStyle w:val="TOC2"/>
        <w:tabs>
          <w:tab w:val="right" w:pos="9628"/>
        </w:tabs>
        <w:rPr>
          <w:rFonts w:asciiTheme="minorHAnsi" w:eastAsiaTheme="minorEastAsia" w:hAnsiTheme="minorHAnsi"/>
          <w:noProof/>
          <w:kern w:val="2"/>
          <w:sz w:val="22"/>
          <w:lang w:eastAsia="en-GB"/>
          <w14:ligatures w14:val="standardContextual"/>
        </w:rPr>
      </w:pPr>
      <w:hyperlink w:anchor="_Toc146286767" w:history="1">
        <w:r w:rsidR="005B6ED3" w:rsidRPr="00B550E4">
          <w:rPr>
            <w:rStyle w:val="Hyperlink"/>
            <w:noProof/>
          </w:rPr>
          <w:t>Tendering Instructions and Guidance</w:t>
        </w:r>
        <w:r w:rsidR="005B6ED3">
          <w:rPr>
            <w:noProof/>
            <w:webHidden/>
          </w:rPr>
          <w:tab/>
        </w:r>
        <w:r w:rsidR="005B6ED3">
          <w:rPr>
            <w:noProof/>
            <w:webHidden/>
          </w:rPr>
          <w:fldChar w:fldCharType="begin"/>
        </w:r>
        <w:r w:rsidR="005B6ED3">
          <w:rPr>
            <w:noProof/>
            <w:webHidden/>
          </w:rPr>
          <w:instrText xml:space="preserve"> PAGEREF _Toc146286767 \h </w:instrText>
        </w:r>
        <w:r w:rsidR="005B6ED3">
          <w:rPr>
            <w:noProof/>
            <w:webHidden/>
          </w:rPr>
        </w:r>
        <w:r w:rsidR="005B6ED3">
          <w:rPr>
            <w:noProof/>
            <w:webHidden/>
          </w:rPr>
          <w:fldChar w:fldCharType="separate"/>
        </w:r>
        <w:r w:rsidR="005B6ED3">
          <w:rPr>
            <w:noProof/>
            <w:webHidden/>
          </w:rPr>
          <w:t>17</w:t>
        </w:r>
        <w:r w:rsidR="005B6ED3">
          <w:rPr>
            <w:noProof/>
            <w:webHidden/>
          </w:rPr>
          <w:fldChar w:fldCharType="end"/>
        </w:r>
      </w:hyperlink>
    </w:p>
    <w:p w14:paraId="6B48D324" w14:textId="27BB60A4" w:rsidR="00FC6860" w:rsidRDefault="00FC6860" w:rsidP="004E1570">
      <w:pPr>
        <w:sectPr w:rsidR="00FC6860" w:rsidSect="004E157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46286751"/>
      <w:r>
        <w:lastRenderedPageBreak/>
        <w:t>Purpose of the document</w:t>
      </w:r>
      <w:bookmarkEnd w:id="4"/>
    </w:p>
    <w:p w14:paraId="5CB061E3" w14:textId="4A1C5455" w:rsidR="00A02455" w:rsidRDefault="00A02455" w:rsidP="00A02455">
      <w:r>
        <w:t xml:space="preserve">The purpose of this document is to invite proposals for </w:t>
      </w:r>
      <w:r w:rsidR="0071036B" w:rsidRPr="0071036B">
        <w:rPr>
          <w:b/>
          <w:bCs/>
        </w:rPr>
        <w:t xml:space="preserve">Personal Track Safety (PTS) </w:t>
      </w:r>
      <w:r w:rsidR="002C3239">
        <w:rPr>
          <w:b/>
          <w:bCs/>
        </w:rPr>
        <w:t>Assessments</w:t>
      </w:r>
      <w:r w:rsidRPr="00574B16">
        <w:rPr>
          <w:color w:val="B1173B"/>
        </w:rPr>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46286752"/>
      <w:r>
        <w:lastRenderedPageBreak/>
        <w:t>Introduction to the Office of Rail and Road</w:t>
      </w:r>
      <w:bookmarkEnd w:id="5"/>
    </w:p>
    <w:p w14:paraId="0EC8CF73" w14:textId="77777777" w:rsidR="00490915" w:rsidRDefault="00490915" w:rsidP="009303C5">
      <w:pPr>
        <w:pStyle w:val="Numberedparagraphdouble"/>
      </w:pPr>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9303C5">
      <w:pPr>
        <w:pStyle w:val="Numberedparagraphdouble"/>
      </w:pPr>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6" w:name="_Toc146286753"/>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 xml:space="preserve">Enforce the law and ensure that the industry delivers continuous improvement in the health and safety of passengers, the workforce and public, by achieving excellence in health and safety culture, </w:t>
      </w:r>
      <w:proofErr w:type="gramStart"/>
      <w:r>
        <w:t>management</w:t>
      </w:r>
      <w:proofErr w:type="gramEnd"/>
      <w:r>
        <w:t xml:space="preserve">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46286754"/>
      <w:r>
        <w:t>Supplying ORR</w:t>
      </w:r>
      <w:bookmarkEnd w:id="7"/>
    </w:p>
    <w:p w14:paraId="00A07518" w14:textId="77777777" w:rsidR="00490915" w:rsidRDefault="00490915" w:rsidP="009303C5">
      <w:pPr>
        <w:pStyle w:val="Numberedparagraphdouble"/>
      </w:pPr>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9303C5">
      <w:pPr>
        <w:pStyle w:val="Numberedparagraphdouble"/>
      </w:pPr>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9303C5">
      <w:pPr>
        <w:pStyle w:val="Numberedparagraphdouble"/>
      </w:pPr>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9303C5">
      <w:pPr>
        <w:pStyle w:val="Heading3"/>
      </w:pPr>
      <w:bookmarkStart w:id="8" w:name="_Toc146286755"/>
      <w:r>
        <w:t>Small and Medium Enterprises</w:t>
      </w:r>
      <w:bookmarkEnd w:id="8"/>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9303C5">
      <w:pPr>
        <w:pStyle w:val="Numberedparagraphdouble"/>
      </w:pPr>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9303C5">
      <w:pPr>
        <w:pStyle w:val="Numberedparagraphdouble"/>
      </w:pPr>
      <w:r w:rsidRPr="00F20E70">
        <w:lastRenderedPageBreak/>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46286756"/>
      <w:r>
        <w:lastRenderedPageBreak/>
        <w:t>Statement of Requirement</w:t>
      </w:r>
      <w:bookmarkEnd w:id="9"/>
    </w:p>
    <w:p w14:paraId="0C918979" w14:textId="602EDC55" w:rsidR="00F20E70" w:rsidRDefault="00F20E70" w:rsidP="001E310A">
      <w:pPr>
        <w:pStyle w:val="Heading3"/>
      </w:pPr>
      <w:bookmarkStart w:id="10" w:name="_Toc146286757"/>
      <w:r>
        <w:t>Background of the project</w:t>
      </w:r>
      <w:bookmarkEnd w:id="10"/>
    </w:p>
    <w:p w14:paraId="0838230F" w14:textId="4255D771" w:rsidR="00045A3C" w:rsidRPr="00045A3C" w:rsidRDefault="00045A3C" w:rsidP="003F3CB0">
      <w:pPr>
        <w:rPr>
          <w:b/>
          <w:bCs/>
          <w:color w:val="000000" w:themeColor="text1"/>
        </w:rPr>
      </w:pPr>
      <w:r>
        <w:rPr>
          <w:b/>
          <w:bCs/>
          <w:color w:val="000000" w:themeColor="text1"/>
        </w:rPr>
        <w:t>Background</w:t>
      </w:r>
    </w:p>
    <w:p w14:paraId="3002493A" w14:textId="77777777" w:rsidR="0071036B" w:rsidRDefault="0071036B" w:rsidP="001E310A">
      <w:pPr>
        <w:pStyle w:val="Numberedparagraphdouble"/>
      </w:pPr>
      <w:r w:rsidRPr="009375FD">
        <w:t>Britain</w:t>
      </w:r>
      <w:r>
        <w:t>’s</w:t>
      </w:r>
      <w:r w:rsidRPr="009375FD">
        <w:t xml:space="preserve"> mainline railway infrastructure operator, Network Rail requires that</w:t>
      </w:r>
      <w:r>
        <w:t xml:space="preserve"> all</w:t>
      </w:r>
      <w:r w:rsidRPr="009375FD">
        <w:t xml:space="preserve"> its staff, contractors</w:t>
      </w:r>
      <w:r>
        <w:t>,</w:t>
      </w:r>
      <w:r w:rsidRPr="009375FD">
        <w:t xml:space="preserve"> and anyone else that needs to access its infrastructure must hold a Personal Track Safety (PTS) competence.</w:t>
      </w:r>
      <w:r>
        <w:t xml:space="preserve"> It is a standard and fundamental mandatory access requirement.</w:t>
      </w:r>
    </w:p>
    <w:p w14:paraId="284633FD" w14:textId="65983B3C" w:rsidR="0071036B" w:rsidRDefault="0071036B" w:rsidP="001E310A">
      <w:pPr>
        <w:pStyle w:val="Numberedparagraphdouble"/>
      </w:pPr>
      <w:r>
        <w:t xml:space="preserve">Although ORR is not a railway </w:t>
      </w:r>
      <w:r w:rsidR="008618FD">
        <w:t>contractor</w:t>
      </w:r>
      <w:r>
        <w:t>, it chooses to comply with the requirements of PTS to align with industry practice.</w:t>
      </w:r>
    </w:p>
    <w:p w14:paraId="1AA9275C" w14:textId="673E06E9" w:rsidR="0071036B" w:rsidRPr="00D869E9" w:rsidRDefault="0071036B" w:rsidP="001E310A">
      <w:pPr>
        <w:pStyle w:val="Numberedparagraphdouble"/>
      </w:pPr>
      <w:r>
        <w:t xml:space="preserve">The PTS syllabus </w:t>
      </w:r>
      <w:r w:rsidR="003A15C6">
        <w:t xml:space="preserve">is based on principles and standards developed by Network Rail, this includes an accreditation process undertaken through Sentinel.  Sentinel is administered by a </w:t>
      </w:r>
      <w:r w:rsidR="00BD77FC">
        <w:t>s</w:t>
      </w:r>
      <w:r w:rsidR="003A15C6">
        <w:t xml:space="preserve">upplier </w:t>
      </w:r>
      <w:r w:rsidR="00BD77FC">
        <w:t xml:space="preserve">who is </w:t>
      </w:r>
      <w:r w:rsidR="003A15C6">
        <w:t>contracted by Network Rail.</w:t>
      </w:r>
    </w:p>
    <w:p w14:paraId="7571E885" w14:textId="009FEAC7" w:rsidR="00045A3C" w:rsidRPr="001E168A" w:rsidRDefault="00045A3C" w:rsidP="00D869E9">
      <w:pPr>
        <w:rPr>
          <w:b/>
          <w:bCs/>
          <w:color w:val="000000" w:themeColor="text1"/>
        </w:rPr>
      </w:pPr>
      <w:r w:rsidRPr="001E168A">
        <w:rPr>
          <w:b/>
          <w:bCs/>
          <w:color w:val="000000" w:themeColor="text1"/>
        </w:rPr>
        <w:t xml:space="preserve">The </w:t>
      </w:r>
      <w:r w:rsidR="007C6766" w:rsidRPr="001E168A">
        <w:rPr>
          <w:b/>
          <w:bCs/>
          <w:color w:val="000000" w:themeColor="text1"/>
        </w:rPr>
        <w:t xml:space="preserve">Sentinel </w:t>
      </w:r>
      <w:r w:rsidRPr="001E168A">
        <w:rPr>
          <w:b/>
          <w:bCs/>
          <w:color w:val="000000" w:themeColor="text1"/>
        </w:rPr>
        <w:t>PTS process</w:t>
      </w:r>
    </w:p>
    <w:p w14:paraId="6231D9B7" w14:textId="6EB6E6A1" w:rsidR="001446C3" w:rsidRPr="001E168A" w:rsidRDefault="001446C3" w:rsidP="001E310A">
      <w:pPr>
        <w:pStyle w:val="Numberedparagraphdouble"/>
      </w:pPr>
      <w:r w:rsidRPr="001E168A">
        <w:t xml:space="preserve">There are </w:t>
      </w:r>
      <w:r w:rsidR="008618FD" w:rsidRPr="001E168A">
        <w:t>five</w:t>
      </w:r>
      <w:r w:rsidRPr="001E168A">
        <w:t xml:space="preserve"> key stages to the </w:t>
      </w:r>
      <w:r w:rsidR="003A15C6" w:rsidRPr="001E168A">
        <w:t xml:space="preserve">Sentinel </w:t>
      </w:r>
      <w:r w:rsidRPr="001E168A">
        <w:t xml:space="preserve">PTS competency </w:t>
      </w:r>
      <w:r w:rsidR="00BD77FC">
        <w:t>accreditation:</w:t>
      </w:r>
    </w:p>
    <w:p w14:paraId="44375D2B" w14:textId="77777777" w:rsidR="005B6ED3" w:rsidRDefault="007C6766" w:rsidP="005B6ED3">
      <w:pPr>
        <w:pStyle w:val="Bulletnumber"/>
        <w:tabs>
          <w:tab w:val="clear" w:pos="2552"/>
          <w:tab w:val="num" w:pos="1560"/>
        </w:tabs>
        <w:ind w:left="1560"/>
      </w:pPr>
      <w:r w:rsidRPr="001E168A">
        <w:t>Successfully completing a</w:t>
      </w:r>
      <w:r w:rsidR="001446C3" w:rsidRPr="001E168A">
        <w:t xml:space="preserve"> pre-PTS medical </w:t>
      </w:r>
      <w:r w:rsidRPr="001E168A">
        <w:t xml:space="preserve">including </w:t>
      </w:r>
      <w:r w:rsidR="001446C3" w:rsidRPr="001E168A">
        <w:t xml:space="preserve">drug </w:t>
      </w:r>
      <w:r w:rsidRPr="001E168A">
        <w:t>&amp;</w:t>
      </w:r>
      <w:r w:rsidR="001446C3" w:rsidRPr="001E168A">
        <w:t xml:space="preserve"> alcohol (D&amp;A) screening</w:t>
      </w:r>
      <w:r w:rsidR="008B1CE4" w:rsidRPr="001E168A">
        <w:t xml:space="preserve">.  </w:t>
      </w:r>
    </w:p>
    <w:p w14:paraId="1AFB6309" w14:textId="35EF387B" w:rsidR="001446C3" w:rsidRPr="001E168A" w:rsidRDefault="001446C3" w:rsidP="005B6ED3">
      <w:pPr>
        <w:pStyle w:val="Bulletnumber"/>
        <w:tabs>
          <w:tab w:val="clear" w:pos="2552"/>
          <w:tab w:val="num" w:pos="1560"/>
        </w:tabs>
        <w:ind w:left="1560"/>
      </w:pPr>
      <w:r w:rsidRPr="001E168A">
        <w:t>Successfully completing the pre-PTS e-learning, as set by Network Rail</w:t>
      </w:r>
      <w:r w:rsidR="001E168A">
        <w:t xml:space="preserve">.  </w:t>
      </w:r>
    </w:p>
    <w:p w14:paraId="257B8AEC" w14:textId="224BD26F" w:rsidR="005B6ED3" w:rsidRDefault="001446C3" w:rsidP="005B6ED3">
      <w:pPr>
        <w:pStyle w:val="Bulletnumber"/>
        <w:tabs>
          <w:tab w:val="clear" w:pos="2552"/>
          <w:tab w:val="num" w:pos="1560"/>
        </w:tabs>
        <w:ind w:left="1560"/>
      </w:pPr>
      <w:r w:rsidRPr="001E168A">
        <w:t xml:space="preserve">Successfully completing the two-day PTS </w:t>
      </w:r>
      <w:r w:rsidR="000B00DD">
        <w:t xml:space="preserve">training course, including </w:t>
      </w:r>
      <w:r w:rsidRPr="001E168A">
        <w:t>assessment</w:t>
      </w:r>
      <w:r w:rsidR="002C3239">
        <w:t xml:space="preserve"> </w:t>
      </w:r>
      <w:r w:rsidR="000B00DD">
        <w:t>vi</w:t>
      </w:r>
      <w:r w:rsidR="00477F9A" w:rsidRPr="001E168A">
        <w:t xml:space="preserve">a </w:t>
      </w:r>
      <w:r w:rsidR="000B00DD">
        <w:t xml:space="preserve">a </w:t>
      </w:r>
      <w:r w:rsidR="00477F9A" w:rsidRPr="001E168A">
        <w:t>test</w:t>
      </w:r>
      <w:r w:rsidR="007C6766" w:rsidRPr="001E168A">
        <w:t xml:space="preserve">.  </w:t>
      </w:r>
      <w:r w:rsidR="001E168A">
        <w:t xml:space="preserve"> </w:t>
      </w:r>
    </w:p>
    <w:p w14:paraId="2B4B0A77" w14:textId="0A02B8E3" w:rsidR="007C6766" w:rsidRPr="001E168A" w:rsidRDefault="001446C3" w:rsidP="005B6ED3">
      <w:pPr>
        <w:pStyle w:val="Bulletnumber"/>
        <w:tabs>
          <w:tab w:val="clear" w:pos="2552"/>
          <w:tab w:val="num" w:pos="1560"/>
        </w:tabs>
        <w:ind w:left="1560"/>
      </w:pPr>
      <w:r w:rsidRPr="001E168A">
        <w:t>Successful candidates are issued with a Sentinel card</w:t>
      </w:r>
      <w:r w:rsidR="007C6766" w:rsidRPr="001E168A">
        <w:t xml:space="preserve"> to demonstrate </w:t>
      </w:r>
      <w:r w:rsidRPr="001E168A">
        <w:t>competency</w:t>
      </w:r>
      <w:r w:rsidR="007C6766" w:rsidRPr="001E168A">
        <w:t>.</w:t>
      </w:r>
    </w:p>
    <w:p w14:paraId="0A52FFEB" w14:textId="7E6D320A" w:rsidR="00E71CD2" w:rsidRPr="001E168A" w:rsidRDefault="001446C3" w:rsidP="005B6ED3">
      <w:pPr>
        <w:pStyle w:val="Bulletnumber"/>
        <w:tabs>
          <w:tab w:val="clear" w:pos="2552"/>
          <w:tab w:val="num" w:pos="1560"/>
        </w:tabs>
        <w:ind w:left="1560"/>
      </w:pPr>
      <w:r w:rsidRPr="001E168A">
        <w:t xml:space="preserve">PTS competence is valid for two </w:t>
      </w:r>
      <w:r w:rsidR="0080499E" w:rsidRPr="001E168A">
        <w:t>years and</w:t>
      </w:r>
      <w:r w:rsidRPr="001E168A">
        <w:t xml:space="preserve"> </w:t>
      </w:r>
      <w:r w:rsidR="007C6766" w:rsidRPr="001E168A">
        <w:t xml:space="preserve">should </w:t>
      </w:r>
      <w:r w:rsidRPr="001E168A">
        <w:t>be recertified via a one-day assessment course</w:t>
      </w:r>
      <w:r w:rsidR="007C6766" w:rsidRPr="001E168A">
        <w:t>.  To be eligible for refreshe</w:t>
      </w:r>
      <w:r w:rsidR="00301286" w:rsidRPr="001E168A">
        <w:t>r</w:t>
      </w:r>
      <w:r w:rsidR="007C6766" w:rsidRPr="001E168A">
        <w:t xml:space="preserve"> training, </w:t>
      </w:r>
      <w:r w:rsidR="00301286" w:rsidRPr="001E168A">
        <w:t xml:space="preserve">candidates are required to meet certain operational requirements. </w:t>
      </w:r>
    </w:p>
    <w:p w14:paraId="69023C13" w14:textId="6192770C" w:rsidR="00BD77FC" w:rsidRDefault="00BD77FC" w:rsidP="00AB3BCF">
      <w:pPr>
        <w:pStyle w:val="Numberedparagraphdouble"/>
      </w:pPr>
      <w:r w:rsidRPr="00BD77FC">
        <w:t xml:space="preserve">ORR undertakes its own medical screening (stage 1) </w:t>
      </w:r>
      <w:r w:rsidR="000B00DD">
        <w:t>via an Occupational Health contractor. ORR also</w:t>
      </w:r>
      <w:r w:rsidRPr="00BD77FC">
        <w:t xml:space="preserve"> ensures that staff have undertaken the online training</w:t>
      </w:r>
      <w:r>
        <w:t xml:space="preserve"> (stage 2)</w:t>
      </w:r>
      <w:r w:rsidRPr="00BD77FC">
        <w:t xml:space="preserve">.  </w:t>
      </w:r>
      <w:r w:rsidR="00355203">
        <w:t xml:space="preserve">The </w:t>
      </w:r>
      <w:r w:rsidRPr="00BD77FC">
        <w:t xml:space="preserve">results </w:t>
      </w:r>
      <w:r>
        <w:t xml:space="preserve">for </w:t>
      </w:r>
      <w:r w:rsidR="000B00DD">
        <w:t xml:space="preserve">stages 1 and 2 </w:t>
      </w:r>
      <w:r w:rsidRPr="00BD77FC">
        <w:t xml:space="preserve">are then upload into </w:t>
      </w:r>
      <w:hyperlink r:id="rId20" w:history="1">
        <w:r w:rsidR="002C3239" w:rsidRPr="002C3239">
          <w:rPr>
            <w:rStyle w:val="Hyperlink"/>
            <w:rFonts w:cs="Arial"/>
          </w:rPr>
          <w:t>Sentinel</w:t>
        </w:r>
      </w:hyperlink>
      <w:r w:rsidR="002C3239" w:rsidRPr="002C3239">
        <w:rPr>
          <w:rFonts w:cs="Arial"/>
        </w:rPr>
        <w:t xml:space="preserve"> </w:t>
      </w:r>
      <w:r w:rsidR="005B6ED3">
        <w:t>prior to undertaking the course</w:t>
      </w:r>
      <w:r w:rsidR="000B00DD">
        <w:t xml:space="preserve"> (stages 3 and 4)</w:t>
      </w:r>
      <w:r w:rsidRPr="00BD77FC">
        <w:t>.</w:t>
      </w:r>
    </w:p>
    <w:p w14:paraId="74919ACA" w14:textId="3BC9B73B" w:rsidR="00F20E70" w:rsidRDefault="00F20E70" w:rsidP="00F20E70">
      <w:pPr>
        <w:pStyle w:val="Heading3"/>
      </w:pPr>
      <w:bookmarkStart w:id="11" w:name="_Toc146286758"/>
      <w:r>
        <w:lastRenderedPageBreak/>
        <w:t>Project Objectives and Scope</w:t>
      </w:r>
      <w:bookmarkEnd w:id="11"/>
    </w:p>
    <w:p w14:paraId="75C39AB7" w14:textId="77777777" w:rsidR="00CA067E" w:rsidRDefault="00CA067E" w:rsidP="001E310A">
      <w:pPr>
        <w:pStyle w:val="Numberedparagraphdouble"/>
      </w:pPr>
      <w:r>
        <w:t xml:space="preserve">ORR is not a contractor within the railway industry.  As such, ORR is not bound industry standards (including PTS) applicable to contractors.  Although ORR is not required to follow standards, PTS training is clearly useful in delivering personal safety competence to its staff.  </w:t>
      </w:r>
    </w:p>
    <w:p w14:paraId="3EAA15AB" w14:textId="0BCDF11B" w:rsidR="00301286" w:rsidRDefault="00301286" w:rsidP="001E310A">
      <w:pPr>
        <w:pStyle w:val="Numberedparagraphdouble"/>
      </w:pPr>
      <w:r>
        <w:t xml:space="preserve">ORR is seeking to procure a PTS </w:t>
      </w:r>
      <w:r w:rsidR="001E168A">
        <w:t>service</w:t>
      </w:r>
      <w:r w:rsidR="00BD77FC">
        <w:t xml:space="preserve"> as outlined in para</w:t>
      </w:r>
      <w:r w:rsidR="005B6ED3">
        <w:t xml:space="preserve">s 2.4 </w:t>
      </w:r>
      <w:r w:rsidR="00E06E45">
        <w:t xml:space="preserve">(stages 3-5) </w:t>
      </w:r>
      <w:r w:rsidR="005B6ED3">
        <w:t>and 2.5</w:t>
      </w:r>
      <w:r w:rsidR="00BD77FC">
        <w:t xml:space="preserve"> above</w:t>
      </w:r>
      <w:r w:rsidR="001E168A">
        <w:t xml:space="preserve">, however </w:t>
      </w:r>
      <w:r w:rsidR="00BD77FC">
        <w:t xml:space="preserve">it is </w:t>
      </w:r>
      <w:r w:rsidR="001E168A">
        <w:t>currently considering an alternative to the Sentinel process for recording PTS competence</w:t>
      </w:r>
      <w:r w:rsidR="00BD77FC">
        <w:t xml:space="preserve">.  A </w:t>
      </w:r>
      <w:r w:rsidR="00355203">
        <w:t>departmental</w:t>
      </w:r>
      <w:r w:rsidR="00BD77FC">
        <w:t xml:space="preserve"> decision of whether to move away from the Sentinel process </w:t>
      </w:r>
      <w:r w:rsidR="00355203">
        <w:t>is currently under consideration</w:t>
      </w:r>
      <w:r w:rsidR="00BD77FC">
        <w:t xml:space="preserve"> and therefore this</w:t>
      </w:r>
      <w:r w:rsidR="001E168A">
        <w:t xml:space="preserve"> tender is seeking </w:t>
      </w:r>
      <w:r w:rsidR="00BD77FC">
        <w:t>two</w:t>
      </w:r>
      <w:r w:rsidR="001E168A">
        <w:t xml:space="preserve"> options for the delivery of PTS (1</w:t>
      </w:r>
      <w:r w:rsidR="00BD77FC">
        <w:t>: f</w:t>
      </w:r>
      <w:r w:rsidR="001E168A">
        <w:t>ollowing Sentinel</w:t>
      </w:r>
      <w:r w:rsidR="00CA067E">
        <w:t xml:space="preserve"> (“Sentinel service”)</w:t>
      </w:r>
      <w:r w:rsidR="001E168A">
        <w:t>; and 2</w:t>
      </w:r>
      <w:r w:rsidR="00BD77FC">
        <w:t>: f</w:t>
      </w:r>
      <w:r w:rsidR="001E168A">
        <w:t>ollowing an alternative process</w:t>
      </w:r>
      <w:r w:rsidR="00CA067E">
        <w:t xml:space="preserve"> (“non-Sentinel service”)</w:t>
      </w:r>
      <w:r w:rsidR="001E168A">
        <w:t>).</w:t>
      </w:r>
    </w:p>
    <w:p w14:paraId="5F635B07" w14:textId="0D07BFFF" w:rsidR="00CA067E" w:rsidRDefault="00E3296D" w:rsidP="001E310A">
      <w:pPr>
        <w:pStyle w:val="Numberedparagraphdouble"/>
      </w:pPr>
      <w:r>
        <w:t xml:space="preserve">The resultant contract shall be for a period 3 years.  </w:t>
      </w:r>
      <w:r w:rsidR="00CA067E">
        <w:t xml:space="preserve">It is anticipated that any resultant contract will </w:t>
      </w:r>
      <w:r>
        <w:t xml:space="preserve">initially </w:t>
      </w:r>
      <w:r w:rsidR="00CA067E">
        <w:t xml:space="preserve">follow the PTS Sentinel </w:t>
      </w:r>
      <w:r>
        <w:t>service</w:t>
      </w:r>
      <w:r w:rsidR="00CA067E">
        <w:t xml:space="preserve"> and may then move to the alternative, if that is the decision reached by ORR.  ORR shall provide the successful </w:t>
      </w:r>
      <w:r>
        <w:t>supplier</w:t>
      </w:r>
      <w:r w:rsidR="00CA067E">
        <w:t xml:space="preserve"> with sufficient notice of this change so that the resultant changes can be put in place in a timely manner.</w:t>
      </w:r>
      <w:r>
        <w:t xml:space="preserve">  If the decision is to remain with the Sentinel </w:t>
      </w:r>
      <w:proofErr w:type="gramStart"/>
      <w:r>
        <w:t>service</w:t>
      </w:r>
      <w:proofErr w:type="gramEnd"/>
      <w:r>
        <w:t xml:space="preserve"> then this shall also be communicated to the supplier.</w:t>
      </w:r>
    </w:p>
    <w:p w14:paraId="69A75C90" w14:textId="0EA3DA9B" w:rsidR="003F3CB0" w:rsidRDefault="005B6ED3" w:rsidP="003F3CB0">
      <w:pPr>
        <w:pStyle w:val="Heading3"/>
      </w:pPr>
      <w:bookmarkStart w:id="12" w:name="_Toc146286759"/>
      <w:r>
        <w:t xml:space="preserve">Service </w:t>
      </w:r>
      <w:r w:rsidR="003F3CB0" w:rsidRPr="003F3CB0">
        <w:t xml:space="preserve">Deliverables and Contract </w:t>
      </w:r>
      <w:r w:rsidR="00E43EF5">
        <w:t>M</w:t>
      </w:r>
      <w:r w:rsidR="003F3CB0" w:rsidRPr="003F3CB0">
        <w:t>anagement</w:t>
      </w:r>
      <w:bookmarkEnd w:id="12"/>
    </w:p>
    <w:p w14:paraId="44A70A4B" w14:textId="7F7FDBEA" w:rsidR="00F86220" w:rsidRPr="009834E3" w:rsidRDefault="00F86220" w:rsidP="00F86220">
      <w:pPr>
        <w:rPr>
          <w:b/>
          <w:bCs/>
        </w:rPr>
      </w:pPr>
      <w:r w:rsidRPr="009834E3">
        <w:rPr>
          <w:b/>
          <w:bCs/>
        </w:rPr>
        <w:t>Service Deliverables</w:t>
      </w:r>
    </w:p>
    <w:p w14:paraId="3F28789F" w14:textId="474AFE0A" w:rsidR="00477F9A" w:rsidRPr="009834E3" w:rsidRDefault="009964D9" w:rsidP="00E43EF5">
      <w:pPr>
        <w:pStyle w:val="Numberedparagraphdouble"/>
      </w:pPr>
      <w:r w:rsidRPr="009834E3">
        <w:t xml:space="preserve">The ORR requires a PTS </w:t>
      </w:r>
      <w:r w:rsidR="00477F9A" w:rsidRPr="009834E3">
        <w:t xml:space="preserve">training </w:t>
      </w:r>
      <w:r w:rsidRPr="009834E3">
        <w:t xml:space="preserve">service as described in para </w:t>
      </w:r>
      <w:r w:rsidR="005B6ED3">
        <w:t>2.4 and 2.5</w:t>
      </w:r>
      <w:r w:rsidRPr="009834E3">
        <w:t xml:space="preserve"> </w:t>
      </w:r>
      <w:r w:rsidR="00477F9A" w:rsidRPr="009834E3">
        <w:t xml:space="preserve">to </w:t>
      </w:r>
      <w:r w:rsidR="00BA0864" w:rsidRPr="009834E3">
        <w:t xml:space="preserve">be delivered within 50 miles of </w:t>
      </w:r>
      <w:r w:rsidR="00355203" w:rsidRPr="009834E3">
        <w:t>each of its</w:t>
      </w:r>
      <w:r w:rsidR="00477F9A" w:rsidRPr="009834E3">
        <w:t xml:space="preserve"> office locations </w:t>
      </w:r>
      <w:r w:rsidR="00BA0864" w:rsidRPr="009834E3">
        <w:t xml:space="preserve">which are </w:t>
      </w:r>
      <w:r w:rsidR="00477F9A" w:rsidRPr="009834E3">
        <w:t>as follows:</w:t>
      </w:r>
    </w:p>
    <w:p w14:paraId="1C1BD5EA" w14:textId="77C997F9" w:rsidR="00477F9A" w:rsidRPr="009834E3" w:rsidRDefault="00477F9A" w:rsidP="00E43EF5">
      <w:pPr>
        <w:pStyle w:val="Bulletalpha"/>
      </w:pPr>
      <w:r w:rsidRPr="009834E3">
        <w:t>Glasgow</w:t>
      </w:r>
      <w:r w:rsidR="00665E88">
        <w:t xml:space="preserve"> </w:t>
      </w:r>
    </w:p>
    <w:p w14:paraId="015AFDB2" w14:textId="5A196A9C" w:rsidR="009964D9" w:rsidRPr="009834E3" w:rsidRDefault="00477F9A" w:rsidP="00E43EF5">
      <w:pPr>
        <w:pStyle w:val="Bulletalpha"/>
      </w:pPr>
      <w:r w:rsidRPr="009834E3">
        <w:t>York</w:t>
      </w:r>
      <w:r w:rsidR="009964D9" w:rsidRPr="009834E3">
        <w:t xml:space="preserve"> </w:t>
      </w:r>
    </w:p>
    <w:p w14:paraId="09A146B6" w14:textId="44875876" w:rsidR="009964D9" w:rsidRPr="009834E3" w:rsidRDefault="00477F9A" w:rsidP="00E43EF5">
      <w:pPr>
        <w:pStyle w:val="Bulletalpha"/>
      </w:pPr>
      <w:r w:rsidRPr="009834E3">
        <w:t>Manchester</w:t>
      </w:r>
    </w:p>
    <w:p w14:paraId="6115A121" w14:textId="65184756" w:rsidR="00477F9A" w:rsidRPr="009834E3" w:rsidRDefault="00477F9A" w:rsidP="00E43EF5">
      <w:pPr>
        <w:pStyle w:val="Bulletalpha"/>
      </w:pPr>
      <w:r w:rsidRPr="009834E3">
        <w:t>Birmingham</w:t>
      </w:r>
    </w:p>
    <w:p w14:paraId="0F536CDE" w14:textId="48D6F4E2" w:rsidR="00477F9A" w:rsidRPr="009834E3" w:rsidRDefault="00477F9A" w:rsidP="00E43EF5">
      <w:pPr>
        <w:pStyle w:val="Bulletalpha"/>
      </w:pPr>
      <w:r w:rsidRPr="009834E3">
        <w:t>Bristol</w:t>
      </w:r>
    </w:p>
    <w:p w14:paraId="585FA82E" w14:textId="6ADAAA1E" w:rsidR="00477F9A" w:rsidRDefault="00911053" w:rsidP="00E43EF5">
      <w:pPr>
        <w:pStyle w:val="Bulletalpha"/>
      </w:pPr>
      <w:r w:rsidRPr="009834E3">
        <w:t>London</w:t>
      </w:r>
    </w:p>
    <w:p w14:paraId="522D4BCC" w14:textId="228606C2" w:rsidR="00665E88" w:rsidRDefault="00665E88" w:rsidP="00E43EF5">
      <w:pPr>
        <w:pStyle w:val="Numberedparagraphdouble"/>
      </w:pPr>
      <w:r w:rsidRPr="009834E3">
        <w:lastRenderedPageBreak/>
        <w:t xml:space="preserve">The ORR has approximately </w:t>
      </w:r>
      <w:r>
        <w:t>91</w:t>
      </w:r>
      <w:r w:rsidRPr="009834E3">
        <w:t xml:space="preserve"> members of staff who hold PTS competency </w:t>
      </w:r>
      <w:r>
        <w:t>which was delivered in the following locations last year:</w:t>
      </w:r>
    </w:p>
    <w:tbl>
      <w:tblPr>
        <w:tblW w:w="6081" w:type="dxa"/>
        <w:tblInd w:w="951"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000" w:firstRow="0" w:lastRow="0" w:firstColumn="0" w:lastColumn="0" w:noHBand="0" w:noVBand="0"/>
        <w:tblCaption w:val="BrochetTable"/>
        <w:tblDescription w:val="FullWidth|Even|Plain|NoTotal"/>
      </w:tblPr>
      <w:tblGrid>
        <w:gridCol w:w="4819"/>
        <w:gridCol w:w="1262"/>
      </w:tblGrid>
      <w:tr w:rsidR="001E310A" w14:paraId="4A262DC6" w14:textId="77777777" w:rsidTr="00E43EF5">
        <w:trPr>
          <w:tblHeader/>
        </w:trPr>
        <w:tc>
          <w:tcPr>
            <w:tcW w:w="4819" w:type="dxa"/>
            <w:tcBorders>
              <w:bottom w:val="single" w:sz="12" w:space="0" w:color="FFFFFF"/>
            </w:tcBorders>
            <w:shd w:val="solid" w:color="253268" w:themeColor="dark2" w:fill="253268" w:themeFill="dark2"/>
          </w:tcPr>
          <w:p w14:paraId="62FDBC32" w14:textId="37F88FF9" w:rsidR="00665E88" w:rsidRDefault="00665E88" w:rsidP="00665E88">
            <w:pPr>
              <w:pStyle w:val="TblHeading"/>
            </w:pPr>
            <w:r>
              <w:t>Location</w:t>
            </w:r>
          </w:p>
        </w:tc>
        <w:tc>
          <w:tcPr>
            <w:tcW w:w="1262" w:type="dxa"/>
            <w:tcBorders>
              <w:bottom w:val="single" w:sz="12" w:space="0" w:color="FFFFFF"/>
            </w:tcBorders>
            <w:shd w:val="solid" w:color="253268" w:themeColor="dark2" w:fill="253268" w:themeFill="dark2"/>
          </w:tcPr>
          <w:p w14:paraId="3B29B589" w14:textId="6B4FE7F8" w:rsidR="00665E88" w:rsidRDefault="00665E88" w:rsidP="00665E88">
            <w:pPr>
              <w:pStyle w:val="TblHeading"/>
            </w:pPr>
            <w:r>
              <w:t>Number</w:t>
            </w:r>
          </w:p>
        </w:tc>
      </w:tr>
      <w:tr w:rsidR="001E310A" w14:paraId="55F476DC" w14:textId="77777777" w:rsidTr="00E43EF5">
        <w:tc>
          <w:tcPr>
            <w:tcW w:w="4819" w:type="dxa"/>
            <w:tcBorders>
              <w:bottom w:val="single" w:sz="12" w:space="0" w:color="FFFFFF"/>
            </w:tcBorders>
            <w:shd w:val="clear" w:color="auto" w:fill="auto"/>
          </w:tcPr>
          <w:p w14:paraId="35B6D913" w14:textId="3B304584" w:rsidR="00665E88" w:rsidRDefault="00665E88" w:rsidP="00665E88">
            <w:pPr>
              <w:pStyle w:val="TblText"/>
            </w:pPr>
            <w:r>
              <w:t>Birmingham</w:t>
            </w:r>
          </w:p>
        </w:tc>
        <w:tc>
          <w:tcPr>
            <w:tcW w:w="1262" w:type="dxa"/>
            <w:tcBorders>
              <w:bottom w:val="single" w:sz="12" w:space="0" w:color="FFFFFF"/>
            </w:tcBorders>
            <w:shd w:val="clear" w:color="auto" w:fill="auto"/>
          </w:tcPr>
          <w:p w14:paraId="42B28711" w14:textId="45E7AB26" w:rsidR="00665E88" w:rsidRDefault="00665E88" w:rsidP="00665E88">
            <w:pPr>
              <w:pStyle w:val="TblText"/>
            </w:pPr>
            <w:r>
              <w:t>9</w:t>
            </w:r>
          </w:p>
        </w:tc>
      </w:tr>
      <w:tr w:rsidR="001E310A" w14:paraId="53CB007E" w14:textId="77777777" w:rsidTr="00E43EF5">
        <w:tc>
          <w:tcPr>
            <w:tcW w:w="4819" w:type="dxa"/>
            <w:tcBorders>
              <w:bottom w:val="single" w:sz="12" w:space="0" w:color="FFFFFF"/>
            </w:tcBorders>
            <w:shd w:val="solid" w:color="E4E7F5" w:themeColor="text2" w:themeTint="19" w:fill="E4E7F5" w:themeFill="text2" w:themeFillTint="19"/>
          </w:tcPr>
          <w:p w14:paraId="1E80AE0A" w14:textId="6A06345A" w:rsidR="00665E88" w:rsidRDefault="00665E88" w:rsidP="00665E88">
            <w:pPr>
              <w:pStyle w:val="TblText"/>
            </w:pPr>
            <w:r>
              <w:t>Bridgeway Consulting (in-house)</w:t>
            </w:r>
          </w:p>
        </w:tc>
        <w:tc>
          <w:tcPr>
            <w:tcW w:w="1262" w:type="dxa"/>
            <w:tcBorders>
              <w:bottom w:val="single" w:sz="12" w:space="0" w:color="FFFFFF"/>
            </w:tcBorders>
            <w:shd w:val="solid" w:color="E4E7F5" w:themeColor="text2" w:themeTint="19" w:fill="E4E7F5" w:themeFill="text2" w:themeFillTint="19"/>
          </w:tcPr>
          <w:p w14:paraId="49A1807C" w14:textId="0B134866" w:rsidR="00665E88" w:rsidRDefault="00665E88" w:rsidP="00665E88">
            <w:pPr>
              <w:pStyle w:val="TblText"/>
            </w:pPr>
            <w:r>
              <w:t>1</w:t>
            </w:r>
          </w:p>
        </w:tc>
      </w:tr>
      <w:tr w:rsidR="001E310A" w14:paraId="13EBDDB0" w14:textId="77777777" w:rsidTr="00E43EF5">
        <w:tc>
          <w:tcPr>
            <w:tcW w:w="4819" w:type="dxa"/>
            <w:tcBorders>
              <w:bottom w:val="single" w:sz="12" w:space="0" w:color="FFFFFF"/>
            </w:tcBorders>
            <w:shd w:val="clear" w:color="auto" w:fill="auto"/>
          </w:tcPr>
          <w:p w14:paraId="2DDECDBF" w14:textId="32A9E728" w:rsidR="00665E88" w:rsidRDefault="00665E88" w:rsidP="00665E88">
            <w:pPr>
              <w:pStyle w:val="TblText"/>
            </w:pPr>
            <w:r>
              <w:t>Bristol</w:t>
            </w:r>
          </w:p>
        </w:tc>
        <w:tc>
          <w:tcPr>
            <w:tcW w:w="1262" w:type="dxa"/>
            <w:tcBorders>
              <w:bottom w:val="single" w:sz="12" w:space="0" w:color="FFFFFF"/>
            </w:tcBorders>
            <w:shd w:val="clear" w:color="auto" w:fill="auto"/>
          </w:tcPr>
          <w:p w14:paraId="5787E869" w14:textId="3B15C312" w:rsidR="00665E88" w:rsidRDefault="00665E88" w:rsidP="00665E88">
            <w:pPr>
              <w:pStyle w:val="TblText"/>
            </w:pPr>
            <w:r>
              <w:t>8</w:t>
            </w:r>
          </w:p>
        </w:tc>
      </w:tr>
      <w:tr w:rsidR="001E310A" w14:paraId="38B830B6" w14:textId="77777777" w:rsidTr="00E43EF5">
        <w:tc>
          <w:tcPr>
            <w:tcW w:w="4819" w:type="dxa"/>
            <w:tcBorders>
              <w:bottom w:val="single" w:sz="12" w:space="0" w:color="FFFFFF"/>
            </w:tcBorders>
            <w:shd w:val="solid" w:color="E4E7F5" w:themeColor="text2" w:themeTint="19" w:fill="E4E7F5" w:themeFill="text2" w:themeFillTint="19"/>
          </w:tcPr>
          <w:p w14:paraId="5AA45EBC" w14:textId="0496BF0C" w:rsidR="00665E88" w:rsidRDefault="00665E88" w:rsidP="00665E88">
            <w:pPr>
              <w:pStyle w:val="TblText"/>
            </w:pPr>
            <w:r>
              <w:t>Cardiff</w:t>
            </w:r>
          </w:p>
        </w:tc>
        <w:tc>
          <w:tcPr>
            <w:tcW w:w="1262" w:type="dxa"/>
            <w:tcBorders>
              <w:bottom w:val="single" w:sz="12" w:space="0" w:color="FFFFFF"/>
            </w:tcBorders>
            <w:shd w:val="solid" w:color="E4E7F5" w:themeColor="text2" w:themeTint="19" w:fill="E4E7F5" w:themeFill="text2" w:themeFillTint="19"/>
          </w:tcPr>
          <w:p w14:paraId="6ED33C2B" w14:textId="7E45C787" w:rsidR="00665E88" w:rsidRDefault="00665E88" w:rsidP="00665E88">
            <w:pPr>
              <w:pStyle w:val="TblText"/>
            </w:pPr>
            <w:r>
              <w:t>1</w:t>
            </w:r>
          </w:p>
        </w:tc>
      </w:tr>
      <w:tr w:rsidR="001E310A" w14:paraId="79D1753C" w14:textId="77777777" w:rsidTr="00E43EF5">
        <w:tc>
          <w:tcPr>
            <w:tcW w:w="4819" w:type="dxa"/>
            <w:tcBorders>
              <w:bottom w:val="single" w:sz="12" w:space="0" w:color="FFFFFF"/>
            </w:tcBorders>
            <w:shd w:val="clear" w:color="auto" w:fill="auto"/>
          </w:tcPr>
          <w:p w14:paraId="0D318FF6" w14:textId="3AD37011" w:rsidR="00665E88" w:rsidRDefault="00665E88" w:rsidP="00665E88">
            <w:pPr>
              <w:pStyle w:val="TblText"/>
            </w:pPr>
            <w:r>
              <w:t>City &amp; Guilds London</w:t>
            </w:r>
          </w:p>
        </w:tc>
        <w:tc>
          <w:tcPr>
            <w:tcW w:w="1262" w:type="dxa"/>
            <w:tcBorders>
              <w:bottom w:val="single" w:sz="12" w:space="0" w:color="FFFFFF"/>
            </w:tcBorders>
            <w:shd w:val="clear" w:color="auto" w:fill="auto"/>
          </w:tcPr>
          <w:p w14:paraId="416C7BAD" w14:textId="5C7F0D8C" w:rsidR="00665E88" w:rsidRDefault="00665E88" w:rsidP="00665E88">
            <w:pPr>
              <w:pStyle w:val="TblText"/>
            </w:pPr>
            <w:r>
              <w:t>1</w:t>
            </w:r>
          </w:p>
        </w:tc>
      </w:tr>
      <w:tr w:rsidR="001E310A" w14:paraId="077C26E6" w14:textId="77777777" w:rsidTr="00E43EF5">
        <w:tc>
          <w:tcPr>
            <w:tcW w:w="4819" w:type="dxa"/>
            <w:tcBorders>
              <w:bottom w:val="single" w:sz="12" w:space="0" w:color="FFFFFF"/>
            </w:tcBorders>
            <w:shd w:val="solid" w:color="E4E7F5" w:themeColor="text2" w:themeTint="19" w:fill="E4E7F5" w:themeFill="text2" w:themeFillTint="19"/>
          </w:tcPr>
          <w:p w14:paraId="738B7362" w14:textId="42AEF662" w:rsidR="00665E88" w:rsidRDefault="00665E88" w:rsidP="00665E88">
            <w:pPr>
              <w:pStyle w:val="TblText"/>
            </w:pPr>
            <w:r>
              <w:t>Clapham Junction</w:t>
            </w:r>
          </w:p>
        </w:tc>
        <w:tc>
          <w:tcPr>
            <w:tcW w:w="1262" w:type="dxa"/>
            <w:tcBorders>
              <w:bottom w:val="single" w:sz="12" w:space="0" w:color="FFFFFF"/>
            </w:tcBorders>
            <w:shd w:val="solid" w:color="E4E7F5" w:themeColor="text2" w:themeTint="19" w:fill="E4E7F5" w:themeFill="text2" w:themeFillTint="19"/>
          </w:tcPr>
          <w:p w14:paraId="47D668B8" w14:textId="1AAB54A6" w:rsidR="00665E88" w:rsidRDefault="00665E88" w:rsidP="00665E88">
            <w:pPr>
              <w:pStyle w:val="TblText"/>
            </w:pPr>
            <w:r>
              <w:t>31</w:t>
            </w:r>
          </w:p>
        </w:tc>
      </w:tr>
      <w:tr w:rsidR="001E310A" w14:paraId="462655B6" w14:textId="77777777" w:rsidTr="00E43EF5">
        <w:tc>
          <w:tcPr>
            <w:tcW w:w="4819" w:type="dxa"/>
            <w:tcBorders>
              <w:bottom w:val="single" w:sz="12" w:space="0" w:color="FFFFFF"/>
            </w:tcBorders>
            <w:shd w:val="clear" w:color="auto" w:fill="auto"/>
          </w:tcPr>
          <w:p w14:paraId="40ED070B" w14:textId="1BCCAE9D" w:rsidR="00665E88" w:rsidRDefault="00665E88" w:rsidP="00665E88">
            <w:pPr>
              <w:pStyle w:val="TblText"/>
            </w:pPr>
            <w:r>
              <w:t>Coatbridge Glasgow</w:t>
            </w:r>
          </w:p>
        </w:tc>
        <w:tc>
          <w:tcPr>
            <w:tcW w:w="1262" w:type="dxa"/>
            <w:tcBorders>
              <w:bottom w:val="single" w:sz="12" w:space="0" w:color="FFFFFF"/>
            </w:tcBorders>
            <w:shd w:val="clear" w:color="auto" w:fill="auto"/>
          </w:tcPr>
          <w:p w14:paraId="60340164" w14:textId="1CD90331" w:rsidR="00665E88" w:rsidRDefault="00665E88" w:rsidP="00665E88">
            <w:pPr>
              <w:pStyle w:val="TblText"/>
            </w:pPr>
            <w:r>
              <w:t>12</w:t>
            </w:r>
          </w:p>
        </w:tc>
      </w:tr>
      <w:tr w:rsidR="001E310A" w14:paraId="2DC340EB" w14:textId="77777777" w:rsidTr="00E43EF5">
        <w:tc>
          <w:tcPr>
            <w:tcW w:w="4819" w:type="dxa"/>
            <w:tcBorders>
              <w:bottom w:val="single" w:sz="12" w:space="0" w:color="FFFFFF"/>
            </w:tcBorders>
            <w:shd w:val="solid" w:color="E4E7F5" w:themeColor="text2" w:themeTint="19" w:fill="E4E7F5" w:themeFill="text2" w:themeFillTint="19"/>
          </w:tcPr>
          <w:p w14:paraId="47B2EEAC" w14:textId="503B221F" w:rsidR="00665E88" w:rsidRDefault="00665E88" w:rsidP="00665E88">
            <w:pPr>
              <w:pStyle w:val="TblText"/>
            </w:pPr>
            <w:r>
              <w:t>Crayford, Kent</w:t>
            </w:r>
          </w:p>
        </w:tc>
        <w:tc>
          <w:tcPr>
            <w:tcW w:w="1262" w:type="dxa"/>
            <w:tcBorders>
              <w:bottom w:val="single" w:sz="12" w:space="0" w:color="FFFFFF"/>
            </w:tcBorders>
            <w:shd w:val="solid" w:color="E4E7F5" w:themeColor="text2" w:themeTint="19" w:fill="E4E7F5" w:themeFill="text2" w:themeFillTint="19"/>
          </w:tcPr>
          <w:p w14:paraId="367B283B" w14:textId="0798DFD9" w:rsidR="00665E88" w:rsidRDefault="00665E88" w:rsidP="00665E88">
            <w:pPr>
              <w:pStyle w:val="TblText"/>
            </w:pPr>
            <w:r>
              <w:t>4</w:t>
            </w:r>
          </w:p>
        </w:tc>
      </w:tr>
      <w:tr w:rsidR="001E310A" w14:paraId="0CD5FEA7" w14:textId="77777777" w:rsidTr="00E43EF5">
        <w:tc>
          <w:tcPr>
            <w:tcW w:w="4819" w:type="dxa"/>
            <w:tcBorders>
              <w:bottom w:val="single" w:sz="12" w:space="0" w:color="FFFFFF"/>
            </w:tcBorders>
            <w:shd w:val="clear" w:color="auto" w:fill="auto"/>
          </w:tcPr>
          <w:p w14:paraId="369E36E9" w14:textId="42EB8FA8" w:rsidR="00665E88" w:rsidRDefault="00665E88" w:rsidP="00665E88">
            <w:pPr>
              <w:pStyle w:val="TblText"/>
            </w:pPr>
            <w:r>
              <w:t>Derby</w:t>
            </w:r>
          </w:p>
        </w:tc>
        <w:tc>
          <w:tcPr>
            <w:tcW w:w="1262" w:type="dxa"/>
            <w:tcBorders>
              <w:bottom w:val="single" w:sz="12" w:space="0" w:color="FFFFFF"/>
            </w:tcBorders>
            <w:shd w:val="clear" w:color="auto" w:fill="auto"/>
          </w:tcPr>
          <w:p w14:paraId="6EAD63AE" w14:textId="29C7FC55" w:rsidR="00665E88" w:rsidRDefault="00665E88" w:rsidP="00665E88">
            <w:pPr>
              <w:pStyle w:val="TblText"/>
            </w:pPr>
            <w:r>
              <w:t>4</w:t>
            </w:r>
          </w:p>
        </w:tc>
      </w:tr>
      <w:tr w:rsidR="001E310A" w14:paraId="329BE39E" w14:textId="77777777" w:rsidTr="00E43EF5">
        <w:tc>
          <w:tcPr>
            <w:tcW w:w="4819" w:type="dxa"/>
            <w:tcBorders>
              <w:bottom w:val="single" w:sz="12" w:space="0" w:color="FFFFFF"/>
            </w:tcBorders>
            <w:shd w:val="solid" w:color="E4E7F5" w:themeColor="text2" w:themeTint="19" w:fill="E4E7F5" w:themeFill="text2" w:themeFillTint="19"/>
          </w:tcPr>
          <w:p w14:paraId="08970AA3" w14:textId="5BD32D57" w:rsidR="00665E88" w:rsidRDefault="00665E88" w:rsidP="00665E88">
            <w:pPr>
              <w:pStyle w:val="TblText"/>
            </w:pPr>
            <w:r>
              <w:t>Doncaster</w:t>
            </w:r>
          </w:p>
        </w:tc>
        <w:tc>
          <w:tcPr>
            <w:tcW w:w="1262" w:type="dxa"/>
            <w:tcBorders>
              <w:bottom w:val="single" w:sz="12" w:space="0" w:color="FFFFFF"/>
            </w:tcBorders>
            <w:shd w:val="solid" w:color="E4E7F5" w:themeColor="text2" w:themeTint="19" w:fill="E4E7F5" w:themeFill="text2" w:themeFillTint="19"/>
          </w:tcPr>
          <w:p w14:paraId="257FCB02" w14:textId="5FFB3D86" w:rsidR="00665E88" w:rsidRDefault="00665E88" w:rsidP="00665E88">
            <w:pPr>
              <w:pStyle w:val="TblText"/>
            </w:pPr>
            <w:r>
              <w:t>15</w:t>
            </w:r>
          </w:p>
        </w:tc>
      </w:tr>
      <w:tr w:rsidR="001E310A" w14:paraId="4B54DA29" w14:textId="77777777" w:rsidTr="00E43EF5">
        <w:tc>
          <w:tcPr>
            <w:tcW w:w="4819" w:type="dxa"/>
            <w:tcBorders>
              <w:bottom w:val="single" w:sz="12" w:space="0" w:color="FFFFFF"/>
            </w:tcBorders>
            <w:shd w:val="clear" w:color="auto" w:fill="auto"/>
          </w:tcPr>
          <w:p w14:paraId="217800B6" w14:textId="6AD218B5" w:rsidR="00665E88" w:rsidRDefault="00665E88" w:rsidP="00665E88">
            <w:pPr>
              <w:pStyle w:val="TblText"/>
            </w:pPr>
            <w:r>
              <w:t>Enfield</w:t>
            </w:r>
          </w:p>
        </w:tc>
        <w:tc>
          <w:tcPr>
            <w:tcW w:w="1262" w:type="dxa"/>
            <w:tcBorders>
              <w:bottom w:val="single" w:sz="12" w:space="0" w:color="FFFFFF"/>
            </w:tcBorders>
            <w:shd w:val="clear" w:color="auto" w:fill="auto"/>
          </w:tcPr>
          <w:p w14:paraId="13C01791" w14:textId="1FF946A6" w:rsidR="00665E88" w:rsidRDefault="00665E88" w:rsidP="00665E88">
            <w:pPr>
              <w:pStyle w:val="TblText"/>
            </w:pPr>
            <w:r>
              <w:t>8</w:t>
            </w:r>
          </w:p>
        </w:tc>
      </w:tr>
      <w:tr w:rsidR="001E310A" w14:paraId="17CBBF65" w14:textId="77777777" w:rsidTr="00E43EF5">
        <w:tc>
          <w:tcPr>
            <w:tcW w:w="4819" w:type="dxa"/>
            <w:shd w:val="solid" w:color="E4E7F5" w:themeColor="text2" w:themeTint="19" w:fill="E4E7F5" w:themeFill="text2" w:themeFillTint="19"/>
          </w:tcPr>
          <w:p w14:paraId="1142317C" w14:textId="5005DC1B" w:rsidR="00665E88" w:rsidRDefault="00665E88" w:rsidP="00665E88">
            <w:pPr>
              <w:pStyle w:val="TblText"/>
            </w:pPr>
            <w:r>
              <w:t>Warrington</w:t>
            </w:r>
          </w:p>
        </w:tc>
        <w:tc>
          <w:tcPr>
            <w:tcW w:w="1262" w:type="dxa"/>
            <w:shd w:val="solid" w:color="E4E7F5" w:themeColor="text2" w:themeTint="19" w:fill="E4E7F5" w:themeFill="text2" w:themeFillTint="19"/>
          </w:tcPr>
          <w:p w14:paraId="33712CAD" w14:textId="6948647B" w:rsidR="00665E88" w:rsidRDefault="00665E88" w:rsidP="00665E88">
            <w:pPr>
              <w:pStyle w:val="TblText"/>
            </w:pPr>
            <w:r>
              <w:t>13</w:t>
            </w:r>
          </w:p>
        </w:tc>
      </w:tr>
    </w:tbl>
    <w:p w14:paraId="032AEA23" w14:textId="77777777" w:rsidR="00665E88" w:rsidRDefault="00665E88" w:rsidP="00665E88">
      <w:pPr>
        <w:pStyle w:val="NormalNoSpace"/>
      </w:pPr>
    </w:p>
    <w:p w14:paraId="6E6BB7F4" w14:textId="41B1F470" w:rsidR="00665E88" w:rsidRDefault="00665E88" w:rsidP="00E43EF5">
      <w:pPr>
        <w:pStyle w:val="Numberedparagraphdouble"/>
      </w:pPr>
      <w:r>
        <w:t>Our demand is anywhere in between 3 – 12 courses</w:t>
      </w:r>
      <w:r w:rsidR="001E310A">
        <w:t xml:space="preserve"> per month</w:t>
      </w:r>
      <w:r>
        <w:t>.</w:t>
      </w:r>
    </w:p>
    <w:p w14:paraId="16427195" w14:textId="10D5861A" w:rsidR="00BA0864" w:rsidRDefault="00BA0864" w:rsidP="00E43EF5">
      <w:pPr>
        <w:pStyle w:val="Numberedparagraphdouble"/>
      </w:pPr>
      <w:r>
        <w:t xml:space="preserve">For the Sentinel </w:t>
      </w:r>
      <w:r w:rsidR="00121E3C">
        <w:t>service the supplier shall upload all the necessary documentation as required by that process.  For the non-Sentinel service</w:t>
      </w:r>
      <w:r w:rsidR="00C05F8F">
        <w:t>,</w:t>
      </w:r>
      <w:r w:rsidR="00121E3C">
        <w:t xml:space="preserve"> the supplier will be required to supply ORR with all the necessary documentation/audit process in an agreed electronic format for those who have undertaken the training.</w:t>
      </w:r>
    </w:p>
    <w:p w14:paraId="5A74D0C1" w14:textId="381EABE9" w:rsidR="00BA0864" w:rsidRPr="00BA0864" w:rsidRDefault="00BA0864" w:rsidP="00F86220">
      <w:pPr>
        <w:rPr>
          <w:b/>
          <w:bCs/>
        </w:rPr>
      </w:pPr>
      <w:r w:rsidRPr="00BA0864">
        <w:rPr>
          <w:b/>
          <w:bCs/>
        </w:rPr>
        <w:t xml:space="preserve">Requests for </w:t>
      </w:r>
      <w:r w:rsidR="00355203">
        <w:rPr>
          <w:b/>
          <w:bCs/>
        </w:rPr>
        <w:t xml:space="preserve">PTS </w:t>
      </w:r>
      <w:r w:rsidRPr="00BA0864">
        <w:rPr>
          <w:b/>
          <w:bCs/>
        </w:rPr>
        <w:t>Training</w:t>
      </w:r>
    </w:p>
    <w:p w14:paraId="5AD808CF" w14:textId="1F673B53" w:rsidR="0037698B" w:rsidRDefault="00477F9A" w:rsidP="00E43EF5">
      <w:pPr>
        <w:pStyle w:val="Numberedparagraphdouble"/>
      </w:pPr>
      <w:r>
        <w:t>The ORR shall appoint a nominated representative</w:t>
      </w:r>
      <w:r w:rsidR="00CA067E">
        <w:t>(s)</w:t>
      </w:r>
      <w:r>
        <w:t xml:space="preserve"> who will provide the </w:t>
      </w:r>
      <w:r w:rsidR="00CA067E">
        <w:t>s</w:t>
      </w:r>
      <w:r>
        <w:t xml:space="preserve">upplier with </w:t>
      </w:r>
      <w:r w:rsidR="000216F1">
        <w:t>4 weeks written</w:t>
      </w:r>
      <w:r>
        <w:t xml:space="preserve"> notice of training requests</w:t>
      </w:r>
      <w:r w:rsidR="000216F1">
        <w:t>, including required location</w:t>
      </w:r>
      <w:r w:rsidR="00355203">
        <w:t>,</w:t>
      </w:r>
      <w:r w:rsidR="000216F1">
        <w:t xml:space="preserve"> and availability of trainee to undertake the training</w:t>
      </w:r>
      <w:r w:rsidR="00CA067E">
        <w:t>, which shall consist of a series of available dates</w:t>
      </w:r>
      <w:r>
        <w:t>.</w:t>
      </w:r>
      <w:r w:rsidR="000216F1">
        <w:t xml:space="preserve">  The supplier is required to meet all requests </w:t>
      </w:r>
      <w:r w:rsidR="00CA067E">
        <w:t xml:space="preserve">or seek an agreed alternative date </w:t>
      </w:r>
      <w:r w:rsidR="000216F1">
        <w:t xml:space="preserve">and shall confirm in writing within 5 working days </w:t>
      </w:r>
      <w:r w:rsidR="00355203">
        <w:t xml:space="preserve">of each request their ability </w:t>
      </w:r>
      <w:r w:rsidR="000216F1">
        <w:t xml:space="preserve">to meet </w:t>
      </w:r>
      <w:r w:rsidR="00355203">
        <w:t>the training</w:t>
      </w:r>
      <w:r w:rsidR="000216F1">
        <w:t>.</w:t>
      </w:r>
      <w:r w:rsidR="0037698B">
        <w:t xml:space="preserve">  On very rare occasions ORR may be required to </w:t>
      </w:r>
      <w:r w:rsidR="0037698B">
        <w:lastRenderedPageBreak/>
        <w:t>undertake short notice training requirements, and the supplier shall use reasonable endeavours to meet such requests.</w:t>
      </w:r>
    </w:p>
    <w:p w14:paraId="4EBEB99E" w14:textId="3C0F219F" w:rsidR="000216F1" w:rsidRDefault="0037698B" w:rsidP="00E43EF5">
      <w:pPr>
        <w:pStyle w:val="Numberedparagraphdouble"/>
      </w:pPr>
      <w:r>
        <w:t>ORR does not require a closed cohort for the delivery of its PTS.</w:t>
      </w:r>
    </w:p>
    <w:p w14:paraId="0C38DBA4" w14:textId="34642828" w:rsidR="0037698B" w:rsidRPr="0037698B" w:rsidRDefault="0037698B" w:rsidP="00F86220">
      <w:pPr>
        <w:rPr>
          <w:b/>
          <w:bCs/>
        </w:rPr>
      </w:pPr>
      <w:r w:rsidRPr="0037698B">
        <w:rPr>
          <w:b/>
          <w:bCs/>
        </w:rPr>
        <w:t>Course Cancellations</w:t>
      </w:r>
    </w:p>
    <w:p w14:paraId="55034E27" w14:textId="1F84D568" w:rsidR="000216F1" w:rsidRDefault="00FA4822" w:rsidP="00E43EF5">
      <w:pPr>
        <w:pStyle w:val="Numberedparagraphdouble"/>
      </w:pPr>
      <w:r>
        <w:t xml:space="preserve">If there is a need to cancel </w:t>
      </w:r>
      <w:r w:rsidR="0037698B">
        <w:t xml:space="preserve">any </w:t>
      </w:r>
      <w:r>
        <w:t>agreed training</w:t>
      </w:r>
      <w:r w:rsidR="00C05F8F">
        <w:t>,</w:t>
      </w:r>
      <w:r>
        <w:t xml:space="preserve"> then ORR shall advise the supplier as soon as possible</w:t>
      </w:r>
      <w:r w:rsidR="00355203">
        <w:t xml:space="preserve"> (no later than </w:t>
      </w:r>
      <w:r w:rsidR="00B112DB">
        <w:t>48</w:t>
      </w:r>
      <w:r w:rsidR="00355203">
        <w:t xml:space="preserve"> hours prior to the event)</w:t>
      </w:r>
      <w:r>
        <w:t xml:space="preserve">.  The supplier is required to </w:t>
      </w:r>
      <w:r w:rsidR="0037698B">
        <w:t>re</w:t>
      </w:r>
      <w:r>
        <w:t>-scheduling the training at no extra cost to ORR.</w:t>
      </w:r>
    </w:p>
    <w:p w14:paraId="184BC462" w14:textId="77777777" w:rsidR="0037698B" w:rsidRPr="0037698B" w:rsidRDefault="0037698B" w:rsidP="00F86220">
      <w:pPr>
        <w:rPr>
          <w:b/>
          <w:bCs/>
        </w:rPr>
      </w:pPr>
      <w:r w:rsidRPr="0037698B">
        <w:rPr>
          <w:b/>
          <w:bCs/>
        </w:rPr>
        <w:t>Re-takes</w:t>
      </w:r>
    </w:p>
    <w:p w14:paraId="02D77054" w14:textId="33F0A920" w:rsidR="00BB070C" w:rsidRDefault="0037698B" w:rsidP="00E43EF5">
      <w:pPr>
        <w:pStyle w:val="Numberedparagraphdouble"/>
      </w:pPr>
      <w:r>
        <w:t>Any r</w:t>
      </w:r>
      <w:r w:rsidR="00BB070C">
        <w:t xml:space="preserve">e-takes </w:t>
      </w:r>
      <w:r>
        <w:t xml:space="preserve">required by ORR staff shall </w:t>
      </w:r>
      <w:r w:rsidR="00BB070C">
        <w:t xml:space="preserve">be </w:t>
      </w:r>
      <w:r>
        <w:t xml:space="preserve">considered </w:t>
      </w:r>
      <w:r w:rsidR="00BB070C">
        <w:t xml:space="preserve">a new </w:t>
      </w:r>
      <w:r>
        <w:t>training request and re-booked in accordance with the process as set above.</w:t>
      </w:r>
    </w:p>
    <w:p w14:paraId="27D8747B" w14:textId="77777777" w:rsidR="00E3296D" w:rsidRDefault="00E3296D" w:rsidP="00F86220">
      <w:pPr>
        <w:rPr>
          <w:b/>
          <w:bCs/>
        </w:rPr>
      </w:pPr>
      <w:r>
        <w:rPr>
          <w:b/>
          <w:bCs/>
        </w:rPr>
        <w:t>Volume</w:t>
      </w:r>
    </w:p>
    <w:p w14:paraId="39B465A8" w14:textId="22D40A90" w:rsidR="00E3296D" w:rsidRDefault="005B6ED3" w:rsidP="00E43EF5">
      <w:pPr>
        <w:pStyle w:val="Numberedparagraphdouble"/>
      </w:pPr>
      <w:r>
        <w:t>As mention</w:t>
      </w:r>
      <w:r w:rsidR="00F811AB">
        <w:t>ed</w:t>
      </w:r>
      <w:r>
        <w:t xml:space="preserve"> in para 2.11 we estimated anywhere between 3-12 courses per month, however t</w:t>
      </w:r>
      <w:r w:rsidR="00E3296D">
        <w:t xml:space="preserve">here is no guarantee that </w:t>
      </w:r>
      <w:r>
        <w:t xml:space="preserve">these </w:t>
      </w:r>
      <w:r w:rsidR="00E3296D">
        <w:t>estimated volumes shall be required</w:t>
      </w:r>
      <w:r>
        <w:t xml:space="preserve">.  Furthermore, </w:t>
      </w:r>
      <w:r w:rsidR="00E3296D">
        <w:t xml:space="preserve">ORR retains the right to cease </w:t>
      </w:r>
      <w:r w:rsidR="00355203">
        <w:t>the service</w:t>
      </w:r>
      <w:r>
        <w:t xml:space="preserve"> at any time</w:t>
      </w:r>
      <w:r w:rsidR="00E3296D">
        <w:t xml:space="preserve"> or to seek alternative supplier(s) where ORR believes the supplier is not delivering a satisfactory </w:t>
      </w:r>
      <w:r w:rsidR="00355203">
        <w:t xml:space="preserve">level of </w:t>
      </w:r>
      <w:r w:rsidR="00E3296D">
        <w:t>service.  If service satisfaction is in question</w:t>
      </w:r>
      <w:r w:rsidR="00F811AB">
        <w:t>,</w:t>
      </w:r>
      <w:r w:rsidR="00E3296D">
        <w:t xml:space="preserve"> ORR shall provide the supplier with </w:t>
      </w:r>
      <w:r>
        <w:t xml:space="preserve">the necessary details and provide </w:t>
      </w:r>
      <w:r w:rsidR="00E3296D">
        <w:t xml:space="preserve">the opportunity </w:t>
      </w:r>
      <w:r w:rsidR="00F811AB">
        <w:t xml:space="preserve">for the supplier </w:t>
      </w:r>
      <w:r w:rsidR="00E3296D">
        <w:t>to improve services before seeking</w:t>
      </w:r>
      <w:r w:rsidR="00F811AB">
        <w:t xml:space="preserve"> any</w:t>
      </w:r>
      <w:r w:rsidR="00E3296D">
        <w:t xml:space="preserve"> alternative </w:t>
      </w:r>
      <w:r w:rsidR="00F811AB">
        <w:t>arrangements</w:t>
      </w:r>
      <w:r w:rsidR="00E3296D">
        <w:t>.</w:t>
      </w:r>
    </w:p>
    <w:p w14:paraId="65C764F9" w14:textId="5168D31A" w:rsidR="00355203" w:rsidRPr="00911053" w:rsidRDefault="00355203" w:rsidP="00F86220">
      <w:pPr>
        <w:rPr>
          <w:b/>
          <w:bCs/>
        </w:rPr>
      </w:pPr>
      <w:r w:rsidRPr="00911053">
        <w:rPr>
          <w:b/>
          <w:bCs/>
        </w:rPr>
        <w:t>LOTS</w:t>
      </w:r>
    </w:p>
    <w:p w14:paraId="3FAA565F" w14:textId="19A7812D" w:rsidR="00C93352" w:rsidRPr="00C93352" w:rsidRDefault="00355203" w:rsidP="00C93352">
      <w:pPr>
        <w:pStyle w:val="Numberedparagraphdouble"/>
        <w:rPr>
          <w:b/>
          <w:bCs/>
        </w:rPr>
      </w:pPr>
      <w:r>
        <w:t>Given the geographical spread of ORR’s requirement we have decided to split the requirement into LOTs.  LOT1 shall be</w:t>
      </w:r>
      <w:r w:rsidR="00911053">
        <w:t xml:space="preserve"> London and Bristol, LOT2 shall be Birmingham, Manchester and York, and LOT 3 shall be </w:t>
      </w:r>
      <w:bookmarkStart w:id="13" w:name="_Hlk149819042"/>
      <w:r w:rsidR="00911053">
        <w:t>Glasgow</w:t>
      </w:r>
      <w:bookmarkEnd w:id="13"/>
      <w:r w:rsidR="00911053">
        <w:t xml:space="preserve">.  Bidders are permitted to bid against a single LOT, </w:t>
      </w:r>
      <w:r w:rsidR="001E310A">
        <w:t>two</w:t>
      </w:r>
      <w:r w:rsidR="00911053">
        <w:t xml:space="preserve"> LOTs or all </w:t>
      </w:r>
      <w:r w:rsidR="001E310A">
        <w:t>three</w:t>
      </w:r>
      <w:r w:rsidR="00911053">
        <w:t xml:space="preserve"> LOTs.  Bids shall be assessed against the award criteria as described in section </w:t>
      </w:r>
      <w:r w:rsidR="008669E8">
        <w:t>3</w:t>
      </w:r>
      <w:r w:rsidR="00911053" w:rsidRPr="008669E8">
        <w:t xml:space="preserve"> b</w:t>
      </w:r>
      <w:r w:rsidR="00911053">
        <w:t>elow.</w:t>
      </w:r>
      <w:r w:rsidR="0093670D">
        <w:t xml:space="preserve"> </w:t>
      </w:r>
    </w:p>
    <w:p w14:paraId="2772CF3B" w14:textId="6A364963" w:rsidR="0037698B" w:rsidRPr="00E06E45" w:rsidRDefault="0037698B" w:rsidP="00C93352">
      <w:pPr>
        <w:pStyle w:val="Numberedparagraphdouble"/>
        <w:numPr>
          <w:ilvl w:val="0"/>
          <w:numId w:val="0"/>
        </w:numPr>
        <w:rPr>
          <w:b/>
          <w:bCs/>
        </w:rPr>
      </w:pPr>
      <w:r w:rsidRPr="00E06E45">
        <w:rPr>
          <w:b/>
          <w:bCs/>
        </w:rPr>
        <w:t>Charges</w:t>
      </w:r>
    </w:p>
    <w:p w14:paraId="5C5C450A" w14:textId="28D2FD4F" w:rsidR="0037698B" w:rsidRDefault="0037698B" w:rsidP="00E43EF5">
      <w:pPr>
        <w:pStyle w:val="Numberedparagraphdouble"/>
      </w:pPr>
      <w:r>
        <w:t>We require a single charge per course (</w:t>
      </w:r>
      <w:proofErr w:type="gramStart"/>
      <w:r>
        <w:t>2 day</w:t>
      </w:r>
      <w:proofErr w:type="gramEnd"/>
      <w:r>
        <w:t xml:space="preserve"> PTS and 1 day refresher) to be paid upon completion of each course.</w:t>
      </w:r>
    </w:p>
    <w:p w14:paraId="6134BE83" w14:textId="0B21B6E9" w:rsidR="00BB070C" w:rsidRPr="0037698B" w:rsidRDefault="0037698B" w:rsidP="00F86220">
      <w:pPr>
        <w:rPr>
          <w:b/>
          <w:bCs/>
        </w:rPr>
      </w:pPr>
      <w:r w:rsidRPr="0037698B">
        <w:rPr>
          <w:b/>
          <w:bCs/>
        </w:rPr>
        <w:t>Terms and Conditions</w:t>
      </w:r>
    </w:p>
    <w:p w14:paraId="2D22E0C4" w14:textId="725E8CF4" w:rsidR="0037698B" w:rsidRDefault="0037698B" w:rsidP="00E43EF5">
      <w:pPr>
        <w:pStyle w:val="Numberedparagraphdouble"/>
      </w:pPr>
      <w:r>
        <w:t xml:space="preserve">The ORR is willing to contract under suppliers own T&amp;Cs which need to reflect the </w:t>
      </w:r>
      <w:r w:rsidR="00355203">
        <w:t>requirements as</w:t>
      </w:r>
      <w:r>
        <w:t xml:space="preserve"> set out within this ITT.</w:t>
      </w:r>
    </w:p>
    <w:p w14:paraId="105F2B1C" w14:textId="6E08D58D" w:rsidR="00BB070C" w:rsidRDefault="00BB070C" w:rsidP="001E310A">
      <w:pPr>
        <w:pStyle w:val="Heading4"/>
      </w:pPr>
      <w:r>
        <w:lastRenderedPageBreak/>
        <w:t xml:space="preserve">GDPR </w:t>
      </w:r>
    </w:p>
    <w:p w14:paraId="7CF53427" w14:textId="23CF027D" w:rsidR="001E310A" w:rsidRDefault="001E310A" w:rsidP="00E43EF5">
      <w:pPr>
        <w:pStyle w:val="Numberedparagraphdouble"/>
      </w:pPr>
      <w:r>
        <w:t>The PTS service requires the supplier to process personal data, which is subject to the General Data Protection Regulations.  Suppliers shall be expected to demonstrate their company structures for compliance for handling personal data and compliance with GDPR.</w:t>
      </w:r>
      <w:r w:rsidR="00236FD5">
        <w:t xml:space="preserve">  Appended to this ITT is the detail of the personal and instructions on how to manage it.</w:t>
      </w:r>
    </w:p>
    <w:p w14:paraId="51E8CE41" w14:textId="25403E66" w:rsidR="00F811AB" w:rsidRDefault="00F811AB" w:rsidP="00F811AB">
      <w:pPr>
        <w:pStyle w:val="Heading4"/>
      </w:pPr>
      <w:r>
        <w:t>Contract Management Requirements</w:t>
      </w:r>
    </w:p>
    <w:p w14:paraId="68DE26D8" w14:textId="58C90DDF" w:rsidR="00F811AB" w:rsidRPr="001E310A" w:rsidRDefault="00F811AB" w:rsidP="00E43EF5">
      <w:pPr>
        <w:pStyle w:val="Numberedparagraphdouble"/>
      </w:pPr>
      <w:r w:rsidRPr="00E43EF5">
        <w:t>ORR nominated representative shall periodically engage with the supplier to ensure th</w:t>
      </w:r>
      <w:r>
        <w:t xml:space="preserve">at training requests are being met and that there are no service delivery issues.  Where issues do occur, the ORR and supplier representatives shall meet to discuss issue with the aim of resolving it. </w:t>
      </w:r>
    </w:p>
    <w:p w14:paraId="75F8969E" w14:textId="3795BB30" w:rsidR="00D6160E" w:rsidRDefault="00AF7AF9" w:rsidP="00AF7AF9">
      <w:pPr>
        <w:pStyle w:val="Heading3"/>
      </w:pPr>
      <w:bookmarkStart w:id="14" w:name="_Toc146286760"/>
      <w:r>
        <w:t>Project Timescales</w:t>
      </w:r>
      <w:bookmarkEnd w:id="14"/>
    </w:p>
    <w:p w14:paraId="2FDAF397" w14:textId="66CC8C24" w:rsidR="009266EE" w:rsidRDefault="00236FD5" w:rsidP="00E43EF5">
      <w:pPr>
        <w:pStyle w:val="Numberedparagraphdouble"/>
      </w:pPr>
      <w:r>
        <w:t>The PTS service(s) will commence in January 2024</w:t>
      </w:r>
      <w:r w:rsidR="00911053" w:rsidRPr="00911053">
        <w:t>.</w:t>
      </w:r>
    </w:p>
    <w:p w14:paraId="0BB7EE75" w14:textId="14DF8AFD" w:rsidR="00911053" w:rsidRPr="00911053" w:rsidRDefault="00911053" w:rsidP="00E43EF5">
      <w:pPr>
        <w:pStyle w:val="Numberedparagraphdouble"/>
      </w:pPr>
      <w:r>
        <w:t xml:space="preserve">See section </w:t>
      </w:r>
      <w:r w:rsidR="008669E8">
        <w:t>4</w:t>
      </w:r>
      <w:r>
        <w:t xml:space="preserve"> below for tendering timelines.</w:t>
      </w:r>
    </w:p>
    <w:p w14:paraId="3BB5AE4A" w14:textId="15D9AF36" w:rsidR="00AF7AF9" w:rsidRDefault="00AF7AF9" w:rsidP="00AF7AF9">
      <w:pPr>
        <w:pStyle w:val="Heading3"/>
      </w:pPr>
      <w:bookmarkStart w:id="15" w:name="_Toc146286761"/>
      <w:r w:rsidRPr="00AF7AF9">
        <w:t>Further project related information for bidders</w:t>
      </w:r>
      <w:bookmarkEnd w:id="15"/>
    </w:p>
    <w:p w14:paraId="32F2593F" w14:textId="77777777" w:rsidR="00C26E3E" w:rsidRDefault="00C26E3E" w:rsidP="008640BB">
      <w:pPr>
        <w:pStyle w:val="Heading4"/>
      </w:pPr>
      <w:r>
        <w:t>Transparency requirements</w:t>
      </w:r>
    </w:p>
    <w:p w14:paraId="165687AD" w14:textId="77777777" w:rsidR="00C26E3E" w:rsidRDefault="00C26E3E" w:rsidP="00E43EF5">
      <w:pPr>
        <w:pStyle w:val="Numberedparagraphdouble"/>
      </w:pPr>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01A0A340" w14:textId="316FCB95" w:rsidR="009303C5" w:rsidRDefault="009303C5" w:rsidP="009303C5">
      <w:pPr>
        <w:pStyle w:val="Heading4"/>
      </w:pPr>
      <w:r>
        <w:t>Data Protection</w:t>
      </w:r>
    </w:p>
    <w:p w14:paraId="35F79B8E" w14:textId="6D7533B8" w:rsidR="009303C5" w:rsidRDefault="009303C5" w:rsidP="00E43EF5">
      <w:pPr>
        <w:pStyle w:val="Numberedparagraphdouble"/>
      </w:pPr>
      <w:r>
        <w:t xml:space="preserve">The provision </w:t>
      </w:r>
      <w:r w:rsidRPr="009303C5">
        <w:t>of PTS requires the supplier to process personal data.  The supplier</w:t>
      </w:r>
      <w:r>
        <w:t xml:space="preserve"> terms and conditions will need to reflect this and show the ORR as the Data Controller within the meaning of GDPR and the supplier as the Data Processor within the meaning of </w:t>
      </w:r>
      <w:proofErr w:type="gramStart"/>
      <w:r>
        <w:t>GDPR</w:t>
      </w:r>
      <w:proofErr w:type="gramEnd"/>
    </w:p>
    <w:p w14:paraId="21235E0B" w14:textId="77777777" w:rsidR="00C26E3E" w:rsidRDefault="00C26E3E" w:rsidP="008640BB">
      <w:pPr>
        <w:pStyle w:val="Heading4"/>
      </w:pPr>
      <w:r>
        <w:t>Sub-Contractors</w:t>
      </w:r>
    </w:p>
    <w:p w14:paraId="53ECB42C" w14:textId="53BFB9CC" w:rsidR="00C26E3E" w:rsidRDefault="003D5926" w:rsidP="009303C5">
      <w:pPr>
        <w:pStyle w:val="Numberedparagraphdouble"/>
      </w:pPr>
      <w:r>
        <w:t>Suppliers</w:t>
      </w:r>
      <w:r w:rsidR="00C26E3E">
        <w:t xml:space="preserve"> may use sub-contractors subject to the following:</w:t>
      </w:r>
    </w:p>
    <w:p w14:paraId="3AC8D3CD" w14:textId="5E17F159" w:rsidR="00C26E3E" w:rsidRDefault="00C26E3E" w:rsidP="008640BB">
      <w:pPr>
        <w:pStyle w:val="NormalBulletround"/>
      </w:pPr>
      <w:r>
        <w:t xml:space="preserve">That the </w:t>
      </w:r>
      <w:r w:rsidR="003D5926">
        <w:t>supplier</w:t>
      </w:r>
      <w:r>
        <w:t xml:space="preserve"> assumes unconditional responsibility for the overall work and its </w:t>
      </w:r>
      <w:proofErr w:type="gramStart"/>
      <w:r>
        <w:t>quality;</w:t>
      </w:r>
      <w:proofErr w:type="gramEnd"/>
    </w:p>
    <w:p w14:paraId="457234D1" w14:textId="075706A3" w:rsidR="00C26E3E" w:rsidRDefault="00C26E3E" w:rsidP="008640BB">
      <w:pPr>
        <w:pStyle w:val="NormalBulletround"/>
      </w:pPr>
      <w:r>
        <w:lastRenderedPageBreak/>
        <w:t xml:space="preserve">That individual sub-contractors are clearly identified, with fee rates and grades made explicit to the same level of detail as for the members of the lead consulting team. </w:t>
      </w:r>
    </w:p>
    <w:p w14:paraId="49610B7E" w14:textId="5C6B1A1E" w:rsidR="00C26E3E" w:rsidRDefault="00C26E3E" w:rsidP="009303C5">
      <w:pPr>
        <w:pStyle w:val="Numberedparagraphdouble"/>
      </w:pPr>
      <w:r>
        <w:t xml:space="preserve">Internal relationships between the </w:t>
      </w:r>
      <w:r w:rsidR="003D5926">
        <w:t>supplier</w:t>
      </w:r>
      <w:r>
        <w:t xml:space="preserve"> and its sub-contractors shall be the entire responsibility of the </w:t>
      </w:r>
      <w:r w:rsidR="003D5926">
        <w:t>supplier</w:t>
      </w:r>
      <w:r>
        <w:t xml:space="preserve">.  Failure to meet deadlines or to deliver </w:t>
      </w:r>
      <w:r w:rsidR="003D5926">
        <w:t>training</w:t>
      </w:r>
      <w:r>
        <w:t xml:space="preserve"> by a subcontractor will be attributed by ORR entirely to the </w:t>
      </w:r>
      <w:r w:rsidR="003D5926">
        <w:t>supplier</w:t>
      </w:r>
      <w:r>
        <w:t>.</w:t>
      </w:r>
    </w:p>
    <w:p w14:paraId="253C0E00" w14:textId="77777777" w:rsidR="00C26E3E" w:rsidRDefault="00C26E3E" w:rsidP="005F217E">
      <w:pPr>
        <w:pStyle w:val="Heading4"/>
      </w:pPr>
      <w:r>
        <w:t>Conflict of Interest</w:t>
      </w:r>
    </w:p>
    <w:p w14:paraId="569A15AE" w14:textId="77777777" w:rsidR="00C26E3E" w:rsidRDefault="00C26E3E" w:rsidP="009303C5">
      <w:pPr>
        <w:pStyle w:val="Numberedparagraphdouble"/>
      </w:pPr>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9303C5">
      <w:pPr>
        <w:pStyle w:val="Numberedparagraphdouble"/>
      </w:pPr>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9303C5">
      <w:pPr>
        <w:pStyle w:val="Numberedparagraphdouble"/>
      </w:pPr>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46286762"/>
      <w:r>
        <w:lastRenderedPageBreak/>
        <w:t>Tender Response and Evaluation Criteria</w:t>
      </w:r>
      <w:bookmarkEnd w:id="16"/>
    </w:p>
    <w:p w14:paraId="6C9F4B20" w14:textId="03DB635C" w:rsidR="001768F1" w:rsidRDefault="001768F1" w:rsidP="001768F1">
      <w:pPr>
        <w:pStyle w:val="Heading3"/>
      </w:pPr>
      <w:bookmarkStart w:id="17" w:name="_Toc146286763"/>
      <w:r>
        <w:t>The Tender Response</w:t>
      </w:r>
      <w:bookmarkEnd w:id="17"/>
    </w:p>
    <w:p w14:paraId="33A2C61B" w14:textId="2DD482A0" w:rsidR="001768F1" w:rsidRDefault="001768F1" w:rsidP="009303C5">
      <w:pPr>
        <w:pStyle w:val="Numberedparagraphdouble"/>
      </w:pPr>
      <w:r>
        <w:t xml:space="preserve">The proposals for this </w:t>
      </w:r>
      <w:r w:rsidR="00F811AB">
        <w:t>service</w:t>
      </w:r>
      <w:r>
        <w:t xml:space="preserve"> should include an outline of how </w:t>
      </w:r>
      <w:r w:rsidR="00F811AB">
        <w:t xml:space="preserve">the </w:t>
      </w:r>
      <w:r>
        <w:t>bidder will meet the requirement outlined in section (</w:t>
      </w:r>
      <w:r w:rsidR="00F811AB">
        <w:t>2</w:t>
      </w:r>
      <w:r>
        <w:t>) “Statement of Requirement”. The following information should be included</w:t>
      </w:r>
      <w:r w:rsidR="00911053">
        <w:t>:</w:t>
      </w:r>
    </w:p>
    <w:p w14:paraId="3F9D50AE" w14:textId="01E98448" w:rsidR="00001AFC" w:rsidRPr="00001AFC" w:rsidRDefault="00001AFC" w:rsidP="00001AFC">
      <w:pPr>
        <w:pStyle w:val="Numberedparagraphdouble"/>
        <w:numPr>
          <w:ilvl w:val="0"/>
          <w:numId w:val="0"/>
        </w:numPr>
        <w:ind w:left="851"/>
        <w:rPr>
          <w:b/>
          <w:bCs/>
          <w:u w:val="single"/>
        </w:rPr>
      </w:pPr>
      <w:r w:rsidRPr="00001AFC">
        <w:rPr>
          <w:b/>
          <w:bCs/>
          <w:u w:val="single"/>
        </w:rPr>
        <w:t>TECHNICAL ENVELOPE</w:t>
      </w:r>
    </w:p>
    <w:p w14:paraId="381FB079" w14:textId="60B78731" w:rsidR="00516A91" w:rsidRPr="00516A91" w:rsidRDefault="00516A91" w:rsidP="00516A91">
      <w:pPr>
        <w:pStyle w:val="NormalBulletalpha"/>
        <w:numPr>
          <w:ilvl w:val="1"/>
          <w:numId w:val="38"/>
        </w:numPr>
        <w:rPr>
          <w:b/>
          <w:bCs/>
        </w:rPr>
      </w:pPr>
      <w:r w:rsidRPr="00516A91">
        <w:rPr>
          <w:b/>
          <w:bCs/>
        </w:rPr>
        <w:t xml:space="preserve">Proposed delivery </w:t>
      </w:r>
      <w:r>
        <w:rPr>
          <w:b/>
          <w:bCs/>
        </w:rPr>
        <w:t>methodology</w:t>
      </w:r>
    </w:p>
    <w:p w14:paraId="74E415FD" w14:textId="1F2ED276" w:rsidR="00911053" w:rsidRDefault="00911053" w:rsidP="00911053">
      <w:pPr>
        <w:pStyle w:val="NormalBullet-"/>
      </w:pPr>
      <w:r>
        <w:t xml:space="preserve">Provide an explanation of the proposed approach and any methodologies </w:t>
      </w:r>
      <w:r w:rsidR="008E6A20">
        <w:t xml:space="preserve">the </w:t>
      </w:r>
      <w:r>
        <w:t xml:space="preserve">bidder will work </w:t>
      </w:r>
      <w:proofErr w:type="gramStart"/>
      <w:r>
        <w:t>to;</w:t>
      </w:r>
      <w:proofErr w:type="gramEnd"/>
    </w:p>
    <w:p w14:paraId="619FF655" w14:textId="6AD47A2B" w:rsidR="00911053" w:rsidRDefault="00911053" w:rsidP="00911053">
      <w:pPr>
        <w:pStyle w:val="NormalBullet-"/>
      </w:pPr>
      <w:r>
        <w:t xml:space="preserve">Details of your assumptions and/or constraints/dependencies made in relation to the </w:t>
      </w:r>
      <w:proofErr w:type="gramStart"/>
      <w:r>
        <w:t>service;</w:t>
      </w:r>
      <w:proofErr w:type="gramEnd"/>
      <w:r>
        <w:t xml:space="preserve">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48B4F20C" w14:textId="158C0A4F" w:rsidR="00FE3C6C" w:rsidRDefault="00FE3C6C" w:rsidP="001E7C87">
      <w:pPr>
        <w:pStyle w:val="NormalBullet-"/>
      </w:pPr>
      <w:r>
        <w:t xml:space="preserve">A description of your </w:t>
      </w:r>
      <w:r w:rsidR="008E6A20">
        <w:t>technical and organisational structures in place for the protection of personal data and compliance with GDPR.</w:t>
      </w:r>
    </w:p>
    <w:p w14:paraId="10DC7C63" w14:textId="58A4242F" w:rsidR="001768F1" w:rsidRDefault="001768F1" w:rsidP="001E7C87">
      <w:pPr>
        <w:pStyle w:val="NormalBullet-"/>
      </w:pPr>
      <w:r>
        <w:t xml:space="preserve">An understanding of the risks, and explain how they would be mitigated to ensure </w:t>
      </w:r>
      <w:proofErr w:type="gramStart"/>
      <w:r>
        <w:t>delivery</w:t>
      </w:r>
      <w:r w:rsidR="00911053">
        <w:t>;</w:t>
      </w:r>
      <w:proofErr w:type="gramEnd"/>
    </w:p>
    <w:p w14:paraId="759CAB3E" w14:textId="5FF1FABC" w:rsidR="001768F1" w:rsidRDefault="00911053" w:rsidP="001E7C87">
      <w:pPr>
        <w:pStyle w:val="NormalBullet-"/>
      </w:pPr>
      <w:r>
        <w:t xml:space="preserve">Provide details of any security accreditation for your systems </w:t>
      </w:r>
      <w:r w:rsidR="001768F1">
        <w:t>(</w:t>
      </w:r>
      <w:proofErr w:type="gramStart"/>
      <w:r w:rsidR="001768F1">
        <w:t>e.g.</w:t>
      </w:r>
      <w:proofErr w:type="gramEnd"/>
      <w:r w:rsidR="001768F1">
        <w:t xml:space="preserve"> ISO27000, Cyber Essentials) etc.</w:t>
      </w:r>
    </w:p>
    <w:p w14:paraId="16625C17" w14:textId="23310EC8" w:rsidR="001768F1" w:rsidRDefault="00516A91" w:rsidP="001E7C87">
      <w:pPr>
        <w:pStyle w:val="NormalBullet-"/>
      </w:pPr>
      <w:r>
        <w:t xml:space="preserve">Describe any </w:t>
      </w:r>
      <w:r w:rsidR="001768F1">
        <w:t>support</w:t>
      </w:r>
      <w:r>
        <w:t xml:space="preserve"> you</w:t>
      </w:r>
      <w:r w:rsidR="001768F1">
        <w:t xml:space="preserve"> will require from </w:t>
      </w:r>
      <w:proofErr w:type="gramStart"/>
      <w:r w:rsidR="001768F1">
        <w:t>ORR;</w:t>
      </w:r>
      <w:proofErr w:type="gramEnd"/>
      <w:r w:rsidR="001768F1">
        <w:t xml:space="preserve"> </w:t>
      </w:r>
    </w:p>
    <w:p w14:paraId="3A21AD9D" w14:textId="6E68D04D" w:rsidR="00E06E45" w:rsidRDefault="00E06E45" w:rsidP="001E7C87">
      <w:pPr>
        <w:pStyle w:val="NormalBullet-"/>
      </w:pPr>
      <w:r>
        <w:t xml:space="preserve">Details of any differences to the delivery </w:t>
      </w:r>
      <w:proofErr w:type="gramStart"/>
      <w:r>
        <w:t>as a result of</w:t>
      </w:r>
      <w:proofErr w:type="gramEnd"/>
      <w:r>
        <w:t xml:space="preserve"> changing to the “non-Sentinel service”.</w:t>
      </w:r>
    </w:p>
    <w:p w14:paraId="5673ADDA" w14:textId="379D1E89" w:rsidR="001768F1" w:rsidRPr="001E7C87" w:rsidRDefault="001768F1" w:rsidP="00D07E76">
      <w:pPr>
        <w:pStyle w:val="NormalBulletalpha"/>
        <w:rPr>
          <w:b/>
          <w:bCs/>
        </w:rPr>
      </w:pPr>
      <w:r w:rsidRPr="001E7C87">
        <w:rPr>
          <w:b/>
          <w:bCs/>
        </w:rPr>
        <w:t>Proposed delivery team</w:t>
      </w:r>
      <w:r w:rsidR="008E6A20">
        <w:rPr>
          <w:b/>
          <w:bCs/>
        </w:rPr>
        <w:t>/experience</w:t>
      </w:r>
    </w:p>
    <w:p w14:paraId="5069A898" w14:textId="7AE777B6" w:rsidR="001768F1" w:rsidRDefault="001768F1" w:rsidP="001E7C87">
      <w:pPr>
        <w:pStyle w:val="NormalBullet-"/>
      </w:pPr>
      <w:r>
        <w:t xml:space="preserve">Key personnel including details of how their key skills, experience and qualifications align to the delivery of the </w:t>
      </w:r>
      <w:r w:rsidR="00B63C33">
        <w:t>service</w:t>
      </w:r>
      <w:r>
        <w:t xml:space="preserve">; and </w:t>
      </w:r>
    </w:p>
    <w:p w14:paraId="4BD28B95" w14:textId="768476B9" w:rsidR="001768F1" w:rsidRDefault="001768F1" w:rsidP="001E7C87">
      <w:pPr>
        <w:pStyle w:val="NormalBullet-"/>
      </w:pPr>
      <w:r>
        <w:lastRenderedPageBreak/>
        <w:t>Confirmation that you have carried out the necessary employment checks (</w:t>
      </w:r>
      <w:proofErr w:type="gramStart"/>
      <w:r>
        <w:t>e.g.</w:t>
      </w:r>
      <w:proofErr w:type="gramEnd"/>
      <w:r>
        <w:t xml:space="preserve"> right to work in the UK)</w:t>
      </w:r>
      <w:r w:rsidR="00001AFC">
        <w:t>.</w:t>
      </w:r>
    </w:p>
    <w:p w14:paraId="684896B6" w14:textId="60B09317" w:rsidR="00001AFC" w:rsidRPr="00001AFC" w:rsidRDefault="00001AFC" w:rsidP="00001AFC">
      <w:pPr>
        <w:pStyle w:val="NormalBullet-"/>
        <w:numPr>
          <w:ilvl w:val="0"/>
          <w:numId w:val="0"/>
        </w:numPr>
        <w:ind w:firstLine="720"/>
        <w:rPr>
          <w:b/>
          <w:bCs/>
          <w:u w:val="single"/>
        </w:rPr>
      </w:pPr>
      <w:r w:rsidRPr="00001AFC">
        <w:rPr>
          <w:b/>
          <w:bCs/>
          <w:u w:val="single"/>
        </w:rPr>
        <w:t>COMMERCIAL ENVELOPE</w:t>
      </w:r>
    </w:p>
    <w:p w14:paraId="1C8F4186" w14:textId="71D83F1F" w:rsidR="001768F1" w:rsidRDefault="008E6A20" w:rsidP="00D07E76">
      <w:pPr>
        <w:pStyle w:val="NormalBulletalpha"/>
        <w:rPr>
          <w:b/>
          <w:bCs/>
        </w:rPr>
      </w:pPr>
      <w:r>
        <w:rPr>
          <w:b/>
          <w:bCs/>
        </w:rPr>
        <w:t xml:space="preserve">Supplier </w:t>
      </w:r>
      <w:r w:rsidR="00516A91">
        <w:rPr>
          <w:b/>
          <w:bCs/>
        </w:rPr>
        <w:t>Terms &amp; Conditions</w:t>
      </w:r>
    </w:p>
    <w:p w14:paraId="75C135EF" w14:textId="77777777" w:rsidR="008E6A20" w:rsidRDefault="008E6A20" w:rsidP="008E6A20">
      <w:pPr>
        <w:pStyle w:val="NormalBullet-"/>
      </w:pPr>
      <w:r>
        <w:t>A copy of the proposed supplier T&amp;Cs reflecting the requirements of this tender.</w:t>
      </w:r>
    </w:p>
    <w:p w14:paraId="62D0C6DE" w14:textId="357644BD" w:rsidR="00516A91" w:rsidRPr="008E6A20" w:rsidRDefault="008E6A20" w:rsidP="000739C2">
      <w:pPr>
        <w:pStyle w:val="NormalBulletalpha"/>
        <w:rPr>
          <w:rFonts w:ascii="Arial Bold" w:hAnsi="Arial Bold"/>
        </w:rPr>
      </w:pPr>
      <w:r w:rsidRPr="008E6A20">
        <w:rPr>
          <w:rFonts w:ascii="Arial Bold" w:hAnsi="Arial Bold"/>
          <w:b/>
          <w:bCs/>
        </w:rPr>
        <w:t>Pricing</w:t>
      </w:r>
    </w:p>
    <w:p w14:paraId="11053D55" w14:textId="77777777" w:rsidR="00E06E45" w:rsidRDefault="00516A91" w:rsidP="00E06E45">
      <w:pPr>
        <w:pStyle w:val="NormalBullet-"/>
      </w:pPr>
      <w:r>
        <w:t>A fixed fee</w:t>
      </w:r>
      <w:r w:rsidR="00246782">
        <w:t xml:space="preserve"> (inclusive of all expenses)</w:t>
      </w:r>
      <w:r>
        <w:t xml:space="preserve"> </w:t>
      </w:r>
      <w:r w:rsidR="00246782">
        <w:t>per course</w:t>
      </w:r>
      <w:r>
        <w:t xml:space="preserve"> for each contract </w:t>
      </w:r>
      <w:proofErr w:type="gramStart"/>
      <w:r>
        <w:t>year;</w:t>
      </w:r>
      <w:proofErr w:type="gramEnd"/>
    </w:p>
    <w:p w14:paraId="1F0ED350" w14:textId="3F71EFB1" w:rsidR="00E06E45" w:rsidRPr="00E06E45" w:rsidRDefault="00E06E45" w:rsidP="00E06E45">
      <w:pPr>
        <w:rPr>
          <w:u w:val="single"/>
        </w:rPr>
      </w:pPr>
      <w:r w:rsidRPr="00E06E45">
        <w:rPr>
          <w:u w:val="single"/>
        </w:rPr>
        <w:t>Sentinel Service:</w:t>
      </w:r>
    </w:p>
    <w:tbl>
      <w:tblPr>
        <w:tblpPr w:leftFromText="180" w:rightFromText="180" w:vertAnchor="text" w:horzAnchor="margin" w:tblpY="18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FFFFFF"/>
        <w:tblLayout w:type="fixed"/>
        <w:tblCellMar>
          <w:left w:w="0" w:type="dxa"/>
        </w:tblCellMar>
        <w:tblLook w:val="0000" w:firstRow="0" w:lastRow="0" w:firstColumn="0" w:lastColumn="0" w:noHBand="0" w:noVBand="0"/>
        <w:tblCaption w:val="BrochetTable"/>
        <w:tblDescription w:val="FullWidth|Even|Plain|NoTotal"/>
      </w:tblPr>
      <w:tblGrid>
        <w:gridCol w:w="1838"/>
        <w:gridCol w:w="992"/>
        <w:gridCol w:w="1418"/>
        <w:gridCol w:w="1701"/>
        <w:gridCol w:w="1701"/>
        <w:gridCol w:w="1701"/>
      </w:tblGrid>
      <w:tr w:rsidR="00236FD5" w14:paraId="3D91C1AD" w14:textId="77777777" w:rsidTr="00236FD5">
        <w:trPr>
          <w:tblHeader/>
        </w:trPr>
        <w:tc>
          <w:tcPr>
            <w:tcW w:w="1838" w:type="dxa"/>
            <w:shd w:val="solid" w:color="253268" w:themeColor="dark2" w:fill="253268" w:themeFill="dark2"/>
          </w:tcPr>
          <w:p w14:paraId="0F13C379" w14:textId="77777777" w:rsidR="00236FD5" w:rsidRDefault="00236FD5" w:rsidP="00246782">
            <w:pPr>
              <w:pStyle w:val="TblHeading"/>
            </w:pPr>
          </w:p>
        </w:tc>
        <w:tc>
          <w:tcPr>
            <w:tcW w:w="992" w:type="dxa"/>
            <w:shd w:val="solid" w:color="253268" w:themeColor="dark2" w:fill="253268" w:themeFill="dark2"/>
          </w:tcPr>
          <w:p w14:paraId="043EC4A3" w14:textId="77777777" w:rsidR="00236FD5" w:rsidRDefault="00236FD5" w:rsidP="00246782">
            <w:pPr>
              <w:pStyle w:val="TblHeading"/>
            </w:pPr>
            <w:r>
              <w:t>LOT No.</w:t>
            </w:r>
          </w:p>
        </w:tc>
        <w:tc>
          <w:tcPr>
            <w:tcW w:w="1418" w:type="dxa"/>
            <w:shd w:val="solid" w:color="253268" w:themeColor="dark2" w:fill="253268" w:themeFill="dark2"/>
          </w:tcPr>
          <w:p w14:paraId="770A6639" w14:textId="77777777" w:rsidR="00236FD5" w:rsidRDefault="00236FD5" w:rsidP="00246782">
            <w:pPr>
              <w:pStyle w:val="TblHeading"/>
            </w:pPr>
            <w:r>
              <w:t>ORR Office Location</w:t>
            </w:r>
          </w:p>
        </w:tc>
        <w:tc>
          <w:tcPr>
            <w:tcW w:w="1701" w:type="dxa"/>
            <w:shd w:val="solid" w:color="253268" w:themeColor="dark2" w:fill="253268" w:themeFill="dark2"/>
          </w:tcPr>
          <w:p w14:paraId="65007DB5" w14:textId="77777777" w:rsidR="00236FD5" w:rsidRDefault="00236FD5" w:rsidP="00246782">
            <w:pPr>
              <w:pStyle w:val="TblHeading"/>
            </w:pPr>
            <w:r>
              <w:t>Contract Yr.1</w:t>
            </w:r>
          </w:p>
        </w:tc>
        <w:tc>
          <w:tcPr>
            <w:tcW w:w="1701" w:type="dxa"/>
            <w:shd w:val="solid" w:color="253268" w:themeColor="dark2" w:fill="253268" w:themeFill="dark2"/>
          </w:tcPr>
          <w:p w14:paraId="5EE38343" w14:textId="77777777" w:rsidR="00236FD5" w:rsidRDefault="00236FD5" w:rsidP="00246782">
            <w:pPr>
              <w:pStyle w:val="TblHeading"/>
            </w:pPr>
            <w:r>
              <w:t>Contract Yr.2</w:t>
            </w:r>
          </w:p>
        </w:tc>
        <w:tc>
          <w:tcPr>
            <w:tcW w:w="1701" w:type="dxa"/>
            <w:shd w:val="solid" w:color="253268" w:themeColor="dark2" w:fill="253268" w:themeFill="dark2"/>
          </w:tcPr>
          <w:p w14:paraId="592F7A81" w14:textId="77777777" w:rsidR="00236FD5" w:rsidRDefault="00236FD5" w:rsidP="00246782">
            <w:pPr>
              <w:pStyle w:val="TblHeading"/>
            </w:pPr>
            <w:r>
              <w:t>Contract Yr.3</w:t>
            </w:r>
          </w:p>
        </w:tc>
      </w:tr>
      <w:tr w:rsidR="00236FD5" w14:paraId="6580D01C" w14:textId="77777777" w:rsidTr="00236FD5">
        <w:tc>
          <w:tcPr>
            <w:tcW w:w="1838" w:type="dxa"/>
            <w:shd w:val="solid" w:color="FFFFFF" w:fill="FFFFFF"/>
          </w:tcPr>
          <w:p w14:paraId="1BBFCEEF" w14:textId="77777777" w:rsidR="00236FD5" w:rsidRPr="00FE3C6C" w:rsidRDefault="00236FD5" w:rsidP="00246782">
            <w:pPr>
              <w:pStyle w:val="TblText"/>
              <w:rPr>
                <w:b/>
                <w:bCs/>
              </w:rPr>
            </w:pPr>
            <w:proofErr w:type="gramStart"/>
            <w:r w:rsidRPr="00FE3C6C">
              <w:rPr>
                <w:b/>
                <w:bCs/>
              </w:rPr>
              <w:t>2 day</w:t>
            </w:r>
            <w:proofErr w:type="gramEnd"/>
            <w:r w:rsidRPr="00FE3C6C">
              <w:rPr>
                <w:b/>
                <w:bCs/>
              </w:rPr>
              <w:t xml:space="preserve"> PTS course</w:t>
            </w:r>
          </w:p>
        </w:tc>
        <w:tc>
          <w:tcPr>
            <w:tcW w:w="992" w:type="dxa"/>
            <w:shd w:val="solid" w:color="FFFFFF" w:fill="FFFFFF"/>
          </w:tcPr>
          <w:p w14:paraId="28726C6F" w14:textId="77777777" w:rsidR="00236FD5" w:rsidRDefault="00236FD5" w:rsidP="00246782">
            <w:pPr>
              <w:pStyle w:val="TblText"/>
            </w:pPr>
          </w:p>
        </w:tc>
        <w:tc>
          <w:tcPr>
            <w:tcW w:w="1418" w:type="dxa"/>
            <w:shd w:val="solid" w:color="FFFFFF" w:fill="FFFFFF"/>
          </w:tcPr>
          <w:p w14:paraId="48B6AE59" w14:textId="77777777" w:rsidR="00236FD5" w:rsidRDefault="00236FD5" w:rsidP="00246782">
            <w:pPr>
              <w:pStyle w:val="TblText"/>
            </w:pPr>
          </w:p>
        </w:tc>
        <w:tc>
          <w:tcPr>
            <w:tcW w:w="1701" w:type="dxa"/>
            <w:shd w:val="solid" w:color="FFFFFF" w:fill="FFFFFF"/>
          </w:tcPr>
          <w:p w14:paraId="234B65E0" w14:textId="77777777" w:rsidR="00236FD5" w:rsidRDefault="00236FD5" w:rsidP="00246782">
            <w:pPr>
              <w:pStyle w:val="TblText"/>
            </w:pPr>
          </w:p>
        </w:tc>
        <w:tc>
          <w:tcPr>
            <w:tcW w:w="1701" w:type="dxa"/>
            <w:shd w:val="solid" w:color="FFFFFF" w:fill="FFFFFF"/>
          </w:tcPr>
          <w:p w14:paraId="1E8FF82D" w14:textId="77777777" w:rsidR="00236FD5" w:rsidRDefault="00236FD5" w:rsidP="00246782">
            <w:pPr>
              <w:pStyle w:val="TblText"/>
            </w:pPr>
          </w:p>
        </w:tc>
        <w:tc>
          <w:tcPr>
            <w:tcW w:w="1701" w:type="dxa"/>
            <w:shd w:val="solid" w:color="FFFFFF" w:fill="FFFFFF"/>
          </w:tcPr>
          <w:p w14:paraId="143099DC" w14:textId="77777777" w:rsidR="00236FD5" w:rsidRDefault="00236FD5" w:rsidP="00246782">
            <w:pPr>
              <w:pStyle w:val="TblText"/>
            </w:pPr>
          </w:p>
        </w:tc>
      </w:tr>
      <w:tr w:rsidR="00236FD5" w14:paraId="51F38353" w14:textId="77777777" w:rsidTr="00236FD5">
        <w:tc>
          <w:tcPr>
            <w:tcW w:w="1838" w:type="dxa"/>
            <w:shd w:val="solid" w:color="FFFFFF" w:fill="FFFFFF"/>
          </w:tcPr>
          <w:p w14:paraId="19BCC1ED" w14:textId="77777777" w:rsidR="00236FD5" w:rsidRPr="00FE3C6C" w:rsidRDefault="00236FD5" w:rsidP="00246782">
            <w:pPr>
              <w:pStyle w:val="TblText"/>
              <w:rPr>
                <w:b/>
                <w:bCs/>
              </w:rPr>
            </w:pPr>
            <w:r w:rsidRPr="00FE3C6C">
              <w:rPr>
                <w:b/>
                <w:bCs/>
              </w:rPr>
              <w:t>1 day PTS Refresher course</w:t>
            </w:r>
          </w:p>
        </w:tc>
        <w:tc>
          <w:tcPr>
            <w:tcW w:w="992" w:type="dxa"/>
            <w:shd w:val="solid" w:color="FFFFFF" w:fill="FFFFFF"/>
          </w:tcPr>
          <w:p w14:paraId="79686F52" w14:textId="77777777" w:rsidR="00236FD5" w:rsidRDefault="00236FD5" w:rsidP="00246782">
            <w:pPr>
              <w:pStyle w:val="TblText"/>
            </w:pPr>
          </w:p>
        </w:tc>
        <w:tc>
          <w:tcPr>
            <w:tcW w:w="1418" w:type="dxa"/>
            <w:shd w:val="solid" w:color="FFFFFF" w:fill="FFFFFF"/>
          </w:tcPr>
          <w:p w14:paraId="36838EE8" w14:textId="77777777" w:rsidR="00236FD5" w:rsidRDefault="00236FD5" w:rsidP="00246782">
            <w:pPr>
              <w:pStyle w:val="TblText"/>
            </w:pPr>
          </w:p>
        </w:tc>
        <w:tc>
          <w:tcPr>
            <w:tcW w:w="1701" w:type="dxa"/>
            <w:shd w:val="solid" w:color="FFFFFF" w:fill="FFFFFF"/>
          </w:tcPr>
          <w:p w14:paraId="700E2655" w14:textId="77777777" w:rsidR="00236FD5" w:rsidRDefault="00236FD5" w:rsidP="00246782">
            <w:pPr>
              <w:pStyle w:val="TblText"/>
            </w:pPr>
          </w:p>
        </w:tc>
        <w:tc>
          <w:tcPr>
            <w:tcW w:w="1701" w:type="dxa"/>
            <w:shd w:val="solid" w:color="FFFFFF" w:fill="FFFFFF"/>
          </w:tcPr>
          <w:p w14:paraId="69E172BA" w14:textId="77777777" w:rsidR="00236FD5" w:rsidRDefault="00236FD5" w:rsidP="00246782">
            <w:pPr>
              <w:pStyle w:val="TblText"/>
            </w:pPr>
          </w:p>
        </w:tc>
        <w:tc>
          <w:tcPr>
            <w:tcW w:w="1701" w:type="dxa"/>
            <w:shd w:val="solid" w:color="FFFFFF" w:fill="FFFFFF"/>
          </w:tcPr>
          <w:p w14:paraId="08FB407C" w14:textId="77777777" w:rsidR="00236FD5" w:rsidRDefault="00236FD5" w:rsidP="00246782">
            <w:pPr>
              <w:pStyle w:val="TblText"/>
            </w:pPr>
          </w:p>
        </w:tc>
      </w:tr>
    </w:tbl>
    <w:p w14:paraId="432481EB" w14:textId="77777777" w:rsidR="00236FD5" w:rsidRDefault="00236FD5" w:rsidP="00E06E45">
      <w:pPr>
        <w:pStyle w:val="NormalBullet-"/>
        <w:numPr>
          <w:ilvl w:val="0"/>
          <w:numId w:val="0"/>
        </w:numPr>
        <w:rPr>
          <w:u w:val="single"/>
        </w:rPr>
      </w:pPr>
    </w:p>
    <w:p w14:paraId="56E30AF5" w14:textId="3B40E1D5" w:rsidR="00E06E45" w:rsidRPr="00E06E45" w:rsidRDefault="00E06E45" w:rsidP="00E06E45">
      <w:pPr>
        <w:pStyle w:val="NormalBullet-"/>
        <w:numPr>
          <w:ilvl w:val="0"/>
          <w:numId w:val="0"/>
        </w:numPr>
        <w:rPr>
          <w:u w:val="single"/>
        </w:rPr>
      </w:pPr>
      <w:r w:rsidRPr="00E06E45">
        <w:rPr>
          <w:u w:val="single"/>
        </w:rPr>
        <w:t>Non-Sentinel Service:</w:t>
      </w:r>
    </w:p>
    <w:tbl>
      <w:tblPr>
        <w:tblpPr w:leftFromText="180" w:rightFromText="180" w:vertAnchor="text" w:horzAnchor="margin" w:tblpY="18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FFFFFF"/>
        <w:tblLayout w:type="fixed"/>
        <w:tblCellMar>
          <w:left w:w="0" w:type="dxa"/>
        </w:tblCellMar>
        <w:tblLook w:val="0000" w:firstRow="0" w:lastRow="0" w:firstColumn="0" w:lastColumn="0" w:noHBand="0" w:noVBand="0"/>
        <w:tblCaption w:val="BrochetTable"/>
        <w:tblDescription w:val="FullWidth|Even|Plain|NoTotal"/>
      </w:tblPr>
      <w:tblGrid>
        <w:gridCol w:w="1838"/>
        <w:gridCol w:w="992"/>
        <w:gridCol w:w="1418"/>
        <w:gridCol w:w="1701"/>
        <w:gridCol w:w="1701"/>
        <w:gridCol w:w="1701"/>
      </w:tblGrid>
      <w:tr w:rsidR="00236FD5" w14:paraId="0C90AF65" w14:textId="77777777" w:rsidTr="00236FD5">
        <w:trPr>
          <w:tblHeader/>
        </w:trPr>
        <w:tc>
          <w:tcPr>
            <w:tcW w:w="1838" w:type="dxa"/>
            <w:shd w:val="solid" w:color="253268" w:themeColor="dark2" w:fill="253268" w:themeFill="dark2"/>
          </w:tcPr>
          <w:p w14:paraId="5F28346A" w14:textId="77777777" w:rsidR="00236FD5" w:rsidRDefault="00236FD5" w:rsidP="00B610AF">
            <w:pPr>
              <w:pStyle w:val="TblHeading"/>
            </w:pPr>
          </w:p>
        </w:tc>
        <w:tc>
          <w:tcPr>
            <w:tcW w:w="992" w:type="dxa"/>
            <w:shd w:val="solid" w:color="253268" w:themeColor="dark2" w:fill="253268" w:themeFill="dark2"/>
          </w:tcPr>
          <w:p w14:paraId="246FB76D" w14:textId="77777777" w:rsidR="00236FD5" w:rsidRDefault="00236FD5" w:rsidP="00B610AF">
            <w:pPr>
              <w:pStyle w:val="TblHeading"/>
            </w:pPr>
            <w:r>
              <w:t>LOT No.</w:t>
            </w:r>
          </w:p>
        </w:tc>
        <w:tc>
          <w:tcPr>
            <w:tcW w:w="1418" w:type="dxa"/>
            <w:shd w:val="solid" w:color="253268" w:themeColor="dark2" w:fill="253268" w:themeFill="dark2"/>
          </w:tcPr>
          <w:p w14:paraId="6CDCA02B" w14:textId="77777777" w:rsidR="00236FD5" w:rsidRDefault="00236FD5" w:rsidP="00B610AF">
            <w:pPr>
              <w:pStyle w:val="TblHeading"/>
            </w:pPr>
            <w:r>
              <w:t>ORR Office Location</w:t>
            </w:r>
          </w:p>
        </w:tc>
        <w:tc>
          <w:tcPr>
            <w:tcW w:w="1701" w:type="dxa"/>
            <w:shd w:val="solid" w:color="253268" w:themeColor="dark2" w:fill="253268" w:themeFill="dark2"/>
          </w:tcPr>
          <w:p w14:paraId="66F98E13" w14:textId="77777777" w:rsidR="00236FD5" w:rsidRDefault="00236FD5" w:rsidP="00B610AF">
            <w:pPr>
              <w:pStyle w:val="TblHeading"/>
            </w:pPr>
            <w:r>
              <w:t>Contract Yr.1</w:t>
            </w:r>
          </w:p>
        </w:tc>
        <w:tc>
          <w:tcPr>
            <w:tcW w:w="1701" w:type="dxa"/>
            <w:shd w:val="solid" w:color="253268" w:themeColor="dark2" w:fill="253268" w:themeFill="dark2"/>
          </w:tcPr>
          <w:p w14:paraId="0ECC63DE" w14:textId="77777777" w:rsidR="00236FD5" w:rsidRDefault="00236FD5" w:rsidP="00B610AF">
            <w:pPr>
              <w:pStyle w:val="TblHeading"/>
            </w:pPr>
            <w:r>
              <w:t>Contract Yr.2</w:t>
            </w:r>
          </w:p>
        </w:tc>
        <w:tc>
          <w:tcPr>
            <w:tcW w:w="1701" w:type="dxa"/>
            <w:shd w:val="solid" w:color="253268" w:themeColor="dark2" w:fill="253268" w:themeFill="dark2"/>
          </w:tcPr>
          <w:p w14:paraId="522003E1" w14:textId="77777777" w:rsidR="00236FD5" w:rsidRDefault="00236FD5" w:rsidP="00B610AF">
            <w:pPr>
              <w:pStyle w:val="TblHeading"/>
            </w:pPr>
            <w:r>
              <w:t>Contract Yr.3</w:t>
            </w:r>
          </w:p>
        </w:tc>
      </w:tr>
      <w:tr w:rsidR="00236FD5" w14:paraId="6EDB713D" w14:textId="77777777" w:rsidTr="00236FD5">
        <w:tc>
          <w:tcPr>
            <w:tcW w:w="1838" w:type="dxa"/>
            <w:shd w:val="solid" w:color="FFFFFF" w:fill="FFFFFF"/>
          </w:tcPr>
          <w:p w14:paraId="25A57109" w14:textId="77777777" w:rsidR="00236FD5" w:rsidRPr="00FE3C6C" w:rsidRDefault="00236FD5" w:rsidP="00B610AF">
            <w:pPr>
              <w:pStyle w:val="TblText"/>
              <w:rPr>
                <w:b/>
                <w:bCs/>
              </w:rPr>
            </w:pPr>
            <w:proofErr w:type="gramStart"/>
            <w:r w:rsidRPr="00FE3C6C">
              <w:rPr>
                <w:b/>
                <w:bCs/>
              </w:rPr>
              <w:t>2 day</w:t>
            </w:r>
            <w:proofErr w:type="gramEnd"/>
            <w:r w:rsidRPr="00FE3C6C">
              <w:rPr>
                <w:b/>
                <w:bCs/>
              </w:rPr>
              <w:t xml:space="preserve"> PTS course</w:t>
            </w:r>
          </w:p>
        </w:tc>
        <w:tc>
          <w:tcPr>
            <w:tcW w:w="992" w:type="dxa"/>
            <w:shd w:val="solid" w:color="FFFFFF" w:fill="FFFFFF"/>
          </w:tcPr>
          <w:p w14:paraId="56EE3AB6" w14:textId="77777777" w:rsidR="00236FD5" w:rsidRDefault="00236FD5" w:rsidP="00B610AF">
            <w:pPr>
              <w:pStyle w:val="TblText"/>
            </w:pPr>
          </w:p>
        </w:tc>
        <w:tc>
          <w:tcPr>
            <w:tcW w:w="1418" w:type="dxa"/>
            <w:shd w:val="solid" w:color="FFFFFF" w:fill="FFFFFF"/>
          </w:tcPr>
          <w:p w14:paraId="0C4F4D29" w14:textId="77777777" w:rsidR="00236FD5" w:rsidRDefault="00236FD5" w:rsidP="00B610AF">
            <w:pPr>
              <w:pStyle w:val="TblText"/>
            </w:pPr>
          </w:p>
        </w:tc>
        <w:tc>
          <w:tcPr>
            <w:tcW w:w="1701" w:type="dxa"/>
            <w:shd w:val="solid" w:color="FFFFFF" w:fill="FFFFFF"/>
          </w:tcPr>
          <w:p w14:paraId="594FC6BB" w14:textId="77777777" w:rsidR="00236FD5" w:rsidRDefault="00236FD5" w:rsidP="00B610AF">
            <w:pPr>
              <w:pStyle w:val="TblText"/>
            </w:pPr>
          </w:p>
        </w:tc>
        <w:tc>
          <w:tcPr>
            <w:tcW w:w="1701" w:type="dxa"/>
            <w:shd w:val="solid" w:color="FFFFFF" w:fill="FFFFFF"/>
          </w:tcPr>
          <w:p w14:paraId="6487CD8C" w14:textId="77777777" w:rsidR="00236FD5" w:rsidRDefault="00236FD5" w:rsidP="00B610AF">
            <w:pPr>
              <w:pStyle w:val="TblText"/>
            </w:pPr>
          </w:p>
        </w:tc>
        <w:tc>
          <w:tcPr>
            <w:tcW w:w="1701" w:type="dxa"/>
            <w:shd w:val="solid" w:color="FFFFFF" w:fill="FFFFFF"/>
          </w:tcPr>
          <w:p w14:paraId="48E556FD" w14:textId="77777777" w:rsidR="00236FD5" w:rsidRDefault="00236FD5" w:rsidP="00B610AF">
            <w:pPr>
              <w:pStyle w:val="TblText"/>
            </w:pPr>
          </w:p>
        </w:tc>
      </w:tr>
      <w:tr w:rsidR="00236FD5" w14:paraId="4F0502A0" w14:textId="77777777" w:rsidTr="00236FD5">
        <w:tc>
          <w:tcPr>
            <w:tcW w:w="1838" w:type="dxa"/>
            <w:shd w:val="solid" w:color="FFFFFF" w:fill="FFFFFF"/>
          </w:tcPr>
          <w:p w14:paraId="73941496" w14:textId="77777777" w:rsidR="00236FD5" w:rsidRPr="00FE3C6C" w:rsidRDefault="00236FD5" w:rsidP="00B610AF">
            <w:pPr>
              <w:pStyle w:val="TblText"/>
              <w:rPr>
                <w:b/>
                <w:bCs/>
              </w:rPr>
            </w:pPr>
            <w:r w:rsidRPr="00FE3C6C">
              <w:rPr>
                <w:b/>
                <w:bCs/>
              </w:rPr>
              <w:t>1 day PTS Refresher course</w:t>
            </w:r>
          </w:p>
        </w:tc>
        <w:tc>
          <w:tcPr>
            <w:tcW w:w="992" w:type="dxa"/>
            <w:shd w:val="solid" w:color="FFFFFF" w:fill="FFFFFF"/>
          </w:tcPr>
          <w:p w14:paraId="12E6C032" w14:textId="77777777" w:rsidR="00236FD5" w:rsidRDefault="00236FD5" w:rsidP="00B610AF">
            <w:pPr>
              <w:pStyle w:val="TblText"/>
            </w:pPr>
          </w:p>
        </w:tc>
        <w:tc>
          <w:tcPr>
            <w:tcW w:w="1418" w:type="dxa"/>
            <w:shd w:val="solid" w:color="FFFFFF" w:fill="FFFFFF"/>
          </w:tcPr>
          <w:p w14:paraId="396801D3" w14:textId="77777777" w:rsidR="00236FD5" w:rsidRDefault="00236FD5" w:rsidP="00B610AF">
            <w:pPr>
              <w:pStyle w:val="TblText"/>
            </w:pPr>
          </w:p>
        </w:tc>
        <w:tc>
          <w:tcPr>
            <w:tcW w:w="1701" w:type="dxa"/>
            <w:shd w:val="solid" w:color="FFFFFF" w:fill="FFFFFF"/>
          </w:tcPr>
          <w:p w14:paraId="661AD650" w14:textId="77777777" w:rsidR="00236FD5" w:rsidRDefault="00236FD5" w:rsidP="00B610AF">
            <w:pPr>
              <w:pStyle w:val="TblText"/>
            </w:pPr>
          </w:p>
        </w:tc>
        <w:tc>
          <w:tcPr>
            <w:tcW w:w="1701" w:type="dxa"/>
            <w:shd w:val="solid" w:color="FFFFFF" w:fill="FFFFFF"/>
          </w:tcPr>
          <w:p w14:paraId="2E9CB306" w14:textId="77777777" w:rsidR="00236FD5" w:rsidRDefault="00236FD5" w:rsidP="00B610AF">
            <w:pPr>
              <w:pStyle w:val="TblText"/>
            </w:pPr>
          </w:p>
        </w:tc>
        <w:tc>
          <w:tcPr>
            <w:tcW w:w="1701" w:type="dxa"/>
            <w:shd w:val="solid" w:color="FFFFFF" w:fill="FFFFFF"/>
          </w:tcPr>
          <w:p w14:paraId="4C8CBF9A" w14:textId="77777777" w:rsidR="00236FD5" w:rsidRDefault="00236FD5" w:rsidP="00B610AF">
            <w:pPr>
              <w:pStyle w:val="TblText"/>
            </w:pPr>
          </w:p>
        </w:tc>
      </w:tr>
    </w:tbl>
    <w:p w14:paraId="67C08EFE" w14:textId="77777777" w:rsidR="00E06E45" w:rsidRDefault="00E06E45">
      <w:pPr>
        <w:pStyle w:val="NormalBullet-"/>
        <w:numPr>
          <w:ilvl w:val="0"/>
          <w:numId w:val="0"/>
        </w:numPr>
      </w:pPr>
    </w:p>
    <w:p w14:paraId="3EF63F19" w14:textId="77777777" w:rsidR="00236FD5" w:rsidRDefault="00236FD5">
      <w:pPr>
        <w:pStyle w:val="NormalBullet-"/>
        <w:numPr>
          <w:ilvl w:val="0"/>
          <w:numId w:val="0"/>
        </w:numPr>
      </w:pPr>
    </w:p>
    <w:p w14:paraId="4DF6C7FC" w14:textId="77777777" w:rsidR="00236FD5" w:rsidRDefault="00236FD5">
      <w:pPr>
        <w:pStyle w:val="NormalBullet-"/>
        <w:numPr>
          <w:ilvl w:val="0"/>
          <w:numId w:val="0"/>
        </w:numPr>
      </w:pPr>
    </w:p>
    <w:p w14:paraId="5F26BEE5" w14:textId="77777777" w:rsidR="00236FD5" w:rsidRDefault="00236FD5">
      <w:pPr>
        <w:pStyle w:val="NormalBullet-"/>
        <w:numPr>
          <w:ilvl w:val="0"/>
          <w:numId w:val="0"/>
        </w:numPr>
      </w:pPr>
    </w:p>
    <w:p w14:paraId="1115259C" w14:textId="77777777" w:rsidR="00236FD5" w:rsidRDefault="00236FD5">
      <w:pPr>
        <w:pStyle w:val="NormalBullet-"/>
        <w:numPr>
          <w:ilvl w:val="0"/>
          <w:numId w:val="0"/>
        </w:numPr>
      </w:pPr>
    </w:p>
    <w:p w14:paraId="75C2B56F" w14:textId="77777777" w:rsidR="00236FD5" w:rsidRDefault="00236FD5">
      <w:pPr>
        <w:pStyle w:val="NormalBullet-"/>
        <w:numPr>
          <w:ilvl w:val="0"/>
          <w:numId w:val="0"/>
        </w:numPr>
      </w:pP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516A91">
      <w:pPr>
        <w:pStyle w:val="Bullet-"/>
        <w:tabs>
          <w:tab w:val="clear" w:pos="1985"/>
          <w:tab w:val="num" w:pos="1701"/>
        </w:tabs>
        <w:ind w:left="1701"/>
      </w:pPr>
      <w:r>
        <w:t xml:space="preserve">Confirm whether you have any potential, actual or perceived conflicts of interest that may by relevant to this requirement and outline what </w:t>
      </w:r>
      <w:r>
        <w:lastRenderedPageBreak/>
        <w:t>safeguards would be put in place to mitigate the risk of actual or perceived conflicts arising during the delivery of these services.</w:t>
      </w:r>
    </w:p>
    <w:p w14:paraId="022EF7CA" w14:textId="6CA96BE7" w:rsidR="00C26E3E" w:rsidRDefault="00716CEC" w:rsidP="00716CEC">
      <w:pPr>
        <w:pStyle w:val="Heading3"/>
      </w:pPr>
      <w:bookmarkStart w:id="18" w:name="_Toc146286764"/>
      <w:r>
        <w:t>Evaluation Criteria</w:t>
      </w:r>
      <w:bookmarkEnd w:id="18"/>
    </w:p>
    <w:p w14:paraId="6EEA6FCE" w14:textId="77777777" w:rsidR="005C29ED" w:rsidRDefault="005C29ED" w:rsidP="009303C5">
      <w:pPr>
        <w:pStyle w:val="Numberedparagraphdouble"/>
      </w:pPr>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 xml:space="preserve">Tender submitted in accordance with the conditions and instructions for </w:t>
      </w:r>
      <w:proofErr w:type="gramStart"/>
      <w:r>
        <w:t>tendering</w:t>
      </w:r>
      <w:proofErr w:type="gramEnd"/>
    </w:p>
    <w:p w14:paraId="41557F9E" w14:textId="76516727" w:rsidR="005C29ED" w:rsidRDefault="005C29ED" w:rsidP="005C29ED">
      <w:pPr>
        <w:pStyle w:val="NormalBulletround"/>
      </w:pPr>
      <w:r>
        <w:t xml:space="preserve">Tender submitted by the closing date and </w:t>
      </w:r>
      <w:proofErr w:type="gramStart"/>
      <w:r>
        <w:t>time</w:t>
      </w:r>
      <w:proofErr w:type="gramEnd"/>
    </w:p>
    <w:p w14:paraId="080DB46E" w14:textId="2BEF4A6A" w:rsidR="005C29ED" w:rsidRDefault="005C29ED" w:rsidP="005C29ED">
      <w:pPr>
        <w:pStyle w:val="NormalBulletround"/>
      </w:pPr>
      <w:r>
        <w:t>Compliance with contractual arrangements.</w:t>
      </w:r>
    </w:p>
    <w:p w14:paraId="092980E7" w14:textId="77777777" w:rsidR="005C29ED" w:rsidRDefault="005C29ED" w:rsidP="009303C5">
      <w:pPr>
        <w:pStyle w:val="Numberedparagraphdouble"/>
      </w:pPr>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0C00C48B" w:rsidR="005C29ED" w:rsidRDefault="005C29ED" w:rsidP="009303C5">
      <w:pPr>
        <w:pStyle w:val="Numberedparagraphdouble"/>
      </w:pPr>
      <w:r>
        <w:t xml:space="preserve">The contract will be awarded to the Bidder(s) submitting the </w:t>
      </w:r>
      <w:r w:rsidRPr="005C29ED">
        <w:rPr>
          <w:b/>
          <w:bCs/>
        </w:rPr>
        <w:t>‘most economically advantageous tender’</w:t>
      </w:r>
      <w:r w:rsidR="00B63C33">
        <w:rPr>
          <w:b/>
          <w:bCs/>
        </w:rPr>
        <w:t xml:space="preserve"> </w:t>
      </w:r>
      <w:r w:rsidR="00B63C33" w:rsidRPr="00B63C33">
        <w:t>in each LOT</w:t>
      </w:r>
      <w:r>
        <w:t xml:space="preserve">. Tenders will be evaluated according to weighted criteria as follows: </w:t>
      </w:r>
    </w:p>
    <w:p w14:paraId="5B0934F1" w14:textId="4478C776" w:rsidR="008E6A20" w:rsidRDefault="00246782" w:rsidP="00246782">
      <w:pPr>
        <w:pStyle w:val="AnnexBulletround"/>
      </w:pPr>
      <w:r>
        <w:t xml:space="preserve">Delivery </w:t>
      </w:r>
      <w:r w:rsidR="008E6A20">
        <w:t xml:space="preserve">Methodology </w:t>
      </w:r>
      <w:r w:rsidR="006571C1">
        <w:t>20</w:t>
      </w:r>
      <w:r w:rsidR="008E6A20">
        <w:t>%</w:t>
      </w:r>
    </w:p>
    <w:p w14:paraId="7D4D759B" w14:textId="6888CAB6" w:rsidR="008E6A20" w:rsidRDefault="008E6A20" w:rsidP="00246782">
      <w:pPr>
        <w:pStyle w:val="AnnexBulletround"/>
      </w:pPr>
      <w:r>
        <w:t xml:space="preserve">Experience </w:t>
      </w:r>
      <w:r w:rsidR="006571C1">
        <w:t>2</w:t>
      </w:r>
      <w:r>
        <w:t>0%</w:t>
      </w:r>
    </w:p>
    <w:p w14:paraId="4A6B731B" w14:textId="77777777" w:rsidR="008E6A20" w:rsidRDefault="008E6A20" w:rsidP="00246782">
      <w:pPr>
        <w:pStyle w:val="AnnexBulletround"/>
      </w:pPr>
      <w:r>
        <w:t>Supplier Terms and Conditions 20%</w:t>
      </w:r>
    </w:p>
    <w:p w14:paraId="717E7AA1" w14:textId="4EA5577B" w:rsidR="00716CEC" w:rsidRDefault="008E6A20" w:rsidP="00D065AD">
      <w:pPr>
        <w:pStyle w:val="AnnexBulletround"/>
      </w:pPr>
      <w:r>
        <w:t>Pric</w:t>
      </w:r>
      <w:r w:rsidR="00246782">
        <w:t>e</w:t>
      </w:r>
      <w:r>
        <w:t xml:space="preserve"> </w:t>
      </w:r>
      <w:r w:rsidR="006571C1">
        <w:t>4</w:t>
      </w:r>
      <w:r>
        <w:t>0%</w:t>
      </w:r>
    </w:p>
    <w:p w14:paraId="00FD59AC" w14:textId="304D3E3F" w:rsidR="00C15B7B" w:rsidRDefault="00C15B7B" w:rsidP="00C15B7B">
      <w:pPr>
        <w:pStyle w:val="Heading4"/>
      </w:pPr>
      <w:r>
        <w:t>Marking scheme</w:t>
      </w:r>
    </w:p>
    <w:p w14:paraId="22907B9A" w14:textId="09ADB708" w:rsidR="00CA25B2" w:rsidRDefault="00246782" w:rsidP="009303C5">
      <w:pPr>
        <w:pStyle w:val="Numberedparagraphdouble"/>
      </w:pPr>
      <w:r>
        <w:t xml:space="preserve">Delivery </w:t>
      </w:r>
      <w:r w:rsidR="00C15B7B" w:rsidRPr="00125666">
        <w:t xml:space="preserve">Methodology, Experience </w:t>
      </w:r>
      <w:r>
        <w:t xml:space="preserve">and Supplier Terms and Conditions </w:t>
      </w:r>
      <w:r w:rsidR="00C15B7B" w:rsidRPr="00125666">
        <w:t>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 xml:space="preserve">Excellent response fully addressing the requirement and providing significant additional evidence of how the criterion has been met and how value would be </w:t>
            </w:r>
            <w:proofErr w:type="gramStart"/>
            <w:r w:rsidRPr="00437772">
              <w:rPr>
                <w:rFonts w:eastAsia="Calibri" w:cs="Arial"/>
                <w:sz w:val="22"/>
                <w:lang w:val="en-US" w:eastAsia="en-GB"/>
              </w:rPr>
              <w:t>added</w:t>
            </w:r>
            <w:proofErr w:type="gramEnd"/>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2E1B955C" w:rsidR="00CA25B2" w:rsidRDefault="00B63C33" w:rsidP="009303C5">
      <w:pPr>
        <w:pStyle w:val="Numberedparagraphdouble"/>
      </w:pPr>
      <w:r>
        <w:t xml:space="preserve">The </w:t>
      </w:r>
      <w:r w:rsidR="00CA25B2">
        <w:t xml:space="preserve">Price evaluation </w:t>
      </w:r>
      <w:r>
        <w:t>shall be undertaken against each LOT as follows</w:t>
      </w:r>
      <w:r w:rsidR="00CA25B2">
        <w:t>:</w:t>
      </w:r>
    </w:p>
    <w:p w14:paraId="25F2EF27" w14:textId="4E21F9B5" w:rsidR="00246782" w:rsidRDefault="00246782" w:rsidP="00B63C33">
      <w:pPr>
        <w:pStyle w:val="Bulletalpha"/>
      </w:pPr>
      <w:r>
        <w:t xml:space="preserve">The price for each course shall be added together to create a total </w:t>
      </w:r>
      <w:r w:rsidR="00B63C33">
        <w:t xml:space="preserve">fixed </w:t>
      </w:r>
      <w:r>
        <w:t>fee</w:t>
      </w:r>
      <w:r w:rsidR="00DA4A08">
        <w:t xml:space="preserve"> and then the following process shall apply:</w:t>
      </w:r>
    </w:p>
    <w:p w14:paraId="50E17621" w14:textId="79A4D9D7" w:rsidR="00CA25B2" w:rsidRDefault="00CA25B2" w:rsidP="00B63C33">
      <w:pPr>
        <w:pStyle w:val="Bulletroman"/>
      </w:pPr>
      <w:r>
        <w:t xml:space="preserve">The lowest </w:t>
      </w:r>
      <w:r w:rsidR="00B63C33">
        <w:t xml:space="preserve">total </w:t>
      </w:r>
      <w:r>
        <w:t>fixed fee will be awarded the maximum price score of 100.</w:t>
      </w:r>
    </w:p>
    <w:p w14:paraId="747DA973" w14:textId="76B7DD88" w:rsidR="00CA25B2" w:rsidRDefault="00CA25B2" w:rsidP="00B63C33">
      <w:pPr>
        <w:pStyle w:val="Bulletroman"/>
      </w:pPr>
      <w:r>
        <w:t xml:space="preserve">All other bidders will get a price score relative to the lowest </w:t>
      </w:r>
      <w:r w:rsidR="00DA4A08">
        <w:t xml:space="preserve">total </w:t>
      </w:r>
      <w:r>
        <w:t>fee tendered.</w:t>
      </w:r>
    </w:p>
    <w:p w14:paraId="72C05532" w14:textId="13DA9C56" w:rsidR="00716CEC" w:rsidRDefault="00CA25B2" w:rsidP="00B63C33">
      <w:pPr>
        <w:pStyle w:val="Bulletroman"/>
      </w:pPr>
      <w:r>
        <w:t>The calculation we will use to calculate your score is as follows:</w:t>
      </w:r>
    </w:p>
    <w:p w14:paraId="520842E7" w14:textId="4EF1FF81" w:rsidR="00CA25B2" w:rsidRDefault="00CA25B2" w:rsidP="0048774B">
      <w:pPr>
        <w:ind w:left="1134"/>
      </w:pPr>
      <w:r>
        <w:lastRenderedPageBreak/>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B63C33">
      <w:pPr>
        <w:pStyle w:val="Bulletalpha"/>
      </w:pPr>
      <w:r>
        <w:t>Your score will then be multiplied by the weighting we have applied to this aspect of the price evaluation to provide a weighted score for the fee.</w:t>
      </w:r>
    </w:p>
    <w:p w14:paraId="410518CC" w14:textId="2F0277AC" w:rsidR="00DA4A08" w:rsidRDefault="00DA4A08" w:rsidP="00DA4A08">
      <w:pPr>
        <w:pStyle w:val="Heading4"/>
      </w:pPr>
      <w:r>
        <w:t>Most Economically Advantageous Tender (MEAT)</w:t>
      </w:r>
    </w:p>
    <w:p w14:paraId="364760DD" w14:textId="6C004A9B" w:rsidR="00DA4A08" w:rsidRPr="00DA4A08" w:rsidRDefault="00B63C33" w:rsidP="009303C5">
      <w:pPr>
        <w:pStyle w:val="Numberedparagraphdouble"/>
      </w:pPr>
      <w:r>
        <w:t>For each LOT t</w:t>
      </w:r>
      <w:r w:rsidR="00DA4A08">
        <w:t xml:space="preserve">he MEAT shall be calculated by adding each of the scores </w:t>
      </w:r>
      <w:r>
        <w:t xml:space="preserve">for </w:t>
      </w:r>
      <w:r w:rsidR="00DA4A08">
        <w:t>Delivery Methodology, Experience, Supplier T&amp;Cs and Price together for a final score.  The highest final score shall be determined to be MEAT.</w:t>
      </w:r>
    </w:p>
    <w:p w14:paraId="13900F93" w14:textId="0C742FE6" w:rsidR="00C15B7B" w:rsidRDefault="002D3643" w:rsidP="002D3643">
      <w:pPr>
        <w:pStyle w:val="Heading2"/>
      </w:pPr>
      <w:bookmarkStart w:id="19" w:name="_Toc146286765"/>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46286766"/>
      <w:r>
        <w:t>Tendering Timetable</w:t>
      </w:r>
      <w:bookmarkEnd w:id="20"/>
    </w:p>
    <w:p w14:paraId="04007131" w14:textId="213E10EB" w:rsidR="00C26E3E" w:rsidRDefault="00400432" w:rsidP="009303C5">
      <w:pPr>
        <w:pStyle w:val="Numberedparagraphdouble"/>
      </w:pPr>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94FA118">
        <w:trPr>
          <w:tblHeader/>
        </w:trPr>
        <w:tc>
          <w:tcPr>
            <w:tcW w:w="5569"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hemeColor="background2"/>
            </w:tcBorders>
            <w:shd w:val="clear" w:color="auto" w:fill="253268" w:themeFill="text2"/>
          </w:tcPr>
          <w:p w14:paraId="0749132E" w14:textId="77777777" w:rsidR="00400432" w:rsidRPr="00400432" w:rsidRDefault="00400432" w:rsidP="00B63C33">
            <w:pPr>
              <w:pStyle w:val="TblHeading"/>
              <w:jc w:val="center"/>
            </w:pPr>
            <w:r w:rsidRPr="00400432">
              <w:t>Timescale</w:t>
            </w:r>
          </w:p>
        </w:tc>
      </w:tr>
      <w:tr w:rsidR="00400432" w:rsidRPr="00400432" w14:paraId="36ED9179" w14:textId="77777777" w:rsidTr="094FA118">
        <w:tc>
          <w:tcPr>
            <w:tcW w:w="5569"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hemeColor="background2"/>
            </w:tcBorders>
            <w:shd w:val="clear" w:color="auto" w:fill="FFFFFF" w:themeFill="background2"/>
            <w:vAlign w:val="center"/>
          </w:tcPr>
          <w:p w14:paraId="0B221E35" w14:textId="4F9683BE" w:rsidR="00400432" w:rsidRPr="00DA4A08" w:rsidRDefault="00B63C33" w:rsidP="00B63C33">
            <w:pPr>
              <w:pStyle w:val="TblText"/>
              <w:jc w:val="center"/>
            </w:pPr>
            <w:r>
              <w:t>02</w:t>
            </w:r>
            <w:r>
              <w:t xml:space="preserve"> </w:t>
            </w:r>
            <w:r w:rsidR="00001AFC">
              <w:t>November</w:t>
            </w:r>
            <w:r>
              <w:t xml:space="preserve"> 2023</w:t>
            </w:r>
          </w:p>
        </w:tc>
      </w:tr>
      <w:tr w:rsidR="00400432" w:rsidRPr="00400432" w14:paraId="42283B80" w14:textId="77777777" w:rsidTr="094FA118">
        <w:tc>
          <w:tcPr>
            <w:tcW w:w="5569"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hemeColor="background2"/>
            </w:tcBorders>
            <w:shd w:val="clear" w:color="auto" w:fill="E4E7F5"/>
            <w:vAlign w:val="center"/>
          </w:tcPr>
          <w:p w14:paraId="4308C2DC" w14:textId="5F255E32" w:rsidR="00400432" w:rsidRPr="00DA4A08" w:rsidRDefault="00001AFC" w:rsidP="00B63C33">
            <w:pPr>
              <w:pStyle w:val="TblText"/>
              <w:jc w:val="center"/>
            </w:pPr>
            <w:r>
              <w:t>22 November</w:t>
            </w:r>
            <w:r w:rsidR="00B63C33">
              <w:t xml:space="preserve"> 2023</w:t>
            </w:r>
            <w:r>
              <w:t xml:space="preserve"> (12:00pm)</w:t>
            </w:r>
          </w:p>
        </w:tc>
      </w:tr>
      <w:tr w:rsidR="00400432" w:rsidRPr="00400432" w14:paraId="66301268" w14:textId="77777777" w:rsidTr="094FA118">
        <w:tc>
          <w:tcPr>
            <w:tcW w:w="5569"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hemeColor="background2"/>
            </w:tcBorders>
            <w:shd w:val="clear" w:color="auto" w:fill="FFFFFF" w:themeFill="background2"/>
            <w:vAlign w:val="center"/>
          </w:tcPr>
          <w:p w14:paraId="63343DB4" w14:textId="646C7596" w:rsidR="00400432" w:rsidRPr="00DA4A08" w:rsidRDefault="00001AFC" w:rsidP="00B63C33">
            <w:pPr>
              <w:pStyle w:val="TblText"/>
              <w:jc w:val="center"/>
            </w:pPr>
            <w:r>
              <w:t>29 November</w:t>
            </w:r>
            <w:r w:rsidR="00B63C33">
              <w:t xml:space="preserve"> 20</w:t>
            </w:r>
            <w:r w:rsidR="005826A2" w:rsidRPr="00DA4A08">
              <w:t>23</w:t>
            </w:r>
            <w:r>
              <w:t xml:space="preserve"> (12:00pm)</w:t>
            </w:r>
          </w:p>
        </w:tc>
      </w:tr>
      <w:tr w:rsidR="00400432" w:rsidRPr="00400432" w14:paraId="2D3D0936" w14:textId="77777777" w:rsidTr="094FA118">
        <w:tc>
          <w:tcPr>
            <w:tcW w:w="5569" w:type="dxa"/>
            <w:tcBorders>
              <w:bottom w:val="single" w:sz="12" w:space="0" w:color="FFFFFF" w:themeColor="background2"/>
            </w:tcBorders>
            <w:shd w:val="clear" w:color="auto" w:fill="E4E7F5"/>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hemeColor="background2"/>
            </w:tcBorders>
            <w:shd w:val="clear" w:color="auto" w:fill="E4E7F5"/>
            <w:vAlign w:val="center"/>
          </w:tcPr>
          <w:p w14:paraId="2FF6E1B1" w14:textId="77E03673" w:rsidR="00400432" w:rsidRPr="00DA4A08" w:rsidRDefault="00B63C33" w:rsidP="00B63C33">
            <w:pPr>
              <w:pStyle w:val="TblText"/>
              <w:jc w:val="center"/>
            </w:pPr>
            <w:r>
              <w:t xml:space="preserve"> </w:t>
            </w:r>
            <w:r w:rsidR="00001AFC">
              <w:t xml:space="preserve">13 December </w:t>
            </w:r>
            <w:r>
              <w:t>20</w:t>
            </w:r>
            <w:r w:rsidR="005826A2" w:rsidRPr="00DA4A08">
              <w:t>23</w:t>
            </w:r>
          </w:p>
        </w:tc>
      </w:tr>
      <w:tr w:rsidR="00400432" w:rsidRPr="00400432" w14:paraId="3E83975E" w14:textId="77777777" w:rsidTr="094FA118">
        <w:tc>
          <w:tcPr>
            <w:tcW w:w="5569" w:type="dxa"/>
            <w:shd w:val="clear" w:color="auto" w:fill="FFFFFF" w:themeFill="background2"/>
          </w:tcPr>
          <w:p w14:paraId="19972227" w14:textId="747D4C2B" w:rsidR="00400432" w:rsidRPr="00400432" w:rsidRDefault="00DA4A08" w:rsidP="00400432">
            <w:pPr>
              <w:pStyle w:val="TblText"/>
            </w:pPr>
            <w:r>
              <w:t>PTS Service Commences</w:t>
            </w:r>
          </w:p>
        </w:tc>
        <w:tc>
          <w:tcPr>
            <w:tcW w:w="4069" w:type="dxa"/>
            <w:shd w:val="clear" w:color="auto" w:fill="FFFFFF" w:themeFill="background2"/>
            <w:vAlign w:val="center"/>
          </w:tcPr>
          <w:p w14:paraId="5605FB39" w14:textId="05B97F1A" w:rsidR="00400432" w:rsidRPr="00DA4A08" w:rsidRDefault="00B63C33" w:rsidP="00B63C33">
            <w:pPr>
              <w:pStyle w:val="TblText"/>
              <w:jc w:val="center"/>
            </w:pPr>
            <w:r>
              <w:t>0</w:t>
            </w:r>
            <w:r w:rsidR="6560DA5D">
              <w:t>2</w:t>
            </w:r>
            <w:r>
              <w:t xml:space="preserve"> </w:t>
            </w:r>
            <w:r w:rsidR="00120AD1">
              <w:t>January</w:t>
            </w:r>
            <w:r>
              <w:t xml:space="preserve"> 202</w:t>
            </w:r>
            <w:r w:rsidR="00120AD1">
              <w:t>4</w:t>
            </w:r>
          </w:p>
        </w:tc>
      </w:tr>
    </w:tbl>
    <w:p w14:paraId="3DFADB3D" w14:textId="77777777" w:rsidR="00433557" w:rsidRDefault="00433557" w:rsidP="000A0438">
      <w:pPr>
        <w:pStyle w:val="Heading3"/>
      </w:pPr>
      <w:bookmarkStart w:id="21" w:name="_Toc146286767"/>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9303C5">
      <w:pPr>
        <w:pStyle w:val="Numberedparagraphdouble"/>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9303C5">
      <w:pPr>
        <w:pStyle w:val="Numberedparagraphdouble"/>
      </w:pPr>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9303C5">
      <w:pPr>
        <w:pStyle w:val="Numberedparagraphdouble"/>
      </w:pPr>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78FF1853" w14:textId="77777777" w:rsidR="00433557" w:rsidRDefault="00433557" w:rsidP="009303C5">
      <w:pPr>
        <w:pStyle w:val="Numberedparagraphdouble"/>
      </w:pPr>
      <w:r>
        <w:t xml:space="preserve">Please submit the Form of Tender and Disclaimer certificate along with your proposal. If you are already registered on our </w:t>
      </w:r>
      <w:proofErr w:type="spellStart"/>
      <w:r>
        <w:t>eTendering</w:t>
      </w:r>
      <w:proofErr w:type="spellEnd"/>
      <w:r>
        <w:t xml:space="preserve"> portal but have forgotten your login details, please contact the portal administrator.</w:t>
      </w:r>
    </w:p>
    <w:p w14:paraId="6D553397" w14:textId="77777777" w:rsidR="00433557" w:rsidRDefault="00433557" w:rsidP="009303C5">
      <w:pPr>
        <w:pStyle w:val="Numberedparagraphdouble"/>
      </w:pPr>
      <w:r>
        <w:lastRenderedPageBreak/>
        <w:t xml:space="preserve">An evaluation team will evaluate all tenders correctly submitted against the stated evaluation criteria. </w:t>
      </w:r>
    </w:p>
    <w:p w14:paraId="78A92967" w14:textId="77777777" w:rsidR="00433557" w:rsidRDefault="00433557" w:rsidP="009303C5">
      <w:pPr>
        <w:pStyle w:val="Numberedparagraphdouble"/>
      </w:pPr>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w:t>
      </w:r>
      <w:proofErr w:type="gramStart"/>
      <w:r>
        <w:t>supplier</w:t>
      </w:r>
      <w:proofErr w:type="gramEnd"/>
      <w:r>
        <w:t xml:space="preserve"> </w:t>
      </w:r>
    </w:p>
    <w:p w14:paraId="645F65A0" w14:textId="77777777" w:rsidR="00433557" w:rsidRDefault="00433557" w:rsidP="000A0438">
      <w:pPr>
        <w:pStyle w:val="Heading4"/>
      </w:pPr>
      <w:r>
        <w:t>Cost &amp; Pricing Information</w:t>
      </w:r>
    </w:p>
    <w:p w14:paraId="3ACAA94E" w14:textId="77777777" w:rsidR="00433557" w:rsidRDefault="00433557" w:rsidP="009303C5">
      <w:pPr>
        <w:pStyle w:val="Numberedparagraphdouble"/>
      </w:pPr>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9303C5">
      <w:pPr>
        <w:pStyle w:val="Numberedparagraphdouble"/>
      </w:pPr>
      <w:r>
        <w:t>Tender prices must be in Sterling.</w:t>
      </w:r>
    </w:p>
    <w:p w14:paraId="75B0EAC7" w14:textId="77777777" w:rsidR="00433557" w:rsidRDefault="00433557" w:rsidP="009303C5">
      <w:pPr>
        <w:pStyle w:val="Numberedparagraphdouble"/>
      </w:pPr>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9303C5">
      <w:pPr>
        <w:pStyle w:val="Numberedparagraphdouble"/>
      </w:pPr>
      <w:r>
        <w:t xml:space="preserve">References provided as part of the tender may be approached during the tender </w:t>
      </w:r>
      <w:proofErr w:type="gramStart"/>
      <w:r>
        <w:t>stage</w:t>
      </w:r>
      <w:proofErr w:type="gramEnd"/>
    </w:p>
    <w:p w14:paraId="6E143A93" w14:textId="77777777" w:rsidR="00433557" w:rsidRDefault="00433557" w:rsidP="000A0438">
      <w:pPr>
        <w:pStyle w:val="Heading4"/>
      </w:pPr>
      <w:r>
        <w:t>Accessibility Guidelines</w:t>
      </w:r>
    </w:p>
    <w:p w14:paraId="1917FF3C" w14:textId="766B2272" w:rsidR="00433557" w:rsidRDefault="00433557" w:rsidP="009303C5">
      <w:pPr>
        <w:pStyle w:val="Numberedparagraphdouble"/>
      </w:pPr>
      <w:r>
        <w:t>As a public body we are legally required to comply with accessibility guidelines. Please ensure any commissioned report is in a format that meets web accessibility regulations</w:t>
      </w:r>
      <w:r w:rsidR="0042552D">
        <w:t>:</w:t>
      </w:r>
      <w:r>
        <w:t xml:space="preserve"> </w:t>
      </w:r>
      <w:hyperlink r:id="rId21"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9303C5">
      <w:pPr>
        <w:pStyle w:val="Numberedparagraphdouble"/>
      </w:pPr>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9303C5">
      <w:pPr>
        <w:pStyle w:val="Numberedparagraphdouble"/>
      </w:pPr>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w:t>
      </w:r>
      <w:proofErr w:type="gramStart"/>
      <w:r>
        <w:t>responsibilities</w:t>
      </w:r>
      <w:proofErr w:type="gramEnd"/>
      <w:r>
        <w:t xml:space="preserve"> and proposed management arrangements. </w:t>
      </w:r>
    </w:p>
    <w:p w14:paraId="7AB0DA44" w14:textId="7CCB9D79" w:rsidR="00D2517B" w:rsidRDefault="009303C5" w:rsidP="009303C5">
      <w:pPr>
        <w:pStyle w:val="Numberedparagraphdouble"/>
      </w:pPr>
      <w:r>
        <w:lastRenderedPageBreak/>
        <w:t>The proposal should be submitted in the form of an unconditional offer that is capable of being accepted by the ORR without the need for further negotiation.</w:t>
      </w:r>
    </w:p>
    <w:p w14:paraId="6D0DECAE" w14:textId="77777777" w:rsidR="00D2517B" w:rsidRDefault="00D2517B" w:rsidP="009834E3">
      <w:pPr>
        <w:pStyle w:val="Heading4"/>
      </w:pPr>
      <w:r>
        <w:t>ORR’s Transparency Obligations and the Freedom of Information Act 2000 (the Act)</w:t>
      </w:r>
    </w:p>
    <w:p w14:paraId="4A3DD302" w14:textId="77777777" w:rsidR="00D2517B" w:rsidRDefault="00D2517B" w:rsidP="009303C5">
      <w:pPr>
        <w:pStyle w:val="Numberedparagraphdouble"/>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9303C5">
      <w:pPr>
        <w:pStyle w:val="Numberedparagraphdouble"/>
      </w:pPr>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 xml:space="preserve">governance arrangements including through supply chains where significant contract value rests with </w:t>
      </w:r>
      <w:proofErr w:type="gramStart"/>
      <w:r>
        <w:t>subcontractors</w:t>
      </w:r>
      <w:proofErr w:type="gramEnd"/>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9303C5">
      <w:pPr>
        <w:pStyle w:val="Numberedparagraphdouble"/>
      </w:pPr>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9303C5">
      <w:pPr>
        <w:pStyle w:val="Numberedparagraphdouble"/>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w:t>
      </w:r>
      <w:r>
        <w:lastRenderedPageBreak/>
        <w:t>duty of confidence by virtue of that marking.   If a request is received ORR may also be required to disclose details of unsuccessful bids</w:t>
      </w:r>
    </w:p>
    <w:p w14:paraId="2EB7A5C9" w14:textId="4751D542" w:rsidR="00D2517B" w:rsidRDefault="00D2517B" w:rsidP="009303C5">
      <w:pPr>
        <w:pStyle w:val="Numberedparagraphdouble"/>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567EC">
          <w:headerReference w:type="even" r:id="rId22"/>
          <w:headerReference w:type="default" r:id="rId23"/>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41238CD7">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5831562E" w:rsidR="00D25F7E" w:rsidRDefault="00D25F7E" w:rsidP="00D25F7E">
      <w:pPr>
        <w:pStyle w:val="Copyrighttext"/>
      </w:pPr>
      <w:r>
        <w:t>© Crown copyright 202</w:t>
      </w:r>
      <w:r w:rsidR="009834E3">
        <w:t>3</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5"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6"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7" w:history="1">
        <w:r w:rsidR="008F0B87" w:rsidRPr="00C9621C">
          <w:rPr>
            <w:rStyle w:val="Hyperlink"/>
          </w:rPr>
          <w:t>procurementteam@orr.gov.uk</w:t>
        </w:r>
      </w:hyperlink>
      <w:r w:rsidR="008F0B87">
        <w:t xml:space="preserve"> </w:t>
      </w:r>
    </w:p>
    <w:sectPr w:rsidR="00D25F7E" w:rsidRPr="00D25F7E" w:rsidSect="00D25F7E">
      <w:headerReference w:type="even" r:id="rId28"/>
      <w:headerReference w:type="default" r:id="rId29"/>
      <w:footerReference w:type="even" r:id="rId30"/>
      <w:footerReference w:type="default" r:id="rId31"/>
      <w:headerReference w:type="first" r:id="rId32"/>
      <w:footerReference w:type="first" r:id="rId33"/>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D7A4" w14:textId="77777777" w:rsidR="00FC6860" w:rsidRDefault="00FC6860" w:rsidP="00555585">
      <w:pPr>
        <w:spacing w:after="0" w:line="240" w:lineRule="auto"/>
      </w:pPr>
      <w:r>
        <w:separator/>
      </w:r>
    </w:p>
  </w:endnote>
  <w:endnote w:type="continuationSeparator" w:id="0">
    <w:p w14:paraId="2486195E" w14:textId="77777777" w:rsidR="00FC6860" w:rsidRDefault="00FC6860" w:rsidP="0055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89984"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71C4F">
    <w:pPr>
      <w:pStyle w:val="Footer"/>
    </w:pPr>
    <w:r>
      <w:rPr>
        <w:noProof/>
        <w:lang w:eastAsia="en-GB"/>
      </w:rPr>
      <w:drawing>
        <wp:anchor distT="0" distB="0" distL="114300" distR="114300" simplePos="0" relativeHeight="251691008"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705344"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1717607042" name="Picture 17176070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95104"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322273769" name="Picture 322273769"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97152"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87936"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149C" w14:textId="77777777" w:rsidR="00FC6860" w:rsidRDefault="00FC6860" w:rsidP="00555585">
      <w:pPr>
        <w:spacing w:after="0" w:line="240" w:lineRule="auto"/>
      </w:pPr>
      <w:r>
        <w:separator/>
      </w:r>
    </w:p>
  </w:footnote>
  <w:footnote w:type="continuationSeparator" w:id="0">
    <w:p w14:paraId="75461C3C" w14:textId="77777777" w:rsidR="00FC6860" w:rsidRDefault="00FC6860" w:rsidP="00555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85812496" name="Picture 185812496"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2" w:name="bmkBackPage"/>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CF42964C"/>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multilevel"/>
    <w:tmpl w:val="D79C245A"/>
    <w:numStyleLink w:val="ORRNormalList"/>
  </w:abstractNum>
  <w:abstractNum w:abstractNumId="6"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21336443"/>
    <w:multiLevelType w:val="multilevel"/>
    <w:tmpl w:val="FEF47FD2"/>
    <w:numStyleLink w:val="ORRSummary"/>
  </w:abstractNum>
  <w:abstractNum w:abstractNumId="9" w15:restartNumberingAfterBreak="0">
    <w:nsid w:val="28296852"/>
    <w:multiLevelType w:val="multilevel"/>
    <w:tmpl w:val="D79C245A"/>
    <w:numStyleLink w:val="ORRNormalList"/>
  </w:abstractNum>
  <w:abstractNum w:abstractNumId="10" w15:restartNumberingAfterBreak="0">
    <w:nsid w:val="307830FF"/>
    <w:multiLevelType w:val="hybridMultilevel"/>
    <w:tmpl w:val="6BF4E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961ED"/>
    <w:multiLevelType w:val="hybridMultilevel"/>
    <w:tmpl w:val="19D20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D854E9"/>
    <w:multiLevelType w:val="hybridMultilevel"/>
    <w:tmpl w:val="ADAC405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9A76BCC"/>
    <w:multiLevelType w:val="multilevel"/>
    <w:tmpl w:val="D79C245A"/>
    <w:numStyleLink w:val="ORRNormalList"/>
  </w:abstractNum>
  <w:abstractNum w:abstractNumId="14"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35B14CE"/>
    <w:multiLevelType w:val="hybridMultilevel"/>
    <w:tmpl w:val="A2E0D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9"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20" w15:restartNumberingAfterBreak="0">
    <w:nsid w:val="671F5E2E"/>
    <w:multiLevelType w:val="hybridMultilevel"/>
    <w:tmpl w:val="A9222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BD5682"/>
    <w:multiLevelType w:val="multilevel"/>
    <w:tmpl w:val="EAD453D0"/>
    <w:numStyleLink w:val="NumbListHighlight"/>
  </w:abstractNum>
  <w:abstractNum w:abstractNumId="22"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17366A"/>
    <w:multiLevelType w:val="hybridMultilevel"/>
    <w:tmpl w:val="89DE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15:restartNumberingAfterBreak="0">
    <w:nsid w:val="70955658"/>
    <w:multiLevelType w:val="hybridMultilevel"/>
    <w:tmpl w:val="90688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4C62AB"/>
    <w:multiLevelType w:val="multilevel"/>
    <w:tmpl w:val="6B204466"/>
    <w:numStyleLink w:val="ORRAnnex"/>
  </w:abstractNum>
  <w:abstractNum w:abstractNumId="27" w15:restartNumberingAfterBreak="0">
    <w:nsid w:val="7DDA5CB4"/>
    <w:multiLevelType w:val="multilevel"/>
    <w:tmpl w:val="6B204466"/>
    <w:numStyleLink w:val="ORRAnnex"/>
  </w:abstractNum>
  <w:num w:numId="1" w16cid:durableId="12330070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4"/>
  </w:num>
  <w:num w:numId="3" w16cid:durableId="615990203">
    <w:abstractNumId w:val="6"/>
  </w:num>
  <w:num w:numId="4" w16cid:durableId="1539008159">
    <w:abstractNumId w:val="18"/>
  </w:num>
  <w:num w:numId="5" w16cid:durableId="1334801291">
    <w:abstractNumId w:val="7"/>
  </w:num>
  <w:num w:numId="6" w16cid:durableId="116142554">
    <w:abstractNumId w:val="13"/>
  </w:num>
  <w:num w:numId="7" w16cid:durableId="1708795862">
    <w:abstractNumId w:val="8"/>
  </w:num>
  <w:num w:numId="8" w16cid:durableId="1432780497">
    <w:abstractNumId w:val="4"/>
  </w:num>
  <w:num w:numId="9" w16cid:durableId="35012236">
    <w:abstractNumId w:val="3"/>
    <w:lvlOverride w:ilvl="1">
      <w:lvl w:ilvl="1">
        <w:start w:val="1"/>
        <w:numFmt w:val="decimal"/>
        <w:pStyle w:val="Numberedparagraphdouble"/>
        <w:lvlText w:val="%1.%2"/>
        <w:lvlJc w:val="left"/>
        <w:pPr>
          <w:tabs>
            <w:tab w:val="num" w:pos="851"/>
          </w:tabs>
          <w:ind w:left="851" w:hanging="851"/>
        </w:pPr>
        <w:rPr>
          <w:rFonts w:hint="default"/>
          <w:b w:val="0"/>
          <w:bCs w:val="0"/>
        </w:rPr>
      </w:lvl>
    </w:lvlOverride>
  </w:num>
  <w:num w:numId="10" w16cid:durableId="711077664">
    <w:abstractNumId w:val="0"/>
  </w:num>
  <w:num w:numId="11" w16cid:durableId="1604993918">
    <w:abstractNumId w:val="21"/>
  </w:num>
  <w:num w:numId="12" w16cid:durableId="435447028">
    <w:abstractNumId w:val="19"/>
  </w:num>
  <w:num w:numId="13" w16cid:durableId="2048019962">
    <w:abstractNumId w:val="26"/>
  </w:num>
  <w:num w:numId="14" w16cid:durableId="2025738407">
    <w:abstractNumId w:val="21"/>
  </w:num>
  <w:num w:numId="15" w16cid:durableId="150879135">
    <w:abstractNumId w:val="21"/>
  </w:num>
  <w:num w:numId="16" w16cid:durableId="891042484">
    <w:abstractNumId w:val="21"/>
  </w:num>
  <w:num w:numId="17" w16cid:durableId="727414043">
    <w:abstractNumId w:val="19"/>
  </w:num>
  <w:num w:numId="18" w16cid:durableId="1027833524">
    <w:abstractNumId w:val="1"/>
  </w:num>
  <w:num w:numId="19" w16cid:durableId="50661355">
    <w:abstractNumId w:val="5"/>
  </w:num>
  <w:num w:numId="20" w16cid:durableId="1446195555">
    <w:abstractNumId w:val="3"/>
  </w:num>
  <w:num w:numId="21" w16cid:durableId="558327301">
    <w:abstractNumId w:val="27"/>
  </w:num>
  <w:num w:numId="22" w16cid:durableId="463500638">
    <w:abstractNumId w:val="15"/>
  </w:num>
  <w:num w:numId="23" w16cid:durableId="1527019102">
    <w:abstractNumId w:val="2"/>
  </w:num>
  <w:num w:numId="24" w16cid:durableId="1992102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9"/>
  </w:num>
  <w:num w:numId="26" w16cid:durableId="1830293373">
    <w:abstractNumId w:val="22"/>
  </w:num>
  <w:num w:numId="27"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7"/>
  </w:num>
  <w:num w:numId="33" w16cid:durableId="2013098214">
    <w:abstractNumId w:val="20"/>
  </w:num>
  <w:num w:numId="34" w16cid:durableId="509368580">
    <w:abstractNumId w:val="10"/>
  </w:num>
  <w:num w:numId="35" w16cid:durableId="215430450">
    <w:abstractNumId w:val="23"/>
  </w:num>
  <w:num w:numId="36" w16cid:durableId="281545049">
    <w:abstractNumId w:val="16"/>
  </w:num>
  <w:num w:numId="37" w16cid:durableId="1959604619">
    <w:abstractNumId w:val="25"/>
  </w:num>
  <w:num w:numId="38" w16cid:durableId="1872258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0679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5696760">
    <w:abstractNumId w:val="12"/>
  </w:num>
  <w:num w:numId="41" w16cid:durableId="127921919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1AFC"/>
    <w:rsid w:val="00002819"/>
    <w:rsid w:val="000032A5"/>
    <w:rsid w:val="0000479A"/>
    <w:rsid w:val="000216F1"/>
    <w:rsid w:val="0002210B"/>
    <w:rsid w:val="0003350C"/>
    <w:rsid w:val="00036DEB"/>
    <w:rsid w:val="00037BD2"/>
    <w:rsid w:val="00042B65"/>
    <w:rsid w:val="00043DA2"/>
    <w:rsid w:val="0004428A"/>
    <w:rsid w:val="00045A3C"/>
    <w:rsid w:val="0005181F"/>
    <w:rsid w:val="00064CF1"/>
    <w:rsid w:val="00066737"/>
    <w:rsid w:val="000735F1"/>
    <w:rsid w:val="00076B67"/>
    <w:rsid w:val="000833AF"/>
    <w:rsid w:val="00084783"/>
    <w:rsid w:val="00084972"/>
    <w:rsid w:val="0008514C"/>
    <w:rsid w:val="000876CB"/>
    <w:rsid w:val="0009126F"/>
    <w:rsid w:val="0009203F"/>
    <w:rsid w:val="000A0438"/>
    <w:rsid w:val="000A6DE7"/>
    <w:rsid w:val="000B00DD"/>
    <w:rsid w:val="000B0266"/>
    <w:rsid w:val="000B309A"/>
    <w:rsid w:val="000B6176"/>
    <w:rsid w:val="000C7B66"/>
    <w:rsid w:val="000D2970"/>
    <w:rsid w:val="000E135E"/>
    <w:rsid w:val="000E5AB1"/>
    <w:rsid w:val="000E5E49"/>
    <w:rsid w:val="000F4554"/>
    <w:rsid w:val="000F5529"/>
    <w:rsid w:val="000F70BB"/>
    <w:rsid w:val="000F7BB6"/>
    <w:rsid w:val="001012B6"/>
    <w:rsid w:val="00102F62"/>
    <w:rsid w:val="00120892"/>
    <w:rsid w:val="00120AD1"/>
    <w:rsid w:val="0012193D"/>
    <w:rsid w:val="00121E3C"/>
    <w:rsid w:val="00124D1D"/>
    <w:rsid w:val="001311C3"/>
    <w:rsid w:val="00137015"/>
    <w:rsid w:val="00141746"/>
    <w:rsid w:val="001446C3"/>
    <w:rsid w:val="001526A6"/>
    <w:rsid w:val="00155088"/>
    <w:rsid w:val="0015625B"/>
    <w:rsid w:val="00156D5F"/>
    <w:rsid w:val="00160B26"/>
    <w:rsid w:val="00162B03"/>
    <w:rsid w:val="001659DD"/>
    <w:rsid w:val="00175A76"/>
    <w:rsid w:val="001768F1"/>
    <w:rsid w:val="00180E47"/>
    <w:rsid w:val="001858EB"/>
    <w:rsid w:val="00194E09"/>
    <w:rsid w:val="00195C79"/>
    <w:rsid w:val="001A00F0"/>
    <w:rsid w:val="001A1058"/>
    <w:rsid w:val="001B3FD8"/>
    <w:rsid w:val="001B54A7"/>
    <w:rsid w:val="001B551F"/>
    <w:rsid w:val="001B5A48"/>
    <w:rsid w:val="001B62CD"/>
    <w:rsid w:val="001B71F8"/>
    <w:rsid w:val="001C60A4"/>
    <w:rsid w:val="001D1536"/>
    <w:rsid w:val="001D590D"/>
    <w:rsid w:val="001D5DF3"/>
    <w:rsid w:val="001E168A"/>
    <w:rsid w:val="001E23F4"/>
    <w:rsid w:val="001E310A"/>
    <w:rsid w:val="001E7C87"/>
    <w:rsid w:val="001F1140"/>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36FD5"/>
    <w:rsid w:val="00240410"/>
    <w:rsid w:val="002459ED"/>
    <w:rsid w:val="00246782"/>
    <w:rsid w:val="0025242F"/>
    <w:rsid w:val="00257BE5"/>
    <w:rsid w:val="00272200"/>
    <w:rsid w:val="00276C64"/>
    <w:rsid w:val="0028433A"/>
    <w:rsid w:val="00286CF2"/>
    <w:rsid w:val="0028735A"/>
    <w:rsid w:val="00291D61"/>
    <w:rsid w:val="0029283C"/>
    <w:rsid w:val="00293D38"/>
    <w:rsid w:val="00297104"/>
    <w:rsid w:val="002B7995"/>
    <w:rsid w:val="002C3239"/>
    <w:rsid w:val="002C5A50"/>
    <w:rsid w:val="002C6E70"/>
    <w:rsid w:val="002D0E5B"/>
    <w:rsid w:val="002D3378"/>
    <w:rsid w:val="002D3643"/>
    <w:rsid w:val="002D46DA"/>
    <w:rsid w:val="002E2DAD"/>
    <w:rsid w:val="002E7122"/>
    <w:rsid w:val="002F111F"/>
    <w:rsid w:val="002F2791"/>
    <w:rsid w:val="002F5466"/>
    <w:rsid w:val="002F56B7"/>
    <w:rsid w:val="00301286"/>
    <w:rsid w:val="0030237B"/>
    <w:rsid w:val="003027B1"/>
    <w:rsid w:val="00311FD5"/>
    <w:rsid w:val="003247A4"/>
    <w:rsid w:val="003366E7"/>
    <w:rsid w:val="0034288F"/>
    <w:rsid w:val="00343838"/>
    <w:rsid w:val="00347F87"/>
    <w:rsid w:val="00350594"/>
    <w:rsid w:val="003543C0"/>
    <w:rsid w:val="0035475B"/>
    <w:rsid w:val="00355203"/>
    <w:rsid w:val="0035753E"/>
    <w:rsid w:val="0036504A"/>
    <w:rsid w:val="00372316"/>
    <w:rsid w:val="00372ABD"/>
    <w:rsid w:val="00374BAE"/>
    <w:rsid w:val="003764B8"/>
    <w:rsid w:val="0037698B"/>
    <w:rsid w:val="003813C5"/>
    <w:rsid w:val="00384699"/>
    <w:rsid w:val="00385387"/>
    <w:rsid w:val="00385F6B"/>
    <w:rsid w:val="00386AF7"/>
    <w:rsid w:val="00386E0A"/>
    <w:rsid w:val="003A0B08"/>
    <w:rsid w:val="003A15C6"/>
    <w:rsid w:val="003B008E"/>
    <w:rsid w:val="003B09D0"/>
    <w:rsid w:val="003B1008"/>
    <w:rsid w:val="003B27DE"/>
    <w:rsid w:val="003C0BDF"/>
    <w:rsid w:val="003C0CE5"/>
    <w:rsid w:val="003C247A"/>
    <w:rsid w:val="003C3449"/>
    <w:rsid w:val="003C3BA6"/>
    <w:rsid w:val="003C462A"/>
    <w:rsid w:val="003D0868"/>
    <w:rsid w:val="003D1485"/>
    <w:rsid w:val="003D1B7D"/>
    <w:rsid w:val="003D1CC2"/>
    <w:rsid w:val="003D30C6"/>
    <w:rsid w:val="003D5926"/>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55A"/>
    <w:rsid w:val="004308C7"/>
    <w:rsid w:val="00433557"/>
    <w:rsid w:val="00433D4D"/>
    <w:rsid w:val="004372B6"/>
    <w:rsid w:val="0043752D"/>
    <w:rsid w:val="00437772"/>
    <w:rsid w:val="004462A6"/>
    <w:rsid w:val="00446747"/>
    <w:rsid w:val="00451C67"/>
    <w:rsid w:val="00452F29"/>
    <w:rsid w:val="00454D76"/>
    <w:rsid w:val="00457556"/>
    <w:rsid w:val="00465E6B"/>
    <w:rsid w:val="00472A7C"/>
    <w:rsid w:val="00476327"/>
    <w:rsid w:val="00477F9A"/>
    <w:rsid w:val="00482227"/>
    <w:rsid w:val="0048300B"/>
    <w:rsid w:val="0048774B"/>
    <w:rsid w:val="00490915"/>
    <w:rsid w:val="00494943"/>
    <w:rsid w:val="00495203"/>
    <w:rsid w:val="004964CA"/>
    <w:rsid w:val="004A0056"/>
    <w:rsid w:val="004A0C10"/>
    <w:rsid w:val="004A24AB"/>
    <w:rsid w:val="004A743E"/>
    <w:rsid w:val="004B2D5D"/>
    <w:rsid w:val="004B336F"/>
    <w:rsid w:val="004C0FAF"/>
    <w:rsid w:val="004C1FDD"/>
    <w:rsid w:val="004C449E"/>
    <w:rsid w:val="004D1C50"/>
    <w:rsid w:val="004D5D65"/>
    <w:rsid w:val="004E57B7"/>
    <w:rsid w:val="004E5ACC"/>
    <w:rsid w:val="004E60C0"/>
    <w:rsid w:val="004F2AE4"/>
    <w:rsid w:val="004F6111"/>
    <w:rsid w:val="005165AD"/>
    <w:rsid w:val="00516A91"/>
    <w:rsid w:val="00526956"/>
    <w:rsid w:val="00532B91"/>
    <w:rsid w:val="00534962"/>
    <w:rsid w:val="00536EB2"/>
    <w:rsid w:val="00544099"/>
    <w:rsid w:val="00546AF7"/>
    <w:rsid w:val="00555585"/>
    <w:rsid w:val="00560F57"/>
    <w:rsid w:val="005612F3"/>
    <w:rsid w:val="005635FA"/>
    <w:rsid w:val="00574B16"/>
    <w:rsid w:val="00580A77"/>
    <w:rsid w:val="005826A2"/>
    <w:rsid w:val="00585CEE"/>
    <w:rsid w:val="00591161"/>
    <w:rsid w:val="00596F73"/>
    <w:rsid w:val="005B27FB"/>
    <w:rsid w:val="005B3ED1"/>
    <w:rsid w:val="005B621F"/>
    <w:rsid w:val="005B6ED3"/>
    <w:rsid w:val="005B7791"/>
    <w:rsid w:val="005C0E21"/>
    <w:rsid w:val="005C29ED"/>
    <w:rsid w:val="005C5BD8"/>
    <w:rsid w:val="005C6471"/>
    <w:rsid w:val="005C78C8"/>
    <w:rsid w:val="005D0524"/>
    <w:rsid w:val="005D169D"/>
    <w:rsid w:val="005E1F2E"/>
    <w:rsid w:val="005E2832"/>
    <w:rsid w:val="005E2FF2"/>
    <w:rsid w:val="005E5D08"/>
    <w:rsid w:val="005F12AF"/>
    <w:rsid w:val="005F217E"/>
    <w:rsid w:val="005F2187"/>
    <w:rsid w:val="005F2393"/>
    <w:rsid w:val="005F31A1"/>
    <w:rsid w:val="005F386D"/>
    <w:rsid w:val="005F74FA"/>
    <w:rsid w:val="006023B5"/>
    <w:rsid w:val="00613440"/>
    <w:rsid w:val="00615D12"/>
    <w:rsid w:val="00617B7F"/>
    <w:rsid w:val="006242F0"/>
    <w:rsid w:val="006316B1"/>
    <w:rsid w:val="00632A37"/>
    <w:rsid w:val="00636173"/>
    <w:rsid w:val="00637198"/>
    <w:rsid w:val="00640445"/>
    <w:rsid w:val="00645EB9"/>
    <w:rsid w:val="006465D2"/>
    <w:rsid w:val="0065616A"/>
    <w:rsid w:val="006571C1"/>
    <w:rsid w:val="0066567C"/>
    <w:rsid w:val="00665E88"/>
    <w:rsid w:val="006701F0"/>
    <w:rsid w:val="00680F51"/>
    <w:rsid w:val="00683A4B"/>
    <w:rsid w:val="00683F80"/>
    <w:rsid w:val="00691342"/>
    <w:rsid w:val="006A063F"/>
    <w:rsid w:val="006A6751"/>
    <w:rsid w:val="006B10E9"/>
    <w:rsid w:val="006B198C"/>
    <w:rsid w:val="006B27E0"/>
    <w:rsid w:val="006C004C"/>
    <w:rsid w:val="006C02BD"/>
    <w:rsid w:val="006C15DB"/>
    <w:rsid w:val="006D1DD8"/>
    <w:rsid w:val="006D4741"/>
    <w:rsid w:val="006D6465"/>
    <w:rsid w:val="006E1B6F"/>
    <w:rsid w:val="006E214D"/>
    <w:rsid w:val="006E25F6"/>
    <w:rsid w:val="006E55C1"/>
    <w:rsid w:val="006F6490"/>
    <w:rsid w:val="006F663A"/>
    <w:rsid w:val="00703BE0"/>
    <w:rsid w:val="00705CF5"/>
    <w:rsid w:val="007062A6"/>
    <w:rsid w:val="0071036B"/>
    <w:rsid w:val="00713B94"/>
    <w:rsid w:val="00716CEC"/>
    <w:rsid w:val="00717537"/>
    <w:rsid w:val="007200CC"/>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79D8"/>
    <w:rsid w:val="00773068"/>
    <w:rsid w:val="00785937"/>
    <w:rsid w:val="00790401"/>
    <w:rsid w:val="00790AD2"/>
    <w:rsid w:val="0079264A"/>
    <w:rsid w:val="00796755"/>
    <w:rsid w:val="00796E71"/>
    <w:rsid w:val="007979A7"/>
    <w:rsid w:val="00797F75"/>
    <w:rsid w:val="007A1F12"/>
    <w:rsid w:val="007B1555"/>
    <w:rsid w:val="007C43C1"/>
    <w:rsid w:val="007C6766"/>
    <w:rsid w:val="007D5014"/>
    <w:rsid w:val="007E2744"/>
    <w:rsid w:val="007E4EC4"/>
    <w:rsid w:val="007E6E4B"/>
    <w:rsid w:val="007F3F24"/>
    <w:rsid w:val="007F4B75"/>
    <w:rsid w:val="007F6498"/>
    <w:rsid w:val="007F6B18"/>
    <w:rsid w:val="0080499E"/>
    <w:rsid w:val="00806042"/>
    <w:rsid w:val="008122F2"/>
    <w:rsid w:val="008145A2"/>
    <w:rsid w:val="0081555F"/>
    <w:rsid w:val="0081639D"/>
    <w:rsid w:val="008174A6"/>
    <w:rsid w:val="00826F5D"/>
    <w:rsid w:val="008277B1"/>
    <w:rsid w:val="00831EE0"/>
    <w:rsid w:val="0083798F"/>
    <w:rsid w:val="00841B8C"/>
    <w:rsid w:val="008420FD"/>
    <w:rsid w:val="008422F2"/>
    <w:rsid w:val="00845EDF"/>
    <w:rsid w:val="008475B8"/>
    <w:rsid w:val="00851E44"/>
    <w:rsid w:val="00852E5A"/>
    <w:rsid w:val="00856DAD"/>
    <w:rsid w:val="008618FD"/>
    <w:rsid w:val="008624E2"/>
    <w:rsid w:val="008640BB"/>
    <w:rsid w:val="008667A9"/>
    <w:rsid w:val="008669E8"/>
    <w:rsid w:val="00873479"/>
    <w:rsid w:val="0087426B"/>
    <w:rsid w:val="00882BEF"/>
    <w:rsid w:val="00884568"/>
    <w:rsid w:val="00885126"/>
    <w:rsid w:val="00886DE9"/>
    <w:rsid w:val="00890BB8"/>
    <w:rsid w:val="008911C0"/>
    <w:rsid w:val="00892CA9"/>
    <w:rsid w:val="00894644"/>
    <w:rsid w:val="008946A7"/>
    <w:rsid w:val="00894D7D"/>
    <w:rsid w:val="00897A5A"/>
    <w:rsid w:val="008A1C58"/>
    <w:rsid w:val="008A1E4C"/>
    <w:rsid w:val="008A25C5"/>
    <w:rsid w:val="008A7042"/>
    <w:rsid w:val="008B1CE4"/>
    <w:rsid w:val="008B39F2"/>
    <w:rsid w:val="008B50A1"/>
    <w:rsid w:val="008B6DC1"/>
    <w:rsid w:val="008C091C"/>
    <w:rsid w:val="008C1870"/>
    <w:rsid w:val="008C30D2"/>
    <w:rsid w:val="008D4781"/>
    <w:rsid w:val="008D5E69"/>
    <w:rsid w:val="008D60C8"/>
    <w:rsid w:val="008E3D37"/>
    <w:rsid w:val="008E3E7D"/>
    <w:rsid w:val="008E61DF"/>
    <w:rsid w:val="008E6A20"/>
    <w:rsid w:val="008F04E0"/>
    <w:rsid w:val="008F0B87"/>
    <w:rsid w:val="008F18B3"/>
    <w:rsid w:val="008F1A0A"/>
    <w:rsid w:val="008F676D"/>
    <w:rsid w:val="00901C9A"/>
    <w:rsid w:val="0090243F"/>
    <w:rsid w:val="00903EB2"/>
    <w:rsid w:val="00904857"/>
    <w:rsid w:val="0090622E"/>
    <w:rsid w:val="00907F32"/>
    <w:rsid w:val="009102F8"/>
    <w:rsid w:val="00910E4A"/>
    <w:rsid w:val="00911053"/>
    <w:rsid w:val="009111CF"/>
    <w:rsid w:val="00913800"/>
    <w:rsid w:val="00914861"/>
    <w:rsid w:val="00916C88"/>
    <w:rsid w:val="00917106"/>
    <w:rsid w:val="00920F55"/>
    <w:rsid w:val="009265DD"/>
    <w:rsid w:val="009266EE"/>
    <w:rsid w:val="009303C5"/>
    <w:rsid w:val="009319AE"/>
    <w:rsid w:val="0093670D"/>
    <w:rsid w:val="009375BF"/>
    <w:rsid w:val="009375FD"/>
    <w:rsid w:val="0094130E"/>
    <w:rsid w:val="009566D2"/>
    <w:rsid w:val="009617D1"/>
    <w:rsid w:val="00963E0B"/>
    <w:rsid w:val="009646F5"/>
    <w:rsid w:val="00973BC6"/>
    <w:rsid w:val="009757DA"/>
    <w:rsid w:val="00981E60"/>
    <w:rsid w:val="009822CC"/>
    <w:rsid w:val="00982820"/>
    <w:rsid w:val="009834E3"/>
    <w:rsid w:val="009852F9"/>
    <w:rsid w:val="0099269F"/>
    <w:rsid w:val="00992B05"/>
    <w:rsid w:val="00994102"/>
    <w:rsid w:val="009942BE"/>
    <w:rsid w:val="009964D9"/>
    <w:rsid w:val="009A5DA3"/>
    <w:rsid w:val="009B04F7"/>
    <w:rsid w:val="009B5565"/>
    <w:rsid w:val="009C3E78"/>
    <w:rsid w:val="009C7888"/>
    <w:rsid w:val="009D4BF5"/>
    <w:rsid w:val="009E0644"/>
    <w:rsid w:val="009E13FE"/>
    <w:rsid w:val="009E34CC"/>
    <w:rsid w:val="009E476E"/>
    <w:rsid w:val="009F4755"/>
    <w:rsid w:val="009F51E7"/>
    <w:rsid w:val="009F5929"/>
    <w:rsid w:val="009F642E"/>
    <w:rsid w:val="00A00A07"/>
    <w:rsid w:val="00A02455"/>
    <w:rsid w:val="00A03E79"/>
    <w:rsid w:val="00A105CA"/>
    <w:rsid w:val="00A107B3"/>
    <w:rsid w:val="00A12B6D"/>
    <w:rsid w:val="00A14898"/>
    <w:rsid w:val="00A17292"/>
    <w:rsid w:val="00A27332"/>
    <w:rsid w:val="00A310F3"/>
    <w:rsid w:val="00A32644"/>
    <w:rsid w:val="00A3724D"/>
    <w:rsid w:val="00A37A9B"/>
    <w:rsid w:val="00A4008F"/>
    <w:rsid w:val="00A42FBD"/>
    <w:rsid w:val="00A5113C"/>
    <w:rsid w:val="00A51741"/>
    <w:rsid w:val="00A525B9"/>
    <w:rsid w:val="00A575FC"/>
    <w:rsid w:val="00A66AC8"/>
    <w:rsid w:val="00A67863"/>
    <w:rsid w:val="00A70557"/>
    <w:rsid w:val="00A739EA"/>
    <w:rsid w:val="00A73FDA"/>
    <w:rsid w:val="00A77317"/>
    <w:rsid w:val="00A85B89"/>
    <w:rsid w:val="00A90826"/>
    <w:rsid w:val="00A93476"/>
    <w:rsid w:val="00A95FB0"/>
    <w:rsid w:val="00AB3000"/>
    <w:rsid w:val="00AB6599"/>
    <w:rsid w:val="00AC3F17"/>
    <w:rsid w:val="00AE1221"/>
    <w:rsid w:val="00AF205E"/>
    <w:rsid w:val="00AF41B0"/>
    <w:rsid w:val="00AF5A70"/>
    <w:rsid w:val="00AF7AF9"/>
    <w:rsid w:val="00B017A5"/>
    <w:rsid w:val="00B04D1F"/>
    <w:rsid w:val="00B0622B"/>
    <w:rsid w:val="00B111AB"/>
    <w:rsid w:val="00B112DB"/>
    <w:rsid w:val="00B20994"/>
    <w:rsid w:val="00B2713B"/>
    <w:rsid w:val="00B2773F"/>
    <w:rsid w:val="00B30895"/>
    <w:rsid w:val="00B328C8"/>
    <w:rsid w:val="00B334A0"/>
    <w:rsid w:val="00B34AB1"/>
    <w:rsid w:val="00B34DB3"/>
    <w:rsid w:val="00B50669"/>
    <w:rsid w:val="00B509AD"/>
    <w:rsid w:val="00B5283A"/>
    <w:rsid w:val="00B546CE"/>
    <w:rsid w:val="00B56A4E"/>
    <w:rsid w:val="00B5762E"/>
    <w:rsid w:val="00B63C33"/>
    <w:rsid w:val="00B7284B"/>
    <w:rsid w:val="00B73C52"/>
    <w:rsid w:val="00B80C9B"/>
    <w:rsid w:val="00B81AB7"/>
    <w:rsid w:val="00B8365D"/>
    <w:rsid w:val="00B906DF"/>
    <w:rsid w:val="00B91F92"/>
    <w:rsid w:val="00B946A3"/>
    <w:rsid w:val="00B97994"/>
    <w:rsid w:val="00BA010D"/>
    <w:rsid w:val="00BA0864"/>
    <w:rsid w:val="00BA3E54"/>
    <w:rsid w:val="00BA75AF"/>
    <w:rsid w:val="00BB070C"/>
    <w:rsid w:val="00BD1EDB"/>
    <w:rsid w:val="00BD77FC"/>
    <w:rsid w:val="00BE1FE1"/>
    <w:rsid w:val="00BE2981"/>
    <w:rsid w:val="00BF056F"/>
    <w:rsid w:val="00BF1695"/>
    <w:rsid w:val="00BF2BC5"/>
    <w:rsid w:val="00BF321E"/>
    <w:rsid w:val="00BF3361"/>
    <w:rsid w:val="00BF3BAC"/>
    <w:rsid w:val="00BF50D6"/>
    <w:rsid w:val="00C00032"/>
    <w:rsid w:val="00C05F8F"/>
    <w:rsid w:val="00C129B9"/>
    <w:rsid w:val="00C12DE6"/>
    <w:rsid w:val="00C15B7B"/>
    <w:rsid w:val="00C23E57"/>
    <w:rsid w:val="00C260C9"/>
    <w:rsid w:val="00C26E3E"/>
    <w:rsid w:val="00C32699"/>
    <w:rsid w:val="00C35494"/>
    <w:rsid w:val="00C362EF"/>
    <w:rsid w:val="00C42B54"/>
    <w:rsid w:val="00C43F22"/>
    <w:rsid w:val="00C4471E"/>
    <w:rsid w:val="00C44B4E"/>
    <w:rsid w:val="00C50737"/>
    <w:rsid w:val="00C50F62"/>
    <w:rsid w:val="00C54CD1"/>
    <w:rsid w:val="00C57A84"/>
    <w:rsid w:val="00C6176E"/>
    <w:rsid w:val="00C61F00"/>
    <w:rsid w:val="00C63A2C"/>
    <w:rsid w:val="00C6719E"/>
    <w:rsid w:val="00C7169D"/>
    <w:rsid w:val="00C76E4E"/>
    <w:rsid w:val="00C8418E"/>
    <w:rsid w:val="00C84CC1"/>
    <w:rsid w:val="00C91699"/>
    <w:rsid w:val="00C93352"/>
    <w:rsid w:val="00C97CC2"/>
    <w:rsid w:val="00C97F2B"/>
    <w:rsid w:val="00CA067E"/>
    <w:rsid w:val="00CA080B"/>
    <w:rsid w:val="00CA25B2"/>
    <w:rsid w:val="00CA2A88"/>
    <w:rsid w:val="00CB359C"/>
    <w:rsid w:val="00CC0085"/>
    <w:rsid w:val="00CC21C9"/>
    <w:rsid w:val="00CC51FF"/>
    <w:rsid w:val="00CD62FF"/>
    <w:rsid w:val="00CE2434"/>
    <w:rsid w:val="00CE4C99"/>
    <w:rsid w:val="00CE5EE2"/>
    <w:rsid w:val="00CE7358"/>
    <w:rsid w:val="00D00048"/>
    <w:rsid w:val="00D0044E"/>
    <w:rsid w:val="00D07E76"/>
    <w:rsid w:val="00D10D3A"/>
    <w:rsid w:val="00D2010B"/>
    <w:rsid w:val="00D20E23"/>
    <w:rsid w:val="00D21C2C"/>
    <w:rsid w:val="00D2517B"/>
    <w:rsid w:val="00D25F7E"/>
    <w:rsid w:val="00D27573"/>
    <w:rsid w:val="00D3030F"/>
    <w:rsid w:val="00D3273A"/>
    <w:rsid w:val="00D401C8"/>
    <w:rsid w:val="00D40E5E"/>
    <w:rsid w:val="00D42F12"/>
    <w:rsid w:val="00D435F4"/>
    <w:rsid w:val="00D477C4"/>
    <w:rsid w:val="00D55AD3"/>
    <w:rsid w:val="00D55BB5"/>
    <w:rsid w:val="00D6141A"/>
    <w:rsid w:val="00D6160E"/>
    <w:rsid w:val="00D61976"/>
    <w:rsid w:val="00D643F1"/>
    <w:rsid w:val="00D7043B"/>
    <w:rsid w:val="00D7062B"/>
    <w:rsid w:val="00D70ECD"/>
    <w:rsid w:val="00D735B7"/>
    <w:rsid w:val="00D776B6"/>
    <w:rsid w:val="00D8563F"/>
    <w:rsid w:val="00D85D23"/>
    <w:rsid w:val="00D869E9"/>
    <w:rsid w:val="00D90650"/>
    <w:rsid w:val="00D92143"/>
    <w:rsid w:val="00D973E5"/>
    <w:rsid w:val="00D97BF7"/>
    <w:rsid w:val="00DA0028"/>
    <w:rsid w:val="00DA02F0"/>
    <w:rsid w:val="00DA0DA7"/>
    <w:rsid w:val="00DA1456"/>
    <w:rsid w:val="00DA19CC"/>
    <w:rsid w:val="00DA39EF"/>
    <w:rsid w:val="00DA4A08"/>
    <w:rsid w:val="00DA5AE6"/>
    <w:rsid w:val="00DB0136"/>
    <w:rsid w:val="00DB02EF"/>
    <w:rsid w:val="00DB54FF"/>
    <w:rsid w:val="00DB7BCE"/>
    <w:rsid w:val="00DC0F9E"/>
    <w:rsid w:val="00DC6AE7"/>
    <w:rsid w:val="00DD1BE1"/>
    <w:rsid w:val="00DD1F06"/>
    <w:rsid w:val="00DD276E"/>
    <w:rsid w:val="00DD35AB"/>
    <w:rsid w:val="00DD6763"/>
    <w:rsid w:val="00DE21C3"/>
    <w:rsid w:val="00DE5974"/>
    <w:rsid w:val="00DF189F"/>
    <w:rsid w:val="00DF2553"/>
    <w:rsid w:val="00DF6946"/>
    <w:rsid w:val="00E03CCC"/>
    <w:rsid w:val="00E061E1"/>
    <w:rsid w:val="00E06E45"/>
    <w:rsid w:val="00E07C76"/>
    <w:rsid w:val="00E10006"/>
    <w:rsid w:val="00E104D1"/>
    <w:rsid w:val="00E11F8B"/>
    <w:rsid w:val="00E1699D"/>
    <w:rsid w:val="00E25F9C"/>
    <w:rsid w:val="00E31153"/>
    <w:rsid w:val="00E3296D"/>
    <w:rsid w:val="00E360E5"/>
    <w:rsid w:val="00E3647D"/>
    <w:rsid w:val="00E43EF5"/>
    <w:rsid w:val="00E450CC"/>
    <w:rsid w:val="00E507FC"/>
    <w:rsid w:val="00E54EEF"/>
    <w:rsid w:val="00E5669C"/>
    <w:rsid w:val="00E61A8D"/>
    <w:rsid w:val="00E63058"/>
    <w:rsid w:val="00E638CC"/>
    <w:rsid w:val="00E71CD2"/>
    <w:rsid w:val="00E73450"/>
    <w:rsid w:val="00E73568"/>
    <w:rsid w:val="00E8348A"/>
    <w:rsid w:val="00E871F3"/>
    <w:rsid w:val="00E90359"/>
    <w:rsid w:val="00E90510"/>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E5FED"/>
    <w:rsid w:val="00EF09B1"/>
    <w:rsid w:val="00EF33AC"/>
    <w:rsid w:val="00EF3FD3"/>
    <w:rsid w:val="00EF62CE"/>
    <w:rsid w:val="00F01773"/>
    <w:rsid w:val="00F052B9"/>
    <w:rsid w:val="00F056ED"/>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653BA"/>
    <w:rsid w:val="00F670B0"/>
    <w:rsid w:val="00F679B4"/>
    <w:rsid w:val="00F76054"/>
    <w:rsid w:val="00F76E31"/>
    <w:rsid w:val="00F77726"/>
    <w:rsid w:val="00F77DF3"/>
    <w:rsid w:val="00F811AB"/>
    <w:rsid w:val="00F83493"/>
    <w:rsid w:val="00F85D04"/>
    <w:rsid w:val="00F860CE"/>
    <w:rsid w:val="00F86220"/>
    <w:rsid w:val="00F90A82"/>
    <w:rsid w:val="00F93A27"/>
    <w:rsid w:val="00F93B87"/>
    <w:rsid w:val="00F94A27"/>
    <w:rsid w:val="00F97820"/>
    <w:rsid w:val="00FA07A9"/>
    <w:rsid w:val="00FA4822"/>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3C6C"/>
    <w:rsid w:val="00FE40B6"/>
    <w:rsid w:val="00FF09BF"/>
    <w:rsid w:val="094FA118"/>
    <w:rsid w:val="6560DA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560F57"/>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paragraph" w:styleId="PlainText">
    <w:name w:val="Plain Text"/>
    <w:basedOn w:val="Normal"/>
    <w:link w:val="PlainTextChar"/>
    <w:uiPriority w:val="99"/>
    <w:unhideWhenUsed/>
    <w:rsid w:val="003A0B08"/>
    <w:pPr>
      <w:spacing w:after="0" w:line="240" w:lineRule="auto"/>
    </w:pPr>
    <w:rPr>
      <w:rFonts w:ascii="Calibri" w:hAnsi="Calibri" w:cs="Calibri"/>
      <w:sz w:val="22"/>
      <w14:ligatures w14:val="standardContextual"/>
    </w:rPr>
  </w:style>
  <w:style w:type="character" w:customStyle="1" w:styleId="PlainTextChar">
    <w:name w:val="Plain Text Char"/>
    <w:basedOn w:val="DefaultParagraphFont"/>
    <w:link w:val="PlainText"/>
    <w:uiPriority w:val="99"/>
    <w:rsid w:val="003A0B08"/>
    <w:rPr>
      <w:rFonts w:ascii="Calibri" w:hAnsi="Calibri" w:cs="Calibri"/>
      <w14:ligatures w14:val="standardContextual"/>
    </w:rPr>
  </w:style>
  <w:style w:type="character" w:styleId="Strong">
    <w:name w:val="Strong"/>
    <w:basedOn w:val="DefaultParagraphFont"/>
    <w:uiPriority w:val="22"/>
    <w:qFormat/>
    <w:rsid w:val="003A0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66836">
      <w:bodyDiv w:val="1"/>
      <w:marLeft w:val="0"/>
      <w:marRight w:val="0"/>
      <w:marTop w:val="0"/>
      <w:marBottom w:val="0"/>
      <w:divBdr>
        <w:top w:val="none" w:sz="0" w:space="0" w:color="auto"/>
        <w:left w:val="none" w:sz="0" w:space="0" w:color="auto"/>
        <w:bottom w:val="none" w:sz="0" w:space="0" w:color="auto"/>
        <w:right w:val="none" w:sz="0" w:space="0" w:color="auto"/>
      </w:divBdr>
    </w:div>
    <w:div w:id="1152941998">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2633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www.gov.uk/contracts-finder" TargetMode="External"/><Relationship Id="rId3" Type="http://schemas.openxmlformats.org/officeDocument/2006/relationships/numbering" Target="numbering.xml"/><Relationship Id="rId21" Type="http://schemas.openxmlformats.org/officeDocument/2006/relationships/hyperlink" Target="https://www.orr.gov.uk/media/23638"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nationalarchives.gov.uk/doc/open-government-licence/version/3" TargetMode="Externa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info.railsentinel.co.uk/help-support/training-medical-providers/"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yperlink" Target="mailto:procurementteam@orr.gov.uk" TargetMode="External"/><Relationship Id="rId30" Type="http://schemas.openxmlformats.org/officeDocument/2006/relationships/footer" Target="footer6.xml"/><Relationship Id="rId35" Type="http://schemas.openxmlformats.org/officeDocument/2006/relationships/glossaryDocument" Target="glossary/document.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ebster\AppData\Roaming\Microsoft\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0E5D86"/>
    <w:rsid w:val="000F674B"/>
    <w:rsid w:val="001051A5"/>
    <w:rsid w:val="001D34EA"/>
    <w:rsid w:val="002E326D"/>
    <w:rsid w:val="003E6FC6"/>
    <w:rsid w:val="00590DC6"/>
    <w:rsid w:val="007F721A"/>
    <w:rsid w:val="00803C25"/>
    <w:rsid w:val="00843948"/>
    <w:rsid w:val="009E0644"/>
    <w:rsid w:val="00A257DF"/>
    <w:rsid w:val="00A72823"/>
    <w:rsid w:val="00B35485"/>
    <w:rsid w:val="00BF671E"/>
    <w:rsid w:val="00F06A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of issue: (provided by Procurement)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341</TotalTime>
  <Pages>22</Pages>
  <Words>4027</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Personal Track Safety (PTS) Assessments</dc:subject>
  <dc:creator>Angeriz-Santos, Paula</dc:creator>
  <cp:keywords/>
  <dc:description/>
  <cp:lastModifiedBy>Webster, Gayle</cp:lastModifiedBy>
  <cp:revision>3</cp:revision>
  <cp:lastPrinted>2021-02-24T15:29:00Z</cp:lastPrinted>
  <dcterms:created xsi:type="dcterms:W3CDTF">2023-11-02T10:28:00Z</dcterms:created>
  <dcterms:modified xsi:type="dcterms:W3CDTF">2023-11-02T16:26:00Z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2023-04-27T11:40:53Z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f2ec6aab-939a-4bb7-8471-44bf04bba67b</vt:lpwstr>
  </property>
  <property fmtid="{D5CDD505-2E9C-101B-9397-08002B2CF9AE}" pid="8" name="MSIP_Label_b352ef96-5e05-4e14-bf42-f76c4ba3e2da_ContentBits">
    <vt:lpwstr>0</vt:lpwstr>
  </property>
</Properties>
</file>