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77030185" w:rsidR="00F52BE8" w:rsidRDefault="00FC655B" w:rsidP="004936FC">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42945593" w:rsidR="00F52BE8" w:rsidRPr="00E40E18" w:rsidRDefault="00535652" w:rsidP="00F52BE8">
      <w:pPr>
        <w:jc w:val="center"/>
        <w:rPr>
          <w:rFonts w:cs="Arial"/>
          <w:b/>
          <w:u w:val="single"/>
        </w:rPr>
      </w:pPr>
      <w:r>
        <w:rPr>
          <w:rFonts w:cs="Arial"/>
          <w:b/>
          <w:u w:val="single"/>
        </w:rPr>
        <w:t>Assessment of Applications for Track Access on the West Coast Mainline</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7461EFEA" w:rsidR="00F52BE8" w:rsidRDefault="00F52BE8" w:rsidP="00F52BE8">
      <w:pPr>
        <w:spacing w:after="0" w:line="360" w:lineRule="auto"/>
        <w:rPr>
          <w:rFonts w:cs="Arial"/>
          <w:b/>
          <w:u w:val="single"/>
        </w:rPr>
      </w:pPr>
      <w:r w:rsidRPr="00034159">
        <w:rPr>
          <w:rFonts w:cs="Arial"/>
          <w:b/>
          <w:u w:val="single"/>
        </w:rPr>
        <w:t xml:space="preserve">CPV </w:t>
      </w:r>
      <w:r w:rsidRPr="00724A80">
        <w:rPr>
          <w:rFonts w:cs="Arial"/>
          <w:b/>
          <w:u w:val="single"/>
        </w:rPr>
        <w:t xml:space="preserve">Code: </w:t>
      </w:r>
      <w:r w:rsidR="00363097">
        <w:rPr>
          <w:rFonts w:cs="Arial"/>
          <w:b/>
          <w:u w:val="single"/>
        </w:rPr>
        <w:t>79410000</w:t>
      </w:r>
    </w:p>
    <w:p w14:paraId="6C3DD9B8" w14:textId="7EEF7758" w:rsidR="00363097" w:rsidRPr="00724A80" w:rsidRDefault="00363097" w:rsidP="00F52BE8">
      <w:pPr>
        <w:spacing w:after="0" w:line="360" w:lineRule="auto"/>
        <w:rPr>
          <w:rFonts w:cs="Arial"/>
          <w:b/>
          <w:color w:val="FF0000"/>
          <w:u w:val="single"/>
        </w:rPr>
      </w:pPr>
      <w:r>
        <w:rPr>
          <w:rFonts w:cs="Arial"/>
          <w:b/>
          <w:u w:val="single"/>
        </w:rPr>
        <w:t>Supplementary Code:</w:t>
      </w:r>
      <w:r w:rsidR="00337D44">
        <w:rPr>
          <w:rFonts w:cs="Arial"/>
          <w:b/>
          <w:u w:val="single"/>
        </w:rPr>
        <w:t xml:space="preserve"> 71311200</w:t>
      </w:r>
    </w:p>
    <w:p w14:paraId="610DAFD3" w14:textId="3A66BA79" w:rsidR="00F52BE8" w:rsidRPr="00034159" w:rsidRDefault="00F52BE8" w:rsidP="00F52BE8">
      <w:pPr>
        <w:spacing w:after="0" w:line="360" w:lineRule="auto"/>
        <w:rPr>
          <w:rFonts w:cs="Arial"/>
          <w:b/>
        </w:rPr>
      </w:pPr>
      <w:r>
        <w:rPr>
          <w:rFonts w:cs="Arial"/>
          <w:b/>
          <w:u w:val="single"/>
        </w:rPr>
        <w:t xml:space="preserve">Tender Reference: </w:t>
      </w:r>
      <w:r w:rsidR="00337D44">
        <w:rPr>
          <w:rFonts w:cs="Arial"/>
          <w:b/>
          <w:u w:val="single"/>
        </w:rPr>
        <w:t>ORR/CT/22-45</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29E0A3EA" w:rsidR="00F52BE8" w:rsidRPr="00B21F63" w:rsidRDefault="0AF45B9F" w:rsidP="0AF45B9F">
      <w:pPr>
        <w:pStyle w:val="ListNumber"/>
        <w:numPr>
          <w:ilvl w:val="0"/>
          <w:numId w:val="0"/>
        </w:numPr>
        <w:tabs>
          <w:tab w:val="clear" w:pos="720"/>
        </w:tabs>
        <w:spacing w:before="0" w:after="0"/>
        <w:rPr>
          <w:rFonts w:cs="Arial"/>
          <w:b/>
          <w:bCs/>
          <w:sz w:val="28"/>
          <w:szCs w:val="28"/>
          <w:u w:val="single"/>
        </w:rPr>
      </w:pPr>
      <w:r w:rsidRPr="0AF45B9F">
        <w:rPr>
          <w:rFonts w:cs="Arial"/>
          <w:color w:val="000000" w:themeColor="text1"/>
        </w:rPr>
        <w:t xml:space="preserve">The purpose of this document is to invite proposals for </w:t>
      </w:r>
      <w:r w:rsidRPr="0AF45B9F">
        <w:rPr>
          <w:rFonts w:cs="Arial"/>
          <w:b/>
          <w:bCs/>
        </w:rPr>
        <w:t>consultancy work</w:t>
      </w:r>
      <w:r w:rsidRPr="0AF45B9F">
        <w:rPr>
          <w:rFonts w:cs="Arial"/>
          <w:i/>
          <w:iCs/>
        </w:rPr>
        <w:t xml:space="preserve"> </w:t>
      </w:r>
      <w:r w:rsidRPr="0AF45B9F">
        <w:rPr>
          <w:rFonts w:cs="Arial"/>
          <w:b/>
          <w:bCs/>
        </w:rPr>
        <w:t>to provide a full independent assessment of the available capacity and performance implications of the two applications</w:t>
      </w:r>
      <w:r w:rsidRPr="0AF45B9F">
        <w:rPr>
          <w:rFonts w:cs="Arial"/>
          <w:i/>
          <w:iCs/>
        </w:rPr>
        <w:t xml:space="preserve"> </w:t>
      </w:r>
      <w:r w:rsidRPr="0AF45B9F">
        <w:rPr>
          <w:rFonts w:cs="Arial"/>
          <w:color w:val="000000" w:themeColor="text1"/>
        </w:rPr>
        <w:t>for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44BB9303"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w:t>
      </w:r>
      <w:r w:rsidR="00E444AC">
        <w:rPr>
          <w:rFonts w:cs="Arial"/>
          <w:szCs w:val="24"/>
        </w:rPr>
        <w:t xml:space="preserve"> </w:t>
      </w:r>
      <w:r w:rsidR="00E444AC">
        <w:t>National Highways</w:t>
      </w:r>
      <w:r w:rsidRPr="00303B3F">
        <w:rPr>
          <w:rFonts w:cs="Arial"/>
          <w:szCs w:val="24"/>
        </w:rPr>
        <w:t xml:space="preserve"> to account for its day-to-day efficiency and performance, running the strategic road network, and for delivering the </w:t>
      </w:r>
      <w:r w:rsidR="00023BD5" w:rsidRPr="00303B3F">
        <w:rPr>
          <w:rFonts w:cs="Arial"/>
          <w:szCs w:val="24"/>
        </w:rPr>
        <w:t>five-year</w:t>
      </w:r>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DE2B4DC"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w:t>
      </w:r>
      <w:r w:rsidR="00535652">
        <w:rPr>
          <w:rFonts w:cs="Arial"/>
          <w:szCs w:val="24"/>
        </w:rPr>
        <w:t>400</w:t>
      </w:r>
      <w:r w:rsidRPr="00BA669C">
        <w:rPr>
          <w:rFonts w:cs="Arial"/>
          <w:szCs w:val="24"/>
        </w:rPr>
        <w:t xml:space="preserve">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5F7D49">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5F7D49">
        <w:trPr>
          <w:trHeight w:val="760"/>
        </w:trPr>
        <w:tc>
          <w:tcPr>
            <w:tcW w:w="8302" w:type="dxa"/>
            <w:tcBorders>
              <w:bottom w:val="single" w:sz="4" w:space="0" w:color="auto"/>
            </w:tcBorders>
            <w:shd w:val="clear" w:color="auto" w:fill="auto"/>
          </w:tcPr>
          <w:p w14:paraId="63F5AAA0" w14:textId="77777777" w:rsidR="00DD45F2" w:rsidRPr="00363097" w:rsidRDefault="00DD45F2" w:rsidP="00DD45F2">
            <w:pPr>
              <w:rPr>
                <w:rFonts w:cs="Arial"/>
                <w:i/>
                <w:szCs w:val="24"/>
              </w:rPr>
            </w:pPr>
            <w:r w:rsidRPr="00363097">
              <w:rPr>
                <w:rFonts w:cs="Arial"/>
                <w:i/>
                <w:szCs w:val="24"/>
              </w:rPr>
              <w:t>ORR’s statutory duties with respect to track access</w:t>
            </w:r>
          </w:p>
          <w:p w14:paraId="629FA5FF" w14:textId="43B94DBB" w:rsidR="00DD45F2" w:rsidRPr="00FC51D3" w:rsidRDefault="0AF45B9F" w:rsidP="003104FB">
            <w:pPr>
              <w:pStyle w:val="ListNumber"/>
              <w:numPr>
                <w:ilvl w:val="0"/>
                <w:numId w:val="0"/>
              </w:numPr>
            </w:pPr>
            <w:r>
              <w:t xml:space="preserve">The Office of Rail and Road (ORR) is responsible for overseeing the fair and efficient allocation of the capacity of the railway network and other railway facilities through our approval of access contracts. ORR has an important role in acting as impartial referee, independent of the Government, in addressing competing claims for access to the network. We can also determine the terms on which a train operator can use the network, where we must act in the public interest, taking account of considerations that may be of little or no concern to individual train operators and Network Rail. </w:t>
            </w:r>
          </w:p>
          <w:p w14:paraId="2077B5D2" w14:textId="5011EBFF" w:rsidR="00DD45F2" w:rsidRDefault="00DD45F2" w:rsidP="003104FB">
            <w:pPr>
              <w:pStyle w:val="ListNumber"/>
              <w:numPr>
                <w:ilvl w:val="0"/>
                <w:numId w:val="0"/>
              </w:numPr>
            </w:pPr>
            <w:r w:rsidRPr="00FC51D3">
              <w:t xml:space="preserve">In considering track access applications, we must ensure that our decisions are consistent with our statutory duties. Section 4 of the Railways Act 1993 (the Act) sets out </w:t>
            </w:r>
            <w:proofErr w:type="gramStart"/>
            <w:r w:rsidRPr="00FC51D3">
              <w:t>a number of</w:t>
            </w:r>
            <w:proofErr w:type="gramEnd"/>
            <w:r w:rsidRPr="00FC51D3">
              <w:t xml:space="preserve"> considerations and objectives to which we must have regard when exercising our functions under the Act. In some cases, the different duties will not all point towards the same conclusion and ORR will have to balance </w:t>
            </w:r>
            <w:proofErr w:type="gramStart"/>
            <w:r w:rsidRPr="00FC51D3">
              <w:t>all of</w:t>
            </w:r>
            <w:proofErr w:type="gramEnd"/>
            <w:r w:rsidRPr="00FC51D3">
              <w:t xml:space="preserve"> the relevant duties in coming to a decision.</w:t>
            </w:r>
          </w:p>
          <w:p w14:paraId="5A978700" w14:textId="0F6218A8" w:rsidR="00DD45F2" w:rsidRDefault="00DD45F2" w:rsidP="00DD45F2">
            <w:pPr>
              <w:pStyle w:val="ListNumber"/>
              <w:numPr>
                <w:ilvl w:val="0"/>
                <w:numId w:val="0"/>
              </w:numPr>
            </w:pPr>
          </w:p>
          <w:p w14:paraId="146C0756" w14:textId="3D080F88" w:rsidR="00DD45F2" w:rsidRPr="00363097" w:rsidRDefault="00DD45F2" w:rsidP="007659E2">
            <w:pPr>
              <w:rPr>
                <w:rFonts w:cs="Arial"/>
                <w:i/>
                <w:szCs w:val="24"/>
              </w:rPr>
            </w:pPr>
            <w:r w:rsidRPr="00363097">
              <w:rPr>
                <w:rFonts w:cs="Arial"/>
                <w:i/>
                <w:szCs w:val="24"/>
              </w:rPr>
              <w:t>Track access on the West Coast Mainline</w:t>
            </w:r>
          </w:p>
          <w:p w14:paraId="2CB8F96E" w14:textId="4684A947" w:rsidR="00DD45F2" w:rsidRPr="006A78EB" w:rsidRDefault="3881E429" w:rsidP="003104FB">
            <w:pPr>
              <w:pStyle w:val="ListNumber"/>
              <w:numPr>
                <w:ilvl w:val="0"/>
                <w:numId w:val="0"/>
              </w:numPr>
            </w:pPr>
            <w:r>
              <w:t xml:space="preserve">In 2019, Avanti West Coast (AWC) and Grand Union Trains (GUT) </w:t>
            </w:r>
            <w:r w:rsidR="002524DD">
              <w:t xml:space="preserve">submitted applications </w:t>
            </w:r>
            <w:r>
              <w:t>for services on the West Coast Mainline (WCML)</w:t>
            </w:r>
            <w:r w:rsidR="002524DD">
              <w:t xml:space="preserve"> under Section 17 of the Railways Act 1993</w:t>
            </w:r>
            <w:r>
              <w:t xml:space="preserve">: </w:t>
            </w:r>
          </w:p>
          <w:p w14:paraId="4F45B91E" w14:textId="77777777" w:rsidR="00DD45F2" w:rsidRPr="006A78EB" w:rsidRDefault="00DD45F2" w:rsidP="00DD45F2">
            <w:pPr>
              <w:pStyle w:val="ListNumber2"/>
            </w:pPr>
            <w:r>
              <w:t xml:space="preserve">The franchisee, </w:t>
            </w:r>
            <w:r w:rsidRPr="006A78EB">
              <w:t xml:space="preserve">First Trenitalia West Coast Rail Limited, trading as Avanti West Coast (AWC) applied to us for rights for additional London Euston </w:t>
            </w:r>
            <w:r>
              <w:t xml:space="preserve">- </w:t>
            </w:r>
            <w:r w:rsidRPr="006A78EB">
              <w:t>Liverpool Lime St services to increase its service from 1 to 2 per hour</w:t>
            </w:r>
            <w:r>
              <w:t>, from December 2022</w:t>
            </w:r>
            <w:r w:rsidRPr="006A78EB">
              <w:t>; and</w:t>
            </w:r>
          </w:p>
          <w:p w14:paraId="556621B8" w14:textId="48012B07" w:rsidR="009E7412" w:rsidRPr="006A78EB" w:rsidRDefault="00DD45F2" w:rsidP="009E7412">
            <w:pPr>
              <w:pStyle w:val="ListNumber2"/>
            </w:pPr>
            <w:r w:rsidRPr="006A78EB">
              <w:t xml:space="preserve">Prospective Open Access Operator Grand Union Trains (GUT) applied to us for rights for 4 return services per day between London Euston and Stirling, calling at Milton Keynes Central, Nuneaton, Crewe, Preston, Carlisle, Lockerbie, Motherwell, </w:t>
            </w:r>
            <w:proofErr w:type="spellStart"/>
            <w:r w:rsidRPr="006A78EB">
              <w:t>Whifflet</w:t>
            </w:r>
            <w:proofErr w:type="spellEnd"/>
            <w:r w:rsidRPr="006A78EB">
              <w:t>, Greenfaulds and Larbert</w:t>
            </w:r>
            <w:r>
              <w:t>, from May 2021</w:t>
            </w:r>
            <w:r w:rsidRPr="006A78EB">
              <w:t>.</w:t>
            </w:r>
          </w:p>
          <w:p w14:paraId="5C90C35E" w14:textId="55DF35FC" w:rsidR="009E7412" w:rsidRDefault="009E7412" w:rsidP="003104FB">
            <w:pPr>
              <w:pStyle w:val="ListNumber"/>
              <w:numPr>
                <w:ilvl w:val="0"/>
                <w:numId w:val="0"/>
              </w:numPr>
            </w:pPr>
            <w:r>
              <w:t>Since these applications were initially submitted Network Rail (NR) ha</w:t>
            </w:r>
            <w:r w:rsidR="00141412">
              <w:t>s</w:t>
            </w:r>
            <w:r>
              <w:t xml:space="preserve"> declared the West Coast Mainline South as congested infrastructure, conducted an Industry Planning Group (IPG) and a</w:t>
            </w:r>
            <w:r w:rsidR="00141412">
              <w:t>n</w:t>
            </w:r>
            <w:r>
              <w:t xml:space="preserve"> Event Steering Group (ESG)</w:t>
            </w:r>
            <w:r w:rsidR="00141412">
              <w:t>. The ESG</w:t>
            </w:r>
            <w:r>
              <w:t xml:space="preserve"> remit was to recast the timetable for December 2022 which could accommodate the above services.</w:t>
            </w:r>
          </w:p>
          <w:p w14:paraId="75347AC8" w14:textId="197CBC34" w:rsidR="00831E0B" w:rsidRDefault="00831E0B" w:rsidP="003104FB">
            <w:pPr>
              <w:pStyle w:val="ListNumber"/>
              <w:numPr>
                <w:ilvl w:val="0"/>
                <w:numId w:val="0"/>
              </w:numPr>
            </w:pPr>
            <w:r>
              <w:t>The ESG process</w:t>
            </w:r>
            <w:r w:rsidR="00556BE2">
              <w:t xml:space="preserve"> concluded in March 2022 and</w:t>
            </w:r>
            <w:r>
              <w:t xml:space="preserve"> has identified infrastructure risks which directly impact the Concept Train Plan for the remitted timetable recast. These issues are significant but timebound and are related to certainty of power supply and changes to platform capacity, which impact performance and service recovery.</w:t>
            </w:r>
          </w:p>
          <w:p w14:paraId="3B9D898C" w14:textId="648ECBEF" w:rsidR="00831E0B" w:rsidRDefault="00831E0B" w:rsidP="003104FB">
            <w:pPr>
              <w:pStyle w:val="ListNumber"/>
              <w:numPr>
                <w:ilvl w:val="0"/>
                <w:numId w:val="0"/>
              </w:numPr>
            </w:pPr>
            <w:r>
              <w:lastRenderedPageBreak/>
              <w:t>NR ha</w:t>
            </w:r>
            <w:r w:rsidR="00141412">
              <w:t>s</w:t>
            </w:r>
            <w:r>
              <w:t xml:space="preserve"> </w:t>
            </w:r>
            <w:r w:rsidR="00B10783">
              <w:t xml:space="preserve">chosen to </w:t>
            </w:r>
            <w:r>
              <w:t>mitigate this impact with a limit on services at peak times.</w:t>
            </w:r>
            <w:r w:rsidR="005D3F0B">
              <w:t xml:space="preserve"> </w:t>
            </w:r>
            <w:r w:rsidR="00141412">
              <w:t xml:space="preserve">ORR </w:t>
            </w:r>
            <w:r w:rsidR="00B10783">
              <w:t>needs expert input on</w:t>
            </w:r>
            <w:r w:rsidR="005D3F0B">
              <w:t xml:space="preserve"> whether this limit is correct and whether the evidence available supports this. NR </w:t>
            </w:r>
            <w:r w:rsidR="00B10783">
              <w:t xml:space="preserve">has </w:t>
            </w:r>
            <w:r w:rsidR="005D3F0B">
              <w:t>committed to undertaking further performance analysis which will consider incoming restrictions on the infrastructure and service perturbation.</w:t>
            </w:r>
            <w:r w:rsidR="00141412">
              <w:t xml:space="preserve"> NR has committed to completing this work in December 2022.</w:t>
            </w:r>
          </w:p>
          <w:p w14:paraId="6FB3BD99" w14:textId="4DF94E28" w:rsidR="009E7412" w:rsidRDefault="00556BE2" w:rsidP="003104FB">
            <w:pPr>
              <w:pStyle w:val="ListNumber"/>
              <w:numPr>
                <w:ilvl w:val="0"/>
                <w:numId w:val="0"/>
              </w:numPr>
            </w:pPr>
            <w:r>
              <w:t>Over</w:t>
            </w:r>
            <w:r w:rsidR="009E7412" w:rsidRPr="009E7412">
              <w:t xml:space="preserve"> the passage of time, the aspirations of both operators have </w:t>
            </w:r>
            <w:r w:rsidR="00141412" w:rsidRPr="009E7412">
              <w:t>evolved,</w:t>
            </w:r>
            <w:r w:rsidR="009E7412" w:rsidRPr="009E7412">
              <w:t xml:space="preserve"> and they will </w:t>
            </w:r>
            <w:r w:rsidR="00141412" w:rsidRPr="009E7412">
              <w:t>soon submit</w:t>
            </w:r>
            <w:r w:rsidR="009E7412" w:rsidRPr="009E7412">
              <w:t xml:space="preserve"> revised applications. AWC will be applying for their additional Liverpool right to be phased in from December 2023 and GUT will be applying to commence their services in the latter part of 2024.</w:t>
            </w:r>
            <w:r w:rsidR="009E7412">
              <w:t xml:space="preserve"> Meanwhile in late 2022, West Midlands Trains (WMT) </w:t>
            </w:r>
            <w:r w:rsidR="001F1736">
              <w:t>made</w:t>
            </w:r>
            <w:r w:rsidR="009E7412">
              <w:t xml:space="preserve"> a timebound application for rights which are in competition with those sought by AWC and GUT.</w:t>
            </w:r>
          </w:p>
          <w:p w14:paraId="68299925" w14:textId="0804981F" w:rsidR="00831E0B" w:rsidRDefault="00831E0B" w:rsidP="003104FB">
            <w:pPr>
              <w:pStyle w:val="ListNumber"/>
              <w:numPr>
                <w:ilvl w:val="0"/>
                <w:numId w:val="0"/>
              </w:numPr>
            </w:pPr>
            <w:r>
              <w:t xml:space="preserve">Throughout the process we have sought representations from NR and have </w:t>
            </w:r>
            <w:r w:rsidR="005D3F0B">
              <w:t>available</w:t>
            </w:r>
            <w:r>
              <w:t xml:space="preserve"> the following within our bank of evidence:</w:t>
            </w:r>
          </w:p>
          <w:p w14:paraId="035F863E" w14:textId="38B719ED" w:rsidR="004876A3" w:rsidRDefault="004876A3" w:rsidP="003104FB">
            <w:pPr>
              <w:pStyle w:val="ListNumber"/>
              <w:numPr>
                <w:ilvl w:val="0"/>
                <w:numId w:val="0"/>
              </w:numPr>
            </w:pPr>
          </w:p>
          <w:p w14:paraId="27FA6038" w14:textId="687072BA" w:rsidR="00147987" w:rsidRDefault="00147987" w:rsidP="00831E0B">
            <w:pPr>
              <w:pStyle w:val="ListNumber"/>
              <w:numPr>
                <w:ilvl w:val="0"/>
                <w:numId w:val="35"/>
              </w:numPr>
            </w:pPr>
            <w:r w:rsidRPr="00147987">
              <w:t>09/21: Appendix A Bushey Modelling Report P03.pdf. NETWORK RAIL/NAVITAS ENGINEERING</w:t>
            </w:r>
          </w:p>
          <w:p w14:paraId="3CEE2702" w14:textId="0CDBB7F8" w:rsidR="00147987" w:rsidRDefault="00147987" w:rsidP="00831E0B">
            <w:pPr>
              <w:pStyle w:val="ListNumber"/>
              <w:numPr>
                <w:ilvl w:val="0"/>
                <w:numId w:val="35"/>
              </w:numPr>
            </w:pPr>
            <w:r w:rsidRPr="00147987">
              <w:t>05/10/21: Appendix B Bushey Traction Power Results.pptx. NETWORK RAIL</w:t>
            </w:r>
          </w:p>
          <w:p w14:paraId="75A65C9C" w14:textId="17496B64" w:rsidR="004876A3" w:rsidRDefault="00147987" w:rsidP="004876A3">
            <w:pPr>
              <w:pStyle w:val="ListNumber"/>
              <w:numPr>
                <w:ilvl w:val="0"/>
                <w:numId w:val="35"/>
              </w:numPr>
            </w:pPr>
            <w:r w:rsidRPr="00147987">
              <w:t>17/03/22: Appendix C Rolling Programme of Decarbonisation - Scotland.pdf. NETWORK RAIL</w:t>
            </w:r>
          </w:p>
          <w:p w14:paraId="7A0614C6" w14:textId="3F4C47EA" w:rsidR="00147987" w:rsidRDefault="00147987" w:rsidP="00831E0B">
            <w:pPr>
              <w:pStyle w:val="ListNumber"/>
              <w:numPr>
                <w:ilvl w:val="0"/>
                <w:numId w:val="35"/>
              </w:numPr>
            </w:pPr>
            <w:r w:rsidRPr="00147987">
              <w:t xml:space="preserve">24/03/22: Appendix 3 </w:t>
            </w:r>
            <w:proofErr w:type="spellStart"/>
            <w:r w:rsidRPr="00147987">
              <w:t>Tracsis</w:t>
            </w:r>
            <w:proofErr w:type="spellEnd"/>
            <w:r w:rsidRPr="00147987">
              <w:t xml:space="preserve"> NW&amp;C </w:t>
            </w:r>
            <w:proofErr w:type="spellStart"/>
            <w:r w:rsidRPr="00147987">
              <w:t>RailSys</w:t>
            </w:r>
            <w:proofErr w:type="spellEnd"/>
            <w:r w:rsidRPr="00147987">
              <w:t xml:space="preserve"> Performance Modelling. TRACSIS</w:t>
            </w:r>
          </w:p>
          <w:p w14:paraId="6C6FB23F" w14:textId="08E0F9BD" w:rsidR="00147987" w:rsidRDefault="00147987" w:rsidP="00831E0B">
            <w:pPr>
              <w:pStyle w:val="ListNumber"/>
              <w:numPr>
                <w:ilvl w:val="0"/>
                <w:numId w:val="35"/>
              </w:numPr>
            </w:pPr>
            <w:r w:rsidRPr="00147987">
              <w:t>06/04/22: Simulation Modelling for the Dec 22 WCML ESG - Report 1.2.pdf. NETWORK RAIL</w:t>
            </w:r>
          </w:p>
          <w:p w14:paraId="3E501B8A" w14:textId="77777777" w:rsidR="00147987" w:rsidRDefault="00147987" w:rsidP="00147987">
            <w:pPr>
              <w:pStyle w:val="ListNumber"/>
              <w:numPr>
                <w:ilvl w:val="0"/>
                <w:numId w:val="35"/>
              </w:numPr>
            </w:pPr>
            <w:r w:rsidRPr="00147987">
              <w:t>03/05/22: NWC Dec 22 Timetable Restructuring ESG CTP Report v0.4.pdf. NETWORK RAIL</w:t>
            </w:r>
          </w:p>
          <w:p w14:paraId="134086C7" w14:textId="74B506C5" w:rsidR="00831E0B" w:rsidRDefault="00147987" w:rsidP="00147987">
            <w:pPr>
              <w:pStyle w:val="ListNumber"/>
              <w:numPr>
                <w:ilvl w:val="0"/>
                <w:numId w:val="35"/>
              </w:numPr>
            </w:pPr>
            <w:r w:rsidRPr="00147987">
              <w:t>03/05/22: Simulation Modelling for Dec 22 WCML Timetable Re-write, Carlisle to Stirling 1.0 FINAL.pdf. NETWORK RAIL</w:t>
            </w:r>
          </w:p>
          <w:p w14:paraId="5FD1A528" w14:textId="6F4D1367" w:rsidR="00147987" w:rsidRDefault="00147987" w:rsidP="00147987">
            <w:pPr>
              <w:pStyle w:val="ListNumber"/>
              <w:numPr>
                <w:ilvl w:val="0"/>
                <w:numId w:val="35"/>
              </w:numPr>
            </w:pPr>
            <w:r w:rsidRPr="00147987">
              <w:t>20/05/22: NR May 22 Formal Response ORR AWC TAC final 230522.docx. NETWORK RAIL</w:t>
            </w:r>
          </w:p>
          <w:p w14:paraId="7AEE4A07" w14:textId="65218EB6" w:rsidR="00147987" w:rsidRDefault="00147987" w:rsidP="00147987">
            <w:pPr>
              <w:pStyle w:val="ListNumber"/>
              <w:numPr>
                <w:ilvl w:val="0"/>
                <w:numId w:val="35"/>
              </w:numPr>
            </w:pPr>
            <w:r w:rsidRPr="00147987">
              <w:t>27/05/22 _EXTERNAL_ Network Rail Written Representations - GUT EUS-STG S17 Application.msg. NR TO ORR</w:t>
            </w:r>
          </w:p>
          <w:p w14:paraId="536CC65D" w14:textId="6194E388" w:rsidR="00147987" w:rsidRDefault="00147987" w:rsidP="00147987">
            <w:pPr>
              <w:pStyle w:val="ListNumber"/>
              <w:numPr>
                <w:ilvl w:val="0"/>
                <w:numId w:val="35"/>
              </w:numPr>
            </w:pPr>
            <w:r w:rsidRPr="00147987">
              <w:t>27/05/22: Network Rail Written Representations - GUT EUS-STG S17 Application, Documentation Pt 2.msg 27/5. NETWORK RAIL</w:t>
            </w:r>
          </w:p>
          <w:p w14:paraId="27E9C594" w14:textId="7107894E" w:rsidR="00147987" w:rsidRDefault="00147987" w:rsidP="00147987">
            <w:pPr>
              <w:pStyle w:val="ListNumber"/>
              <w:numPr>
                <w:ilvl w:val="0"/>
                <w:numId w:val="35"/>
              </w:numPr>
            </w:pPr>
            <w:r w:rsidRPr="00147987">
              <w:t>27/05/22: GUT EUS-STG S17 Application, Appendices - Part 2.zip. NETWORK RAIL</w:t>
            </w:r>
          </w:p>
          <w:p w14:paraId="492B6FD8" w14:textId="472BFFF8" w:rsidR="00147987" w:rsidRDefault="00147987" w:rsidP="00147987">
            <w:pPr>
              <w:pStyle w:val="ListNumber"/>
              <w:numPr>
                <w:ilvl w:val="0"/>
                <w:numId w:val="35"/>
              </w:numPr>
            </w:pPr>
            <w:r w:rsidRPr="00147987">
              <w:t>June 2022: London Euston - HS2 ONW B1 - 14-platform Capacity Study -- DRAFT v1.0.pdf. NETWORK RAIL</w:t>
            </w:r>
          </w:p>
          <w:p w14:paraId="7E07A535" w14:textId="2EE807B9" w:rsidR="00147987" w:rsidRDefault="00147987" w:rsidP="00147987">
            <w:pPr>
              <w:pStyle w:val="ListNumber"/>
              <w:numPr>
                <w:ilvl w:val="0"/>
                <w:numId w:val="35"/>
              </w:numPr>
            </w:pPr>
            <w:r w:rsidRPr="00147987">
              <w:t xml:space="preserve">08/06/22: Appendix 1 WCML </w:t>
            </w:r>
            <w:proofErr w:type="spellStart"/>
            <w:r w:rsidRPr="00147987">
              <w:t>Sth</w:t>
            </w:r>
            <w:proofErr w:type="spellEnd"/>
            <w:r w:rsidRPr="00147987">
              <w:t xml:space="preserve"> Dec 22 FL Quantum. Jun 22.pdf. NETWORK RAIL</w:t>
            </w:r>
          </w:p>
          <w:p w14:paraId="4595F5C8" w14:textId="78686134" w:rsidR="00147987" w:rsidRDefault="00147987" w:rsidP="00147987">
            <w:pPr>
              <w:pStyle w:val="ListNumber"/>
              <w:numPr>
                <w:ilvl w:val="0"/>
                <w:numId w:val="35"/>
              </w:numPr>
            </w:pPr>
            <w:r w:rsidRPr="00147987">
              <w:lastRenderedPageBreak/>
              <w:t xml:space="preserve">28/06/22: Appendix 4 Harker </w:t>
            </w:r>
            <w:r w:rsidR="00F57FC3">
              <w:t xml:space="preserve">(power) </w:t>
            </w:r>
            <w:r w:rsidRPr="00147987">
              <w:t>modelling. NETWORK RAIL</w:t>
            </w:r>
          </w:p>
          <w:p w14:paraId="43ADC0EB" w14:textId="4BE15F60" w:rsidR="00147987" w:rsidRDefault="00147987" w:rsidP="00147987">
            <w:pPr>
              <w:pStyle w:val="ListNumber"/>
              <w:numPr>
                <w:ilvl w:val="0"/>
                <w:numId w:val="35"/>
              </w:numPr>
            </w:pPr>
            <w:r w:rsidRPr="00147987">
              <w:t>07/07/22: Appendix 2 Dec 22 TAC Tables - NR supported.docx. NETWORK RAIL</w:t>
            </w:r>
          </w:p>
          <w:p w14:paraId="5E531336" w14:textId="557A142A" w:rsidR="00147987" w:rsidRDefault="00147987" w:rsidP="00147987">
            <w:pPr>
              <w:pStyle w:val="ListNumber"/>
              <w:numPr>
                <w:ilvl w:val="0"/>
                <w:numId w:val="35"/>
              </w:numPr>
            </w:pPr>
            <w:r w:rsidRPr="00147987">
              <w:t>15/07/22: 2022 07 15 Response to ORR</w:t>
            </w:r>
            <w:r w:rsidR="00313079">
              <w:t>.</w:t>
            </w:r>
            <w:r w:rsidRPr="00147987">
              <w:t xml:space="preserve"> NETWORK RAIL TO ORR</w:t>
            </w:r>
          </w:p>
          <w:p w14:paraId="1731F67F" w14:textId="5B17E7EA" w:rsidR="00500D01" w:rsidRDefault="00500D01" w:rsidP="00F57FC3">
            <w:pPr>
              <w:pStyle w:val="ListNumber"/>
              <w:numPr>
                <w:ilvl w:val="0"/>
                <w:numId w:val="0"/>
              </w:numPr>
              <w:ind w:left="720"/>
            </w:pPr>
          </w:p>
          <w:p w14:paraId="24DF7A58" w14:textId="485A1305" w:rsidR="00556BE2" w:rsidRDefault="00536012" w:rsidP="00556BE2">
            <w:pPr>
              <w:pStyle w:val="ListNumber"/>
              <w:numPr>
                <w:ilvl w:val="0"/>
                <w:numId w:val="0"/>
              </w:numPr>
            </w:pPr>
            <w:r>
              <w:t>Further evidence to be provided by NR</w:t>
            </w:r>
          </w:p>
          <w:p w14:paraId="42986F6C" w14:textId="380DDF36" w:rsidR="00536012" w:rsidRDefault="00536012" w:rsidP="00536012">
            <w:pPr>
              <w:pStyle w:val="ListNumber"/>
              <w:numPr>
                <w:ilvl w:val="0"/>
                <w:numId w:val="36"/>
              </w:numPr>
            </w:pPr>
            <w:r>
              <w:t xml:space="preserve">12/22: Perturbation performance analysis </w:t>
            </w:r>
            <w:r w:rsidR="004876A3">
              <w:t>of platform constraints at Euston</w:t>
            </w:r>
          </w:p>
          <w:p w14:paraId="19202526" w14:textId="35EC3DB8" w:rsidR="00536012" w:rsidRDefault="004876A3" w:rsidP="00893FC6">
            <w:pPr>
              <w:pStyle w:val="ListNumber"/>
              <w:numPr>
                <w:ilvl w:val="0"/>
                <w:numId w:val="36"/>
              </w:numPr>
            </w:pPr>
            <w:r>
              <w:t>13/09/22: NR</w:t>
            </w:r>
            <w:r w:rsidR="00536012">
              <w:t xml:space="preserve"> response to request</w:t>
            </w:r>
            <w:r>
              <w:t xml:space="preserve"> from ORR for further clarification</w:t>
            </w:r>
          </w:p>
          <w:p w14:paraId="39EE6DDE" w14:textId="77777777" w:rsidR="00536012" w:rsidRDefault="00536012" w:rsidP="00556BE2">
            <w:pPr>
              <w:pStyle w:val="ListNumber"/>
              <w:numPr>
                <w:ilvl w:val="0"/>
                <w:numId w:val="0"/>
              </w:numPr>
            </w:pPr>
          </w:p>
          <w:p w14:paraId="5BFE9237" w14:textId="4B0C15B3" w:rsidR="00F52BE8" w:rsidRPr="005F7D49" w:rsidRDefault="00B10783" w:rsidP="00141412">
            <w:pPr>
              <w:pStyle w:val="ListNumber"/>
              <w:numPr>
                <w:ilvl w:val="0"/>
                <w:numId w:val="0"/>
              </w:numPr>
            </w:pPr>
            <w:r>
              <w:t>T</w:t>
            </w:r>
            <w:r w:rsidR="00556BE2">
              <w:t xml:space="preserve">he </w:t>
            </w:r>
            <w:r>
              <w:t xml:space="preserve">above </w:t>
            </w:r>
            <w:r w:rsidR="00556BE2">
              <w:t xml:space="preserve">representations </w:t>
            </w:r>
            <w:r>
              <w:t>have not provided ORR sufficient clarity to determine access.</w:t>
            </w:r>
            <w:r w:rsidR="00556BE2">
              <w:t xml:space="preserve"> We are keen to conclude these applications in a timely fashion to provide certainty to the industry. To do so, we require external, independent support to </w:t>
            </w:r>
            <w:r w:rsidR="000469F2">
              <w:t>draw together</w:t>
            </w:r>
            <w:r w:rsidR="00556BE2">
              <w:t xml:space="preserve"> </w:t>
            </w:r>
            <w:r w:rsidR="00500D01">
              <w:t xml:space="preserve">and analyse </w:t>
            </w:r>
            <w:r w:rsidR="00556BE2">
              <w:t>all</w:t>
            </w:r>
            <w:r w:rsidR="000469F2">
              <w:t xml:space="preserve"> the</w:t>
            </w:r>
            <w:r w:rsidR="00556BE2">
              <w:t xml:space="preserve"> relevant evidence and provide</w:t>
            </w:r>
            <w:r w:rsidR="000469F2">
              <w:t xml:space="preserve"> us with</w:t>
            </w:r>
            <w:r w:rsidR="00556BE2">
              <w:t xml:space="preserve"> recommendations that enable us to reach our determinations</w:t>
            </w:r>
            <w:r w:rsidR="000469F2">
              <w:t>.</w:t>
            </w:r>
            <w:r w:rsidR="00556BE2">
              <w:t xml:space="preserve"> </w:t>
            </w:r>
          </w:p>
        </w:tc>
      </w:tr>
      <w:tr w:rsidR="00F52BE8" w:rsidRPr="0036077E" w14:paraId="0D0F920E" w14:textId="77777777" w:rsidTr="005F7D49">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5F7D49">
        <w:trPr>
          <w:trHeight w:val="757"/>
        </w:trPr>
        <w:tc>
          <w:tcPr>
            <w:tcW w:w="8302" w:type="dxa"/>
            <w:tcBorders>
              <w:bottom w:val="single" w:sz="4" w:space="0" w:color="auto"/>
            </w:tcBorders>
            <w:shd w:val="clear" w:color="auto" w:fill="auto"/>
          </w:tcPr>
          <w:p w14:paraId="63BD80C0" w14:textId="12FBF825" w:rsidR="002424BB" w:rsidRPr="00B3569C" w:rsidRDefault="002424BB" w:rsidP="002424BB">
            <w:pPr>
              <w:pStyle w:val="NoSpacing"/>
              <w:rPr>
                <w:rFonts w:ascii="Arial" w:hAnsi="Arial" w:cs="Arial"/>
                <w:b/>
                <w:bCs/>
              </w:rPr>
            </w:pPr>
          </w:p>
          <w:p w14:paraId="598BD2F9" w14:textId="641D9308" w:rsidR="00B10783" w:rsidRDefault="73C64BB5" w:rsidP="003104FB">
            <w:pPr>
              <w:pStyle w:val="ListNumber"/>
              <w:numPr>
                <w:ilvl w:val="0"/>
                <w:numId w:val="0"/>
              </w:numPr>
            </w:pPr>
            <w:r>
              <w:t>The project objective is to assess existing and/or collect new evidence and produce a report which will make recommendations on determining access rights contained in the applications referenced. Regarding any new evidence we would expect the consultant to discuss the scope the ORR project lead. The first part of the project will focus on the operational capacity and performance evidence needed, which will rely heavily on Network Rail and the applicant’s input and expertise. Depending on the results of the operational capacity analysis the consultant may be asked to conduct economic analysis on the applications.</w:t>
            </w:r>
          </w:p>
          <w:p w14:paraId="685FE928" w14:textId="317573BA" w:rsidR="00D559FE" w:rsidRDefault="73C64BB5" w:rsidP="003104FB">
            <w:pPr>
              <w:pStyle w:val="ListNumber"/>
              <w:numPr>
                <w:ilvl w:val="0"/>
                <w:numId w:val="0"/>
              </w:numPr>
            </w:pPr>
            <w:r>
              <w:t xml:space="preserve">The report produced and the assessment undertaken will help inform ORR’s decision on which access rights should be approved within the track access applications. ORR is likely to cite this analysis in explaining the reasons for its final decisions. Therefore, the assessment must follow best practice, to ensure it is robust, impartial, consistent, and transparent in its treatment of each of the service options. The assessment must also differentiate between existing and additional services and provide a response on each category as to </w:t>
            </w:r>
            <w:proofErr w:type="gramStart"/>
            <w:r>
              <w:t>if and when</w:t>
            </w:r>
            <w:proofErr w:type="gramEnd"/>
            <w:r>
              <w:t xml:space="preserve"> they can be accommodated. For clarity, we define additional services as those that are additional to the services operating from December 2022 (and included in the current AWC Section 18 application). This will include consideration of the application from WMT for a timebound service and any extension beyond its planned expiry date.</w:t>
            </w:r>
          </w:p>
          <w:p w14:paraId="19D2FF5C" w14:textId="35BA1DF8" w:rsidR="00646BAD" w:rsidRDefault="006A4756" w:rsidP="003104FB">
            <w:pPr>
              <w:pStyle w:val="ListNumber"/>
              <w:numPr>
                <w:ilvl w:val="0"/>
                <w:numId w:val="0"/>
              </w:numPr>
            </w:pPr>
            <w:r>
              <w:t xml:space="preserve">This review </w:t>
            </w:r>
            <w:r w:rsidR="009E7412">
              <w:t xml:space="preserve">and analysis </w:t>
            </w:r>
            <w:r>
              <w:t xml:space="preserve">of </w:t>
            </w:r>
            <w:r w:rsidR="009E7412">
              <w:t>evidence already provided</w:t>
            </w:r>
            <w:r w:rsidR="00313079">
              <w:t>, planned perturbation analysis</w:t>
            </w:r>
            <w:r w:rsidR="009E7412">
              <w:t xml:space="preserve"> and any </w:t>
            </w:r>
            <w:r w:rsidR="00DA11ED">
              <w:t xml:space="preserve">further </w:t>
            </w:r>
            <w:r w:rsidR="009E7412">
              <w:t xml:space="preserve">analysis </w:t>
            </w:r>
            <w:r w:rsidR="00DA11ED">
              <w:t>should not duplicate Network Rail or applicant work (unless necessary)</w:t>
            </w:r>
            <w:r w:rsidR="009E7412">
              <w:t>.</w:t>
            </w:r>
            <w:r w:rsidR="00DA11ED">
              <w:t xml:space="preserve"> The consultants will be expected to work constructively with both infrastructure manager and operators. </w:t>
            </w:r>
          </w:p>
          <w:p w14:paraId="521D0C04" w14:textId="10C9D92F" w:rsidR="00A73219" w:rsidRDefault="00DA11ED" w:rsidP="003104FB">
            <w:pPr>
              <w:pStyle w:val="ListNumber"/>
              <w:numPr>
                <w:ilvl w:val="0"/>
                <w:numId w:val="0"/>
              </w:numPr>
            </w:pPr>
            <w:r>
              <w:t xml:space="preserve">The scope of the study </w:t>
            </w:r>
            <w:r w:rsidR="00A73219">
              <w:t xml:space="preserve">will </w:t>
            </w:r>
            <w:r w:rsidR="00926BD2">
              <w:t>provide answers to the following questions:</w:t>
            </w:r>
          </w:p>
          <w:p w14:paraId="53488673" w14:textId="49129413" w:rsidR="00926BD2" w:rsidRDefault="0AF45B9F" w:rsidP="00926BD2">
            <w:pPr>
              <w:pStyle w:val="ListParagraph"/>
              <w:numPr>
                <w:ilvl w:val="0"/>
                <w:numId w:val="29"/>
              </w:numPr>
              <w:spacing w:after="160" w:line="256" w:lineRule="auto"/>
            </w:pPr>
            <w:r>
              <w:lastRenderedPageBreak/>
              <w:t>Is capacity available for the proposed services by GUT</w:t>
            </w:r>
            <w:r w:rsidR="006A4756">
              <w:t>,</w:t>
            </w:r>
            <w:r>
              <w:t xml:space="preserve"> AWC</w:t>
            </w:r>
            <w:r w:rsidR="006A4756">
              <w:t xml:space="preserve"> and WMT</w:t>
            </w:r>
            <w:r>
              <w:t>? This should</w:t>
            </w:r>
            <w:r w:rsidR="001D51A7">
              <w:t xml:space="preserve"> </w:t>
            </w:r>
            <w:r w:rsidR="006A4756">
              <w:t>explain the impact of</w:t>
            </w:r>
            <w:r>
              <w:t xml:space="preserve"> all relevant capacity considerations, including but not necessarily limited to:</w:t>
            </w:r>
          </w:p>
          <w:p w14:paraId="205ADD3E" w14:textId="3F45EBAB" w:rsidR="00926BD2" w:rsidRDefault="050EF402" w:rsidP="00926BD2">
            <w:pPr>
              <w:pStyle w:val="ListParagraph"/>
              <w:numPr>
                <w:ilvl w:val="1"/>
                <w:numId w:val="29"/>
              </w:numPr>
              <w:spacing w:after="160" w:line="256" w:lineRule="auto"/>
            </w:pPr>
            <w:r>
              <w:t xml:space="preserve">End to end track </w:t>
            </w:r>
            <w:proofErr w:type="gramStart"/>
            <w:r>
              <w:t>capacity;</w:t>
            </w:r>
            <w:proofErr w:type="gramEnd"/>
          </w:p>
          <w:p w14:paraId="58E669D7" w14:textId="6C729C5F" w:rsidR="00926BD2" w:rsidRDefault="3881E429" w:rsidP="00926BD2">
            <w:pPr>
              <w:pStyle w:val="ListParagraph"/>
              <w:numPr>
                <w:ilvl w:val="1"/>
                <w:numId w:val="29"/>
              </w:numPr>
              <w:spacing w:after="160" w:line="256" w:lineRule="auto"/>
            </w:pPr>
            <w:r>
              <w:t>Platforming capacity, particularly at Euston</w:t>
            </w:r>
            <w:r w:rsidR="00F57FC3">
              <w:t xml:space="preserve"> and incorporating perturbation </w:t>
            </w:r>
            <w:proofErr w:type="gramStart"/>
            <w:r w:rsidR="00F57FC3">
              <w:t>analysis</w:t>
            </w:r>
            <w:r>
              <w:t>;</w:t>
            </w:r>
            <w:proofErr w:type="gramEnd"/>
          </w:p>
          <w:p w14:paraId="1A77408A" w14:textId="00E083AC" w:rsidR="00926BD2" w:rsidRDefault="3881E429" w:rsidP="00926BD2">
            <w:pPr>
              <w:pStyle w:val="ListParagraph"/>
              <w:numPr>
                <w:ilvl w:val="1"/>
                <w:numId w:val="29"/>
              </w:numPr>
              <w:spacing w:after="160" w:line="256" w:lineRule="auto"/>
            </w:pPr>
            <w:r>
              <w:t xml:space="preserve">Power supply constraints, particularly involving Bushey feeder </w:t>
            </w:r>
            <w:proofErr w:type="gramStart"/>
            <w:r>
              <w:t>station;</w:t>
            </w:r>
            <w:proofErr w:type="gramEnd"/>
          </w:p>
          <w:p w14:paraId="21901831" w14:textId="6E0F2FED" w:rsidR="00926BD2" w:rsidRDefault="0AF45B9F" w:rsidP="0AF45B9F">
            <w:pPr>
              <w:pStyle w:val="ListParagraph"/>
              <w:numPr>
                <w:ilvl w:val="1"/>
                <w:numId w:val="29"/>
              </w:numPr>
              <w:spacing w:after="160" w:line="256" w:lineRule="auto"/>
              <w:rPr>
                <w:rFonts w:asciiTheme="minorHAnsi" w:eastAsiaTheme="minorEastAsia" w:hAnsiTheme="minorHAnsi" w:cstheme="minorBidi"/>
                <w:szCs w:val="24"/>
              </w:rPr>
            </w:pPr>
            <w:r>
              <w:t xml:space="preserve">Any relevant planned future infrastructure enhancements/constraints; and </w:t>
            </w:r>
          </w:p>
          <w:p w14:paraId="7CC24CE2" w14:textId="6FC93CD7" w:rsidR="00926BD2" w:rsidRDefault="0AF45B9F" w:rsidP="050EF402">
            <w:pPr>
              <w:pStyle w:val="ListParagraph"/>
              <w:numPr>
                <w:ilvl w:val="1"/>
                <w:numId w:val="29"/>
              </w:numPr>
              <w:spacing w:after="160" w:line="256" w:lineRule="auto"/>
            </w:pPr>
            <w:r>
              <w:t>All considered alongside all existing service levels and future freight growth identified through the WCML ESG.</w:t>
            </w:r>
          </w:p>
          <w:p w14:paraId="450C785B" w14:textId="77777777" w:rsidR="00926BD2" w:rsidRDefault="00926BD2" w:rsidP="00926BD2">
            <w:pPr>
              <w:pStyle w:val="ListParagraph"/>
              <w:numPr>
                <w:ilvl w:val="0"/>
                <w:numId w:val="29"/>
              </w:numPr>
              <w:spacing w:after="160" w:line="256" w:lineRule="auto"/>
            </w:pPr>
            <w:r>
              <w:t xml:space="preserve">If not, what subset options would be available to be accommodated? </w:t>
            </w:r>
          </w:p>
          <w:p w14:paraId="0A721773" w14:textId="77777777" w:rsidR="00926BD2" w:rsidRDefault="00926BD2" w:rsidP="00926BD2">
            <w:pPr>
              <w:pStyle w:val="ListParagraph"/>
              <w:numPr>
                <w:ilvl w:val="0"/>
                <w:numId w:val="29"/>
              </w:numPr>
              <w:spacing w:after="160" w:line="256" w:lineRule="auto"/>
            </w:pPr>
            <w:r>
              <w:t>What are the modelled performance impacts of the potential options?</w:t>
            </w:r>
          </w:p>
          <w:p w14:paraId="07F66FA4" w14:textId="758DC958" w:rsidR="00926BD2" w:rsidRDefault="3881E429" w:rsidP="00926BD2">
            <w:pPr>
              <w:pStyle w:val="ListParagraph"/>
              <w:numPr>
                <w:ilvl w:val="0"/>
                <w:numId w:val="29"/>
              </w:numPr>
              <w:spacing w:after="160" w:line="256" w:lineRule="auto"/>
            </w:pPr>
            <w:r>
              <w:t xml:space="preserve">If capacity is not immediately available for all the proposed services, is there a point in where capacity will become available? What capacity will be available </w:t>
            </w:r>
            <w:r w:rsidR="00DA11ED">
              <w:t xml:space="preserve">at timetable intervention points </w:t>
            </w:r>
            <w:r>
              <w:t>in 2023, 2024 and 2025?</w:t>
            </w:r>
          </w:p>
          <w:p w14:paraId="35FD1201" w14:textId="293D515E" w:rsidR="006A4756" w:rsidRDefault="006A4756" w:rsidP="00926BD2">
            <w:pPr>
              <w:pStyle w:val="ListParagraph"/>
              <w:numPr>
                <w:ilvl w:val="0"/>
                <w:numId w:val="29"/>
              </w:numPr>
              <w:spacing w:after="160" w:line="256" w:lineRule="auto"/>
            </w:pPr>
            <w:r>
              <w:t>Which services are recommended for approval as the best use of available capacity and at what points should they be implemented between 2022 and 2025</w:t>
            </w:r>
            <w:r w:rsidR="00DA11ED">
              <w:t xml:space="preserve"> (or an alternative end date)</w:t>
            </w:r>
            <w:r>
              <w:t>?</w:t>
            </w:r>
          </w:p>
          <w:p w14:paraId="7E138837" w14:textId="2A1E64DA" w:rsidR="00646BAD" w:rsidRPr="00926BD2" w:rsidRDefault="3881E429" w:rsidP="003104FB">
            <w:pPr>
              <w:pStyle w:val="ListNumber"/>
              <w:numPr>
                <w:ilvl w:val="0"/>
                <w:numId w:val="0"/>
              </w:numPr>
            </w:pPr>
            <w:r>
              <w:t>A</w:t>
            </w:r>
            <w:r w:rsidR="00DA11ED">
              <w:t xml:space="preserve">s explained, the scope of this contract may be extended to include a </w:t>
            </w:r>
            <w:r>
              <w:t>potential secondary objective</w:t>
            </w:r>
            <w:r w:rsidR="00DA11ED">
              <w:t>. This would be</w:t>
            </w:r>
            <w:r>
              <w:t xml:space="preserve"> to complete the required economic analysis if the capacity analysis shows these applications are competing for limited capacity and Cost Benefit Analysis is required.</w:t>
            </w:r>
          </w:p>
          <w:p w14:paraId="1BC6B903" w14:textId="05D5AA05" w:rsidR="00926BD2" w:rsidRPr="00926BD2" w:rsidRDefault="00926BD2" w:rsidP="003104FB">
            <w:pPr>
              <w:pStyle w:val="ListNumber"/>
              <w:numPr>
                <w:ilvl w:val="0"/>
                <w:numId w:val="0"/>
              </w:numPr>
            </w:pPr>
            <w:r>
              <w:rPr>
                <w:szCs w:val="24"/>
              </w:rPr>
              <w:t>This study will provide:</w:t>
            </w:r>
          </w:p>
          <w:p w14:paraId="1178A99F" w14:textId="77777777" w:rsidR="00926BD2" w:rsidRDefault="00926BD2" w:rsidP="00926BD2">
            <w:pPr>
              <w:pStyle w:val="ListParagraph"/>
              <w:numPr>
                <w:ilvl w:val="0"/>
                <w:numId w:val="30"/>
              </w:numPr>
              <w:spacing w:after="160" w:line="256" w:lineRule="auto"/>
            </w:pPr>
            <w:r>
              <w:t xml:space="preserve">Cost-Benefit Analysis of both AWC and GUT proposals based on overall Net Present Value and Net Present Value per path. </w:t>
            </w:r>
          </w:p>
          <w:p w14:paraId="5D0FF0CE" w14:textId="77777777" w:rsidR="00926BD2" w:rsidRDefault="00926BD2" w:rsidP="00926BD2">
            <w:pPr>
              <w:pStyle w:val="ListParagraph"/>
              <w:numPr>
                <w:ilvl w:val="0"/>
                <w:numId w:val="30"/>
              </w:numPr>
              <w:spacing w:after="160" w:line="256" w:lineRule="auto"/>
            </w:pPr>
            <w:r>
              <w:t>NPA test results for GUT proposals</w:t>
            </w:r>
          </w:p>
          <w:p w14:paraId="70E82448" w14:textId="243A15AC" w:rsidR="00926BD2" w:rsidRPr="00520ADF" w:rsidRDefault="00926BD2" w:rsidP="00926BD2">
            <w:pPr>
              <w:pStyle w:val="ListParagraph"/>
              <w:numPr>
                <w:ilvl w:val="0"/>
                <w:numId w:val="30"/>
              </w:numPr>
              <w:spacing w:after="160" w:line="256" w:lineRule="auto"/>
            </w:pPr>
            <w:r>
              <w:t>Absolute level of abstraction for GUT proposals</w:t>
            </w:r>
          </w:p>
          <w:p w14:paraId="05301141" w14:textId="46A29DE4" w:rsidR="00520ADF" w:rsidRDefault="3881E429" w:rsidP="003104FB">
            <w:pPr>
              <w:pStyle w:val="ListNumber"/>
              <w:numPr>
                <w:ilvl w:val="0"/>
                <w:numId w:val="0"/>
              </w:numPr>
            </w:pPr>
            <w:r>
              <w:t xml:space="preserve">These outputs should be provided in the form of a draft report to be shared for comment with applicants and key stakeholders which objectively confirms the impacts or otherwise of both applications and provides options for the best allocation of access rights. </w:t>
            </w:r>
          </w:p>
          <w:p w14:paraId="66C42D7F" w14:textId="5FE0B5F9" w:rsidR="005F7D49" w:rsidRPr="00A51AAA" w:rsidRDefault="3881E429" w:rsidP="00A51AAA">
            <w:pPr>
              <w:pStyle w:val="ListNumber"/>
              <w:numPr>
                <w:ilvl w:val="0"/>
                <w:numId w:val="0"/>
              </w:numPr>
              <w:rPr>
                <w:szCs w:val="24"/>
              </w:rPr>
            </w:pPr>
            <w:r w:rsidRPr="3881E429">
              <w:rPr>
                <w:szCs w:val="24"/>
              </w:rPr>
              <w:t>We require tender pricing for operational analysis only and operational analysis with economic analysis.</w:t>
            </w:r>
          </w:p>
        </w:tc>
      </w:tr>
      <w:tr w:rsidR="00F52BE8" w:rsidRPr="0036077E" w14:paraId="16B6CA3B" w14:textId="77777777" w:rsidTr="005F7D49">
        <w:trPr>
          <w:trHeight w:val="566"/>
        </w:trPr>
        <w:tc>
          <w:tcPr>
            <w:tcW w:w="8302" w:type="dxa"/>
            <w:shd w:val="clear" w:color="auto" w:fill="99CCFF"/>
          </w:tcPr>
          <w:p w14:paraId="4A8CCD8F" w14:textId="198F2B4C"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w:t>
            </w:r>
            <w:r w:rsidR="005F7D49">
              <w:rPr>
                <w:rFonts w:cs="Arial"/>
                <w:b/>
                <w:sz w:val="28"/>
                <w:szCs w:val="28"/>
              </w:rPr>
              <w:t>v</w:t>
            </w:r>
            <w:r w:rsidRPr="0036077E">
              <w:rPr>
                <w:rFonts w:cs="Arial"/>
                <w:b/>
                <w:sz w:val="28"/>
                <w:szCs w:val="28"/>
              </w:rPr>
              <w:t>erables</w:t>
            </w:r>
            <w:r>
              <w:rPr>
                <w:rFonts w:cs="Arial"/>
                <w:b/>
                <w:sz w:val="28"/>
                <w:szCs w:val="28"/>
              </w:rPr>
              <w:t xml:space="preserve"> and Contract Management </w:t>
            </w:r>
          </w:p>
        </w:tc>
      </w:tr>
      <w:tr w:rsidR="00F52BE8" w:rsidRPr="0036077E" w14:paraId="7756E308" w14:textId="77777777" w:rsidTr="005F7D49">
        <w:trPr>
          <w:trHeight w:val="757"/>
        </w:trPr>
        <w:tc>
          <w:tcPr>
            <w:tcW w:w="8302" w:type="dxa"/>
            <w:tcBorders>
              <w:bottom w:val="single" w:sz="4" w:space="0" w:color="auto"/>
            </w:tcBorders>
            <w:shd w:val="clear" w:color="auto" w:fill="auto"/>
          </w:tcPr>
          <w:p w14:paraId="643DBB60" w14:textId="6D003656" w:rsidR="00865291" w:rsidRPr="00FC51D3" w:rsidRDefault="008114F6" w:rsidP="00865291">
            <w:pPr>
              <w:pStyle w:val="Heading2"/>
              <w:rPr>
                <w:sz w:val="22"/>
                <w:szCs w:val="22"/>
              </w:rPr>
            </w:pPr>
            <w:r>
              <w:rPr>
                <w:sz w:val="22"/>
                <w:szCs w:val="22"/>
              </w:rPr>
              <w:lastRenderedPageBreak/>
              <w:t xml:space="preserve">Project </w:t>
            </w:r>
            <w:r w:rsidR="00865291" w:rsidRPr="00FC51D3">
              <w:rPr>
                <w:sz w:val="22"/>
                <w:szCs w:val="22"/>
              </w:rPr>
              <w:t>Output</w:t>
            </w:r>
            <w:r>
              <w:rPr>
                <w:sz w:val="22"/>
                <w:szCs w:val="22"/>
              </w:rPr>
              <w:t>s</w:t>
            </w:r>
          </w:p>
          <w:p w14:paraId="2F4A37A1" w14:textId="77777777" w:rsidR="00865291" w:rsidRPr="00FC51D3" w:rsidRDefault="00865291" w:rsidP="003104FB">
            <w:pPr>
              <w:pStyle w:val="ListNumber"/>
              <w:numPr>
                <w:ilvl w:val="0"/>
                <w:numId w:val="0"/>
              </w:numPr>
              <w:rPr>
                <w:rFonts w:cs="Arial"/>
                <w:sz w:val="22"/>
                <w:szCs w:val="22"/>
              </w:rPr>
            </w:pPr>
            <w:r>
              <w:rPr>
                <w:rFonts w:cs="Arial"/>
                <w:sz w:val="22"/>
                <w:szCs w:val="22"/>
              </w:rPr>
              <w:t>The timescales for the project are set out below.</w:t>
            </w:r>
            <w:r w:rsidRPr="00FC51D3">
              <w:rPr>
                <w:rFonts w:cs="Arial"/>
                <w:sz w:val="22"/>
                <w:szCs w:val="22"/>
              </w:rPr>
              <w:t xml:space="preserve"> Consultants will be expected to clearly demonstrate, within their tenders, that they have the available resources to meet these timescales. </w:t>
            </w:r>
          </w:p>
          <w:p w14:paraId="4D44E897" w14:textId="77777777" w:rsidR="00865291" w:rsidRPr="00FC51D3" w:rsidRDefault="00865291" w:rsidP="003104FB">
            <w:pPr>
              <w:pStyle w:val="ListNumber"/>
              <w:numPr>
                <w:ilvl w:val="0"/>
                <w:numId w:val="0"/>
              </w:numPr>
              <w:rPr>
                <w:rFonts w:cs="Arial"/>
                <w:sz w:val="22"/>
                <w:szCs w:val="22"/>
              </w:rPr>
            </w:pPr>
            <w:r w:rsidRPr="00FC51D3">
              <w:rPr>
                <w:sz w:val="22"/>
                <w:szCs w:val="22"/>
              </w:rPr>
              <w:t>We expect work to commence within one week o</w:t>
            </w:r>
            <w:r>
              <w:rPr>
                <w:sz w:val="22"/>
                <w:szCs w:val="22"/>
              </w:rPr>
              <w:t>f being awarded the contract</w:t>
            </w:r>
            <w:r w:rsidRPr="00FC51D3">
              <w:rPr>
                <w:sz w:val="22"/>
                <w:szCs w:val="22"/>
              </w:rPr>
              <w:t>.</w:t>
            </w:r>
          </w:p>
          <w:p w14:paraId="679BBF2C" w14:textId="22830576" w:rsidR="00865291" w:rsidRPr="00FC51D3" w:rsidRDefault="00865291" w:rsidP="003104FB">
            <w:pPr>
              <w:pStyle w:val="ListNumber"/>
              <w:numPr>
                <w:ilvl w:val="0"/>
                <w:numId w:val="0"/>
              </w:numPr>
              <w:rPr>
                <w:rFonts w:cs="Arial"/>
                <w:sz w:val="22"/>
                <w:szCs w:val="22"/>
              </w:rPr>
            </w:pPr>
            <w:r w:rsidRPr="00FC51D3">
              <w:rPr>
                <w:rFonts w:cs="Arial"/>
                <w:sz w:val="22"/>
                <w:szCs w:val="22"/>
              </w:rPr>
              <w:t>The key o</w:t>
            </w:r>
            <w:r>
              <w:rPr>
                <w:rFonts w:cs="Arial"/>
                <w:sz w:val="22"/>
                <w:szCs w:val="22"/>
              </w:rPr>
              <w:t xml:space="preserve">utputs from the project will be: </w:t>
            </w:r>
          </w:p>
          <w:p w14:paraId="5D01DE6A" w14:textId="579F5FC1" w:rsidR="00865291" w:rsidRPr="00FC51D3" w:rsidRDefault="00865291" w:rsidP="00865291">
            <w:pPr>
              <w:numPr>
                <w:ilvl w:val="0"/>
                <w:numId w:val="31"/>
              </w:numPr>
              <w:rPr>
                <w:rFonts w:cs="Arial"/>
                <w:sz w:val="22"/>
                <w:szCs w:val="22"/>
              </w:rPr>
            </w:pPr>
            <w:r>
              <w:rPr>
                <w:rFonts w:cs="Arial"/>
                <w:sz w:val="22"/>
                <w:szCs w:val="22"/>
              </w:rPr>
              <w:t>Two weeks after commencing the project, a</w:t>
            </w:r>
            <w:r w:rsidRPr="00FC51D3">
              <w:rPr>
                <w:rFonts w:cs="Arial"/>
                <w:sz w:val="22"/>
                <w:szCs w:val="22"/>
              </w:rPr>
              <w:t>n inception report</w:t>
            </w:r>
            <w:r>
              <w:rPr>
                <w:rFonts w:cs="Arial"/>
                <w:sz w:val="22"/>
                <w:szCs w:val="22"/>
              </w:rPr>
              <w:t xml:space="preserve"> that </w:t>
            </w:r>
            <w:r w:rsidRPr="00FC51D3">
              <w:rPr>
                <w:rFonts w:cs="Arial"/>
                <w:sz w:val="22"/>
                <w:szCs w:val="22"/>
              </w:rPr>
              <w:t>confirm</w:t>
            </w:r>
            <w:r>
              <w:rPr>
                <w:rFonts w:cs="Arial"/>
                <w:sz w:val="22"/>
                <w:szCs w:val="22"/>
              </w:rPr>
              <w:t>s</w:t>
            </w:r>
            <w:r w:rsidRPr="00FC51D3">
              <w:rPr>
                <w:rFonts w:cs="Arial"/>
                <w:sz w:val="22"/>
                <w:szCs w:val="22"/>
              </w:rPr>
              <w:t xml:space="preserve"> </w:t>
            </w:r>
            <w:r>
              <w:rPr>
                <w:rFonts w:cs="Arial"/>
                <w:sz w:val="22"/>
                <w:szCs w:val="22"/>
              </w:rPr>
              <w:t>the evidence and analysis</w:t>
            </w:r>
            <w:r w:rsidRPr="00FC51D3">
              <w:rPr>
                <w:rFonts w:cs="Arial"/>
                <w:sz w:val="22"/>
                <w:szCs w:val="22"/>
              </w:rPr>
              <w:t xml:space="preserve"> approach is fit for purpose and the updates needed to make it so. It will also include an updated project </w:t>
            </w:r>
            <w:proofErr w:type="gramStart"/>
            <w:r w:rsidRPr="00FC51D3">
              <w:rPr>
                <w:rFonts w:cs="Arial"/>
                <w:sz w:val="22"/>
                <w:szCs w:val="22"/>
              </w:rPr>
              <w:t>plan;</w:t>
            </w:r>
            <w:proofErr w:type="gramEnd"/>
          </w:p>
          <w:p w14:paraId="2BBE63C6" w14:textId="36AF4560" w:rsidR="00865291" w:rsidRPr="00A51AAA" w:rsidRDefault="73C64BB5" w:rsidP="00865291">
            <w:pPr>
              <w:numPr>
                <w:ilvl w:val="0"/>
                <w:numId w:val="31"/>
              </w:numPr>
              <w:rPr>
                <w:rFonts w:cs="Arial"/>
                <w:sz w:val="22"/>
                <w:szCs w:val="22"/>
              </w:rPr>
            </w:pPr>
            <w:r w:rsidRPr="73C64BB5">
              <w:rPr>
                <w:rFonts w:cs="Arial"/>
                <w:sz w:val="22"/>
                <w:szCs w:val="22"/>
              </w:rPr>
              <w:t xml:space="preserve">A draft report, by </w:t>
            </w:r>
            <w:r w:rsidRPr="00A51AAA">
              <w:rPr>
                <w:rFonts w:cs="Arial"/>
                <w:sz w:val="22"/>
                <w:szCs w:val="22"/>
              </w:rPr>
              <w:t>13th January</w:t>
            </w:r>
            <w:r w:rsidR="00A51AAA" w:rsidRPr="00A51AAA">
              <w:rPr>
                <w:rFonts w:cs="Arial"/>
                <w:sz w:val="22"/>
                <w:szCs w:val="22"/>
              </w:rPr>
              <w:t xml:space="preserve"> 2023</w:t>
            </w:r>
            <w:r w:rsidRPr="00A51AAA">
              <w:rPr>
                <w:rFonts w:cs="Arial"/>
                <w:sz w:val="22"/>
                <w:szCs w:val="22"/>
              </w:rPr>
              <w:t xml:space="preserve">, summarising the methodology used, and the rationale for using it, key assumptions and their associated evidence </w:t>
            </w:r>
            <w:proofErr w:type="gramStart"/>
            <w:r w:rsidRPr="00A51AAA">
              <w:rPr>
                <w:rFonts w:cs="Arial"/>
                <w:sz w:val="22"/>
                <w:szCs w:val="22"/>
              </w:rPr>
              <w:t>base;</w:t>
            </w:r>
            <w:proofErr w:type="gramEnd"/>
          </w:p>
          <w:p w14:paraId="42065F8C" w14:textId="6E897275" w:rsidR="00865291" w:rsidRPr="00A51AAA" w:rsidRDefault="73C64BB5" w:rsidP="00865291">
            <w:pPr>
              <w:numPr>
                <w:ilvl w:val="0"/>
                <w:numId w:val="31"/>
              </w:numPr>
              <w:rPr>
                <w:rFonts w:cs="Arial"/>
                <w:sz w:val="22"/>
                <w:szCs w:val="22"/>
              </w:rPr>
            </w:pPr>
            <w:r w:rsidRPr="00A51AAA">
              <w:rPr>
                <w:rFonts w:cs="Arial"/>
                <w:sz w:val="22"/>
                <w:szCs w:val="22"/>
              </w:rPr>
              <w:t>A draft final report by 31</w:t>
            </w:r>
            <w:r w:rsidRPr="00A51AAA">
              <w:rPr>
                <w:rFonts w:cs="Arial"/>
                <w:sz w:val="22"/>
                <w:szCs w:val="22"/>
                <w:vertAlign w:val="superscript"/>
              </w:rPr>
              <w:t>st</w:t>
            </w:r>
            <w:r w:rsidRPr="00A51AAA">
              <w:rPr>
                <w:rFonts w:cs="Arial"/>
                <w:sz w:val="22"/>
                <w:szCs w:val="22"/>
              </w:rPr>
              <w:t xml:space="preserve"> January</w:t>
            </w:r>
            <w:r w:rsidR="00A51AAA" w:rsidRPr="00A51AAA">
              <w:rPr>
                <w:rFonts w:cs="Arial"/>
                <w:sz w:val="22"/>
                <w:szCs w:val="22"/>
              </w:rPr>
              <w:t xml:space="preserve"> 2023</w:t>
            </w:r>
            <w:r w:rsidRPr="00A51AAA">
              <w:rPr>
                <w:rFonts w:cs="Arial"/>
                <w:sz w:val="22"/>
                <w:szCs w:val="22"/>
              </w:rPr>
              <w:t xml:space="preserve">, updating the interim report to describe, the methodology used, and the rationale for using it, key assumptions and their associated evidence base, and </w:t>
            </w:r>
            <w:proofErr w:type="gramStart"/>
            <w:r w:rsidRPr="00A51AAA">
              <w:rPr>
                <w:rFonts w:cs="Arial"/>
                <w:sz w:val="22"/>
                <w:szCs w:val="22"/>
              </w:rPr>
              <w:t>results;</w:t>
            </w:r>
            <w:proofErr w:type="gramEnd"/>
          </w:p>
          <w:p w14:paraId="098C55AE" w14:textId="62A99B3C" w:rsidR="00865291" w:rsidRPr="00FC51D3" w:rsidRDefault="73C64BB5" w:rsidP="00865291">
            <w:pPr>
              <w:numPr>
                <w:ilvl w:val="0"/>
                <w:numId w:val="31"/>
              </w:numPr>
              <w:rPr>
                <w:rFonts w:cs="Arial"/>
                <w:sz w:val="22"/>
                <w:szCs w:val="22"/>
              </w:rPr>
            </w:pPr>
            <w:r w:rsidRPr="00A51AAA">
              <w:rPr>
                <w:rFonts w:cs="Arial"/>
                <w:sz w:val="22"/>
                <w:szCs w:val="22"/>
              </w:rPr>
              <w:t>Full evidence set by 31</w:t>
            </w:r>
            <w:r w:rsidRPr="00A51AAA">
              <w:rPr>
                <w:rFonts w:cs="Arial"/>
                <w:sz w:val="22"/>
                <w:szCs w:val="22"/>
                <w:vertAlign w:val="superscript"/>
              </w:rPr>
              <w:t>st</w:t>
            </w:r>
            <w:r w:rsidRPr="00A51AAA">
              <w:rPr>
                <w:rFonts w:cs="Arial"/>
                <w:sz w:val="22"/>
                <w:szCs w:val="22"/>
              </w:rPr>
              <w:t xml:space="preserve"> January</w:t>
            </w:r>
            <w:r w:rsidR="00A51AAA" w:rsidRPr="00A51AAA">
              <w:rPr>
                <w:rFonts w:cs="Arial"/>
                <w:sz w:val="22"/>
                <w:szCs w:val="22"/>
              </w:rPr>
              <w:t xml:space="preserve"> 2023</w:t>
            </w:r>
            <w:r w:rsidRPr="00A51AAA">
              <w:rPr>
                <w:rFonts w:cs="Arial"/>
                <w:sz w:val="22"/>
                <w:szCs w:val="22"/>
              </w:rPr>
              <w:t>,</w:t>
            </w:r>
            <w:r w:rsidRPr="73C64BB5">
              <w:rPr>
                <w:rFonts w:cs="Arial"/>
                <w:sz w:val="22"/>
                <w:szCs w:val="22"/>
              </w:rPr>
              <w:t xml:space="preserve"> recording key assumptions, model outputs, </w:t>
            </w:r>
            <w:proofErr w:type="gramStart"/>
            <w:r w:rsidRPr="73C64BB5">
              <w:rPr>
                <w:rFonts w:cs="Arial"/>
                <w:sz w:val="22"/>
                <w:szCs w:val="22"/>
              </w:rPr>
              <w:t>calculations</w:t>
            </w:r>
            <w:proofErr w:type="gramEnd"/>
            <w:r w:rsidRPr="73C64BB5">
              <w:rPr>
                <w:rFonts w:cs="Arial"/>
                <w:sz w:val="22"/>
                <w:szCs w:val="22"/>
              </w:rPr>
              <w:t xml:space="preserve"> and results; it should record sources and use formulae, rather than hard coding, wherever reasonably practical to do so</w:t>
            </w:r>
            <w:r w:rsidRPr="73C64BB5">
              <w:rPr>
                <w:rFonts w:cs="Arial"/>
                <w:color w:val="FF0000"/>
                <w:sz w:val="22"/>
                <w:szCs w:val="22"/>
              </w:rPr>
              <w:t xml:space="preserve">. </w:t>
            </w:r>
            <w:r w:rsidRPr="73C64BB5">
              <w:rPr>
                <w:rFonts w:cs="Arial"/>
                <w:sz w:val="22"/>
                <w:szCs w:val="22"/>
              </w:rPr>
              <w:t>All inputs and analytical approaches need to be referenced to existing guidance and / or data sources.</w:t>
            </w:r>
          </w:p>
          <w:p w14:paraId="67BFA330" w14:textId="29F0735B" w:rsidR="00865291" w:rsidRPr="00FC51D3" w:rsidRDefault="73C64BB5" w:rsidP="00865291">
            <w:pPr>
              <w:numPr>
                <w:ilvl w:val="0"/>
                <w:numId w:val="31"/>
              </w:numPr>
              <w:rPr>
                <w:rFonts w:cs="Arial"/>
                <w:sz w:val="22"/>
                <w:szCs w:val="22"/>
              </w:rPr>
            </w:pPr>
            <w:r w:rsidRPr="73C64BB5">
              <w:rPr>
                <w:rFonts w:cs="Arial"/>
                <w:sz w:val="22"/>
                <w:szCs w:val="22"/>
              </w:rPr>
              <w:t>A final report one week after provision of comments by ORR; and</w:t>
            </w:r>
          </w:p>
          <w:p w14:paraId="3DE4645F" w14:textId="11865A29" w:rsidR="00865291" w:rsidRPr="00FC51D3" w:rsidRDefault="73C64BB5" w:rsidP="00865291">
            <w:pPr>
              <w:numPr>
                <w:ilvl w:val="0"/>
                <w:numId w:val="31"/>
              </w:numPr>
              <w:rPr>
                <w:rFonts w:cs="Arial"/>
                <w:sz w:val="22"/>
                <w:szCs w:val="22"/>
              </w:rPr>
            </w:pPr>
            <w:r w:rsidRPr="73C64BB5">
              <w:rPr>
                <w:rFonts w:cs="Arial"/>
                <w:sz w:val="22"/>
                <w:szCs w:val="22"/>
              </w:rPr>
              <w:t>Final evidence set one week after provision of comments by ORR.  We require full and redacted versions, where the latter may be shared with industry stakeholders and published.</w:t>
            </w:r>
          </w:p>
          <w:p w14:paraId="767A305C" w14:textId="27E3499E" w:rsidR="008114F6" w:rsidRDefault="00865291" w:rsidP="00A51AAA">
            <w:pPr>
              <w:pStyle w:val="ListNumber"/>
              <w:numPr>
                <w:ilvl w:val="0"/>
                <w:numId w:val="0"/>
              </w:numPr>
              <w:rPr>
                <w:color w:val="FF0000"/>
                <w:sz w:val="22"/>
                <w:szCs w:val="22"/>
              </w:rPr>
            </w:pPr>
            <w:r w:rsidRPr="00FC51D3">
              <w:rPr>
                <w:sz w:val="22"/>
                <w:szCs w:val="22"/>
              </w:rPr>
              <w:t>Consultant</w:t>
            </w:r>
            <w:r w:rsidR="000569C1">
              <w:rPr>
                <w:sz w:val="22"/>
                <w:szCs w:val="22"/>
              </w:rPr>
              <w:t>s</w:t>
            </w:r>
            <w:r w:rsidRPr="00FC51D3">
              <w:rPr>
                <w:sz w:val="22"/>
                <w:szCs w:val="22"/>
              </w:rPr>
              <w:t xml:space="preserve"> should assume that the final report will need to be published (in a redacted </w:t>
            </w:r>
            <w:r>
              <w:rPr>
                <w:sz w:val="22"/>
                <w:szCs w:val="22"/>
              </w:rPr>
              <w:t>form where appropriate</w:t>
            </w:r>
            <w:r w:rsidRPr="00FC51D3">
              <w:rPr>
                <w:sz w:val="22"/>
                <w:szCs w:val="22"/>
              </w:rPr>
              <w:t xml:space="preserve">) and a corresponding standard of presentation is necessary. </w:t>
            </w:r>
            <w:r>
              <w:rPr>
                <w:sz w:val="22"/>
                <w:szCs w:val="22"/>
              </w:rPr>
              <w:t>T</w:t>
            </w:r>
            <w:r w:rsidRPr="00FC51D3">
              <w:rPr>
                <w:sz w:val="22"/>
                <w:szCs w:val="22"/>
              </w:rPr>
              <w:t xml:space="preserve">he consultant </w:t>
            </w:r>
            <w:r>
              <w:rPr>
                <w:sz w:val="22"/>
                <w:szCs w:val="22"/>
              </w:rPr>
              <w:t>will prepare the versions of the report needed</w:t>
            </w:r>
            <w:r w:rsidRPr="00FC51D3">
              <w:rPr>
                <w:sz w:val="22"/>
                <w:szCs w:val="22"/>
              </w:rPr>
              <w:t>.</w:t>
            </w:r>
            <w:r w:rsidRPr="00FC51D3">
              <w:rPr>
                <w:color w:val="FF0000"/>
                <w:sz w:val="22"/>
                <w:szCs w:val="22"/>
              </w:rPr>
              <w:t xml:space="preserve"> </w:t>
            </w:r>
          </w:p>
          <w:p w14:paraId="558BF0F6" w14:textId="77777777" w:rsidR="005F7D49" w:rsidRPr="00A90B02" w:rsidRDefault="005F7D49" w:rsidP="00A51AAA">
            <w:pPr>
              <w:pStyle w:val="ListNumber"/>
              <w:numPr>
                <w:ilvl w:val="0"/>
                <w:numId w:val="0"/>
              </w:numPr>
              <w:rPr>
                <w:rFonts w:cs="Arial"/>
                <w:sz w:val="22"/>
                <w:szCs w:val="22"/>
              </w:rPr>
            </w:pPr>
          </w:p>
          <w:p w14:paraId="516B1F3C" w14:textId="586BF91B" w:rsidR="00A90B02" w:rsidRPr="00FF27B3" w:rsidRDefault="008114F6" w:rsidP="00A90B02">
            <w:pPr>
              <w:pStyle w:val="Heading2"/>
              <w:rPr>
                <w:sz w:val="22"/>
                <w:szCs w:val="22"/>
              </w:rPr>
            </w:pPr>
            <w:r>
              <w:rPr>
                <w:sz w:val="22"/>
                <w:szCs w:val="22"/>
              </w:rPr>
              <w:t xml:space="preserve">Contract Management </w:t>
            </w:r>
          </w:p>
          <w:p w14:paraId="159A15FE" w14:textId="77777777" w:rsidR="00A90B02" w:rsidRPr="00E21488" w:rsidRDefault="00A90B02" w:rsidP="00A90B02">
            <w:pPr>
              <w:rPr>
                <w:rFonts w:cs="Arial"/>
                <w:i/>
                <w:sz w:val="22"/>
                <w:szCs w:val="22"/>
              </w:rPr>
            </w:pPr>
            <w:r w:rsidRPr="00E21488">
              <w:rPr>
                <w:rFonts w:cs="Arial"/>
                <w:i/>
                <w:sz w:val="22"/>
                <w:szCs w:val="22"/>
              </w:rPr>
              <w:t>Progress and Meetings</w:t>
            </w:r>
          </w:p>
          <w:p w14:paraId="15C68166" w14:textId="77777777" w:rsidR="00E9259D" w:rsidRDefault="00A90B02" w:rsidP="003104FB">
            <w:pPr>
              <w:pStyle w:val="ListNumber"/>
              <w:numPr>
                <w:ilvl w:val="0"/>
                <w:numId w:val="0"/>
              </w:numPr>
              <w:rPr>
                <w:rFonts w:cs="Arial"/>
                <w:sz w:val="22"/>
                <w:szCs w:val="22"/>
              </w:rPr>
            </w:pPr>
            <w:r>
              <w:rPr>
                <w:rFonts w:cs="Arial"/>
                <w:sz w:val="22"/>
                <w:szCs w:val="22"/>
              </w:rPr>
              <w:t>In addition to the inception meeting, t</w:t>
            </w:r>
            <w:r w:rsidRPr="00E21488">
              <w:rPr>
                <w:rFonts w:cs="Arial"/>
                <w:sz w:val="22"/>
                <w:szCs w:val="22"/>
              </w:rPr>
              <w:t xml:space="preserve">he Consultant will be required to meet with </w:t>
            </w:r>
            <w:r>
              <w:rPr>
                <w:rFonts w:cs="Arial"/>
                <w:sz w:val="22"/>
                <w:szCs w:val="22"/>
              </w:rPr>
              <w:t>representatives of the client case team</w:t>
            </w:r>
            <w:r w:rsidRPr="00E21488">
              <w:rPr>
                <w:rFonts w:cs="Arial"/>
                <w:sz w:val="22"/>
                <w:szCs w:val="22"/>
              </w:rPr>
              <w:t xml:space="preserve"> </w:t>
            </w:r>
            <w:r>
              <w:rPr>
                <w:rFonts w:cs="Arial"/>
                <w:sz w:val="22"/>
                <w:szCs w:val="22"/>
              </w:rPr>
              <w:t xml:space="preserve">following submission of the interim report and the draft final report.  </w:t>
            </w:r>
          </w:p>
          <w:p w14:paraId="7C8F3E4C" w14:textId="65B381B0" w:rsidR="00F52BE8" w:rsidRPr="00A51AAA" w:rsidRDefault="00A90B02" w:rsidP="00A51AAA">
            <w:pPr>
              <w:pStyle w:val="ListNumber"/>
              <w:numPr>
                <w:ilvl w:val="0"/>
                <w:numId w:val="0"/>
              </w:numPr>
              <w:rPr>
                <w:rFonts w:cs="Arial"/>
                <w:sz w:val="22"/>
                <w:szCs w:val="22"/>
              </w:rPr>
            </w:pPr>
            <w:r>
              <w:rPr>
                <w:rFonts w:cs="Arial"/>
                <w:sz w:val="22"/>
                <w:szCs w:val="22"/>
              </w:rPr>
              <w:t xml:space="preserve">In addition, the consultant is to </w:t>
            </w:r>
            <w:r w:rsidRPr="00E21488">
              <w:rPr>
                <w:rFonts w:cs="Arial"/>
                <w:sz w:val="22"/>
                <w:szCs w:val="22"/>
              </w:rPr>
              <w:t>report on progress</w:t>
            </w:r>
            <w:r w:rsidR="00E9259D">
              <w:rPr>
                <w:rFonts w:cs="Arial"/>
                <w:sz w:val="22"/>
                <w:szCs w:val="22"/>
              </w:rPr>
              <w:t xml:space="preserve"> against the project plan</w:t>
            </w:r>
            <w:r w:rsidRPr="00E21488">
              <w:rPr>
                <w:rFonts w:cs="Arial"/>
                <w:sz w:val="22"/>
                <w:szCs w:val="22"/>
              </w:rPr>
              <w:t xml:space="preserve">, </w:t>
            </w:r>
            <w:r w:rsidR="00D36E66">
              <w:rPr>
                <w:rFonts w:cs="Arial"/>
                <w:sz w:val="22"/>
                <w:szCs w:val="22"/>
              </w:rPr>
              <w:t>meeting with the ORR case leads</w:t>
            </w:r>
            <w:r w:rsidRPr="00E21488">
              <w:rPr>
                <w:rFonts w:cs="Arial"/>
                <w:sz w:val="22"/>
                <w:szCs w:val="22"/>
              </w:rPr>
              <w:t xml:space="preserve"> on a weekly</w:t>
            </w:r>
            <w:r w:rsidRPr="00E21488">
              <w:rPr>
                <w:rFonts w:cs="Arial"/>
                <w:color w:val="FF0000"/>
                <w:sz w:val="22"/>
                <w:szCs w:val="22"/>
              </w:rPr>
              <w:t xml:space="preserve"> </w:t>
            </w:r>
            <w:r w:rsidRPr="00E21488">
              <w:rPr>
                <w:rFonts w:cs="Arial"/>
                <w:sz w:val="22"/>
                <w:szCs w:val="22"/>
              </w:rPr>
              <w:t>basis. The progress note should list key</w:t>
            </w:r>
            <w:r w:rsidRPr="00FC7AAB">
              <w:rPr>
                <w:rFonts w:cs="Arial"/>
                <w:sz w:val="22"/>
                <w:szCs w:val="22"/>
              </w:rPr>
              <w:t xml:space="preserve"> activities, tasks completed, and decisions made regarding the methodology.  Meetings may also be needed with Network Rail and track access applicants.</w:t>
            </w:r>
          </w:p>
          <w:p w14:paraId="5B707FC8" w14:textId="77777777" w:rsidR="003104FB" w:rsidRDefault="00B83884" w:rsidP="003104FB">
            <w:pPr>
              <w:autoSpaceDE w:val="0"/>
              <w:autoSpaceDN w:val="0"/>
              <w:adjustRightInd w:val="0"/>
              <w:spacing w:after="0"/>
              <w:rPr>
                <w:rFonts w:cs="Arial"/>
                <w:b/>
                <w:sz w:val="22"/>
                <w:szCs w:val="22"/>
                <w:lang w:eastAsia="en-GB"/>
              </w:rPr>
            </w:pPr>
            <w:r>
              <w:rPr>
                <w:rFonts w:cs="Arial"/>
                <w:b/>
                <w:sz w:val="22"/>
                <w:szCs w:val="22"/>
                <w:lang w:eastAsia="en-GB"/>
              </w:rPr>
              <w:t>Purpose of the deliverables</w:t>
            </w:r>
          </w:p>
          <w:p w14:paraId="6FFF0EA6" w14:textId="77777777" w:rsidR="003104FB" w:rsidRDefault="003104FB" w:rsidP="003104FB">
            <w:pPr>
              <w:autoSpaceDE w:val="0"/>
              <w:autoSpaceDN w:val="0"/>
              <w:adjustRightInd w:val="0"/>
              <w:spacing w:after="0"/>
              <w:rPr>
                <w:sz w:val="22"/>
                <w:szCs w:val="22"/>
              </w:rPr>
            </w:pPr>
          </w:p>
          <w:p w14:paraId="7CD5B5B4" w14:textId="77777777" w:rsidR="00F52BE8" w:rsidRDefault="008679B7" w:rsidP="001B3639">
            <w:pPr>
              <w:autoSpaceDE w:val="0"/>
              <w:autoSpaceDN w:val="0"/>
              <w:adjustRightInd w:val="0"/>
              <w:spacing w:after="0"/>
              <w:rPr>
                <w:sz w:val="22"/>
                <w:szCs w:val="22"/>
              </w:rPr>
            </w:pPr>
            <w:r w:rsidRPr="008679B7">
              <w:rPr>
                <w:sz w:val="22"/>
                <w:szCs w:val="22"/>
              </w:rPr>
              <w:t xml:space="preserve">To enable ORR to reach an </w:t>
            </w:r>
            <w:proofErr w:type="gramStart"/>
            <w:r w:rsidRPr="008679B7">
              <w:rPr>
                <w:sz w:val="22"/>
                <w:szCs w:val="22"/>
              </w:rPr>
              <w:t>evidence based</w:t>
            </w:r>
            <w:proofErr w:type="gramEnd"/>
            <w:r w:rsidRPr="008679B7">
              <w:rPr>
                <w:sz w:val="22"/>
                <w:szCs w:val="22"/>
              </w:rPr>
              <w:t xml:space="preserve"> decision on track access applications on the WCML.</w:t>
            </w:r>
          </w:p>
          <w:p w14:paraId="3CD1AD8D" w14:textId="77777777" w:rsidR="005F7D49" w:rsidRDefault="005F7D49" w:rsidP="001B3639">
            <w:pPr>
              <w:autoSpaceDE w:val="0"/>
              <w:autoSpaceDN w:val="0"/>
              <w:adjustRightInd w:val="0"/>
              <w:spacing w:after="0"/>
              <w:rPr>
                <w:sz w:val="22"/>
                <w:szCs w:val="22"/>
                <w:lang w:eastAsia="en-GB"/>
              </w:rPr>
            </w:pPr>
          </w:p>
          <w:p w14:paraId="413A5EE2" w14:textId="52FBE046" w:rsidR="005F7D49" w:rsidRPr="00A51AAA" w:rsidRDefault="005F7D49" w:rsidP="001B3639">
            <w:pPr>
              <w:autoSpaceDE w:val="0"/>
              <w:autoSpaceDN w:val="0"/>
              <w:adjustRightInd w:val="0"/>
              <w:spacing w:after="0"/>
              <w:rPr>
                <w:rFonts w:cs="Arial"/>
                <w:b/>
                <w:sz w:val="22"/>
                <w:szCs w:val="22"/>
                <w:lang w:eastAsia="en-GB"/>
              </w:rPr>
            </w:pPr>
          </w:p>
        </w:tc>
      </w:tr>
      <w:tr w:rsidR="00F52BE8" w:rsidRPr="0036077E" w14:paraId="4166DCD0" w14:textId="77777777" w:rsidTr="005F7D49">
        <w:trPr>
          <w:trHeight w:val="250"/>
        </w:trPr>
        <w:tc>
          <w:tcPr>
            <w:tcW w:w="8302" w:type="dxa"/>
            <w:shd w:val="clear" w:color="auto" w:fill="99CCFF"/>
          </w:tcPr>
          <w:p w14:paraId="5B50AF6D" w14:textId="3822CF11"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5F7D49">
        <w:trPr>
          <w:trHeight w:val="250"/>
        </w:trPr>
        <w:tc>
          <w:tcPr>
            <w:tcW w:w="8302" w:type="dxa"/>
            <w:tcBorders>
              <w:bottom w:val="single" w:sz="4" w:space="0" w:color="auto"/>
            </w:tcBorders>
            <w:shd w:val="clear" w:color="auto" w:fill="auto"/>
          </w:tcPr>
          <w:p w14:paraId="7054CF29" w14:textId="77777777" w:rsidR="00F52BE8" w:rsidRPr="00A51AAA" w:rsidRDefault="00F52BE8" w:rsidP="00335497">
            <w:pPr>
              <w:autoSpaceDE w:val="0"/>
              <w:autoSpaceDN w:val="0"/>
              <w:adjustRightInd w:val="0"/>
              <w:rPr>
                <w:rFonts w:cs="Arial"/>
                <w:color w:val="000000"/>
                <w:sz w:val="22"/>
                <w:szCs w:val="22"/>
                <w:lang w:eastAsia="en-GB"/>
              </w:rPr>
            </w:pPr>
            <w:r w:rsidRPr="00A51AAA">
              <w:rPr>
                <w:rFonts w:cs="Arial"/>
                <w:color w:val="000000"/>
                <w:sz w:val="22"/>
                <w:szCs w:val="22"/>
                <w:lang w:eastAsia="en-GB"/>
              </w:rPr>
              <w:t>The provisional project timetable is as follows:</w:t>
            </w:r>
          </w:p>
          <w:p w14:paraId="009C3E07" w14:textId="09D537DF" w:rsidR="00F52BE8" w:rsidRPr="00A51AAA" w:rsidRDefault="73C64BB5" w:rsidP="73C64BB5">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Start-up meeting and commencement w/c 28</w:t>
            </w:r>
            <w:r w:rsidRPr="00A51AAA">
              <w:rPr>
                <w:rFonts w:cs="Arial"/>
                <w:color w:val="000000" w:themeColor="text1"/>
                <w:sz w:val="22"/>
                <w:szCs w:val="22"/>
                <w:vertAlign w:val="superscript"/>
                <w:lang w:eastAsia="en-GB"/>
              </w:rPr>
              <w:t>th</w:t>
            </w:r>
            <w:r w:rsidRPr="00A51AAA">
              <w:rPr>
                <w:rFonts w:cs="Arial"/>
                <w:color w:val="000000" w:themeColor="text1"/>
                <w:sz w:val="22"/>
                <w:szCs w:val="22"/>
                <w:lang w:eastAsia="en-GB"/>
              </w:rPr>
              <w:t xml:space="preserve"> November 2022</w:t>
            </w:r>
          </w:p>
          <w:p w14:paraId="20BFFDB8" w14:textId="26FF213D" w:rsidR="00E73378" w:rsidRPr="00A51AAA" w:rsidRDefault="73C64BB5" w:rsidP="00F52BE8">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Information gathering, review and analysis phase December 2022 – January 2023</w:t>
            </w:r>
          </w:p>
          <w:p w14:paraId="050435D7" w14:textId="12BAD2B7" w:rsidR="00F52BE8" w:rsidRPr="00A51AAA" w:rsidRDefault="73C64BB5" w:rsidP="73C64BB5">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Updates on progress and any issues weekly</w:t>
            </w:r>
          </w:p>
          <w:p w14:paraId="3932EAEA" w14:textId="6ED60E4E" w:rsidR="00F52BE8" w:rsidRPr="00A51AAA" w:rsidRDefault="73C64BB5" w:rsidP="00F52BE8">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Draft report by 13</w:t>
            </w:r>
            <w:r w:rsidRPr="00A51AAA">
              <w:rPr>
                <w:rFonts w:cs="Arial"/>
                <w:color w:val="000000" w:themeColor="text1"/>
                <w:sz w:val="22"/>
                <w:szCs w:val="22"/>
                <w:vertAlign w:val="superscript"/>
                <w:lang w:eastAsia="en-GB"/>
              </w:rPr>
              <w:t>th</w:t>
            </w:r>
            <w:r w:rsidRPr="00A51AAA">
              <w:rPr>
                <w:rFonts w:cs="Arial"/>
                <w:color w:val="000000" w:themeColor="text1"/>
                <w:sz w:val="22"/>
                <w:szCs w:val="22"/>
                <w:lang w:eastAsia="en-GB"/>
              </w:rPr>
              <w:t xml:space="preserve"> January 2023</w:t>
            </w:r>
          </w:p>
          <w:p w14:paraId="57A5C02F" w14:textId="04006BCD" w:rsidR="00C7402A" w:rsidRPr="00A51AAA" w:rsidRDefault="73C64BB5" w:rsidP="00F52BE8">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Draft final report by 31</w:t>
            </w:r>
            <w:r w:rsidRPr="00A51AAA">
              <w:rPr>
                <w:rFonts w:cs="Arial"/>
                <w:color w:val="000000" w:themeColor="text1"/>
                <w:sz w:val="22"/>
                <w:szCs w:val="22"/>
                <w:vertAlign w:val="superscript"/>
                <w:lang w:eastAsia="en-GB"/>
              </w:rPr>
              <w:t>st</w:t>
            </w:r>
            <w:r w:rsidRPr="00A51AAA">
              <w:rPr>
                <w:rFonts w:cs="Arial"/>
                <w:color w:val="000000" w:themeColor="text1"/>
                <w:sz w:val="22"/>
                <w:szCs w:val="22"/>
                <w:lang w:eastAsia="en-GB"/>
              </w:rPr>
              <w:t xml:space="preserve"> January 2023</w:t>
            </w:r>
          </w:p>
          <w:p w14:paraId="05431D2B" w14:textId="46C658D1" w:rsidR="00C7402A" w:rsidRPr="00A51AAA" w:rsidRDefault="73C64BB5" w:rsidP="00F52BE8">
            <w:pPr>
              <w:numPr>
                <w:ilvl w:val="0"/>
                <w:numId w:val="12"/>
              </w:numPr>
              <w:autoSpaceDE w:val="0"/>
              <w:autoSpaceDN w:val="0"/>
              <w:adjustRightInd w:val="0"/>
              <w:spacing w:after="0"/>
              <w:rPr>
                <w:rFonts w:cs="Arial"/>
                <w:color w:val="000000"/>
                <w:sz w:val="22"/>
                <w:szCs w:val="22"/>
                <w:lang w:eastAsia="en-GB"/>
              </w:rPr>
            </w:pPr>
            <w:r w:rsidRPr="00A51AAA">
              <w:rPr>
                <w:rFonts w:cs="Arial"/>
                <w:color w:val="000000" w:themeColor="text1"/>
                <w:sz w:val="22"/>
                <w:szCs w:val="22"/>
                <w:lang w:eastAsia="en-GB"/>
              </w:rPr>
              <w:t>Full evidence set by 31</w:t>
            </w:r>
            <w:r w:rsidRPr="00A51AAA">
              <w:rPr>
                <w:rFonts w:cs="Arial"/>
                <w:color w:val="000000" w:themeColor="text1"/>
                <w:sz w:val="22"/>
                <w:szCs w:val="22"/>
                <w:vertAlign w:val="superscript"/>
                <w:lang w:eastAsia="en-GB"/>
              </w:rPr>
              <w:t>st</w:t>
            </w:r>
            <w:r w:rsidRPr="00A51AAA">
              <w:rPr>
                <w:rFonts w:cs="Arial"/>
                <w:color w:val="000000" w:themeColor="text1"/>
                <w:sz w:val="22"/>
                <w:szCs w:val="22"/>
                <w:lang w:eastAsia="en-GB"/>
              </w:rPr>
              <w:t xml:space="preserve"> January 2023</w:t>
            </w:r>
          </w:p>
          <w:p w14:paraId="2CBC09B0" w14:textId="4C0D9FD4" w:rsidR="00F52BE8" w:rsidRPr="005F7D49" w:rsidRDefault="73C64BB5" w:rsidP="00335497">
            <w:pPr>
              <w:numPr>
                <w:ilvl w:val="0"/>
                <w:numId w:val="12"/>
              </w:numPr>
              <w:autoSpaceDE w:val="0"/>
              <w:autoSpaceDN w:val="0"/>
              <w:adjustRightInd w:val="0"/>
              <w:spacing w:after="0"/>
              <w:rPr>
                <w:rFonts w:asciiTheme="minorHAnsi" w:eastAsiaTheme="minorEastAsia" w:hAnsiTheme="minorHAnsi" w:cstheme="minorBidi"/>
                <w:color w:val="000000"/>
                <w:sz w:val="22"/>
                <w:szCs w:val="22"/>
                <w:lang w:eastAsia="en-GB"/>
              </w:rPr>
            </w:pPr>
            <w:r w:rsidRPr="00A51AAA">
              <w:rPr>
                <w:rFonts w:cs="Arial"/>
                <w:color w:val="000000" w:themeColor="text1"/>
                <w:sz w:val="22"/>
                <w:szCs w:val="22"/>
                <w:lang w:eastAsia="en-GB"/>
              </w:rPr>
              <w:t>Final report and presentation by w/c 13</w:t>
            </w:r>
            <w:r w:rsidRPr="00A51AAA">
              <w:rPr>
                <w:rFonts w:cs="Arial"/>
                <w:color w:val="000000" w:themeColor="text1"/>
                <w:sz w:val="22"/>
                <w:szCs w:val="22"/>
                <w:vertAlign w:val="superscript"/>
                <w:lang w:eastAsia="en-GB"/>
              </w:rPr>
              <w:t>th</w:t>
            </w:r>
            <w:r w:rsidRPr="00A51AAA">
              <w:rPr>
                <w:rFonts w:cs="Arial"/>
                <w:color w:val="000000" w:themeColor="text1"/>
                <w:sz w:val="22"/>
                <w:szCs w:val="22"/>
                <w:lang w:eastAsia="en-GB"/>
              </w:rPr>
              <w:t xml:space="preserve"> February 2023 </w:t>
            </w:r>
          </w:p>
          <w:p w14:paraId="395C7F3A" w14:textId="702FF663" w:rsidR="00F52BE8" w:rsidRPr="0036077E" w:rsidRDefault="00F52BE8"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5F7D49">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5F7D49">
        <w:trPr>
          <w:trHeight w:val="127"/>
        </w:trPr>
        <w:tc>
          <w:tcPr>
            <w:tcW w:w="8302" w:type="dxa"/>
            <w:tcBorders>
              <w:bottom w:val="single" w:sz="4" w:space="0" w:color="auto"/>
            </w:tcBorders>
            <w:shd w:val="clear" w:color="auto" w:fill="auto"/>
          </w:tcPr>
          <w:p w14:paraId="505FE00B" w14:textId="64C4860B" w:rsidR="00F52BE8" w:rsidRDefault="73C64BB5" w:rsidP="00C7402A">
            <w:pPr>
              <w:rPr>
                <w:rFonts w:cs="Arial"/>
                <w:color w:val="000000"/>
                <w:sz w:val="22"/>
                <w:szCs w:val="22"/>
              </w:rPr>
            </w:pPr>
            <w:r w:rsidRPr="73C64BB5">
              <w:rPr>
                <w:sz w:val="22"/>
                <w:szCs w:val="22"/>
              </w:rPr>
              <w:t xml:space="preserve">The maximum budget for this piece of work </w:t>
            </w:r>
            <w:r w:rsidRPr="00A51AAA">
              <w:rPr>
                <w:sz w:val="22"/>
                <w:szCs w:val="22"/>
              </w:rPr>
              <w:t>is £50,000 (inc. of expenses, exc. of VAT)</w:t>
            </w:r>
            <w:r w:rsidRPr="00A51AAA">
              <w:rPr>
                <w:rFonts w:cs="Arial"/>
                <w:color w:val="000000" w:themeColor="text1"/>
                <w:sz w:val="22"/>
                <w:szCs w:val="22"/>
              </w:rPr>
              <w:t>.</w:t>
            </w:r>
          </w:p>
          <w:p w14:paraId="2620ED6F" w14:textId="61C4A1C4" w:rsidR="00F52BE8" w:rsidRPr="002B79F1" w:rsidRDefault="00F52BE8" w:rsidP="00335497">
            <w:pPr>
              <w:rPr>
                <w:rFonts w:cs="Arial"/>
                <w:sz w:val="22"/>
                <w:szCs w:val="22"/>
              </w:rPr>
            </w:pPr>
            <w:r>
              <w:rPr>
                <w:rFonts w:cs="Arial"/>
                <w:sz w:val="22"/>
                <w:szCs w:val="22"/>
              </w:rPr>
              <w:t>Payment of the total fee will be on the delivery and acceptance by ORR of all required outputs and/or deliverables.</w:t>
            </w:r>
            <w:r w:rsidRPr="00816394">
              <w:rPr>
                <w:b/>
                <w:color w:val="FF0000"/>
              </w:rPr>
              <w:t xml:space="preserve"> </w:t>
            </w:r>
          </w:p>
        </w:tc>
      </w:tr>
      <w:tr w:rsidR="00F52BE8" w:rsidRPr="0036077E" w14:paraId="6A95EAA1" w14:textId="77777777" w:rsidTr="005F7D49">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5F7D49">
        <w:trPr>
          <w:trHeight w:val="127"/>
        </w:trPr>
        <w:tc>
          <w:tcPr>
            <w:tcW w:w="8302"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Pr>
                <w:sz w:val="22"/>
                <w:szCs w:val="22"/>
              </w:rPr>
              <w:t>as a result of</w:t>
            </w:r>
            <w:proofErr w:type="gramEnd"/>
            <w:r>
              <w:rPr>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 xml:space="preserve">That the Contractor assumes unconditional responsibility for the overall work and its </w:t>
            </w:r>
            <w:proofErr w:type="gramStart"/>
            <w:r w:rsidRPr="00907369">
              <w:rPr>
                <w:sz w:val="22"/>
                <w:szCs w:val="22"/>
              </w:rPr>
              <w:t>quality;</w:t>
            </w:r>
            <w:proofErr w:type="gramEnd"/>
          </w:p>
          <w:p w14:paraId="2DDDD122" w14:textId="77777777" w:rsidR="00F52BE8" w:rsidRPr="00907369" w:rsidRDefault="00F52BE8" w:rsidP="00F52BE8">
            <w:pPr>
              <w:pStyle w:val="ListNumber2"/>
              <w:numPr>
                <w:ilvl w:val="0"/>
                <w:numId w:val="19"/>
              </w:numPr>
              <w:rPr>
                <w:sz w:val="22"/>
                <w:szCs w:val="22"/>
              </w:rPr>
            </w:pPr>
            <w:r w:rsidRPr="00907369">
              <w:rPr>
                <w:sz w:val="22"/>
                <w:szCs w:val="22"/>
              </w:rPr>
              <w:lastRenderedPageBreak/>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sidR="00D74997">
              <w:rPr>
                <w:rFonts w:cs="Arial"/>
                <w:sz w:val="22"/>
                <w:szCs w:val="22"/>
              </w:rPr>
              <w:t>tering into</w:t>
            </w:r>
            <w:proofErr w:type="gramEnd"/>
            <w:r w:rsidR="00D74997">
              <w:rPr>
                <w:rFonts w:cs="Arial"/>
                <w:sz w:val="22"/>
                <w:szCs w:val="22"/>
              </w:rPr>
              <w:t xml:space="preserve">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AC9114C" w14:textId="2B17CC79" w:rsidR="00F52BE8" w:rsidRPr="005F7D49" w:rsidRDefault="00D74997" w:rsidP="005F7D4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D26BC">
        <w:trPr>
          <w:trHeight w:val="841"/>
        </w:trPr>
        <w:tc>
          <w:tcPr>
            <w:tcW w:w="8528" w:type="dxa"/>
            <w:tcBorders>
              <w:bottom w:val="single" w:sz="4" w:space="0" w:color="auto"/>
            </w:tcBorders>
            <w:shd w:val="clear" w:color="auto" w:fill="auto"/>
          </w:tcPr>
          <w:p w14:paraId="78A4536E" w14:textId="4503AF21"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4C3DEF9C"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7B5BE2" w14:textId="04AAE2A0" w:rsidR="00F52BE8" w:rsidRPr="000D0187" w:rsidRDefault="00F52BE8" w:rsidP="000D0187">
            <w:pPr>
              <w:rPr>
                <w:rFonts w:cs="Arial"/>
                <w:sz w:val="22"/>
                <w:szCs w:val="22"/>
              </w:rPr>
            </w:pPr>
            <w:r w:rsidRPr="0036077E">
              <w:rPr>
                <w:rFonts w:cs="Arial"/>
                <w:b/>
                <w:bCs/>
                <w:color w:val="000000"/>
                <w:sz w:val="22"/>
                <w:szCs w:val="22"/>
                <w:lang w:eastAsia="en-GB"/>
              </w:rPr>
              <w:t>b) Approach to customer's requirements</w:t>
            </w:r>
          </w:p>
          <w:p w14:paraId="2280A60D" w14:textId="69B39A9A"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29F2FBD3"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F1E0E2F" w:rsidR="00F52BE8" w:rsidRDefault="00F52BE8" w:rsidP="00F52BE8">
            <w:pPr>
              <w:pStyle w:val="ListNumber"/>
              <w:numPr>
                <w:ilvl w:val="0"/>
                <w:numId w:val="6"/>
              </w:numPr>
              <w:rPr>
                <w:sz w:val="22"/>
                <w:szCs w:val="22"/>
              </w:rPr>
            </w:pPr>
            <w:r w:rsidRPr="0036077E">
              <w:rPr>
                <w:sz w:val="22"/>
                <w:szCs w:val="22"/>
              </w:rPr>
              <w:t>What support bidders will require from ORR</w:t>
            </w:r>
          </w:p>
          <w:p w14:paraId="3F130B19" w14:textId="77777777" w:rsidR="00912F42" w:rsidRPr="0036077E" w:rsidRDefault="00912F42" w:rsidP="00912F42">
            <w:pPr>
              <w:pStyle w:val="ListNumber"/>
              <w:numPr>
                <w:ilvl w:val="0"/>
                <w:numId w:val="0"/>
              </w:numPr>
              <w:ind w:left="360"/>
              <w:rPr>
                <w:sz w:val="22"/>
                <w:szCs w:val="22"/>
              </w:rPr>
            </w:pPr>
          </w:p>
          <w:p w14:paraId="694E02A6" w14:textId="40665E0B" w:rsidR="00F52BE8" w:rsidRPr="004722E4" w:rsidRDefault="00F52BE8" w:rsidP="004722E4">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3B70A2FF" w14:textId="77777777" w:rsidR="004722E4"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p>
          <w:p w14:paraId="6B29E54E" w14:textId="77777777" w:rsidR="004722E4" w:rsidRDefault="004722E4" w:rsidP="004722E4">
            <w:pPr>
              <w:pStyle w:val="ListParagraph"/>
              <w:rPr>
                <w:rFonts w:cs="Arial"/>
                <w:sz w:val="22"/>
                <w:szCs w:val="22"/>
              </w:rPr>
            </w:pPr>
          </w:p>
          <w:p w14:paraId="3B31880F" w14:textId="414EC4EA" w:rsidR="00F52BE8" w:rsidRPr="004722E4" w:rsidRDefault="00F52BE8" w:rsidP="004722E4">
            <w:pPr>
              <w:numPr>
                <w:ilvl w:val="0"/>
                <w:numId w:val="18"/>
              </w:numPr>
              <w:autoSpaceDE w:val="0"/>
              <w:autoSpaceDN w:val="0"/>
              <w:adjustRightInd w:val="0"/>
              <w:spacing w:after="0"/>
              <w:rPr>
                <w:rFonts w:cs="Arial"/>
                <w:color w:val="000000"/>
                <w:sz w:val="22"/>
                <w:szCs w:val="22"/>
                <w:lang w:eastAsia="en-GB"/>
              </w:rPr>
            </w:pPr>
            <w:r w:rsidRPr="004722E4">
              <w:rPr>
                <w:rFonts w:cs="Arial"/>
                <w:sz w:val="22"/>
                <w:szCs w:val="22"/>
              </w:rPr>
              <w:t>Some relevant examples of previous work that bidders have carried out (</w:t>
            </w:r>
            <w:proofErr w:type="spellStart"/>
            <w:r w:rsidRPr="004722E4">
              <w:rPr>
                <w:rFonts w:cs="Arial"/>
                <w:sz w:val="22"/>
                <w:szCs w:val="22"/>
              </w:rPr>
              <w:t>eg.</w:t>
            </w:r>
            <w:proofErr w:type="spellEnd"/>
            <w:r w:rsidRPr="004722E4">
              <w:rPr>
                <w:rFonts w:cs="Arial"/>
                <w:sz w:val="22"/>
                <w:szCs w:val="22"/>
              </w:rPr>
              <w:t xml:space="preserve"> case studies) </w:t>
            </w:r>
          </w:p>
          <w:p w14:paraId="05E52E49" w14:textId="77777777" w:rsidR="004722E4" w:rsidRPr="004722E4" w:rsidRDefault="004722E4" w:rsidP="005D26BC">
            <w:pPr>
              <w:autoSpaceDE w:val="0"/>
              <w:autoSpaceDN w:val="0"/>
              <w:adjustRightInd w:val="0"/>
              <w:spacing w:after="0"/>
              <w:rPr>
                <w:rFonts w:cs="Arial"/>
                <w:color w:val="000000"/>
                <w:sz w:val="22"/>
                <w:szCs w:val="22"/>
                <w:lang w:eastAsia="en-GB"/>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658CFFED" w:rsidR="00F52BE8" w:rsidRPr="0036077E" w:rsidRDefault="00F52BE8" w:rsidP="00335497">
            <w:pPr>
              <w:pStyle w:val="ListNumber"/>
              <w:numPr>
                <w:ilvl w:val="0"/>
                <w:numId w:val="0"/>
              </w:numPr>
              <w:rPr>
                <w:rFonts w:cs="Arial"/>
                <w:szCs w:val="24"/>
              </w:rPr>
            </w:pPr>
            <w:r w:rsidRPr="0036077E">
              <w:rPr>
                <w:rFonts w:cs="Arial"/>
                <w:b/>
                <w:szCs w:val="24"/>
              </w:rPr>
              <w:t>Methodology (</w:t>
            </w:r>
            <w:r w:rsidR="003104FB">
              <w:rPr>
                <w:rFonts w:cs="Arial"/>
                <w:b/>
                <w:szCs w:val="24"/>
              </w:rPr>
              <w:t>30</w:t>
            </w:r>
            <w:r w:rsidRPr="0036077E">
              <w:rPr>
                <w:rFonts w:cs="Arial"/>
                <w:b/>
                <w:szCs w:val="24"/>
              </w:rPr>
              <w:t>%)</w:t>
            </w:r>
          </w:p>
          <w:p w14:paraId="08B651BF" w14:textId="5EF166DE" w:rsidR="00F52BE8" w:rsidRPr="0036077E" w:rsidRDefault="00F52BE8" w:rsidP="00335497">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w:t>
            </w:r>
            <w:r w:rsidR="00D070C8">
              <w:rPr>
                <w:sz w:val="22"/>
                <w:szCs w:val="22"/>
              </w:rPr>
              <w:t xml:space="preserve">, </w:t>
            </w:r>
            <w:r w:rsidRPr="0036077E">
              <w:rPr>
                <w:sz w:val="22"/>
                <w:szCs w:val="22"/>
              </w:rPr>
              <w:t>it</w:t>
            </w:r>
            <w:proofErr w:type="gramEnd"/>
            <w:r w:rsidRPr="0036077E">
              <w:rPr>
                <w:sz w:val="22"/>
                <w:szCs w:val="22"/>
              </w:rPr>
              <w:t xml:space="preserve">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 xml:space="preserve">Explain the methodology and delivery mechanisms to ensure that the requirements of this specification are met in terms of </w:t>
            </w:r>
            <w:proofErr w:type="gramStart"/>
            <w:r w:rsidRPr="0036077E">
              <w:rPr>
                <w:rFonts w:cs="Arial"/>
                <w:sz w:val="22"/>
                <w:szCs w:val="22"/>
              </w:rPr>
              <w:t>quality;</w:t>
            </w:r>
            <w:proofErr w:type="gramEnd"/>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 xml:space="preserve">Explain how your organisation will engage with external </w:t>
            </w:r>
            <w:proofErr w:type="gramStart"/>
            <w:r w:rsidRPr="0036077E">
              <w:rPr>
                <w:rFonts w:cs="Arial"/>
              </w:rPr>
              <w:t>stakeholders;</w:t>
            </w:r>
            <w:proofErr w:type="gramEnd"/>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Outline how the proposed approach utilises</w:t>
            </w:r>
            <w:r w:rsidRPr="005D26BC">
              <w:rPr>
                <w:rFonts w:cs="Arial"/>
                <w:bCs/>
              </w:rPr>
              <w:t xml:space="preserve"> 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54785844"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EF3B5E">
              <w:rPr>
                <w:rFonts w:cs="Arial"/>
                <w:b/>
                <w:bCs/>
                <w:szCs w:val="24"/>
                <w:lang w:eastAsia="en-GB"/>
              </w:rPr>
              <w:t>30</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how and when the project requirement will be delivered.  </w:t>
            </w:r>
            <w:proofErr w:type="gramStart"/>
            <w:r w:rsidRPr="0036077E">
              <w:rPr>
                <w:sz w:val="22"/>
                <w:szCs w:val="22"/>
              </w:rPr>
              <w:t>In particular, it</w:t>
            </w:r>
            <w:proofErr w:type="gramEnd"/>
            <w:r w:rsidRPr="0036077E">
              <w:rPr>
                <w:sz w:val="22"/>
                <w:szCs w:val="22"/>
              </w:rPr>
              <w:t xml:space="preserve">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w:t>
            </w:r>
            <w:proofErr w:type="gramStart"/>
            <w:r w:rsidRPr="0036077E">
              <w:rPr>
                <w:rFonts w:cs="Arial"/>
                <w:sz w:val="22"/>
                <w:szCs w:val="22"/>
              </w:rPr>
              <w:t>stage;</w:t>
            </w:r>
            <w:proofErr w:type="gramEnd"/>
            <w:r w:rsidRPr="0036077E">
              <w:rPr>
                <w:rFonts w:cs="Arial"/>
                <w:sz w:val="22"/>
                <w:szCs w:val="22"/>
              </w:rPr>
              <w:t xml:space="preserv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w:t>
            </w:r>
            <w:proofErr w:type="gramStart"/>
            <w:r w:rsidRPr="0036077E">
              <w:rPr>
                <w:rFonts w:cs="Arial"/>
                <w:sz w:val="22"/>
                <w:szCs w:val="22"/>
              </w:rPr>
              <w:t>delivery;</w:t>
            </w:r>
            <w:proofErr w:type="gramEnd"/>
            <w:r w:rsidRPr="0036077E">
              <w:rPr>
                <w:rFonts w:cs="Arial"/>
                <w:sz w:val="22"/>
                <w:szCs w:val="22"/>
              </w:rPr>
              <w:t xml:space="preserve">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6AA9F338"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3104FB">
              <w:rPr>
                <w:rFonts w:cs="Arial"/>
                <w:b/>
                <w:szCs w:val="24"/>
              </w:rPr>
              <w:t>3</w:t>
            </w:r>
            <w:r w:rsidR="00EF3B5E">
              <w:rPr>
                <w:rFonts w:cs="Arial"/>
                <w:b/>
                <w:szCs w:val="24"/>
              </w:rPr>
              <w:t>0</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 xml:space="preserve">The proposal should set out any experience relevant to the project requirement.  </w:t>
            </w:r>
            <w:proofErr w:type="gramStart"/>
            <w:r w:rsidRPr="0036077E">
              <w:rPr>
                <w:sz w:val="22"/>
                <w:szCs w:val="22"/>
              </w:rPr>
              <w:t>In particular, it</w:t>
            </w:r>
            <w:proofErr w:type="gramEnd"/>
            <w:r w:rsidRPr="0036077E">
              <w:rPr>
                <w:sz w:val="22"/>
                <w:szCs w:val="22"/>
              </w:rPr>
              <w:t xml:space="preserve">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lastRenderedPageBreak/>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45E43B6"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EF3B5E">
              <w:rPr>
                <w:rFonts w:cs="Arial"/>
                <w:b/>
                <w:szCs w:val="24"/>
              </w:rPr>
              <w:t>10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lastRenderedPageBreak/>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2F0BDADC" w14:textId="77777777" w:rsidR="00337D44" w:rsidRPr="00A02F6E" w:rsidRDefault="00337D44" w:rsidP="00337D44">
            <w:pPr>
              <w:rPr>
                <w:rFonts w:cs="Arial"/>
                <w:sz w:val="22"/>
                <w:szCs w:val="22"/>
              </w:rPr>
            </w:pPr>
            <w:r w:rsidRPr="00A02F6E">
              <w:rPr>
                <w:rFonts w:cs="Arial"/>
                <w:sz w:val="22"/>
                <w:szCs w:val="22"/>
              </w:rPr>
              <w:t>For the Price evaluation the following shall apply:</w:t>
            </w:r>
          </w:p>
          <w:p w14:paraId="74D80734" w14:textId="77777777" w:rsidR="00337D44" w:rsidRPr="00A02F6E" w:rsidRDefault="00337D44" w:rsidP="00337D44">
            <w:pPr>
              <w:rPr>
                <w:rFonts w:cs="Arial"/>
                <w:sz w:val="22"/>
                <w:szCs w:val="22"/>
              </w:rPr>
            </w:pPr>
            <w:r w:rsidRPr="00A02F6E">
              <w:rPr>
                <w:rFonts w:cs="Arial"/>
                <w:sz w:val="22"/>
                <w:szCs w:val="22"/>
              </w:rPr>
              <w:t>Fixed fee</w:t>
            </w:r>
          </w:p>
          <w:p w14:paraId="1E995B91" w14:textId="77777777" w:rsidR="00337D44" w:rsidRPr="00A02F6E" w:rsidRDefault="00337D44" w:rsidP="00337D44">
            <w:pPr>
              <w:rPr>
                <w:rFonts w:cs="Arial"/>
                <w:sz w:val="22"/>
                <w:szCs w:val="22"/>
              </w:rPr>
            </w:pPr>
            <w:r w:rsidRPr="00A02F6E">
              <w:rPr>
                <w:rFonts w:cs="Arial"/>
                <w:sz w:val="22"/>
                <w:szCs w:val="22"/>
              </w:rPr>
              <w:t>The lowest fixed fee will be awarded the maximum price score of 100.</w:t>
            </w:r>
          </w:p>
          <w:p w14:paraId="7C5A7EF2" w14:textId="77777777" w:rsidR="00337D44" w:rsidRPr="00A02F6E" w:rsidRDefault="00337D44" w:rsidP="00337D44">
            <w:pPr>
              <w:rPr>
                <w:rFonts w:cs="Arial"/>
                <w:sz w:val="22"/>
                <w:szCs w:val="22"/>
              </w:rPr>
            </w:pPr>
            <w:r w:rsidRPr="00A02F6E">
              <w:rPr>
                <w:rFonts w:cs="Arial"/>
                <w:sz w:val="22"/>
                <w:szCs w:val="22"/>
              </w:rPr>
              <w:t>All other bidders will get a price score relative to the lowest fee tendered.</w:t>
            </w:r>
          </w:p>
          <w:p w14:paraId="36C50FBD" w14:textId="77777777" w:rsidR="00337D44" w:rsidRPr="00A02F6E" w:rsidRDefault="00337D44" w:rsidP="00337D44">
            <w:pPr>
              <w:rPr>
                <w:rFonts w:cs="Arial"/>
                <w:sz w:val="22"/>
                <w:szCs w:val="22"/>
              </w:rPr>
            </w:pPr>
            <w:r w:rsidRPr="00A02F6E">
              <w:rPr>
                <w:rFonts w:cs="Arial"/>
                <w:sz w:val="22"/>
                <w:szCs w:val="22"/>
              </w:rPr>
              <w:t>The calculation we will use to calculate your score is as follows:</w:t>
            </w:r>
          </w:p>
          <w:p w14:paraId="40F98905" w14:textId="77777777" w:rsidR="00337D44" w:rsidRDefault="00337D44" w:rsidP="00337D44">
            <w:pPr>
              <w:rPr>
                <w:rFonts w:cs="Arial"/>
                <w:sz w:val="22"/>
                <w:szCs w:val="22"/>
              </w:rPr>
            </w:pPr>
          </w:p>
          <w:p w14:paraId="400A69F8" w14:textId="77777777" w:rsidR="00337D44" w:rsidRPr="00A02F6E" w:rsidRDefault="00337D44" w:rsidP="00337D44">
            <w:pPr>
              <w:rPr>
                <w:rFonts w:cs="Arial"/>
                <w:sz w:val="22"/>
                <w:szCs w:val="22"/>
              </w:rPr>
            </w:pPr>
            <w:r w:rsidRPr="00A02F6E">
              <w:rPr>
                <w:rFonts w:cs="Arial"/>
                <w:sz w:val="22"/>
                <w:szCs w:val="22"/>
              </w:rPr>
              <w:t xml:space="preserve">Price </w:t>
            </w:r>
            <w:proofErr w:type="gramStart"/>
            <w:r w:rsidRPr="00A02F6E">
              <w:rPr>
                <w:rFonts w:cs="Arial"/>
                <w:sz w:val="22"/>
                <w:szCs w:val="22"/>
              </w:rPr>
              <w:t>Score  =</w:t>
            </w:r>
            <w:proofErr w:type="gramEnd"/>
            <w:r w:rsidRPr="00A02F6E">
              <w:rPr>
                <w:rFonts w:cs="Arial"/>
                <w:sz w:val="22"/>
                <w:szCs w:val="22"/>
              </w:rPr>
              <w:t xml:space="preserve">                    </w:t>
            </w:r>
            <w:r w:rsidRPr="00AF6C29">
              <w:rPr>
                <w:rFonts w:cs="Arial"/>
                <w:sz w:val="22"/>
                <w:szCs w:val="22"/>
                <w:u w:val="single"/>
              </w:rPr>
              <w:t>Lowest Total Fee</w:t>
            </w:r>
            <w:r w:rsidRPr="00A02F6E">
              <w:rPr>
                <w:rFonts w:cs="Arial"/>
                <w:sz w:val="22"/>
                <w:szCs w:val="22"/>
              </w:rPr>
              <w:t xml:space="preserve">       x 100</w:t>
            </w:r>
          </w:p>
          <w:p w14:paraId="6A90312C" w14:textId="77777777" w:rsidR="00337D44" w:rsidRPr="00A02F6E" w:rsidRDefault="00337D44" w:rsidP="00337D44">
            <w:pPr>
              <w:rPr>
                <w:rFonts w:cs="Arial"/>
                <w:sz w:val="22"/>
                <w:szCs w:val="22"/>
              </w:rPr>
            </w:pPr>
            <w:r w:rsidRPr="00A02F6E">
              <w:rPr>
                <w:rFonts w:cs="Arial"/>
                <w:sz w:val="22"/>
                <w:szCs w:val="22"/>
              </w:rPr>
              <w:t xml:space="preserve">                                           Bidder’s Total Fee</w:t>
            </w:r>
          </w:p>
          <w:p w14:paraId="450B420D" w14:textId="38BB5C45" w:rsidR="00F52BE8" w:rsidRPr="0036077E" w:rsidRDefault="00337D44" w:rsidP="00337D44">
            <w:pPr>
              <w:rPr>
                <w:rFonts w:cs="Arial"/>
                <w:sz w:val="22"/>
                <w:szCs w:val="22"/>
              </w:rPr>
            </w:pPr>
            <w:r w:rsidRPr="00A02F6E">
              <w:rPr>
                <w:rFonts w:cs="Arial"/>
                <w:sz w:val="22"/>
                <w:szCs w:val="22"/>
              </w:rPr>
              <w:t>Your score will then be multiplied by the weighting we have applied to this aspect of the price evaluation to provide a weighted score for the fee.</w:t>
            </w:r>
          </w:p>
        </w:tc>
      </w:tr>
    </w:tbl>
    <w:p w14:paraId="63B7A6DD" w14:textId="77777777" w:rsidR="00F52BE8" w:rsidRDefault="00F52BE8" w:rsidP="00F52BE8">
      <w:pPr>
        <w:rPr>
          <w:rFonts w:cs="Arial"/>
          <w:b/>
          <w:sz w:val="32"/>
          <w:szCs w:val="32"/>
          <w:u w:val="single"/>
        </w:rPr>
        <w:sectPr w:rsidR="00F52BE8" w:rsidSect="005F7D49">
          <w:footerReference w:type="default" r:id="rId9"/>
          <w:pgSz w:w="11906" w:h="16838"/>
          <w:pgMar w:top="1304" w:right="1797" w:bottom="1304"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78D000D6" w:rsidR="00F52BE8" w:rsidRPr="0036077E" w:rsidRDefault="00337D44" w:rsidP="00335497">
            <w:pPr>
              <w:pStyle w:val="ListNumber"/>
              <w:numPr>
                <w:ilvl w:val="0"/>
                <w:numId w:val="0"/>
              </w:numPr>
              <w:spacing w:before="0" w:after="0"/>
              <w:rPr>
                <w:rFonts w:cs="Arial"/>
              </w:rPr>
            </w:pPr>
            <w:r>
              <w:rPr>
                <w:rFonts w:cs="Arial"/>
              </w:rPr>
              <w:t>2</w:t>
            </w:r>
            <w:r w:rsidR="00A51AAA">
              <w:rPr>
                <w:rFonts w:cs="Arial"/>
              </w:rPr>
              <w:t>5</w:t>
            </w:r>
            <w:r>
              <w:rPr>
                <w:rFonts w:cs="Arial"/>
              </w:rPr>
              <w:t xml:space="preserve"> October 2022</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1CFA842A" w:rsidR="00F52BE8" w:rsidRPr="0036077E" w:rsidRDefault="00337D44" w:rsidP="00335497">
            <w:pPr>
              <w:pStyle w:val="ListNumber"/>
              <w:numPr>
                <w:ilvl w:val="0"/>
                <w:numId w:val="0"/>
              </w:numPr>
              <w:spacing w:before="0" w:after="0"/>
              <w:rPr>
                <w:rFonts w:cs="Arial"/>
              </w:rPr>
            </w:pPr>
            <w:r>
              <w:rPr>
                <w:rFonts w:cs="Arial"/>
              </w:rPr>
              <w:t>7 November 2022 10:00hrs</w:t>
            </w:r>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003F8778" w:rsidR="00F52BE8" w:rsidRPr="0036077E" w:rsidRDefault="00337D44" w:rsidP="00335497">
            <w:pPr>
              <w:pStyle w:val="ListNumber"/>
              <w:numPr>
                <w:ilvl w:val="0"/>
                <w:numId w:val="0"/>
              </w:numPr>
              <w:spacing w:before="0" w:after="0"/>
              <w:rPr>
                <w:rFonts w:cs="Arial"/>
              </w:rPr>
            </w:pPr>
            <w:r>
              <w:rPr>
                <w:rFonts w:cs="Arial"/>
              </w:rPr>
              <w:t>14 November 2022 10:00hrs</w:t>
            </w:r>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0EE0AF6D" w:rsidR="00F52BE8" w:rsidRPr="0036077E" w:rsidRDefault="00337D44" w:rsidP="00335497">
            <w:pPr>
              <w:pStyle w:val="ListNumber"/>
              <w:numPr>
                <w:ilvl w:val="0"/>
                <w:numId w:val="0"/>
              </w:numPr>
              <w:spacing w:before="0" w:after="0"/>
              <w:rPr>
                <w:rFonts w:cs="Arial"/>
              </w:rPr>
            </w:pPr>
            <w:r>
              <w:rPr>
                <w:rFonts w:cs="Arial"/>
              </w:rPr>
              <w:t>21 November 2022</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5A57A3CA" w:rsidR="00F52BE8" w:rsidRPr="0036077E" w:rsidRDefault="00D41EF5" w:rsidP="00335497">
            <w:pPr>
              <w:pStyle w:val="ListNumber"/>
              <w:numPr>
                <w:ilvl w:val="0"/>
                <w:numId w:val="0"/>
              </w:numPr>
              <w:spacing w:before="0" w:after="0"/>
              <w:rPr>
                <w:rFonts w:cs="Arial"/>
              </w:rPr>
            </w:pPr>
            <w:r>
              <w:rPr>
                <w:rFonts w:cs="Arial"/>
              </w:rPr>
              <w:t>2</w:t>
            </w:r>
            <w:r w:rsidR="00213B10">
              <w:rPr>
                <w:rFonts w:cs="Arial"/>
              </w:rPr>
              <w:t>3</w:t>
            </w:r>
            <w:r>
              <w:rPr>
                <w:rFonts w:cs="Arial"/>
              </w:rPr>
              <w:t xml:space="preserve"> November 2022</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7E326CC6" w:rsidR="00F52BE8" w:rsidRPr="0036077E" w:rsidRDefault="00213B10" w:rsidP="00335497">
            <w:pPr>
              <w:pStyle w:val="ListNumber"/>
              <w:numPr>
                <w:ilvl w:val="0"/>
                <w:numId w:val="0"/>
              </w:numPr>
              <w:spacing w:before="0" w:after="0"/>
              <w:rPr>
                <w:rFonts w:cs="Arial"/>
              </w:rPr>
            </w:pPr>
            <w:r>
              <w:rPr>
                <w:rFonts w:cs="Arial"/>
              </w:rPr>
              <w:t>25 November 2022</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2A6B51BF" w:rsidR="00F52BE8" w:rsidRPr="0036077E" w:rsidRDefault="00213B10" w:rsidP="00335497">
            <w:pPr>
              <w:pStyle w:val="ListNumber"/>
              <w:numPr>
                <w:ilvl w:val="0"/>
                <w:numId w:val="0"/>
              </w:numPr>
              <w:spacing w:before="0" w:after="0"/>
              <w:rPr>
                <w:rFonts w:cs="Arial"/>
              </w:rPr>
            </w:pPr>
            <w:r>
              <w:rPr>
                <w:rFonts w:cs="Arial"/>
              </w:rPr>
              <w:t>w/c 28 November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 xml:space="preserve">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021F68"/>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58C9" w14:textId="77777777" w:rsidR="00AB591D" w:rsidRDefault="00AB591D">
      <w:pPr>
        <w:spacing w:after="0"/>
      </w:pPr>
      <w:r>
        <w:separator/>
      </w:r>
    </w:p>
  </w:endnote>
  <w:endnote w:type="continuationSeparator" w:id="0">
    <w:p w14:paraId="55FE53B7" w14:textId="77777777" w:rsidR="00AB591D" w:rsidRDefault="00AB5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BC5B" w14:textId="77777777" w:rsidR="00AB591D" w:rsidRDefault="00AB591D">
      <w:pPr>
        <w:spacing w:after="0"/>
      </w:pPr>
      <w:r>
        <w:separator/>
      </w:r>
    </w:p>
  </w:footnote>
  <w:footnote w:type="continuationSeparator" w:id="0">
    <w:p w14:paraId="3DBD346C" w14:textId="77777777" w:rsidR="00AB591D" w:rsidRDefault="00AB5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3388DE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17128872"/>
    <w:lvl w:ilvl="0">
      <w:start w:val="1"/>
      <w:numFmt w:val="decimal"/>
      <w:lvlText w:val="%1."/>
      <w:lvlJc w:val="left"/>
      <w:pPr>
        <w:tabs>
          <w:tab w:val="num" w:pos="360"/>
        </w:tabs>
        <w:ind w:left="360" w:hanging="360"/>
      </w:pPr>
    </w:lvl>
  </w:abstractNum>
  <w:abstractNum w:abstractNumId="2" w15:restartNumberingAfterBreak="0">
    <w:nsid w:val="004C0882"/>
    <w:multiLevelType w:val="hybridMultilevel"/>
    <w:tmpl w:val="292C0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32DEC"/>
    <w:multiLevelType w:val="hybridMultilevel"/>
    <w:tmpl w:val="7E805970"/>
    <w:lvl w:ilvl="0" w:tplc="A62EB8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EF048A"/>
    <w:multiLevelType w:val="hybridMultilevel"/>
    <w:tmpl w:val="B54CB2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910F0"/>
    <w:multiLevelType w:val="hybridMultilevel"/>
    <w:tmpl w:val="DDD6F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C7C89"/>
    <w:multiLevelType w:val="multilevel"/>
    <w:tmpl w:val="B0B240D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720"/>
      </w:pPr>
    </w:lvl>
    <w:lvl w:ilvl="2">
      <w:start w:val="1"/>
      <w:numFmt w:val="lowerRoman"/>
      <w:lvlText w:val="(%3)"/>
      <w:lvlJc w:val="left"/>
      <w:pPr>
        <w:tabs>
          <w:tab w:val="num" w:pos="2149"/>
        </w:tabs>
        <w:ind w:left="2149" w:hanging="709"/>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6"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B197E"/>
    <w:multiLevelType w:val="hybridMultilevel"/>
    <w:tmpl w:val="9DC87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901E04"/>
    <w:multiLevelType w:val="hybridMultilevel"/>
    <w:tmpl w:val="2982EA02"/>
    <w:lvl w:ilvl="0" w:tplc="E4AADC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A5B1F"/>
    <w:multiLevelType w:val="hybridMultilevel"/>
    <w:tmpl w:val="0F4EA128"/>
    <w:lvl w:ilvl="0" w:tplc="B9521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E4F04"/>
    <w:multiLevelType w:val="hybridMultilevel"/>
    <w:tmpl w:val="797C2ED4"/>
    <w:lvl w:ilvl="0" w:tplc="F0AC96A4">
      <w:start w:val="2"/>
      <w:numFmt w:val="bullet"/>
      <w:lvlText w:val="-"/>
      <w:lvlJc w:val="left"/>
      <w:pPr>
        <w:ind w:left="720" w:hanging="360"/>
      </w:pPr>
      <w:rPr>
        <w:rFonts w:ascii="Arial" w:eastAsiaTheme="minorHAnsi"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E680D8C"/>
    <w:multiLevelType w:val="hybridMultilevel"/>
    <w:tmpl w:val="625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34ED7"/>
    <w:multiLevelType w:val="hybridMultilevel"/>
    <w:tmpl w:val="929E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D7605"/>
    <w:multiLevelType w:val="hybridMultilevel"/>
    <w:tmpl w:val="F8103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7957435">
    <w:abstractNumId w:val="30"/>
  </w:num>
  <w:num w:numId="2" w16cid:durableId="1643390909">
    <w:abstractNumId w:val="25"/>
  </w:num>
  <w:num w:numId="3" w16cid:durableId="1945963334">
    <w:abstractNumId w:val="11"/>
  </w:num>
  <w:num w:numId="4" w16cid:durableId="783964628">
    <w:abstractNumId w:val="29"/>
  </w:num>
  <w:num w:numId="5" w16cid:durableId="358090223">
    <w:abstractNumId w:val="18"/>
  </w:num>
  <w:num w:numId="6" w16cid:durableId="949169408">
    <w:abstractNumId w:val="4"/>
  </w:num>
  <w:num w:numId="7" w16cid:durableId="715012380">
    <w:abstractNumId w:val="23"/>
  </w:num>
  <w:num w:numId="8" w16cid:durableId="119499213">
    <w:abstractNumId w:val="9"/>
  </w:num>
  <w:num w:numId="9" w16cid:durableId="2127236837">
    <w:abstractNumId w:val="12"/>
  </w:num>
  <w:num w:numId="10" w16cid:durableId="1912958552">
    <w:abstractNumId w:val="20"/>
  </w:num>
  <w:num w:numId="11" w16cid:durableId="130636078">
    <w:abstractNumId w:val="34"/>
  </w:num>
  <w:num w:numId="12" w16cid:durableId="97336047">
    <w:abstractNumId w:val="10"/>
  </w:num>
  <w:num w:numId="13" w16cid:durableId="1330255433">
    <w:abstractNumId w:val="7"/>
  </w:num>
  <w:num w:numId="14" w16cid:durableId="571894563">
    <w:abstractNumId w:val="19"/>
  </w:num>
  <w:num w:numId="15" w16cid:durableId="1548833634">
    <w:abstractNumId w:val="35"/>
  </w:num>
  <w:num w:numId="16" w16cid:durableId="567613419">
    <w:abstractNumId w:val="5"/>
  </w:num>
  <w:num w:numId="17" w16cid:durableId="148713190">
    <w:abstractNumId w:val="33"/>
  </w:num>
  <w:num w:numId="18" w16cid:durableId="1797795992">
    <w:abstractNumId w:val="17"/>
  </w:num>
  <w:num w:numId="19" w16cid:durableId="1731541893">
    <w:abstractNumId w:val="13"/>
  </w:num>
  <w:num w:numId="20" w16cid:durableId="84345936">
    <w:abstractNumId w:val="27"/>
  </w:num>
  <w:num w:numId="21" w16cid:durableId="1650553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9827556">
    <w:abstractNumId w:val="16"/>
  </w:num>
  <w:num w:numId="23" w16cid:durableId="626468355">
    <w:abstractNumId w:val="32"/>
  </w:num>
  <w:num w:numId="24" w16cid:durableId="2091845891">
    <w:abstractNumId w:val="36"/>
  </w:num>
  <w:num w:numId="25" w16cid:durableId="1349940642">
    <w:abstractNumId w:val="21"/>
  </w:num>
  <w:num w:numId="26" w16cid:durableId="1811704951">
    <w:abstractNumId w:val="22"/>
  </w:num>
  <w:num w:numId="27" w16cid:durableId="52854541">
    <w:abstractNumId w:val="24"/>
  </w:num>
  <w:num w:numId="28" w16cid:durableId="2002615717">
    <w:abstractNumId w:val="3"/>
  </w:num>
  <w:num w:numId="29" w16cid:durableId="424346439">
    <w:abstractNumId w:val="2"/>
  </w:num>
  <w:num w:numId="30" w16cid:durableId="1099718089">
    <w:abstractNumId w:val="6"/>
  </w:num>
  <w:num w:numId="31" w16cid:durableId="239825597">
    <w:abstractNumId w:val="14"/>
  </w:num>
  <w:num w:numId="32" w16cid:durableId="218833118">
    <w:abstractNumId w:val="15"/>
  </w:num>
  <w:num w:numId="33" w16cid:durableId="1399749496">
    <w:abstractNumId w:val="31"/>
  </w:num>
  <w:num w:numId="34" w16cid:durableId="133109724">
    <w:abstractNumId w:val="1"/>
  </w:num>
  <w:num w:numId="35" w16cid:durableId="1597253736">
    <w:abstractNumId w:val="26"/>
  </w:num>
  <w:num w:numId="36" w16cid:durableId="772164118">
    <w:abstractNumId w:val="28"/>
  </w:num>
  <w:num w:numId="37" w16cid:durableId="164550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51AC"/>
    <w:rsid w:val="000052DC"/>
    <w:rsid w:val="0000579C"/>
    <w:rsid w:val="00021F68"/>
    <w:rsid w:val="00023BD5"/>
    <w:rsid w:val="0003295C"/>
    <w:rsid w:val="000404BC"/>
    <w:rsid w:val="000469F2"/>
    <w:rsid w:val="00055B3C"/>
    <w:rsid w:val="00056979"/>
    <w:rsid w:val="000569C1"/>
    <w:rsid w:val="00062876"/>
    <w:rsid w:val="00066297"/>
    <w:rsid w:val="000A3EB4"/>
    <w:rsid w:val="000A3EB5"/>
    <w:rsid w:val="000B3105"/>
    <w:rsid w:val="000B3DA0"/>
    <w:rsid w:val="000D0187"/>
    <w:rsid w:val="000D3DC2"/>
    <w:rsid w:val="000E3571"/>
    <w:rsid w:val="000F387D"/>
    <w:rsid w:val="000F53FA"/>
    <w:rsid w:val="00110E30"/>
    <w:rsid w:val="00117F59"/>
    <w:rsid w:val="001276F9"/>
    <w:rsid w:val="00135327"/>
    <w:rsid w:val="00141412"/>
    <w:rsid w:val="00147987"/>
    <w:rsid w:val="001500F4"/>
    <w:rsid w:val="00165E61"/>
    <w:rsid w:val="001845B5"/>
    <w:rsid w:val="001A5D12"/>
    <w:rsid w:val="001B3639"/>
    <w:rsid w:val="001C09A8"/>
    <w:rsid w:val="001D0211"/>
    <w:rsid w:val="001D51A7"/>
    <w:rsid w:val="001E0217"/>
    <w:rsid w:val="001F1736"/>
    <w:rsid w:val="001F3F1F"/>
    <w:rsid w:val="00212824"/>
    <w:rsid w:val="00213B10"/>
    <w:rsid w:val="002424BB"/>
    <w:rsid w:val="00243C6B"/>
    <w:rsid w:val="002524DD"/>
    <w:rsid w:val="00252D8B"/>
    <w:rsid w:val="00255087"/>
    <w:rsid w:val="00275596"/>
    <w:rsid w:val="00282B44"/>
    <w:rsid w:val="00296648"/>
    <w:rsid w:val="002B3FB4"/>
    <w:rsid w:val="002B79F1"/>
    <w:rsid w:val="002C0FC2"/>
    <w:rsid w:val="002C2FC7"/>
    <w:rsid w:val="00300460"/>
    <w:rsid w:val="003104FB"/>
    <w:rsid w:val="00313079"/>
    <w:rsid w:val="00337D44"/>
    <w:rsid w:val="00343F91"/>
    <w:rsid w:val="00362F01"/>
    <w:rsid w:val="00363097"/>
    <w:rsid w:val="003639AA"/>
    <w:rsid w:val="00373ED4"/>
    <w:rsid w:val="0039411F"/>
    <w:rsid w:val="003A2348"/>
    <w:rsid w:val="003B3ECA"/>
    <w:rsid w:val="003C6E3D"/>
    <w:rsid w:val="003D6CA1"/>
    <w:rsid w:val="003E7F52"/>
    <w:rsid w:val="0040172D"/>
    <w:rsid w:val="004127F7"/>
    <w:rsid w:val="00436F70"/>
    <w:rsid w:val="004507A6"/>
    <w:rsid w:val="00452BB5"/>
    <w:rsid w:val="004722E4"/>
    <w:rsid w:val="004876A3"/>
    <w:rsid w:val="004936FC"/>
    <w:rsid w:val="00500D01"/>
    <w:rsid w:val="00503B9B"/>
    <w:rsid w:val="00520ADF"/>
    <w:rsid w:val="00525F5C"/>
    <w:rsid w:val="00527CDE"/>
    <w:rsid w:val="00535652"/>
    <w:rsid w:val="00536012"/>
    <w:rsid w:val="0054171A"/>
    <w:rsid w:val="00556BE2"/>
    <w:rsid w:val="00561AB0"/>
    <w:rsid w:val="00565F71"/>
    <w:rsid w:val="00567C55"/>
    <w:rsid w:val="00581507"/>
    <w:rsid w:val="00591ADB"/>
    <w:rsid w:val="005A2105"/>
    <w:rsid w:val="005D26BC"/>
    <w:rsid w:val="005D3F0B"/>
    <w:rsid w:val="005D6921"/>
    <w:rsid w:val="005F7D49"/>
    <w:rsid w:val="00606B7F"/>
    <w:rsid w:val="006251C2"/>
    <w:rsid w:val="006343D7"/>
    <w:rsid w:val="00642340"/>
    <w:rsid w:val="00646BAD"/>
    <w:rsid w:val="00653342"/>
    <w:rsid w:val="0065726B"/>
    <w:rsid w:val="00695556"/>
    <w:rsid w:val="006A16CB"/>
    <w:rsid w:val="006A3EFD"/>
    <w:rsid w:val="006A4756"/>
    <w:rsid w:val="006C256C"/>
    <w:rsid w:val="006D18BC"/>
    <w:rsid w:val="006E1D0C"/>
    <w:rsid w:val="006F406A"/>
    <w:rsid w:val="00712607"/>
    <w:rsid w:val="00715FE4"/>
    <w:rsid w:val="00724A80"/>
    <w:rsid w:val="007659E2"/>
    <w:rsid w:val="00767202"/>
    <w:rsid w:val="00783961"/>
    <w:rsid w:val="00791C78"/>
    <w:rsid w:val="007A2DED"/>
    <w:rsid w:val="007B012B"/>
    <w:rsid w:val="007B3373"/>
    <w:rsid w:val="007B37D1"/>
    <w:rsid w:val="007C1CC1"/>
    <w:rsid w:val="007E0559"/>
    <w:rsid w:val="007E22B2"/>
    <w:rsid w:val="008114F6"/>
    <w:rsid w:val="00821A7E"/>
    <w:rsid w:val="00831C70"/>
    <w:rsid w:val="00831E0B"/>
    <w:rsid w:val="00846FC6"/>
    <w:rsid w:val="00847992"/>
    <w:rsid w:val="00865291"/>
    <w:rsid w:val="008679B7"/>
    <w:rsid w:val="0087614D"/>
    <w:rsid w:val="00882C9B"/>
    <w:rsid w:val="00886A04"/>
    <w:rsid w:val="008870EF"/>
    <w:rsid w:val="00893FC6"/>
    <w:rsid w:val="00896CB6"/>
    <w:rsid w:val="008B32D5"/>
    <w:rsid w:val="008C0569"/>
    <w:rsid w:val="008D0B53"/>
    <w:rsid w:val="00907369"/>
    <w:rsid w:val="00907461"/>
    <w:rsid w:val="0091227F"/>
    <w:rsid w:val="00912F42"/>
    <w:rsid w:val="0091677F"/>
    <w:rsid w:val="00922F9B"/>
    <w:rsid w:val="00926BD2"/>
    <w:rsid w:val="009348F7"/>
    <w:rsid w:val="00935D3B"/>
    <w:rsid w:val="00937B8C"/>
    <w:rsid w:val="009547A6"/>
    <w:rsid w:val="00961979"/>
    <w:rsid w:val="009878A7"/>
    <w:rsid w:val="009B0791"/>
    <w:rsid w:val="009C31B9"/>
    <w:rsid w:val="009D179F"/>
    <w:rsid w:val="009E530F"/>
    <w:rsid w:val="009E7412"/>
    <w:rsid w:val="00A04393"/>
    <w:rsid w:val="00A05345"/>
    <w:rsid w:val="00A201B8"/>
    <w:rsid w:val="00A37E53"/>
    <w:rsid w:val="00A51AAA"/>
    <w:rsid w:val="00A60A67"/>
    <w:rsid w:val="00A620E0"/>
    <w:rsid w:val="00A73219"/>
    <w:rsid w:val="00A740C6"/>
    <w:rsid w:val="00A90B02"/>
    <w:rsid w:val="00A9526A"/>
    <w:rsid w:val="00A974F7"/>
    <w:rsid w:val="00AA0969"/>
    <w:rsid w:val="00AB591D"/>
    <w:rsid w:val="00B10783"/>
    <w:rsid w:val="00B21902"/>
    <w:rsid w:val="00B32109"/>
    <w:rsid w:val="00B323FC"/>
    <w:rsid w:val="00B3569C"/>
    <w:rsid w:val="00B409CF"/>
    <w:rsid w:val="00B618AD"/>
    <w:rsid w:val="00B8142C"/>
    <w:rsid w:val="00B83884"/>
    <w:rsid w:val="00B853FB"/>
    <w:rsid w:val="00B91FBA"/>
    <w:rsid w:val="00B93A21"/>
    <w:rsid w:val="00BB4FFA"/>
    <w:rsid w:val="00BB5A4E"/>
    <w:rsid w:val="00BC1899"/>
    <w:rsid w:val="00BE369F"/>
    <w:rsid w:val="00BF6A6C"/>
    <w:rsid w:val="00C12CA4"/>
    <w:rsid w:val="00C25098"/>
    <w:rsid w:val="00C36354"/>
    <w:rsid w:val="00C51DDA"/>
    <w:rsid w:val="00C7402A"/>
    <w:rsid w:val="00CA7F30"/>
    <w:rsid w:val="00CC4281"/>
    <w:rsid w:val="00CD37D2"/>
    <w:rsid w:val="00CE106A"/>
    <w:rsid w:val="00CF001F"/>
    <w:rsid w:val="00CF4CA1"/>
    <w:rsid w:val="00D03EA9"/>
    <w:rsid w:val="00D070C8"/>
    <w:rsid w:val="00D14315"/>
    <w:rsid w:val="00D173CA"/>
    <w:rsid w:val="00D22CBB"/>
    <w:rsid w:val="00D36E66"/>
    <w:rsid w:val="00D37E7B"/>
    <w:rsid w:val="00D40EA7"/>
    <w:rsid w:val="00D41EF5"/>
    <w:rsid w:val="00D559FE"/>
    <w:rsid w:val="00D74997"/>
    <w:rsid w:val="00D92609"/>
    <w:rsid w:val="00D95982"/>
    <w:rsid w:val="00DA11ED"/>
    <w:rsid w:val="00DB20B4"/>
    <w:rsid w:val="00DB4EB3"/>
    <w:rsid w:val="00DD0BD0"/>
    <w:rsid w:val="00DD45F2"/>
    <w:rsid w:val="00DE6991"/>
    <w:rsid w:val="00E067BF"/>
    <w:rsid w:val="00E0723A"/>
    <w:rsid w:val="00E1428F"/>
    <w:rsid w:val="00E16231"/>
    <w:rsid w:val="00E17227"/>
    <w:rsid w:val="00E30583"/>
    <w:rsid w:val="00E40E18"/>
    <w:rsid w:val="00E444AC"/>
    <w:rsid w:val="00E73378"/>
    <w:rsid w:val="00E879D7"/>
    <w:rsid w:val="00E9197B"/>
    <w:rsid w:val="00E9259D"/>
    <w:rsid w:val="00EC284A"/>
    <w:rsid w:val="00EC75FB"/>
    <w:rsid w:val="00EF3B5E"/>
    <w:rsid w:val="00F15833"/>
    <w:rsid w:val="00F16E3D"/>
    <w:rsid w:val="00F267B3"/>
    <w:rsid w:val="00F26B55"/>
    <w:rsid w:val="00F52BE8"/>
    <w:rsid w:val="00F55D3A"/>
    <w:rsid w:val="00F57FC3"/>
    <w:rsid w:val="00F62178"/>
    <w:rsid w:val="00F81199"/>
    <w:rsid w:val="00F83C6C"/>
    <w:rsid w:val="00FB2EF4"/>
    <w:rsid w:val="00FC655B"/>
    <w:rsid w:val="00FE5304"/>
    <w:rsid w:val="00FE74E8"/>
    <w:rsid w:val="00FF4EB8"/>
    <w:rsid w:val="050EF402"/>
    <w:rsid w:val="0AF45B9F"/>
    <w:rsid w:val="3881E429"/>
    <w:rsid w:val="445D53E6"/>
    <w:rsid w:val="73C6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21"/>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NoSpacing">
    <w:name w:val="No Spacing"/>
    <w:uiPriority w:val="1"/>
    <w:qFormat/>
    <w:rsid w:val="002424BB"/>
    <w:pPr>
      <w:spacing w:after="0" w:line="240" w:lineRule="auto"/>
    </w:pPr>
    <w:rPr>
      <w:lang w:val="en-GB"/>
    </w:rPr>
  </w:style>
  <w:style w:type="character" w:styleId="CommentReference">
    <w:name w:val="annotation reference"/>
    <w:basedOn w:val="DefaultParagraphFont"/>
    <w:uiPriority w:val="99"/>
    <w:semiHidden/>
    <w:unhideWhenUsed/>
    <w:rsid w:val="00926BD2"/>
    <w:rPr>
      <w:sz w:val="16"/>
      <w:szCs w:val="16"/>
    </w:rPr>
  </w:style>
  <w:style w:type="paragraph" w:styleId="CommentText">
    <w:name w:val="annotation text"/>
    <w:basedOn w:val="Normal"/>
    <w:link w:val="CommentTextChar"/>
    <w:uiPriority w:val="99"/>
    <w:unhideWhenUsed/>
    <w:rsid w:val="00926BD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26BD2"/>
    <w:rPr>
      <w:sz w:val="20"/>
      <w:szCs w:val="20"/>
      <w:lang w:val="en-GB"/>
    </w:rPr>
  </w:style>
  <w:style w:type="paragraph" w:styleId="Revision">
    <w:name w:val="Revision"/>
    <w:hidden/>
    <w:uiPriority w:val="99"/>
    <w:semiHidden/>
    <w:rsid w:val="003639AA"/>
    <w:pPr>
      <w:spacing w:after="0" w:line="240" w:lineRule="auto"/>
    </w:pPr>
    <w:rPr>
      <w:rFonts w:ascii="Arial" w:eastAsia="Times New Roman" w:hAnsi="Arial" w:cs="Times New Roman"/>
      <w:sz w:val="24"/>
      <w:szCs w:val="20"/>
      <w:lang w:val="en-GB"/>
    </w:rPr>
  </w:style>
  <w:style w:type="paragraph" w:styleId="CommentSubject">
    <w:name w:val="annotation subject"/>
    <w:basedOn w:val="CommentText"/>
    <w:next w:val="CommentText"/>
    <w:link w:val="CommentSubjectChar"/>
    <w:uiPriority w:val="99"/>
    <w:semiHidden/>
    <w:unhideWhenUsed/>
    <w:rsid w:val="000B3105"/>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B3105"/>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4923</Words>
  <Characters>28065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Dinkele, Harriet</cp:lastModifiedBy>
  <cp:revision>2</cp:revision>
  <dcterms:created xsi:type="dcterms:W3CDTF">2022-10-25T14:54:00Z</dcterms:created>
  <dcterms:modified xsi:type="dcterms:W3CDTF">2022-10-25T14:54:00Z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2022-08-30T12:27:01Z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a5b3f5ac-8c76-4334-94d9-76a8bd59a482</vt:lpwstr>
  </property>
  <property fmtid="{D5CDD505-2E9C-101B-9397-08002B2CF9AE}" pid="8" name="MSIP_Label_b352ef96-5e05-4e14-bf42-f76c4ba3e2da_ContentBits">
    <vt:lpwstr>0</vt:lpwstr>
  </property>
</Properties>
</file>