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61964" w14:textId="77777777" w:rsidR="009121A5" w:rsidRPr="009121A5" w:rsidRDefault="00CA09F7" w:rsidP="009121A5">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r w:rsidR="009121A5">
        <w:t xml:space="preserve"> for Professional Services Consultancy Contract: OJEU Reference 2018/S 010-018524</w:t>
      </w:r>
    </w:p>
    <w:p w14:paraId="57B8BBE3" w14:textId="77777777"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144323" w:rsidRPr="002C4161" w14:paraId="5FCB6A21" w14:textId="77777777" w:rsidTr="00692213">
        <w:tc>
          <w:tcPr>
            <w:tcW w:w="675" w:type="dxa"/>
            <w:shd w:val="clear" w:color="auto" w:fill="BFBFBF" w:themeFill="background1" w:themeFillShade="BF"/>
          </w:tcPr>
          <w:p w14:paraId="650CEAE6" w14:textId="77777777" w:rsidR="00144323" w:rsidRPr="002C4161" w:rsidRDefault="00692213">
            <w:pPr>
              <w:rPr>
                <w:b/>
              </w:rPr>
            </w:pPr>
            <w:r>
              <w:rPr>
                <w:b/>
              </w:rPr>
              <w:t>No.</w:t>
            </w:r>
          </w:p>
        </w:tc>
        <w:tc>
          <w:tcPr>
            <w:tcW w:w="1191" w:type="dxa"/>
            <w:shd w:val="clear" w:color="auto" w:fill="BFBFBF" w:themeFill="background1" w:themeFillShade="BF"/>
          </w:tcPr>
          <w:p w14:paraId="3B9C67ED" w14:textId="77777777" w:rsidR="00144323" w:rsidRPr="002C4161" w:rsidRDefault="00144323">
            <w:pPr>
              <w:rPr>
                <w:b/>
              </w:rPr>
            </w:pPr>
            <w:r w:rsidRPr="002C4161">
              <w:rPr>
                <w:b/>
              </w:rPr>
              <w:t>Date Requested</w:t>
            </w:r>
          </w:p>
        </w:tc>
        <w:tc>
          <w:tcPr>
            <w:tcW w:w="6039" w:type="dxa"/>
            <w:shd w:val="clear" w:color="auto" w:fill="BFBFBF" w:themeFill="background1" w:themeFillShade="BF"/>
          </w:tcPr>
          <w:p w14:paraId="7A4BB7ED" w14:textId="77777777" w:rsidR="00144323" w:rsidRPr="002C4161" w:rsidRDefault="00144323">
            <w:pPr>
              <w:rPr>
                <w:b/>
              </w:rPr>
            </w:pPr>
            <w:r w:rsidRPr="002C4161">
              <w:rPr>
                <w:b/>
              </w:rPr>
              <w:t>Question</w:t>
            </w:r>
          </w:p>
        </w:tc>
        <w:tc>
          <w:tcPr>
            <w:tcW w:w="5528" w:type="dxa"/>
            <w:shd w:val="clear" w:color="auto" w:fill="BFBFBF" w:themeFill="background1" w:themeFillShade="BF"/>
          </w:tcPr>
          <w:p w14:paraId="45DBEE37" w14:textId="77777777" w:rsidR="00144323" w:rsidRPr="002C4161" w:rsidRDefault="00144323" w:rsidP="00144323">
            <w:pPr>
              <w:rPr>
                <w:b/>
              </w:rPr>
            </w:pPr>
            <w:r w:rsidRPr="002C4161">
              <w:rPr>
                <w:b/>
              </w:rPr>
              <w:t>Response</w:t>
            </w:r>
          </w:p>
        </w:tc>
        <w:tc>
          <w:tcPr>
            <w:tcW w:w="1276" w:type="dxa"/>
            <w:shd w:val="clear" w:color="auto" w:fill="BFBFBF" w:themeFill="background1" w:themeFillShade="BF"/>
          </w:tcPr>
          <w:p w14:paraId="214E9C35" w14:textId="77777777" w:rsidR="00144323" w:rsidRPr="002C4161" w:rsidRDefault="00144323">
            <w:pPr>
              <w:rPr>
                <w:b/>
              </w:rPr>
            </w:pPr>
            <w:r w:rsidRPr="002C4161">
              <w:rPr>
                <w:b/>
              </w:rPr>
              <w:t>Date Responded</w:t>
            </w:r>
          </w:p>
        </w:tc>
      </w:tr>
      <w:tr w:rsidR="00357BF8" w:rsidRPr="00357BF8" w14:paraId="29E74EDF" w14:textId="77777777" w:rsidTr="00692213">
        <w:tc>
          <w:tcPr>
            <w:tcW w:w="675" w:type="dxa"/>
          </w:tcPr>
          <w:p w14:paraId="19B35BC4" w14:textId="77777777" w:rsidR="00CD3923" w:rsidRPr="00357BF8" w:rsidRDefault="00CD3923">
            <w:r w:rsidRPr="00357BF8">
              <w:t>1</w:t>
            </w:r>
          </w:p>
        </w:tc>
        <w:tc>
          <w:tcPr>
            <w:tcW w:w="1191" w:type="dxa"/>
          </w:tcPr>
          <w:p w14:paraId="10D437A3" w14:textId="77777777" w:rsidR="00CD3923" w:rsidRPr="00357BF8" w:rsidRDefault="009121A5" w:rsidP="003F2C96">
            <w:r w:rsidRPr="00357BF8">
              <w:t>23/01/18</w:t>
            </w:r>
          </w:p>
        </w:tc>
        <w:tc>
          <w:tcPr>
            <w:tcW w:w="6039" w:type="dxa"/>
          </w:tcPr>
          <w:p w14:paraId="38671BFE" w14:textId="77777777" w:rsidR="00CD3923" w:rsidRPr="00EC5466" w:rsidRDefault="009121A5" w:rsidP="00CA09F7">
            <w:pPr>
              <w:rPr>
                <w:rFonts w:eastAsia="Times New Roman" w:cs="Arial"/>
                <w:i/>
              </w:rPr>
            </w:pPr>
            <w:r w:rsidRPr="00EC5466">
              <w:rPr>
                <w:rFonts w:eastAsia="Times New Roman" w:cs="Arial"/>
                <w:i/>
              </w:rPr>
              <w:t>The Method Statements set out in the Invitation of Participate (ITP) make several references to delivery of “services”. Could you please clarify what you mean by the term ‘service’ in the context of the PSC contract?</w:t>
            </w:r>
          </w:p>
        </w:tc>
        <w:tc>
          <w:tcPr>
            <w:tcW w:w="5528" w:type="dxa"/>
          </w:tcPr>
          <w:p w14:paraId="66A9A674" w14:textId="3017C935" w:rsidR="00CD3923" w:rsidRPr="00357BF8" w:rsidRDefault="007A3263" w:rsidP="002F3362">
            <w:pPr>
              <w:jc w:val="both"/>
            </w:pPr>
            <w:r>
              <w:t xml:space="preserve">The term </w:t>
            </w:r>
            <w:r w:rsidR="002F3362">
              <w:t>‘</w:t>
            </w:r>
            <w:r>
              <w:t>service</w:t>
            </w:r>
            <w:r w:rsidR="002F3362">
              <w:t>’</w:t>
            </w:r>
            <w:r>
              <w:t xml:space="preserve"> </w:t>
            </w:r>
            <w:r w:rsidR="002F3362">
              <w:t>refers to</w:t>
            </w:r>
            <w:r>
              <w:t xml:space="preserve"> t</w:t>
            </w:r>
            <w:r w:rsidR="00D02C07" w:rsidRPr="00357BF8">
              <w:t>he service</w:t>
            </w:r>
            <w:r>
              <w:t xml:space="preserve">s </w:t>
            </w:r>
            <w:r w:rsidR="00D02C07" w:rsidRPr="00357BF8">
              <w:t>de</w:t>
            </w:r>
            <w:r>
              <w:t>fined in the</w:t>
            </w:r>
            <w:r w:rsidR="00CD146E" w:rsidRPr="00357BF8">
              <w:t xml:space="preserve"> document</w:t>
            </w:r>
            <w:r>
              <w:t>ation</w:t>
            </w:r>
            <w:r w:rsidR="002F3362">
              <w:t>,</w:t>
            </w:r>
            <w:r>
              <w:t xml:space="preserve"> including</w:t>
            </w:r>
            <w:r w:rsidR="00CD146E" w:rsidRPr="00357BF8">
              <w:t xml:space="preserve"> </w:t>
            </w:r>
            <w:r w:rsidR="00CD146E" w:rsidRPr="00357BF8">
              <w:rPr>
                <w:i/>
              </w:rPr>
              <w:t>H+T PSC ITP - Schedule 2.docx</w:t>
            </w:r>
            <w:r w:rsidR="002F3362">
              <w:t xml:space="preserve"> (Scope</w:t>
            </w:r>
            <w:r w:rsidR="00B16F11">
              <w:t xml:space="preserve"> – Schedule 1 [Page 16]</w:t>
            </w:r>
            <w:r w:rsidR="00CD146E" w:rsidRPr="00357BF8">
              <w:t>)</w:t>
            </w:r>
            <w:r>
              <w:t>.</w:t>
            </w:r>
          </w:p>
        </w:tc>
        <w:tc>
          <w:tcPr>
            <w:tcW w:w="1276" w:type="dxa"/>
          </w:tcPr>
          <w:p w14:paraId="15639F69" w14:textId="1A8908E5" w:rsidR="00CD3923" w:rsidRPr="00357BF8" w:rsidRDefault="00BF6CFE" w:rsidP="00891463">
            <w:r>
              <w:t>25/01/18</w:t>
            </w:r>
          </w:p>
        </w:tc>
      </w:tr>
      <w:tr w:rsidR="00357BF8" w:rsidRPr="00357BF8" w14:paraId="7136D4C8" w14:textId="77777777" w:rsidTr="00692213">
        <w:tc>
          <w:tcPr>
            <w:tcW w:w="675" w:type="dxa"/>
          </w:tcPr>
          <w:p w14:paraId="29C97EAE" w14:textId="77777777" w:rsidR="00CA09F7" w:rsidRPr="00357BF8" w:rsidRDefault="00CA09F7">
            <w:r w:rsidRPr="00357BF8">
              <w:t>2</w:t>
            </w:r>
          </w:p>
        </w:tc>
        <w:tc>
          <w:tcPr>
            <w:tcW w:w="1191" w:type="dxa"/>
          </w:tcPr>
          <w:p w14:paraId="320D9F7F" w14:textId="77777777" w:rsidR="00CA09F7" w:rsidRPr="00357BF8" w:rsidRDefault="00357BF8" w:rsidP="003F2C96">
            <w:r w:rsidRPr="00357BF8">
              <w:t>24/01/18</w:t>
            </w:r>
          </w:p>
        </w:tc>
        <w:tc>
          <w:tcPr>
            <w:tcW w:w="6039" w:type="dxa"/>
          </w:tcPr>
          <w:p w14:paraId="4FAC8D26" w14:textId="77777777" w:rsidR="00357BF8" w:rsidRPr="00EC5466" w:rsidRDefault="00357BF8" w:rsidP="00357BF8">
            <w:pPr>
              <w:rPr>
                <w:rFonts w:eastAsia="Times New Roman" w:cs="Arial"/>
                <w:i/>
              </w:rPr>
            </w:pPr>
            <w:r w:rsidRPr="00EC5466">
              <w:rPr>
                <w:rFonts w:eastAsia="Times New Roman" w:cs="Arial"/>
                <w:i/>
              </w:rPr>
              <w:t>We have reviewed the TUPE information provided in H+T PSC ITP - Schedule 5 Part 2.    Please can the council confirm that more detailed information will be provided at ITT stage?</w:t>
            </w:r>
          </w:p>
          <w:p w14:paraId="29AFC59F" w14:textId="77777777" w:rsidR="00357BF8" w:rsidRPr="00EC5466" w:rsidRDefault="00357BF8" w:rsidP="00357BF8">
            <w:pPr>
              <w:rPr>
                <w:rFonts w:eastAsia="Times New Roman" w:cs="Arial"/>
                <w:i/>
              </w:rPr>
            </w:pPr>
            <w:r w:rsidRPr="00EC5466">
              <w:rPr>
                <w:rFonts w:eastAsia="Times New Roman" w:cs="Arial"/>
                <w:i/>
              </w:rPr>
              <w:t xml:space="preserve">As it stands, the information provided for WSP staff currently delivering Professional Services is insufficient. </w:t>
            </w:r>
          </w:p>
          <w:p w14:paraId="573D1DEE" w14:textId="77777777" w:rsidR="00357BF8" w:rsidRPr="00EC5466" w:rsidRDefault="00357BF8" w:rsidP="00357BF8">
            <w:pPr>
              <w:rPr>
                <w:rFonts w:eastAsia="Times New Roman" w:cs="Arial"/>
                <w:i/>
              </w:rPr>
            </w:pPr>
            <w:r w:rsidRPr="00EC5466">
              <w:rPr>
                <w:rFonts w:eastAsia="Times New Roman" w:cs="Arial"/>
                <w:i/>
              </w:rPr>
              <w:t>In order to prepare our pricing at ITT stage we will need specific details on:</w:t>
            </w:r>
          </w:p>
          <w:p w14:paraId="5EB22400" w14:textId="77777777"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Annual salary for each member of staff</w:t>
            </w:r>
          </w:p>
          <w:p w14:paraId="731C0D75" w14:textId="77777777"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Employers pension contribution %</w:t>
            </w:r>
          </w:p>
          <w:p w14:paraId="163D2C34" w14:textId="77777777"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Age and gender – to be able to calculate life insurance costs</w:t>
            </w:r>
          </w:p>
          <w:p w14:paraId="43D5938B" w14:textId="77777777"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Annual leave entitlement</w:t>
            </w:r>
          </w:p>
          <w:p w14:paraId="738A0E5D" w14:textId="77777777"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 xml:space="preserve">Sick pay entitlement </w:t>
            </w:r>
          </w:p>
          <w:p w14:paraId="125601F2" w14:textId="77777777"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Car allowance entitlement (value)</w:t>
            </w:r>
          </w:p>
          <w:p w14:paraId="089553A5" w14:textId="77777777"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Length of service (including notice period)</w:t>
            </w:r>
          </w:p>
          <w:p w14:paraId="63B6934B" w14:textId="77777777" w:rsidR="00357BF8" w:rsidRPr="00EC5466" w:rsidRDefault="00357BF8" w:rsidP="00357BF8">
            <w:pPr>
              <w:rPr>
                <w:rFonts w:eastAsia="Times New Roman" w:cs="Arial"/>
                <w:i/>
              </w:rPr>
            </w:pPr>
            <w:r w:rsidRPr="00EC5466">
              <w:rPr>
                <w:rFonts w:eastAsia="Times New Roman" w:cs="Arial"/>
                <w:i/>
              </w:rPr>
              <w:t>o</w:t>
            </w:r>
            <w:r w:rsidRPr="00EC5466">
              <w:rPr>
                <w:rFonts w:eastAsia="Times New Roman" w:cs="Arial"/>
                <w:i/>
              </w:rPr>
              <w:tab/>
              <w:t xml:space="preserve">Job title and description of duties for each member of staff </w:t>
            </w:r>
          </w:p>
          <w:p w14:paraId="6E3D807B" w14:textId="77777777" w:rsidR="00CA09F7" w:rsidRPr="00EC5466" w:rsidRDefault="00357BF8" w:rsidP="00EC5466">
            <w:pPr>
              <w:rPr>
                <w:rFonts w:eastAsia="Times New Roman" w:cs="Arial"/>
                <w:i/>
              </w:rPr>
            </w:pPr>
            <w:r w:rsidRPr="00EC5466">
              <w:rPr>
                <w:rFonts w:eastAsia="Times New Roman" w:cs="Arial"/>
                <w:i/>
              </w:rPr>
              <w:t>We need this information so that we can evaluate whether there current role is transferring to the new service arrangements and if so, the individual costs for each member of staff within the new contract.</w:t>
            </w:r>
          </w:p>
        </w:tc>
        <w:tc>
          <w:tcPr>
            <w:tcW w:w="5528" w:type="dxa"/>
          </w:tcPr>
          <w:p w14:paraId="6E0A79BF" w14:textId="77777777" w:rsidR="00562FE1" w:rsidRDefault="005B3DB1" w:rsidP="00357BF8">
            <w:r>
              <w:t xml:space="preserve">WBC </w:t>
            </w:r>
            <w:r w:rsidR="00B85FEC">
              <w:t xml:space="preserve">requested </w:t>
            </w:r>
            <w:r w:rsidR="00357BF8">
              <w:t xml:space="preserve">full detailed TUPE information from </w:t>
            </w:r>
            <w:r w:rsidR="00B85FEC">
              <w:t>its</w:t>
            </w:r>
            <w:r>
              <w:t xml:space="preserve"> </w:t>
            </w:r>
            <w:r w:rsidR="00357BF8">
              <w:t xml:space="preserve">existing </w:t>
            </w:r>
            <w:r w:rsidR="002F3362">
              <w:t>supplier</w:t>
            </w:r>
            <w:r>
              <w:t>s</w:t>
            </w:r>
            <w:r w:rsidR="002F3362">
              <w:t xml:space="preserve">, </w:t>
            </w:r>
            <w:r w:rsidR="00357BF8">
              <w:t>WSP</w:t>
            </w:r>
            <w:r w:rsidR="00B85FEC">
              <w:t xml:space="preserve"> included</w:t>
            </w:r>
            <w:r>
              <w:t>. WSP were</w:t>
            </w:r>
            <w:r w:rsidR="00357BF8">
              <w:t xml:space="preserve"> unwilling to provide the </w:t>
            </w:r>
            <w:r w:rsidR="007A3263">
              <w:t xml:space="preserve">comprehensive TUPE </w:t>
            </w:r>
            <w:r w:rsidR="00357BF8">
              <w:t>information</w:t>
            </w:r>
            <w:r w:rsidR="007A3263">
              <w:t xml:space="preserve"> prior to the SQ submission</w:t>
            </w:r>
            <w:r w:rsidR="00357BF8">
              <w:t>.</w:t>
            </w:r>
            <w:r>
              <w:t xml:space="preserve"> </w:t>
            </w:r>
            <w:r w:rsidR="00B85FEC">
              <w:t>Following the tender query, o</w:t>
            </w:r>
            <w:r>
              <w:t xml:space="preserve">n the 25/01/18 </w:t>
            </w:r>
            <w:r w:rsidR="007A3263">
              <w:t>WBC ha</w:t>
            </w:r>
            <w:r w:rsidR="002F3362">
              <w:t>s</w:t>
            </w:r>
            <w:r w:rsidR="007A3263">
              <w:t xml:space="preserve"> asked if WSP are </w:t>
            </w:r>
            <w:r w:rsidR="002F3362">
              <w:t>willing/</w:t>
            </w:r>
            <w:r w:rsidR="007A3263">
              <w:t>a</w:t>
            </w:r>
            <w:r w:rsidR="00B85FEC">
              <w:t>ble to provide full TUPE information prior to ITT</w:t>
            </w:r>
            <w:r w:rsidRPr="00562FE1">
              <w:t>.</w:t>
            </w:r>
          </w:p>
          <w:p w14:paraId="4876DF87" w14:textId="141366DF" w:rsidR="007A3263" w:rsidRPr="00562FE1" w:rsidRDefault="00D065E7" w:rsidP="00357BF8">
            <w:r w:rsidRPr="00562FE1">
              <w:t>A further response will be issued in due course.</w:t>
            </w:r>
          </w:p>
          <w:p w14:paraId="0641CE2D" w14:textId="11523B79" w:rsidR="00BF6CFE" w:rsidRPr="00562FE1" w:rsidRDefault="00BF6CFE" w:rsidP="00BF6CFE"/>
          <w:p w14:paraId="6593A842" w14:textId="77777777" w:rsidR="00CA09F7" w:rsidRPr="00357BF8" w:rsidRDefault="00CA09F7" w:rsidP="00BF6CFE"/>
        </w:tc>
        <w:tc>
          <w:tcPr>
            <w:tcW w:w="1276" w:type="dxa"/>
          </w:tcPr>
          <w:p w14:paraId="6CAAD83F" w14:textId="15122027" w:rsidR="00CA09F7" w:rsidRPr="00357BF8" w:rsidRDefault="00B85FEC" w:rsidP="003F2C96">
            <w:r>
              <w:t>26/01/18</w:t>
            </w:r>
          </w:p>
        </w:tc>
      </w:tr>
      <w:tr w:rsidR="00B107CD" w:rsidRPr="00E844B3" w14:paraId="27BA8AEF" w14:textId="77777777" w:rsidTr="00BB0ADA">
        <w:tc>
          <w:tcPr>
            <w:tcW w:w="675" w:type="dxa"/>
          </w:tcPr>
          <w:p w14:paraId="5C9011F1" w14:textId="0B9D06B3" w:rsidR="00B107CD" w:rsidRPr="00E844B3" w:rsidRDefault="00B107CD" w:rsidP="00BB0ADA">
            <w:r>
              <w:t>3</w:t>
            </w:r>
          </w:p>
        </w:tc>
        <w:tc>
          <w:tcPr>
            <w:tcW w:w="1191" w:type="dxa"/>
          </w:tcPr>
          <w:p w14:paraId="1E0D3EB1" w14:textId="77777777" w:rsidR="00B107CD" w:rsidRPr="00E844B3" w:rsidRDefault="00B107CD" w:rsidP="00BB0ADA">
            <w:r>
              <w:t>24/01/18</w:t>
            </w:r>
          </w:p>
        </w:tc>
        <w:tc>
          <w:tcPr>
            <w:tcW w:w="6039" w:type="dxa"/>
          </w:tcPr>
          <w:p w14:paraId="7D2AD49A" w14:textId="77777777" w:rsidR="00B107CD" w:rsidRPr="00A93933" w:rsidRDefault="00B107CD" w:rsidP="00BB0ADA">
            <w:pPr>
              <w:rPr>
                <w:rFonts w:eastAsia="Times New Roman" w:cs="Arial"/>
                <w:i/>
              </w:rPr>
            </w:pPr>
            <w:r w:rsidRPr="00A93933">
              <w:rPr>
                <w:rFonts w:eastAsia="Times New Roman" w:cs="Arial"/>
                <w:i/>
              </w:rPr>
              <w:t>Please can you confirm that the required insurance levels set out in the PQQ are correct as these seem high for these types of works.</w:t>
            </w:r>
          </w:p>
        </w:tc>
        <w:tc>
          <w:tcPr>
            <w:tcW w:w="5528" w:type="dxa"/>
          </w:tcPr>
          <w:p w14:paraId="13820C80" w14:textId="77777777" w:rsidR="00562FE1" w:rsidRDefault="00B107CD" w:rsidP="00BB0ADA">
            <w:r w:rsidRPr="00A745EE">
              <w:t>This has been referred to WBC’s risk and insurance team dated 26/01/18.</w:t>
            </w:r>
          </w:p>
          <w:p w14:paraId="6F2B2302" w14:textId="30B123A2" w:rsidR="00B107CD" w:rsidRPr="00E844B3" w:rsidRDefault="00B107CD" w:rsidP="00BB0ADA">
            <w:r w:rsidRPr="00562FE1">
              <w:t>A further response will be provided in due course.</w:t>
            </w:r>
          </w:p>
        </w:tc>
        <w:tc>
          <w:tcPr>
            <w:tcW w:w="1276" w:type="dxa"/>
          </w:tcPr>
          <w:p w14:paraId="64EB08B9" w14:textId="77777777" w:rsidR="00B107CD" w:rsidRPr="00E844B3" w:rsidRDefault="00B107CD" w:rsidP="00BB0ADA">
            <w:r>
              <w:t>26/01/18</w:t>
            </w:r>
          </w:p>
        </w:tc>
      </w:tr>
      <w:tr w:rsidR="007A3263" w:rsidRPr="00E844B3" w14:paraId="002EE902" w14:textId="77777777" w:rsidTr="007A3263">
        <w:tc>
          <w:tcPr>
            <w:tcW w:w="675" w:type="dxa"/>
          </w:tcPr>
          <w:p w14:paraId="5F8DEC13" w14:textId="72DECE79" w:rsidR="007A3263" w:rsidRPr="00E844B3" w:rsidRDefault="00B107CD" w:rsidP="00F550ED">
            <w:r>
              <w:t>4</w:t>
            </w:r>
          </w:p>
        </w:tc>
        <w:tc>
          <w:tcPr>
            <w:tcW w:w="1191" w:type="dxa"/>
          </w:tcPr>
          <w:p w14:paraId="62A672A3" w14:textId="77777777" w:rsidR="007A3263" w:rsidRPr="00E844B3" w:rsidRDefault="007A3263" w:rsidP="00F550ED">
            <w:r w:rsidRPr="00E844B3">
              <w:t>24/01/18</w:t>
            </w:r>
          </w:p>
        </w:tc>
        <w:tc>
          <w:tcPr>
            <w:tcW w:w="6039" w:type="dxa"/>
          </w:tcPr>
          <w:p w14:paraId="2688B9F9" w14:textId="61AB41A0" w:rsidR="007A3263" w:rsidRPr="00EC5466" w:rsidRDefault="007A3263" w:rsidP="00F550ED">
            <w:pPr>
              <w:rPr>
                <w:rFonts w:eastAsia="Times New Roman" w:cs="Arial"/>
                <w:i/>
              </w:rPr>
            </w:pPr>
            <w:r w:rsidRPr="00EC5466">
              <w:rPr>
                <w:rFonts w:eastAsia="Times New Roman" w:cs="Arial"/>
                <w:i/>
              </w:rPr>
              <w:t>Please can you confirm that you will be issuing a quantified pricing schedule at ITT stage</w:t>
            </w:r>
            <w:r w:rsidR="00BF6CFE">
              <w:rPr>
                <w:rFonts w:eastAsia="Times New Roman" w:cs="Arial"/>
                <w:i/>
              </w:rPr>
              <w:t>.</w:t>
            </w:r>
          </w:p>
        </w:tc>
        <w:tc>
          <w:tcPr>
            <w:tcW w:w="5528" w:type="dxa"/>
          </w:tcPr>
          <w:p w14:paraId="6653485E" w14:textId="1F498286" w:rsidR="007A3263" w:rsidRPr="00E844B3" w:rsidRDefault="00BF6CFE" w:rsidP="00F550ED">
            <w:r>
              <w:t>I confirm quantified pricing will be issued at the ITT stage.</w:t>
            </w:r>
          </w:p>
        </w:tc>
        <w:tc>
          <w:tcPr>
            <w:tcW w:w="1276" w:type="dxa"/>
          </w:tcPr>
          <w:p w14:paraId="240C1FDB" w14:textId="55A8F6C2" w:rsidR="007A3263" w:rsidRPr="00E844B3" w:rsidRDefault="003D389C" w:rsidP="00F550ED">
            <w:r>
              <w:t>26</w:t>
            </w:r>
            <w:r w:rsidR="00BF6CFE">
              <w:t>/01/18</w:t>
            </w:r>
          </w:p>
        </w:tc>
      </w:tr>
      <w:tr w:rsidR="00357BF8" w:rsidRPr="00357BF8" w14:paraId="507F4C04" w14:textId="77777777" w:rsidTr="00692213">
        <w:tc>
          <w:tcPr>
            <w:tcW w:w="675" w:type="dxa"/>
          </w:tcPr>
          <w:p w14:paraId="22AD9A0A" w14:textId="4B6BA2CC" w:rsidR="00195600" w:rsidRPr="00357BF8" w:rsidRDefault="00B107CD">
            <w:r>
              <w:lastRenderedPageBreak/>
              <w:t>5</w:t>
            </w:r>
          </w:p>
        </w:tc>
        <w:tc>
          <w:tcPr>
            <w:tcW w:w="1191" w:type="dxa"/>
          </w:tcPr>
          <w:p w14:paraId="78FB40D5" w14:textId="2FCABEC5" w:rsidR="00195600" w:rsidRPr="00357BF8" w:rsidRDefault="00554326" w:rsidP="003F2C96">
            <w:r>
              <w:t>25/01/18</w:t>
            </w:r>
          </w:p>
        </w:tc>
        <w:tc>
          <w:tcPr>
            <w:tcW w:w="6039" w:type="dxa"/>
          </w:tcPr>
          <w:p w14:paraId="59F31361" w14:textId="7CEA9C23" w:rsidR="00195600" w:rsidRPr="00EC5466" w:rsidRDefault="00554326" w:rsidP="00CA09F7">
            <w:pPr>
              <w:rPr>
                <w:rFonts w:eastAsia="Times New Roman" w:cs="Arial"/>
                <w:i/>
              </w:rPr>
            </w:pPr>
            <w:r w:rsidRPr="00554326">
              <w:rPr>
                <w:rFonts w:eastAsia="Times New Roman" w:cs="Arial"/>
                <w:i/>
              </w:rPr>
              <w:t>Scope of Scale of ICT Services - The ICT question in the Invitation to Participate (ITP) asks for ‘experience of “hosting” ICT systems. Whilst it is understood that this question is ‘backward looking’ and should reflect work we have delivered to clients in the past, in order for us to fully understand the scope and scale of ICT to be provided by the consultant, please could you outline the scope and scale of the ICT services to the provided under the Highways &amp; Transport PSC Contract?</w:t>
            </w:r>
          </w:p>
        </w:tc>
        <w:tc>
          <w:tcPr>
            <w:tcW w:w="5528" w:type="dxa"/>
          </w:tcPr>
          <w:p w14:paraId="5D3B4E92" w14:textId="2281D01F" w:rsidR="00195600" w:rsidRPr="00357BF8" w:rsidRDefault="00554326" w:rsidP="00357BF8">
            <w:r>
              <w:t xml:space="preserve">It would not be for WBC to define the scope and scale of the ICT provided by the PSCC. WBC will be looking for PSCCs who can provide ICT that will </w:t>
            </w:r>
            <w:r w:rsidR="00C927D5">
              <w:t>support</w:t>
            </w:r>
            <w:r>
              <w:t xml:space="preserve"> effective and efficient delivery of the services and assist WBC and the </w:t>
            </w:r>
            <w:r w:rsidR="00C927D5">
              <w:t xml:space="preserve">wider </w:t>
            </w:r>
            <w:r>
              <w:t>Highways Alliance partnership meet its objectives.</w:t>
            </w:r>
          </w:p>
        </w:tc>
        <w:tc>
          <w:tcPr>
            <w:tcW w:w="1276" w:type="dxa"/>
          </w:tcPr>
          <w:p w14:paraId="47422B2E" w14:textId="2C421ACF" w:rsidR="00195600" w:rsidRPr="00357BF8" w:rsidRDefault="00554326" w:rsidP="003F2C96">
            <w:r>
              <w:t>26/01/18</w:t>
            </w:r>
          </w:p>
        </w:tc>
      </w:tr>
      <w:tr w:rsidR="00C927D5" w:rsidRPr="00357BF8" w14:paraId="451513FC" w14:textId="77777777" w:rsidTr="00692213">
        <w:tc>
          <w:tcPr>
            <w:tcW w:w="675" w:type="dxa"/>
          </w:tcPr>
          <w:p w14:paraId="5E401F52" w14:textId="357571DA" w:rsidR="00C927D5" w:rsidRDefault="00B107CD">
            <w:r>
              <w:t>6</w:t>
            </w:r>
          </w:p>
        </w:tc>
        <w:tc>
          <w:tcPr>
            <w:tcW w:w="1191" w:type="dxa"/>
          </w:tcPr>
          <w:p w14:paraId="5CFE6700" w14:textId="3012EBAE" w:rsidR="00C927D5" w:rsidRDefault="00C927D5" w:rsidP="003F2C96">
            <w:r>
              <w:t>25/01/18</w:t>
            </w:r>
          </w:p>
        </w:tc>
        <w:tc>
          <w:tcPr>
            <w:tcW w:w="6039" w:type="dxa"/>
          </w:tcPr>
          <w:p w14:paraId="26C25F84" w14:textId="6BD7659E" w:rsidR="00C927D5" w:rsidRPr="00554326" w:rsidRDefault="00C927D5" w:rsidP="00CA09F7">
            <w:pPr>
              <w:rPr>
                <w:rFonts w:eastAsia="Times New Roman" w:cs="Arial"/>
                <w:i/>
              </w:rPr>
            </w:pPr>
            <w:r w:rsidRPr="00C927D5">
              <w:rPr>
                <w:rFonts w:eastAsia="Times New Roman" w:cs="Arial"/>
                <w:i/>
              </w:rPr>
              <w:t>Requested insurance levels: the levels of insurance cover set out in Schedule 1 – Standard Selection Questionnaire and Schedule 4 – Agreement and Contract Data, Contract Data Part One, Section 8 Indemnity, Insurance and Liability are unusually high for a professional services contract. Please can you advise what risks or types of claims the Council envisage could be as high as £20 million on this contract and would the Council consider lowering the levels required for this contract?</w:t>
            </w:r>
          </w:p>
        </w:tc>
        <w:tc>
          <w:tcPr>
            <w:tcW w:w="5528" w:type="dxa"/>
          </w:tcPr>
          <w:p w14:paraId="759FF6CF" w14:textId="50AC5EE2" w:rsidR="00562FE1" w:rsidRDefault="00562FE1" w:rsidP="00357BF8">
            <w:r>
              <w:t>Please see question 3.</w:t>
            </w:r>
            <w:bookmarkStart w:id="0" w:name="_GoBack"/>
            <w:bookmarkEnd w:id="0"/>
          </w:p>
          <w:p w14:paraId="139EF117" w14:textId="5F1CF997" w:rsidR="00562FE1" w:rsidRDefault="00C927D5" w:rsidP="00357BF8">
            <w:r w:rsidRPr="00F21CEF">
              <w:t>This has been referred to WBC’s risk and insurance team</w:t>
            </w:r>
            <w:r w:rsidR="005B3DB1" w:rsidRPr="00F21CEF">
              <w:t xml:space="preserve"> dated 26/01/18</w:t>
            </w:r>
            <w:r w:rsidRPr="00F21CEF">
              <w:t>.</w:t>
            </w:r>
          </w:p>
          <w:p w14:paraId="09D70FBE" w14:textId="437CA1DC" w:rsidR="00C927D5" w:rsidRDefault="00B85FEC" w:rsidP="00357BF8">
            <w:r w:rsidRPr="00562FE1">
              <w:t>A further response will be provided in due course.</w:t>
            </w:r>
          </w:p>
        </w:tc>
        <w:tc>
          <w:tcPr>
            <w:tcW w:w="1276" w:type="dxa"/>
          </w:tcPr>
          <w:p w14:paraId="1A8395C3" w14:textId="22338F99" w:rsidR="00C927D5" w:rsidRDefault="00B85FEC" w:rsidP="003F2C96">
            <w:r>
              <w:t>26/01/18</w:t>
            </w:r>
          </w:p>
        </w:tc>
      </w:tr>
    </w:tbl>
    <w:p w14:paraId="3E941A28" w14:textId="77777777" w:rsidR="00051F26" w:rsidRDefault="00051F26"/>
    <w:sectPr w:rsidR="00051F26" w:rsidSect="0099086A">
      <w:footerReference w:type="even" r:id="rId7"/>
      <w:footerReference w:type="default" r:id="rId8"/>
      <w:footerReference w:type="first" r:id="rId9"/>
      <w:pgSz w:w="16838" w:h="11906" w:orient="landscape"/>
      <w:pgMar w:top="1134" w:right="1245" w:bottom="1134" w:left="1134"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C555A" w14:textId="77777777" w:rsidR="00AC0289" w:rsidRDefault="00AC0289" w:rsidP="007D5240">
      <w:r>
        <w:separator/>
      </w:r>
    </w:p>
  </w:endnote>
  <w:endnote w:type="continuationSeparator" w:id="0">
    <w:p w14:paraId="36FF7696" w14:textId="77777777" w:rsidR="00AC0289" w:rsidRDefault="00AC0289"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B7938" w14:textId="77777777" w:rsidR="007D5240" w:rsidRDefault="007D5240" w:rsidP="007D5240">
    <w:pPr>
      <w:pStyle w:val="Footer"/>
      <w:jc w:val="center"/>
    </w:pPr>
  </w:p>
  <w:p w14:paraId="081657AD" w14:textId="77777777"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14:paraId="5C2E44EA" w14:textId="77777777"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5A0C" w14:textId="77777777" w:rsidR="007D5240" w:rsidRDefault="007D5240" w:rsidP="007D5240">
    <w:pPr>
      <w:pStyle w:val="Footer"/>
      <w:jc w:val="center"/>
    </w:pPr>
  </w:p>
  <w:p w14:paraId="30FE5640" w14:textId="09066E12"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562FE1">
      <w:rPr>
        <w:noProof/>
      </w:rPr>
      <w:t>1</w:t>
    </w:r>
    <w:r>
      <w:fldChar w:fldCharType="end"/>
    </w:r>
    <w:r>
      <w:t xml:space="preserve"> of </w:t>
    </w:r>
    <w:fldSimple w:instr=" NUMPAGES \* MERGEFORMAT \* MERGEFORMAT ">
      <w:r w:rsidR="00562FE1">
        <w:rPr>
          <w:noProof/>
        </w:rPr>
        <w:t>2</w:t>
      </w:r>
    </w:fldSimple>
  </w:p>
  <w:p w14:paraId="283FB190" w14:textId="77777777"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5A753" w14:textId="77777777" w:rsidR="007D5240" w:rsidRDefault="007D5240" w:rsidP="007D5240">
    <w:pPr>
      <w:pStyle w:val="Footer"/>
      <w:jc w:val="center"/>
    </w:pPr>
  </w:p>
  <w:p w14:paraId="3100F5BE" w14:textId="77777777"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14:paraId="0CE044A8" w14:textId="77777777"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52B59" w14:textId="77777777" w:rsidR="00AC0289" w:rsidRDefault="00AC0289" w:rsidP="007D5240">
      <w:r>
        <w:separator/>
      </w:r>
    </w:p>
  </w:footnote>
  <w:footnote w:type="continuationSeparator" w:id="0">
    <w:p w14:paraId="323EFE52" w14:textId="77777777" w:rsidR="00AC0289" w:rsidRDefault="00AC0289" w:rsidP="007D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26"/>
    <w:rsid w:val="00005F18"/>
    <w:rsid w:val="00012474"/>
    <w:rsid w:val="00051F26"/>
    <w:rsid w:val="00072146"/>
    <w:rsid w:val="00077979"/>
    <w:rsid w:val="000A5D5B"/>
    <w:rsid w:val="000C635A"/>
    <w:rsid w:val="000F3642"/>
    <w:rsid w:val="000F525F"/>
    <w:rsid w:val="001339EB"/>
    <w:rsid w:val="00135E47"/>
    <w:rsid w:val="00144323"/>
    <w:rsid w:val="00195600"/>
    <w:rsid w:val="00262F61"/>
    <w:rsid w:val="002B362B"/>
    <w:rsid w:val="002C4161"/>
    <w:rsid w:val="002E7364"/>
    <w:rsid w:val="002F3362"/>
    <w:rsid w:val="0033542A"/>
    <w:rsid w:val="003429A8"/>
    <w:rsid w:val="00357BF8"/>
    <w:rsid w:val="003D34E6"/>
    <w:rsid w:val="003D389C"/>
    <w:rsid w:val="003F2C96"/>
    <w:rsid w:val="004217CD"/>
    <w:rsid w:val="00450D8E"/>
    <w:rsid w:val="00476100"/>
    <w:rsid w:val="00484612"/>
    <w:rsid w:val="004D4B66"/>
    <w:rsid w:val="00554326"/>
    <w:rsid w:val="00562FE1"/>
    <w:rsid w:val="005B3DB1"/>
    <w:rsid w:val="005D2CEE"/>
    <w:rsid w:val="005F1E31"/>
    <w:rsid w:val="00612EA8"/>
    <w:rsid w:val="00654AD2"/>
    <w:rsid w:val="00692213"/>
    <w:rsid w:val="00730E28"/>
    <w:rsid w:val="007A3263"/>
    <w:rsid w:val="007D5240"/>
    <w:rsid w:val="007E6187"/>
    <w:rsid w:val="007F6C49"/>
    <w:rsid w:val="00891463"/>
    <w:rsid w:val="008E7E4A"/>
    <w:rsid w:val="009121A5"/>
    <w:rsid w:val="0092387B"/>
    <w:rsid w:val="00937D34"/>
    <w:rsid w:val="00961966"/>
    <w:rsid w:val="009624D8"/>
    <w:rsid w:val="0099086A"/>
    <w:rsid w:val="00993930"/>
    <w:rsid w:val="00AB4F75"/>
    <w:rsid w:val="00AC0289"/>
    <w:rsid w:val="00B036AD"/>
    <w:rsid w:val="00B107CD"/>
    <w:rsid w:val="00B16F11"/>
    <w:rsid w:val="00B85FEC"/>
    <w:rsid w:val="00BD1A29"/>
    <w:rsid w:val="00BF6CFE"/>
    <w:rsid w:val="00C10FF9"/>
    <w:rsid w:val="00C927D5"/>
    <w:rsid w:val="00CA09F7"/>
    <w:rsid w:val="00CD146E"/>
    <w:rsid w:val="00CD3923"/>
    <w:rsid w:val="00CF67EF"/>
    <w:rsid w:val="00D02C07"/>
    <w:rsid w:val="00D065E7"/>
    <w:rsid w:val="00D42F0C"/>
    <w:rsid w:val="00D54594"/>
    <w:rsid w:val="00D60BD5"/>
    <w:rsid w:val="00DE6302"/>
    <w:rsid w:val="00DF74FF"/>
    <w:rsid w:val="00E552AB"/>
    <w:rsid w:val="00EA033F"/>
    <w:rsid w:val="00EC5466"/>
    <w:rsid w:val="00ED10D2"/>
    <w:rsid w:val="00EE7C06"/>
    <w:rsid w:val="00F21CEF"/>
    <w:rsid w:val="00F32847"/>
    <w:rsid w:val="00F41D66"/>
    <w:rsid w:val="00FB7AB2"/>
    <w:rsid w:val="00FC70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CBE938"/>
  <w15:docId w15:val="{504DBCCF-4AE6-4C45-B46B-CD57731B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 w:type="character" w:styleId="CommentReference">
    <w:name w:val="annotation reference"/>
    <w:basedOn w:val="DefaultParagraphFont"/>
    <w:uiPriority w:val="99"/>
    <w:semiHidden/>
    <w:unhideWhenUsed/>
    <w:rsid w:val="005F1E31"/>
    <w:rPr>
      <w:sz w:val="16"/>
      <w:szCs w:val="16"/>
    </w:rPr>
  </w:style>
  <w:style w:type="paragraph" w:styleId="CommentText">
    <w:name w:val="annotation text"/>
    <w:basedOn w:val="Normal"/>
    <w:link w:val="CommentTextChar"/>
    <w:uiPriority w:val="99"/>
    <w:semiHidden/>
    <w:unhideWhenUsed/>
    <w:rsid w:val="005F1E31"/>
    <w:rPr>
      <w:sz w:val="20"/>
      <w:szCs w:val="20"/>
    </w:rPr>
  </w:style>
  <w:style w:type="character" w:customStyle="1" w:styleId="CommentTextChar">
    <w:name w:val="Comment Text Char"/>
    <w:basedOn w:val="DefaultParagraphFont"/>
    <w:link w:val="CommentText"/>
    <w:uiPriority w:val="99"/>
    <w:semiHidden/>
    <w:rsid w:val="005F1E31"/>
    <w:rPr>
      <w:sz w:val="20"/>
      <w:szCs w:val="20"/>
    </w:rPr>
  </w:style>
  <w:style w:type="paragraph" w:styleId="CommentSubject">
    <w:name w:val="annotation subject"/>
    <w:basedOn w:val="CommentText"/>
    <w:next w:val="CommentText"/>
    <w:link w:val="CommentSubjectChar"/>
    <w:uiPriority w:val="99"/>
    <w:semiHidden/>
    <w:unhideWhenUsed/>
    <w:rsid w:val="005F1E31"/>
    <w:rPr>
      <w:b/>
      <w:bCs/>
    </w:rPr>
  </w:style>
  <w:style w:type="character" w:customStyle="1" w:styleId="CommentSubjectChar">
    <w:name w:val="Comment Subject Char"/>
    <w:basedOn w:val="CommentTextChar"/>
    <w:link w:val="CommentSubject"/>
    <w:uiPriority w:val="99"/>
    <w:semiHidden/>
    <w:rsid w:val="005F1E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Richard Turner (Procurement)</cp:lastModifiedBy>
  <cp:revision>2</cp:revision>
  <dcterms:created xsi:type="dcterms:W3CDTF">2018-01-26T14:42:00Z</dcterms:created>
  <dcterms:modified xsi:type="dcterms:W3CDTF">2018-01-26T14:42:00Z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