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6DF" w:rsidRDefault="00CF4FF6" w:rsidP="009426DF">
      <w:pPr>
        <w:jc w:val="center"/>
        <w:rPr>
          <w:b/>
          <w:sz w:val="24"/>
          <w:szCs w:val="24"/>
        </w:rPr>
      </w:pPr>
      <w:r>
        <w:rPr>
          <w:b/>
          <w:sz w:val="28"/>
          <w:szCs w:val="28"/>
        </w:rPr>
        <w:t xml:space="preserve">Community Physiotherapy </w:t>
      </w:r>
      <w:r w:rsidR="006161EB" w:rsidRPr="00CD7D6C">
        <w:rPr>
          <w:b/>
          <w:sz w:val="24"/>
          <w:szCs w:val="24"/>
        </w:rPr>
        <w:t>S</w:t>
      </w:r>
      <w:bookmarkStart w:id="0" w:name="_GoBack"/>
      <w:bookmarkEnd w:id="0"/>
      <w:r w:rsidR="006161EB" w:rsidRPr="00CD7D6C">
        <w:rPr>
          <w:b/>
          <w:sz w:val="24"/>
          <w:szCs w:val="24"/>
        </w:rPr>
        <w:t>ervice Specification</w:t>
      </w:r>
    </w:p>
    <w:p w:rsidR="00E958A3" w:rsidRPr="009426DF" w:rsidRDefault="00E958A3" w:rsidP="006C61D6">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6161EB" w:rsidRPr="00004044" w:rsidTr="00224CFA">
        <w:tc>
          <w:tcPr>
            <w:tcW w:w="4621" w:type="dxa"/>
          </w:tcPr>
          <w:p w:rsidR="006161EB" w:rsidRPr="00004044" w:rsidRDefault="006161EB" w:rsidP="00DB5C33">
            <w:pPr>
              <w:spacing w:after="0" w:line="240" w:lineRule="auto"/>
              <w:rPr>
                <w:rFonts w:ascii="Arial" w:hAnsi="Arial" w:cs="Arial"/>
                <w:b/>
              </w:rPr>
            </w:pPr>
          </w:p>
        </w:tc>
        <w:tc>
          <w:tcPr>
            <w:tcW w:w="4621" w:type="dxa"/>
          </w:tcPr>
          <w:p w:rsidR="006161EB" w:rsidRPr="00004044" w:rsidRDefault="006161EB" w:rsidP="00224CFA">
            <w:pPr>
              <w:spacing w:after="0" w:line="240" w:lineRule="auto"/>
              <w:rPr>
                <w:rFonts w:ascii="Arial" w:hAnsi="Arial" w:cs="Arial"/>
              </w:rPr>
            </w:pPr>
          </w:p>
        </w:tc>
      </w:tr>
      <w:tr w:rsidR="006161EB" w:rsidRPr="00004044" w:rsidTr="00224CFA">
        <w:tc>
          <w:tcPr>
            <w:tcW w:w="4621" w:type="dxa"/>
          </w:tcPr>
          <w:p w:rsidR="006161EB" w:rsidRPr="00004044" w:rsidRDefault="006161EB" w:rsidP="00224CFA">
            <w:pPr>
              <w:spacing w:after="0" w:line="240" w:lineRule="auto"/>
              <w:rPr>
                <w:rFonts w:ascii="Arial" w:hAnsi="Arial" w:cs="Arial"/>
                <w:b/>
              </w:rPr>
            </w:pPr>
            <w:r w:rsidRPr="00004044">
              <w:rPr>
                <w:rFonts w:ascii="Arial" w:hAnsi="Arial" w:cs="Arial"/>
                <w:b/>
              </w:rPr>
              <w:t>Service</w:t>
            </w:r>
          </w:p>
        </w:tc>
        <w:tc>
          <w:tcPr>
            <w:tcW w:w="4621" w:type="dxa"/>
          </w:tcPr>
          <w:p w:rsidR="006161EB" w:rsidRPr="00004044" w:rsidRDefault="00E02DDB" w:rsidP="00A824E9">
            <w:pPr>
              <w:spacing w:after="0" w:line="240" w:lineRule="auto"/>
              <w:rPr>
                <w:rFonts w:ascii="Arial" w:hAnsi="Arial" w:cs="Arial"/>
              </w:rPr>
            </w:pPr>
            <w:r>
              <w:rPr>
                <w:rFonts w:ascii="Arial" w:hAnsi="Arial" w:cs="Arial"/>
              </w:rPr>
              <w:t xml:space="preserve">Community Physiotherapy </w:t>
            </w:r>
          </w:p>
        </w:tc>
      </w:tr>
      <w:tr w:rsidR="006161EB" w:rsidRPr="00004044" w:rsidTr="00224CFA">
        <w:tc>
          <w:tcPr>
            <w:tcW w:w="4621" w:type="dxa"/>
          </w:tcPr>
          <w:p w:rsidR="006161EB" w:rsidRPr="00004044" w:rsidRDefault="006161EB" w:rsidP="00224CFA">
            <w:pPr>
              <w:spacing w:after="0" w:line="240" w:lineRule="auto"/>
              <w:rPr>
                <w:rFonts w:ascii="Arial" w:hAnsi="Arial" w:cs="Arial"/>
                <w:b/>
              </w:rPr>
            </w:pPr>
            <w:r w:rsidRPr="00004044">
              <w:rPr>
                <w:rFonts w:ascii="Arial" w:hAnsi="Arial" w:cs="Arial"/>
                <w:b/>
              </w:rPr>
              <w:t>Commissioner Lead</w:t>
            </w:r>
          </w:p>
        </w:tc>
        <w:tc>
          <w:tcPr>
            <w:tcW w:w="4621" w:type="dxa"/>
          </w:tcPr>
          <w:p w:rsidR="006161EB" w:rsidRPr="00004044" w:rsidRDefault="0010198A" w:rsidP="00DB5C33">
            <w:pPr>
              <w:spacing w:after="0" w:line="240" w:lineRule="auto"/>
              <w:rPr>
                <w:rFonts w:ascii="Arial" w:hAnsi="Arial" w:cs="Arial"/>
              </w:rPr>
            </w:pPr>
            <w:r>
              <w:rPr>
                <w:rFonts w:ascii="Arial" w:hAnsi="Arial" w:cs="Arial"/>
              </w:rPr>
              <w:t xml:space="preserve">Brent CCG </w:t>
            </w:r>
          </w:p>
        </w:tc>
      </w:tr>
      <w:tr w:rsidR="006161EB" w:rsidRPr="00004044" w:rsidTr="00224CFA">
        <w:tc>
          <w:tcPr>
            <w:tcW w:w="4621" w:type="dxa"/>
          </w:tcPr>
          <w:p w:rsidR="006161EB" w:rsidRPr="00004044" w:rsidRDefault="006161EB" w:rsidP="00224CFA">
            <w:pPr>
              <w:spacing w:after="0" w:line="240" w:lineRule="auto"/>
              <w:rPr>
                <w:rFonts w:ascii="Arial" w:hAnsi="Arial" w:cs="Arial"/>
                <w:b/>
              </w:rPr>
            </w:pPr>
            <w:r w:rsidRPr="00004044">
              <w:rPr>
                <w:rFonts w:ascii="Arial" w:hAnsi="Arial" w:cs="Arial"/>
                <w:b/>
              </w:rPr>
              <w:t>Provider Lead</w:t>
            </w:r>
          </w:p>
        </w:tc>
        <w:tc>
          <w:tcPr>
            <w:tcW w:w="4621" w:type="dxa"/>
          </w:tcPr>
          <w:p w:rsidR="006161EB" w:rsidRPr="00004044" w:rsidRDefault="00DB5C33" w:rsidP="0010198A">
            <w:pPr>
              <w:spacing w:after="0" w:line="240" w:lineRule="auto"/>
              <w:rPr>
                <w:rFonts w:ascii="Arial" w:hAnsi="Arial" w:cs="Arial"/>
              </w:rPr>
            </w:pPr>
            <w:r w:rsidRPr="00004044">
              <w:rPr>
                <w:rFonts w:ascii="Arial" w:hAnsi="Arial" w:cs="Arial"/>
              </w:rPr>
              <w:t xml:space="preserve"> </w:t>
            </w:r>
          </w:p>
        </w:tc>
      </w:tr>
      <w:tr w:rsidR="006161EB" w:rsidRPr="00004044" w:rsidTr="00224CFA">
        <w:tc>
          <w:tcPr>
            <w:tcW w:w="4621" w:type="dxa"/>
          </w:tcPr>
          <w:p w:rsidR="006161EB" w:rsidRPr="00004044" w:rsidRDefault="006161EB" w:rsidP="00224CFA">
            <w:pPr>
              <w:spacing w:after="0" w:line="240" w:lineRule="auto"/>
              <w:rPr>
                <w:rFonts w:ascii="Arial" w:hAnsi="Arial" w:cs="Arial"/>
                <w:b/>
              </w:rPr>
            </w:pPr>
            <w:r w:rsidRPr="00004044">
              <w:rPr>
                <w:rFonts w:ascii="Arial" w:hAnsi="Arial" w:cs="Arial"/>
                <w:b/>
              </w:rPr>
              <w:t>Period</w:t>
            </w:r>
          </w:p>
        </w:tc>
        <w:tc>
          <w:tcPr>
            <w:tcW w:w="4621" w:type="dxa"/>
          </w:tcPr>
          <w:p w:rsidR="006161EB" w:rsidRPr="00004044" w:rsidRDefault="006161EB" w:rsidP="00DB5C33">
            <w:pPr>
              <w:spacing w:after="0" w:line="240" w:lineRule="auto"/>
              <w:rPr>
                <w:rFonts w:ascii="Arial" w:hAnsi="Arial" w:cs="Arial"/>
                <w:highlight w:val="lightGray"/>
              </w:rPr>
            </w:pPr>
          </w:p>
        </w:tc>
      </w:tr>
      <w:tr w:rsidR="006161EB" w:rsidRPr="00004044" w:rsidTr="00224CFA">
        <w:tc>
          <w:tcPr>
            <w:tcW w:w="4621" w:type="dxa"/>
          </w:tcPr>
          <w:p w:rsidR="006161EB" w:rsidRPr="00004044" w:rsidRDefault="006161EB" w:rsidP="00DB5C33">
            <w:pPr>
              <w:spacing w:after="0" w:line="240" w:lineRule="auto"/>
              <w:rPr>
                <w:rFonts w:ascii="Arial" w:hAnsi="Arial" w:cs="Arial"/>
                <w:b/>
              </w:rPr>
            </w:pPr>
          </w:p>
        </w:tc>
        <w:tc>
          <w:tcPr>
            <w:tcW w:w="4621" w:type="dxa"/>
          </w:tcPr>
          <w:p w:rsidR="006161EB" w:rsidRPr="00004044" w:rsidRDefault="006161EB" w:rsidP="00224CFA">
            <w:pPr>
              <w:spacing w:after="0" w:line="240" w:lineRule="auto"/>
              <w:rPr>
                <w:rFonts w:ascii="Arial" w:hAnsi="Arial" w:cs="Arial"/>
                <w:highlight w:val="lightGray"/>
              </w:rPr>
            </w:pPr>
          </w:p>
        </w:tc>
      </w:tr>
    </w:tbl>
    <w:p w:rsidR="00E5645F" w:rsidRPr="00004044" w:rsidRDefault="00A21194" w:rsidP="003862FE">
      <w:pPr>
        <w:tabs>
          <w:tab w:val="left" w:pos="3540"/>
        </w:tabs>
        <w:rPr>
          <w:rFonts w:ascii="Arial" w:hAnsi="Arial" w:cs="Arial"/>
        </w:rPr>
      </w:pPr>
      <w:r>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6161EB" w:rsidRPr="00004044" w:rsidTr="002B7B95">
        <w:tc>
          <w:tcPr>
            <w:tcW w:w="9401" w:type="dxa"/>
            <w:tcBorders>
              <w:bottom w:val="nil"/>
            </w:tcBorders>
          </w:tcPr>
          <w:p w:rsidR="0090221E" w:rsidRPr="00CE7424" w:rsidRDefault="0090221E" w:rsidP="0090221E">
            <w:pPr>
              <w:spacing w:after="0" w:line="240" w:lineRule="auto"/>
              <w:jc w:val="center"/>
              <w:rPr>
                <w:rFonts w:ascii="Arial" w:hAnsi="Arial" w:cs="Arial"/>
                <w:b/>
              </w:rPr>
            </w:pPr>
            <w:r w:rsidRPr="00CE7424">
              <w:rPr>
                <w:rFonts w:ascii="Arial" w:hAnsi="Arial" w:cs="Arial"/>
                <w:b/>
              </w:rPr>
              <w:t>National context and evidence base</w:t>
            </w:r>
          </w:p>
          <w:p w:rsidR="006161EB" w:rsidRPr="00004044" w:rsidRDefault="006161EB" w:rsidP="00CE7424">
            <w:pPr>
              <w:spacing w:after="0" w:line="240" w:lineRule="auto"/>
              <w:rPr>
                <w:rFonts w:ascii="Arial" w:hAnsi="Arial" w:cs="Arial"/>
                <w:b/>
              </w:rPr>
            </w:pPr>
          </w:p>
        </w:tc>
      </w:tr>
      <w:tr w:rsidR="0090221E" w:rsidRPr="00004044" w:rsidTr="002B7B95">
        <w:tc>
          <w:tcPr>
            <w:tcW w:w="9401" w:type="dxa"/>
            <w:tcBorders>
              <w:bottom w:val="nil"/>
            </w:tcBorders>
          </w:tcPr>
          <w:p w:rsidR="0090221E" w:rsidRPr="00004044" w:rsidRDefault="0090221E" w:rsidP="00CE7424">
            <w:pPr>
              <w:spacing w:after="0" w:line="240" w:lineRule="auto"/>
              <w:rPr>
                <w:rFonts w:ascii="Arial" w:hAnsi="Arial" w:cs="Arial"/>
                <w:b/>
              </w:rPr>
            </w:pPr>
          </w:p>
        </w:tc>
      </w:tr>
      <w:tr w:rsidR="006161EB" w:rsidRPr="00004044" w:rsidTr="00CE7424">
        <w:trPr>
          <w:trHeight w:val="80"/>
        </w:trPr>
        <w:tc>
          <w:tcPr>
            <w:tcW w:w="9401" w:type="dxa"/>
            <w:tcBorders>
              <w:top w:val="nil"/>
            </w:tcBorders>
          </w:tcPr>
          <w:p w:rsidR="00616B0A" w:rsidRPr="00B26B96" w:rsidRDefault="00616B0A" w:rsidP="00616B0A">
            <w:pPr>
              <w:pStyle w:val="Default"/>
              <w:rPr>
                <w:sz w:val="20"/>
                <w:szCs w:val="20"/>
              </w:rPr>
            </w:pPr>
            <w:r w:rsidRPr="00B26B96">
              <w:rPr>
                <w:sz w:val="20"/>
                <w:szCs w:val="20"/>
              </w:rPr>
              <w:t xml:space="preserve">The most common reason that people visit their GP is pain, (ref Elliot AM, Smith BH, Penny KI et al, The epidemiology of chronic pain in the community. Lancet 1999:354:1248-1252) and is reported to be the main reason for 29% of patient visits in primary care. </w:t>
            </w:r>
          </w:p>
          <w:p w:rsidR="00616B0A" w:rsidRPr="00B26B96" w:rsidRDefault="00616B0A" w:rsidP="00616B0A">
            <w:pPr>
              <w:pStyle w:val="Default"/>
              <w:rPr>
                <w:sz w:val="20"/>
                <w:szCs w:val="20"/>
              </w:rPr>
            </w:pPr>
          </w:p>
          <w:p w:rsidR="00616B0A" w:rsidRPr="00B26B96" w:rsidRDefault="00616B0A" w:rsidP="00616B0A">
            <w:pPr>
              <w:pStyle w:val="Default"/>
              <w:rPr>
                <w:sz w:val="20"/>
                <w:szCs w:val="20"/>
              </w:rPr>
            </w:pPr>
            <w:r w:rsidRPr="00B26B96">
              <w:rPr>
                <w:sz w:val="20"/>
                <w:szCs w:val="20"/>
              </w:rPr>
              <w:t xml:space="preserve">There are over 200 MSK conditions affecting millions of people, including all forms of arthritis, back pain and osteoporosis. The World Health Organisation, (WHO) and Bone and Joint Health strategies Project (2005 cited by the Department of Health) identified that: </w:t>
            </w:r>
          </w:p>
          <w:p w:rsidR="00B26B96" w:rsidRPr="004F778F" w:rsidRDefault="00B26B96" w:rsidP="0090221E">
            <w:pPr>
              <w:pStyle w:val="Default"/>
            </w:pPr>
          </w:p>
        </w:tc>
      </w:tr>
      <w:tr w:rsidR="006161EB" w:rsidRPr="00004044" w:rsidTr="002B7B95">
        <w:tc>
          <w:tcPr>
            <w:tcW w:w="9401" w:type="dxa"/>
          </w:tcPr>
          <w:p w:rsidR="006161EB" w:rsidRPr="00CE7424" w:rsidRDefault="006161EB" w:rsidP="00CE7424">
            <w:pPr>
              <w:spacing w:after="0" w:line="240" w:lineRule="auto"/>
              <w:jc w:val="center"/>
              <w:rPr>
                <w:rFonts w:ascii="Arial" w:hAnsi="Arial" w:cs="Arial"/>
                <w:b/>
              </w:rPr>
            </w:pPr>
            <w:r w:rsidRPr="00CE7424">
              <w:rPr>
                <w:rFonts w:ascii="Arial" w:hAnsi="Arial" w:cs="Arial"/>
                <w:b/>
              </w:rPr>
              <w:t>Outcomes</w:t>
            </w:r>
          </w:p>
        </w:tc>
      </w:tr>
      <w:tr w:rsidR="006161EB" w:rsidRPr="00004044" w:rsidTr="002B7B95">
        <w:tc>
          <w:tcPr>
            <w:tcW w:w="9401" w:type="dxa"/>
          </w:tcPr>
          <w:p w:rsidR="0090221E" w:rsidRDefault="0090221E" w:rsidP="00CE7424">
            <w:pPr>
              <w:spacing w:after="0" w:line="240" w:lineRule="auto"/>
              <w:jc w:val="both"/>
              <w:rPr>
                <w:rFonts w:ascii="Arial" w:hAnsi="Arial" w:cs="Arial"/>
                <w:b/>
              </w:rPr>
            </w:pPr>
          </w:p>
          <w:p w:rsidR="006161EB" w:rsidRDefault="006161EB" w:rsidP="00CE7424">
            <w:pPr>
              <w:spacing w:after="0" w:line="240" w:lineRule="auto"/>
              <w:jc w:val="both"/>
              <w:rPr>
                <w:rFonts w:ascii="Arial" w:hAnsi="Arial" w:cs="Arial"/>
                <w:b/>
              </w:rPr>
            </w:pPr>
            <w:r w:rsidRPr="00CE7424">
              <w:rPr>
                <w:rFonts w:ascii="Arial" w:hAnsi="Arial" w:cs="Arial"/>
                <w:b/>
              </w:rPr>
              <w:t>NHS Outcomes Framework Domains and indicators</w:t>
            </w:r>
          </w:p>
          <w:p w:rsidR="0090221E" w:rsidRPr="00CE7424" w:rsidRDefault="0090221E" w:rsidP="00CE7424">
            <w:pPr>
              <w:spacing w:after="0" w:line="240" w:lineRule="auto"/>
              <w:jc w:val="both"/>
              <w:rPr>
                <w:rFonts w:ascii="Arial" w:hAnsi="Arial" w:cs="Arial"/>
                <w:b/>
              </w:rPr>
            </w:pPr>
          </w:p>
          <w:p w:rsidR="006161EB" w:rsidRPr="00004044" w:rsidRDefault="006161EB" w:rsidP="00004044">
            <w:pPr>
              <w:pStyle w:val="ListParagraph"/>
              <w:spacing w:after="0" w:line="240" w:lineRule="auto"/>
              <w:jc w:val="both"/>
              <w:rPr>
                <w:rFonts w:ascii="Arial" w:hAnsi="Arial" w:cs="Arial"/>
              </w:rPr>
            </w:pPr>
          </w:p>
          <w:tbl>
            <w:tblPr>
              <w:tblStyle w:val="TableGrid"/>
              <w:tblpPr w:leftFromText="180" w:rightFromText="180" w:vertAnchor="text" w:horzAnchor="margin" w:tblpXSpec="center" w:tblpY="-197"/>
              <w:tblOverlap w:val="never"/>
              <w:tblW w:w="0" w:type="auto"/>
              <w:tblLook w:val="04A0" w:firstRow="1" w:lastRow="0" w:firstColumn="1" w:lastColumn="0" w:noHBand="0" w:noVBand="1"/>
            </w:tblPr>
            <w:tblGrid>
              <w:gridCol w:w="1276"/>
              <w:gridCol w:w="6237"/>
              <w:gridCol w:w="641"/>
            </w:tblGrid>
            <w:tr w:rsidR="0090221E" w:rsidRPr="00CA5FD9" w:rsidTr="0090221E">
              <w:trPr>
                <w:trHeight w:val="440"/>
              </w:trPr>
              <w:tc>
                <w:tcPr>
                  <w:tcW w:w="1276" w:type="dxa"/>
                </w:tcPr>
                <w:p w:rsidR="0090221E" w:rsidRPr="00CA5FD9" w:rsidRDefault="0090221E" w:rsidP="0090221E">
                  <w:pPr>
                    <w:rPr>
                      <w:rFonts w:ascii="Arial" w:eastAsiaTheme="minorEastAsia" w:hAnsi="Arial" w:cs="Arial"/>
                      <w:b/>
                      <w:color w:val="000000" w:themeColor="text1"/>
                      <w:lang w:val="en-US" w:eastAsia="ja-JP"/>
                    </w:rPr>
                  </w:pPr>
                  <w:r w:rsidRPr="00CA5FD9">
                    <w:rPr>
                      <w:rFonts w:ascii="Arial" w:eastAsiaTheme="minorEastAsia" w:hAnsi="Arial" w:cs="Arial"/>
                      <w:b/>
                      <w:color w:val="000000" w:themeColor="text1"/>
                      <w:lang w:val="en-US" w:eastAsia="ja-JP"/>
                    </w:rPr>
                    <w:t>Domain 1</w:t>
                  </w:r>
                </w:p>
              </w:tc>
              <w:tc>
                <w:tcPr>
                  <w:tcW w:w="6237" w:type="dxa"/>
                </w:tcPr>
                <w:p w:rsidR="0090221E" w:rsidRPr="00CA5FD9" w:rsidRDefault="0090221E" w:rsidP="0090221E">
                  <w:pPr>
                    <w:rPr>
                      <w:rFonts w:ascii="Arial" w:eastAsiaTheme="minorEastAsia" w:hAnsi="Arial" w:cs="Arial"/>
                      <w:b/>
                      <w:color w:val="000000" w:themeColor="text1"/>
                      <w:lang w:val="en-US" w:eastAsia="ja-JP"/>
                    </w:rPr>
                  </w:pPr>
                  <w:r w:rsidRPr="00CA5FD9">
                    <w:rPr>
                      <w:rFonts w:ascii="Arial" w:eastAsiaTheme="minorEastAsia" w:hAnsi="Arial" w:cs="Arial"/>
                      <w:b/>
                      <w:color w:val="000000" w:themeColor="text1"/>
                      <w:lang w:val="en-US" w:eastAsia="ja-JP"/>
                    </w:rPr>
                    <w:t>Preventing people from dying prematurely</w:t>
                  </w:r>
                </w:p>
              </w:tc>
              <w:tc>
                <w:tcPr>
                  <w:tcW w:w="641" w:type="dxa"/>
                </w:tcPr>
                <w:p w:rsidR="0090221E" w:rsidRPr="00CA5FD9" w:rsidRDefault="0090221E" w:rsidP="0090221E">
                  <w:pPr>
                    <w:rPr>
                      <w:rFonts w:ascii="Arial" w:eastAsiaTheme="minorEastAsia" w:hAnsi="Arial" w:cs="Arial"/>
                      <w:b/>
                      <w:color w:val="000000" w:themeColor="text1"/>
                      <w:lang w:val="en-US" w:eastAsia="ja-JP"/>
                    </w:rPr>
                  </w:pPr>
                  <w:r>
                    <w:rPr>
                      <w:rFonts w:ascii="Arial" w:eastAsiaTheme="minorEastAsia" w:hAnsi="Arial" w:cs="Arial"/>
                      <w:b/>
                      <w:color w:val="000000" w:themeColor="text1"/>
                      <w:lang w:val="en-US" w:eastAsia="ja-JP"/>
                    </w:rPr>
                    <w:t xml:space="preserve">Yes </w:t>
                  </w:r>
                </w:p>
              </w:tc>
            </w:tr>
            <w:tr w:rsidR="0090221E" w:rsidRPr="00CA5FD9" w:rsidTr="0090221E">
              <w:trPr>
                <w:trHeight w:val="389"/>
              </w:trPr>
              <w:tc>
                <w:tcPr>
                  <w:tcW w:w="1276" w:type="dxa"/>
                </w:tcPr>
                <w:p w:rsidR="0090221E" w:rsidRPr="00CA5FD9" w:rsidRDefault="0090221E" w:rsidP="0090221E">
                  <w:pPr>
                    <w:rPr>
                      <w:rFonts w:ascii="Arial" w:eastAsiaTheme="minorEastAsia" w:hAnsi="Arial" w:cs="Arial"/>
                      <w:b/>
                      <w:color w:val="000000" w:themeColor="text1"/>
                      <w:lang w:val="en-US" w:eastAsia="ja-JP"/>
                    </w:rPr>
                  </w:pPr>
                  <w:r w:rsidRPr="00CA5FD9">
                    <w:rPr>
                      <w:rFonts w:ascii="Arial" w:eastAsiaTheme="minorEastAsia" w:hAnsi="Arial" w:cs="Arial"/>
                      <w:b/>
                      <w:color w:val="000000" w:themeColor="text1"/>
                      <w:lang w:val="en-US" w:eastAsia="ja-JP"/>
                    </w:rPr>
                    <w:t>Domain 2</w:t>
                  </w:r>
                </w:p>
              </w:tc>
              <w:tc>
                <w:tcPr>
                  <w:tcW w:w="6237" w:type="dxa"/>
                </w:tcPr>
                <w:p w:rsidR="0090221E" w:rsidRPr="00CA5FD9" w:rsidRDefault="0090221E" w:rsidP="0090221E">
                  <w:pPr>
                    <w:rPr>
                      <w:rFonts w:ascii="Arial" w:eastAsiaTheme="minorEastAsia" w:hAnsi="Arial" w:cs="Arial"/>
                      <w:color w:val="000000" w:themeColor="text1"/>
                      <w:lang w:val="en-US" w:eastAsia="ja-JP"/>
                    </w:rPr>
                  </w:pPr>
                  <w:r w:rsidRPr="00CA5FD9">
                    <w:rPr>
                      <w:rFonts w:ascii="Arial" w:eastAsiaTheme="minorEastAsia" w:hAnsi="Arial" w:cs="Arial"/>
                      <w:b/>
                      <w:color w:val="000000" w:themeColor="text1"/>
                      <w:lang w:val="en-US" w:eastAsia="ja-JP"/>
                    </w:rPr>
                    <w:t>Enhancing quality of life for people with long-term conditions</w:t>
                  </w:r>
                </w:p>
              </w:tc>
              <w:tc>
                <w:tcPr>
                  <w:tcW w:w="641" w:type="dxa"/>
                </w:tcPr>
                <w:p w:rsidR="0090221E" w:rsidRPr="00CA5FD9" w:rsidRDefault="0090221E" w:rsidP="0090221E">
                  <w:pPr>
                    <w:rPr>
                      <w:rFonts w:ascii="Arial" w:eastAsiaTheme="minorEastAsia" w:hAnsi="Arial" w:cs="Arial"/>
                      <w:b/>
                      <w:color w:val="000000" w:themeColor="text1"/>
                      <w:lang w:val="en-US" w:eastAsia="ja-JP"/>
                    </w:rPr>
                  </w:pPr>
                  <w:r>
                    <w:rPr>
                      <w:rFonts w:ascii="Arial" w:eastAsiaTheme="minorEastAsia" w:hAnsi="Arial" w:cs="Arial"/>
                      <w:b/>
                      <w:color w:val="000000" w:themeColor="text1"/>
                      <w:lang w:val="en-US" w:eastAsia="ja-JP"/>
                    </w:rPr>
                    <w:t xml:space="preserve">Yes </w:t>
                  </w:r>
                </w:p>
              </w:tc>
            </w:tr>
            <w:tr w:rsidR="0090221E" w:rsidRPr="00CA5FD9" w:rsidTr="0090221E">
              <w:trPr>
                <w:trHeight w:val="623"/>
              </w:trPr>
              <w:tc>
                <w:tcPr>
                  <w:tcW w:w="1276" w:type="dxa"/>
                </w:tcPr>
                <w:p w:rsidR="0090221E" w:rsidRPr="00CA5FD9" w:rsidRDefault="0090221E" w:rsidP="0090221E">
                  <w:pPr>
                    <w:rPr>
                      <w:rFonts w:ascii="Arial" w:eastAsiaTheme="minorEastAsia" w:hAnsi="Arial" w:cs="Arial"/>
                      <w:b/>
                      <w:color w:val="000000" w:themeColor="text1"/>
                      <w:lang w:val="en-US" w:eastAsia="ja-JP"/>
                    </w:rPr>
                  </w:pPr>
                  <w:r w:rsidRPr="00CA5FD9">
                    <w:rPr>
                      <w:rFonts w:ascii="Arial" w:eastAsiaTheme="minorEastAsia" w:hAnsi="Arial" w:cs="Arial"/>
                      <w:b/>
                      <w:color w:val="000000" w:themeColor="text1"/>
                      <w:lang w:val="en-US" w:eastAsia="ja-JP"/>
                    </w:rPr>
                    <w:t>Domain 3</w:t>
                  </w:r>
                </w:p>
              </w:tc>
              <w:tc>
                <w:tcPr>
                  <w:tcW w:w="6237" w:type="dxa"/>
                </w:tcPr>
                <w:p w:rsidR="0090221E" w:rsidRPr="00CA5FD9" w:rsidRDefault="0090221E" w:rsidP="0090221E">
                  <w:pPr>
                    <w:rPr>
                      <w:rFonts w:ascii="Arial" w:eastAsiaTheme="minorEastAsia" w:hAnsi="Arial" w:cs="Arial"/>
                      <w:color w:val="000000" w:themeColor="text1"/>
                      <w:lang w:val="en-US" w:eastAsia="ja-JP"/>
                    </w:rPr>
                  </w:pPr>
                  <w:r w:rsidRPr="00CA5FD9">
                    <w:rPr>
                      <w:rFonts w:ascii="Arial" w:eastAsiaTheme="minorEastAsia" w:hAnsi="Arial" w:cs="Arial"/>
                      <w:b/>
                      <w:color w:val="000000" w:themeColor="text1"/>
                      <w:lang w:val="en-US" w:eastAsia="ja-JP"/>
                    </w:rPr>
                    <w:t>Helping people to recover from episodes of ill-health or following injury</w:t>
                  </w:r>
                </w:p>
              </w:tc>
              <w:tc>
                <w:tcPr>
                  <w:tcW w:w="641" w:type="dxa"/>
                </w:tcPr>
                <w:p w:rsidR="0090221E" w:rsidRPr="00CA5FD9" w:rsidRDefault="0090221E" w:rsidP="0090221E">
                  <w:pPr>
                    <w:rPr>
                      <w:rFonts w:ascii="Arial" w:eastAsiaTheme="minorEastAsia" w:hAnsi="Arial" w:cs="Arial"/>
                      <w:b/>
                      <w:color w:val="000000" w:themeColor="text1"/>
                      <w:lang w:val="en-US" w:eastAsia="ja-JP"/>
                    </w:rPr>
                  </w:pPr>
                  <w:r>
                    <w:rPr>
                      <w:rFonts w:ascii="Arial" w:eastAsiaTheme="minorEastAsia" w:hAnsi="Arial" w:cs="Arial"/>
                      <w:b/>
                      <w:color w:val="000000" w:themeColor="text1"/>
                      <w:lang w:val="en-US" w:eastAsia="ja-JP"/>
                    </w:rPr>
                    <w:t>Yes</w:t>
                  </w:r>
                </w:p>
              </w:tc>
            </w:tr>
            <w:tr w:rsidR="0090221E" w:rsidRPr="00CA5FD9" w:rsidTr="0090221E">
              <w:tc>
                <w:tcPr>
                  <w:tcW w:w="1276" w:type="dxa"/>
                </w:tcPr>
                <w:p w:rsidR="0090221E" w:rsidRPr="00CA5FD9" w:rsidRDefault="0090221E" w:rsidP="0090221E">
                  <w:pPr>
                    <w:rPr>
                      <w:rFonts w:ascii="Arial" w:eastAsiaTheme="minorEastAsia" w:hAnsi="Arial" w:cs="Arial"/>
                      <w:b/>
                      <w:color w:val="000000" w:themeColor="text1"/>
                      <w:lang w:val="en-US" w:eastAsia="ja-JP"/>
                    </w:rPr>
                  </w:pPr>
                  <w:r w:rsidRPr="00CA5FD9">
                    <w:rPr>
                      <w:rFonts w:ascii="Arial" w:eastAsiaTheme="minorEastAsia" w:hAnsi="Arial" w:cs="Arial"/>
                      <w:b/>
                      <w:color w:val="000000" w:themeColor="text1"/>
                      <w:lang w:val="en-US" w:eastAsia="ja-JP"/>
                    </w:rPr>
                    <w:t>Domain 4</w:t>
                  </w:r>
                </w:p>
              </w:tc>
              <w:tc>
                <w:tcPr>
                  <w:tcW w:w="6237" w:type="dxa"/>
                </w:tcPr>
                <w:p w:rsidR="0090221E" w:rsidRPr="00CA5FD9" w:rsidRDefault="0090221E" w:rsidP="0090221E">
                  <w:pPr>
                    <w:rPr>
                      <w:rFonts w:ascii="Arial" w:eastAsiaTheme="minorEastAsia" w:hAnsi="Arial" w:cs="Arial"/>
                      <w:b/>
                      <w:color w:val="000000" w:themeColor="text1"/>
                      <w:lang w:val="en-US" w:eastAsia="ja-JP"/>
                    </w:rPr>
                  </w:pPr>
                  <w:r w:rsidRPr="00CA5FD9">
                    <w:rPr>
                      <w:rFonts w:ascii="Arial" w:eastAsiaTheme="minorEastAsia" w:hAnsi="Arial" w:cs="Arial"/>
                      <w:b/>
                      <w:color w:val="000000" w:themeColor="text1"/>
                      <w:lang w:val="en-US" w:eastAsia="ja-JP"/>
                    </w:rPr>
                    <w:t>Ensuring people have a positive experience of care</w:t>
                  </w:r>
                </w:p>
              </w:tc>
              <w:tc>
                <w:tcPr>
                  <w:tcW w:w="641" w:type="dxa"/>
                </w:tcPr>
                <w:p w:rsidR="0090221E" w:rsidRPr="00CA5FD9" w:rsidRDefault="0090221E" w:rsidP="0090221E">
                  <w:pPr>
                    <w:rPr>
                      <w:rFonts w:ascii="Arial" w:eastAsiaTheme="minorEastAsia" w:hAnsi="Arial" w:cs="Arial"/>
                      <w:b/>
                      <w:color w:val="000000" w:themeColor="text1"/>
                      <w:lang w:val="en-US" w:eastAsia="ja-JP"/>
                    </w:rPr>
                  </w:pPr>
                  <w:r>
                    <w:rPr>
                      <w:rFonts w:ascii="Arial" w:eastAsiaTheme="minorEastAsia" w:hAnsi="Arial" w:cs="Arial"/>
                      <w:b/>
                      <w:color w:val="000000" w:themeColor="text1"/>
                      <w:lang w:val="en-US" w:eastAsia="ja-JP"/>
                    </w:rPr>
                    <w:t>Yes</w:t>
                  </w:r>
                </w:p>
              </w:tc>
            </w:tr>
            <w:tr w:rsidR="0090221E" w:rsidRPr="00CA5FD9" w:rsidTr="0090221E">
              <w:tc>
                <w:tcPr>
                  <w:tcW w:w="1276" w:type="dxa"/>
                </w:tcPr>
                <w:p w:rsidR="0090221E" w:rsidRPr="00CA5FD9" w:rsidRDefault="0090221E" w:rsidP="0090221E">
                  <w:pPr>
                    <w:rPr>
                      <w:rFonts w:ascii="Arial" w:eastAsiaTheme="minorEastAsia" w:hAnsi="Arial" w:cs="Arial"/>
                      <w:b/>
                      <w:color w:val="000000" w:themeColor="text1"/>
                      <w:lang w:val="en-US" w:eastAsia="ja-JP"/>
                    </w:rPr>
                  </w:pPr>
                  <w:r w:rsidRPr="00CA5FD9">
                    <w:rPr>
                      <w:rFonts w:ascii="Arial" w:eastAsiaTheme="minorEastAsia" w:hAnsi="Arial" w:cs="Arial"/>
                      <w:b/>
                      <w:color w:val="000000" w:themeColor="text1"/>
                      <w:lang w:val="en-US" w:eastAsia="ja-JP"/>
                    </w:rPr>
                    <w:t>Domain 5</w:t>
                  </w:r>
                </w:p>
              </w:tc>
              <w:tc>
                <w:tcPr>
                  <w:tcW w:w="6237" w:type="dxa"/>
                </w:tcPr>
                <w:p w:rsidR="0090221E" w:rsidRPr="00CA5FD9" w:rsidRDefault="0090221E" w:rsidP="0090221E">
                  <w:pPr>
                    <w:rPr>
                      <w:rFonts w:ascii="Arial" w:eastAsiaTheme="minorEastAsia" w:hAnsi="Arial" w:cs="Arial"/>
                      <w:color w:val="000000" w:themeColor="text1"/>
                    </w:rPr>
                  </w:pPr>
                  <w:r w:rsidRPr="00CA5FD9">
                    <w:rPr>
                      <w:rFonts w:ascii="Arial" w:eastAsiaTheme="minorEastAsia" w:hAnsi="Arial" w:cs="Arial"/>
                      <w:b/>
                      <w:color w:val="000000" w:themeColor="text1"/>
                      <w:lang w:val="en-US" w:eastAsia="ja-JP"/>
                    </w:rPr>
                    <w:t>Treating and caring for people in safe environment and protecting them from avoidable harm</w:t>
                  </w:r>
                </w:p>
              </w:tc>
              <w:tc>
                <w:tcPr>
                  <w:tcW w:w="641" w:type="dxa"/>
                </w:tcPr>
                <w:p w:rsidR="0090221E" w:rsidRPr="00CA5FD9" w:rsidRDefault="0090221E" w:rsidP="0090221E">
                  <w:pPr>
                    <w:rPr>
                      <w:rFonts w:ascii="Arial" w:eastAsiaTheme="minorEastAsia" w:hAnsi="Arial" w:cs="Arial"/>
                      <w:b/>
                      <w:color w:val="000000" w:themeColor="text1"/>
                      <w:lang w:val="en-US" w:eastAsia="ja-JP"/>
                    </w:rPr>
                  </w:pPr>
                  <w:r>
                    <w:rPr>
                      <w:rFonts w:ascii="Arial" w:eastAsiaTheme="minorEastAsia" w:hAnsi="Arial" w:cs="Arial"/>
                      <w:b/>
                      <w:color w:val="000000" w:themeColor="text1"/>
                      <w:lang w:val="en-US" w:eastAsia="ja-JP"/>
                    </w:rPr>
                    <w:t>Yes</w:t>
                  </w:r>
                </w:p>
              </w:tc>
            </w:tr>
          </w:tbl>
          <w:p w:rsidR="004F778F" w:rsidRPr="00616B0A" w:rsidRDefault="004F778F" w:rsidP="004F778F">
            <w:pPr>
              <w:pStyle w:val="Default"/>
              <w:jc w:val="both"/>
              <w:rPr>
                <w:sz w:val="22"/>
                <w:szCs w:val="22"/>
              </w:rPr>
            </w:pPr>
            <w:r w:rsidRPr="00616B0A">
              <w:rPr>
                <w:b/>
                <w:bCs/>
                <w:sz w:val="22"/>
                <w:szCs w:val="22"/>
              </w:rPr>
              <w:t xml:space="preserve">Local defined outcomes </w:t>
            </w:r>
          </w:p>
          <w:p w:rsidR="004F778F" w:rsidRPr="00616B0A" w:rsidRDefault="004F778F" w:rsidP="004F778F">
            <w:pPr>
              <w:pStyle w:val="Default"/>
              <w:ind w:hanging="360"/>
              <w:jc w:val="both"/>
              <w:rPr>
                <w:sz w:val="22"/>
                <w:szCs w:val="22"/>
              </w:rPr>
            </w:pPr>
          </w:p>
          <w:p w:rsidR="00616B0A" w:rsidRDefault="004F778F" w:rsidP="00616B0A">
            <w:pPr>
              <w:pStyle w:val="Default"/>
              <w:numPr>
                <w:ilvl w:val="0"/>
                <w:numId w:val="31"/>
              </w:numPr>
              <w:jc w:val="both"/>
              <w:rPr>
                <w:sz w:val="22"/>
                <w:szCs w:val="22"/>
              </w:rPr>
            </w:pPr>
            <w:r w:rsidRPr="00616B0A">
              <w:rPr>
                <w:sz w:val="22"/>
                <w:szCs w:val="22"/>
              </w:rPr>
              <w:t>Easy access for patients, with referral possible by internet, telephone, or via any Healthcare Professional</w:t>
            </w:r>
          </w:p>
          <w:p w:rsidR="00616B0A" w:rsidRDefault="004F778F" w:rsidP="00616B0A">
            <w:pPr>
              <w:pStyle w:val="Default"/>
              <w:numPr>
                <w:ilvl w:val="0"/>
                <w:numId w:val="31"/>
              </w:numPr>
              <w:jc w:val="both"/>
              <w:rPr>
                <w:sz w:val="22"/>
                <w:szCs w:val="22"/>
              </w:rPr>
            </w:pPr>
            <w:r w:rsidRPr="00616B0A">
              <w:rPr>
                <w:sz w:val="22"/>
                <w:szCs w:val="22"/>
              </w:rPr>
              <w:t>Patients can select their preferred location of treatment at entry to the service</w:t>
            </w:r>
          </w:p>
          <w:p w:rsidR="00616B0A" w:rsidRDefault="004F778F" w:rsidP="00616B0A">
            <w:pPr>
              <w:pStyle w:val="Default"/>
              <w:numPr>
                <w:ilvl w:val="0"/>
                <w:numId w:val="31"/>
              </w:numPr>
              <w:jc w:val="both"/>
              <w:rPr>
                <w:sz w:val="22"/>
                <w:szCs w:val="22"/>
              </w:rPr>
            </w:pPr>
            <w:r w:rsidRPr="00616B0A">
              <w:rPr>
                <w:sz w:val="22"/>
                <w:szCs w:val="22"/>
              </w:rPr>
              <w:t>All service users are seen and assessed within prescribed access targets</w:t>
            </w:r>
            <w:r w:rsidR="00616B0A" w:rsidRPr="00616B0A">
              <w:rPr>
                <w:sz w:val="22"/>
                <w:szCs w:val="22"/>
              </w:rPr>
              <w:t>.</w:t>
            </w:r>
          </w:p>
          <w:p w:rsidR="00616B0A" w:rsidRDefault="004F778F" w:rsidP="00616B0A">
            <w:pPr>
              <w:pStyle w:val="Default"/>
              <w:numPr>
                <w:ilvl w:val="0"/>
                <w:numId w:val="31"/>
              </w:numPr>
              <w:jc w:val="both"/>
              <w:rPr>
                <w:sz w:val="22"/>
                <w:szCs w:val="22"/>
              </w:rPr>
            </w:pPr>
            <w:r w:rsidRPr="00616B0A">
              <w:rPr>
                <w:sz w:val="22"/>
                <w:szCs w:val="22"/>
              </w:rPr>
              <w:t>All service users participate in the decision about the course of their treatment and set goals documented in a Care Plan (shared decision making)</w:t>
            </w:r>
          </w:p>
          <w:p w:rsidR="00616B0A" w:rsidRDefault="004F778F" w:rsidP="00616B0A">
            <w:pPr>
              <w:pStyle w:val="Default"/>
              <w:numPr>
                <w:ilvl w:val="0"/>
                <w:numId w:val="31"/>
              </w:numPr>
              <w:jc w:val="both"/>
              <w:rPr>
                <w:sz w:val="22"/>
                <w:szCs w:val="22"/>
              </w:rPr>
            </w:pPr>
            <w:r w:rsidRPr="00616B0A">
              <w:rPr>
                <w:sz w:val="22"/>
                <w:szCs w:val="22"/>
              </w:rPr>
              <w:t>All service users achieve their set goals</w:t>
            </w:r>
          </w:p>
          <w:p w:rsidR="00616B0A" w:rsidRDefault="004F778F" w:rsidP="00616B0A">
            <w:pPr>
              <w:pStyle w:val="Default"/>
              <w:numPr>
                <w:ilvl w:val="0"/>
                <w:numId w:val="31"/>
              </w:numPr>
              <w:jc w:val="both"/>
              <w:rPr>
                <w:sz w:val="22"/>
                <w:szCs w:val="22"/>
              </w:rPr>
            </w:pPr>
            <w:r w:rsidRPr="00616B0A">
              <w:rPr>
                <w:sz w:val="22"/>
                <w:szCs w:val="22"/>
              </w:rPr>
              <w:t>A high proportion of service users are able to self-manage without the need to return to the service</w:t>
            </w:r>
            <w:r w:rsidR="00616B0A" w:rsidRPr="00616B0A">
              <w:rPr>
                <w:sz w:val="22"/>
                <w:szCs w:val="22"/>
              </w:rPr>
              <w:t>.</w:t>
            </w:r>
          </w:p>
          <w:p w:rsidR="00616B0A" w:rsidRDefault="004F778F" w:rsidP="00616B0A">
            <w:pPr>
              <w:pStyle w:val="Default"/>
              <w:numPr>
                <w:ilvl w:val="0"/>
                <w:numId w:val="31"/>
              </w:numPr>
              <w:jc w:val="both"/>
              <w:rPr>
                <w:sz w:val="22"/>
                <w:szCs w:val="22"/>
              </w:rPr>
            </w:pPr>
            <w:r w:rsidRPr="00616B0A">
              <w:rPr>
                <w:sz w:val="22"/>
                <w:szCs w:val="22"/>
              </w:rPr>
              <w:t>High quality service user experience</w:t>
            </w:r>
          </w:p>
          <w:p w:rsidR="00616B0A" w:rsidRDefault="004F778F" w:rsidP="00616B0A">
            <w:pPr>
              <w:pStyle w:val="Default"/>
              <w:numPr>
                <w:ilvl w:val="0"/>
                <w:numId w:val="31"/>
              </w:numPr>
              <w:jc w:val="both"/>
              <w:rPr>
                <w:sz w:val="22"/>
                <w:szCs w:val="22"/>
              </w:rPr>
            </w:pPr>
            <w:r w:rsidRPr="00616B0A">
              <w:rPr>
                <w:sz w:val="22"/>
                <w:szCs w:val="22"/>
              </w:rPr>
              <w:t>High quality, relevant and timely information offered to all service users</w:t>
            </w:r>
          </w:p>
          <w:p w:rsidR="00616B0A" w:rsidRDefault="004F778F" w:rsidP="00616B0A">
            <w:pPr>
              <w:pStyle w:val="Default"/>
              <w:numPr>
                <w:ilvl w:val="0"/>
                <w:numId w:val="31"/>
              </w:numPr>
              <w:jc w:val="both"/>
              <w:rPr>
                <w:sz w:val="22"/>
                <w:szCs w:val="22"/>
              </w:rPr>
            </w:pPr>
            <w:r w:rsidRPr="00616B0A">
              <w:rPr>
                <w:sz w:val="22"/>
                <w:szCs w:val="22"/>
              </w:rPr>
              <w:t xml:space="preserve">High quality clinical outcomes for service users who do not go on to have surgical </w:t>
            </w:r>
            <w:r w:rsidRPr="00616B0A">
              <w:rPr>
                <w:sz w:val="22"/>
                <w:szCs w:val="22"/>
              </w:rPr>
              <w:lastRenderedPageBreak/>
              <w:t>intervention</w:t>
            </w:r>
          </w:p>
          <w:p w:rsidR="00A824E9" w:rsidRPr="0090221E" w:rsidRDefault="004F778F" w:rsidP="0090221E">
            <w:pPr>
              <w:pStyle w:val="Default"/>
              <w:numPr>
                <w:ilvl w:val="0"/>
                <w:numId w:val="31"/>
              </w:numPr>
              <w:jc w:val="both"/>
            </w:pPr>
            <w:r w:rsidRPr="00616B0A">
              <w:rPr>
                <w:sz w:val="22"/>
                <w:szCs w:val="22"/>
              </w:rPr>
              <w:t>High quality clinical outcomes from surgery for those users who do have surgical interventio</w:t>
            </w:r>
            <w:r w:rsidR="00616B0A">
              <w:rPr>
                <w:sz w:val="22"/>
                <w:szCs w:val="22"/>
              </w:rPr>
              <w:t>n</w:t>
            </w:r>
          </w:p>
        </w:tc>
      </w:tr>
      <w:tr w:rsidR="00616B0A" w:rsidRPr="00004044" w:rsidTr="002B7B95">
        <w:tc>
          <w:tcPr>
            <w:tcW w:w="9401" w:type="dxa"/>
          </w:tcPr>
          <w:p w:rsidR="00616B0A" w:rsidRPr="002C4593" w:rsidRDefault="00832E16" w:rsidP="00CE7424">
            <w:pPr>
              <w:pStyle w:val="ListParagraph"/>
              <w:spacing w:after="0" w:line="240" w:lineRule="auto"/>
              <w:jc w:val="center"/>
              <w:rPr>
                <w:rFonts w:ascii="Arial" w:hAnsi="Arial" w:cs="Arial"/>
              </w:rPr>
            </w:pPr>
            <w:r>
              <w:rPr>
                <w:rFonts w:ascii="Arial" w:hAnsi="Arial" w:cs="Arial"/>
                <w:b/>
              </w:rPr>
              <w:lastRenderedPageBreak/>
              <w:t xml:space="preserve">Brent CCG Local Picture </w:t>
            </w:r>
          </w:p>
        </w:tc>
      </w:tr>
      <w:tr w:rsidR="006161EB" w:rsidRPr="00004044" w:rsidTr="002B7B95">
        <w:tc>
          <w:tcPr>
            <w:tcW w:w="9401" w:type="dxa"/>
          </w:tcPr>
          <w:p w:rsidR="006E4819" w:rsidRDefault="006E4819" w:rsidP="00004044">
            <w:pPr>
              <w:spacing w:after="0" w:line="240" w:lineRule="auto"/>
              <w:jc w:val="both"/>
              <w:rPr>
                <w:rFonts w:ascii="Arial" w:hAnsi="Arial" w:cs="Arial"/>
              </w:rPr>
            </w:pPr>
          </w:p>
          <w:p w:rsidR="006161EB" w:rsidRPr="005E7B8E" w:rsidRDefault="00802EBE" w:rsidP="00004044">
            <w:pPr>
              <w:spacing w:after="0" w:line="240" w:lineRule="auto"/>
              <w:jc w:val="both"/>
              <w:rPr>
                <w:rFonts w:ascii="Arial" w:hAnsi="Arial" w:cs="Arial"/>
              </w:rPr>
            </w:pPr>
            <w:r w:rsidRPr="005E7B8E">
              <w:rPr>
                <w:rFonts w:ascii="Arial" w:hAnsi="Arial" w:cs="Arial"/>
              </w:rPr>
              <w:t xml:space="preserve">This service would enable local delivery in </w:t>
            </w:r>
            <w:r w:rsidR="00DB5C33" w:rsidRPr="005E7B8E">
              <w:rPr>
                <w:rFonts w:ascii="Arial" w:hAnsi="Arial" w:cs="Arial"/>
              </w:rPr>
              <w:t xml:space="preserve">a range </w:t>
            </w:r>
            <w:r w:rsidR="00004044" w:rsidRPr="005E7B8E">
              <w:rPr>
                <w:rFonts w:ascii="Arial" w:hAnsi="Arial" w:cs="Arial"/>
              </w:rPr>
              <w:t>of locations</w:t>
            </w:r>
            <w:r w:rsidRPr="005E7B8E">
              <w:rPr>
                <w:rFonts w:ascii="Arial" w:hAnsi="Arial" w:cs="Arial"/>
              </w:rPr>
              <w:t xml:space="preserve"> at times that w</w:t>
            </w:r>
            <w:r w:rsidR="00DB5C33" w:rsidRPr="005E7B8E">
              <w:rPr>
                <w:rFonts w:ascii="Arial" w:hAnsi="Arial" w:cs="Arial"/>
              </w:rPr>
              <w:t>ill</w:t>
            </w:r>
            <w:r w:rsidRPr="005E7B8E">
              <w:rPr>
                <w:rFonts w:ascii="Arial" w:hAnsi="Arial" w:cs="Arial"/>
              </w:rPr>
              <w:t xml:space="preserve"> be convenient </w:t>
            </w:r>
            <w:r w:rsidR="00DB5C33" w:rsidRPr="005E7B8E">
              <w:rPr>
                <w:rFonts w:ascii="Arial" w:hAnsi="Arial" w:cs="Arial"/>
              </w:rPr>
              <w:t>for</w:t>
            </w:r>
            <w:r w:rsidRPr="005E7B8E">
              <w:rPr>
                <w:rFonts w:ascii="Arial" w:hAnsi="Arial" w:cs="Arial"/>
              </w:rPr>
              <w:t xml:space="preserve"> patients to access</w:t>
            </w:r>
          </w:p>
          <w:p w:rsidR="00616B0A" w:rsidRPr="005E7B8E" w:rsidRDefault="00616B0A" w:rsidP="00004044">
            <w:pPr>
              <w:spacing w:after="0" w:line="240" w:lineRule="auto"/>
              <w:jc w:val="both"/>
              <w:rPr>
                <w:rFonts w:ascii="Arial" w:hAnsi="Arial" w:cs="Arial"/>
              </w:rPr>
            </w:pPr>
          </w:p>
          <w:p w:rsidR="00616B0A" w:rsidRPr="005E7B8E" w:rsidRDefault="00616B0A" w:rsidP="00616B0A">
            <w:pPr>
              <w:rPr>
                <w:rFonts w:ascii="Arial" w:hAnsi="Arial" w:cs="Arial"/>
              </w:rPr>
            </w:pPr>
            <w:r w:rsidRPr="005E7B8E">
              <w:rPr>
                <w:rFonts w:ascii="Arial" w:hAnsi="Arial" w:cs="Arial"/>
              </w:rPr>
              <w:t>At present (as at June 2015) there are four localities.  The number of practices within each of the four  localities is as follows:</w:t>
            </w:r>
          </w:p>
          <w:p w:rsidR="00616B0A" w:rsidRPr="005E7B8E" w:rsidRDefault="00616B0A" w:rsidP="00616B0A">
            <w:pPr>
              <w:pStyle w:val="MOIbullet"/>
              <w:rPr>
                <w:rFonts w:ascii="Arial" w:hAnsi="Arial" w:cs="Arial"/>
              </w:rPr>
            </w:pPr>
            <w:r w:rsidRPr="005E7B8E">
              <w:rPr>
                <w:rFonts w:ascii="Arial" w:hAnsi="Arial" w:cs="Arial"/>
              </w:rPr>
              <w:t>Harness – 21 Practices (covering approximately 115,000 registered patients);</w:t>
            </w:r>
          </w:p>
          <w:p w:rsidR="00616B0A" w:rsidRPr="005E7B8E" w:rsidRDefault="00616B0A" w:rsidP="00616B0A">
            <w:pPr>
              <w:pStyle w:val="MOIbullet"/>
              <w:rPr>
                <w:rFonts w:ascii="Arial" w:hAnsi="Arial" w:cs="Arial"/>
              </w:rPr>
            </w:pPr>
            <w:r w:rsidRPr="005E7B8E">
              <w:rPr>
                <w:rFonts w:ascii="Arial" w:hAnsi="Arial" w:cs="Arial"/>
              </w:rPr>
              <w:t>Kilburn – 12 Practices (covering approximately 72,000 registered patients);</w:t>
            </w:r>
          </w:p>
          <w:p w:rsidR="00616B0A" w:rsidRPr="005E7B8E" w:rsidRDefault="00616B0A" w:rsidP="00616B0A">
            <w:pPr>
              <w:pStyle w:val="MOIbullet"/>
              <w:rPr>
                <w:rFonts w:ascii="Arial" w:hAnsi="Arial" w:cs="Arial"/>
              </w:rPr>
            </w:pPr>
            <w:r w:rsidRPr="005E7B8E">
              <w:rPr>
                <w:rFonts w:ascii="Arial" w:hAnsi="Arial" w:cs="Arial"/>
              </w:rPr>
              <w:t>Kingsbury and Willesden – 24 Practices (covering approximately 115,000 registered patients); and</w:t>
            </w:r>
          </w:p>
          <w:p w:rsidR="00616B0A" w:rsidRPr="005E7B8E" w:rsidRDefault="00616B0A" w:rsidP="00616B0A">
            <w:pPr>
              <w:pStyle w:val="MOIbullet"/>
              <w:rPr>
                <w:rFonts w:ascii="Arial" w:hAnsi="Arial" w:cs="Arial"/>
              </w:rPr>
            </w:pPr>
            <w:r w:rsidRPr="005E7B8E">
              <w:rPr>
                <w:rFonts w:ascii="Arial" w:hAnsi="Arial" w:cs="Arial"/>
              </w:rPr>
              <w:t>Wembley – 10 Practices (covering approximately 50,000 registered patients).</w:t>
            </w:r>
          </w:p>
          <w:p w:rsidR="00616B0A" w:rsidRPr="005E7B8E" w:rsidRDefault="00616B0A" w:rsidP="00616B0A">
            <w:pPr>
              <w:rPr>
                <w:rFonts w:ascii="Arial" w:hAnsi="Arial" w:cs="Arial"/>
              </w:rPr>
            </w:pPr>
          </w:p>
          <w:p w:rsidR="002C4593" w:rsidRPr="005E7B8E" w:rsidRDefault="00616B0A" w:rsidP="006B2BD6">
            <w:pPr>
              <w:rPr>
                <w:rFonts w:ascii="Arial" w:hAnsi="Arial" w:cs="Arial"/>
                <w:lang w:eastAsia="en-GB"/>
              </w:rPr>
            </w:pPr>
            <w:r w:rsidRPr="005E7B8E">
              <w:rPr>
                <w:rFonts w:ascii="Arial" w:hAnsi="Arial" w:cs="Arial"/>
              </w:rPr>
              <w:t xml:space="preserve">As at June 2015 NHS Brent CCG is responsible for a registered population of approximately 354,000, (the number of people registered with a Brent CCG GP practice).  </w:t>
            </w:r>
          </w:p>
          <w:p w:rsidR="002C4593" w:rsidRPr="005E7B8E" w:rsidRDefault="002C4593" w:rsidP="00BC6B16">
            <w:pPr>
              <w:autoSpaceDE w:val="0"/>
              <w:autoSpaceDN w:val="0"/>
              <w:adjustRightInd w:val="0"/>
              <w:spacing w:after="0" w:line="240" w:lineRule="auto"/>
              <w:rPr>
                <w:rFonts w:ascii="Arial" w:hAnsi="Arial" w:cs="Arial"/>
                <w:lang w:eastAsia="en-GB"/>
              </w:rPr>
            </w:pPr>
            <w:r w:rsidRPr="005E7B8E">
              <w:rPr>
                <w:rFonts w:ascii="Arial" w:hAnsi="Arial" w:cs="Arial"/>
                <w:lang w:eastAsia="en-GB"/>
              </w:rPr>
              <w:t xml:space="preserve">The Community Physiotherapy will be booked via Emis Web where the localities are set up for this provision. </w:t>
            </w:r>
          </w:p>
          <w:p w:rsidR="0090221E" w:rsidRPr="002F7A66" w:rsidRDefault="0090221E" w:rsidP="00BC6B16">
            <w:pPr>
              <w:autoSpaceDE w:val="0"/>
              <w:autoSpaceDN w:val="0"/>
              <w:adjustRightInd w:val="0"/>
              <w:spacing w:after="0" w:line="240" w:lineRule="auto"/>
            </w:pPr>
          </w:p>
        </w:tc>
      </w:tr>
      <w:tr w:rsidR="00616B0A" w:rsidRPr="00004044" w:rsidTr="002B7B95">
        <w:tc>
          <w:tcPr>
            <w:tcW w:w="9401" w:type="dxa"/>
          </w:tcPr>
          <w:p w:rsidR="00616B0A" w:rsidRPr="002C4593" w:rsidRDefault="00616B0A" w:rsidP="00CE7424">
            <w:pPr>
              <w:pStyle w:val="ListParagraph"/>
              <w:spacing w:after="0" w:line="240" w:lineRule="auto"/>
              <w:jc w:val="center"/>
              <w:rPr>
                <w:rFonts w:ascii="Arial" w:hAnsi="Arial" w:cs="Arial"/>
                <w:b/>
              </w:rPr>
            </w:pPr>
            <w:r w:rsidRPr="00004044">
              <w:rPr>
                <w:rFonts w:ascii="Arial" w:hAnsi="Arial" w:cs="Arial"/>
                <w:b/>
              </w:rPr>
              <w:t>Care Planning</w:t>
            </w:r>
          </w:p>
        </w:tc>
      </w:tr>
      <w:tr w:rsidR="006161EB" w:rsidRPr="00004044" w:rsidTr="002B7B95">
        <w:tc>
          <w:tcPr>
            <w:tcW w:w="9401" w:type="dxa"/>
          </w:tcPr>
          <w:p w:rsidR="00D15167" w:rsidRDefault="00D15167" w:rsidP="00D15167">
            <w:pPr>
              <w:spacing w:before="100" w:beforeAutospacing="1" w:after="100" w:afterAutospacing="1" w:line="240" w:lineRule="auto"/>
              <w:rPr>
                <w:rFonts w:ascii="Arial" w:eastAsia="Times New Roman" w:hAnsi="Arial" w:cs="Arial"/>
                <w:spacing w:val="-8"/>
                <w:sz w:val="20"/>
                <w:szCs w:val="20"/>
                <w:lang w:val="en" w:eastAsia="en-GB"/>
              </w:rPr>
            </w:pPr>
          </w:p>
          <w:p w:rsidR="00D15167" w:rsidRPr="0071668C" w:rsidRDefault="00D15167" w:rsidP="00D15167">
            <w:pPr>
              <w:spacing w:before="100" w:beforeAutospacing="1" w:after="100" w:afterAutospacing="1" w:line="240" w:lineRule="auto"/>
              <w:rPr>
                <w:rFonts w:ascii="Arial" w:eastAsia="Times New Roman" w:hAnsi="Arial" w:cs="Arial"/>
                <w:spacing w:val="-8"/>
                <w:sz w:val="20"/>
                <w:szCs w:val="20"/>
                <w:lang w:val="en" w:eastAsia="en-GB"/>
              </w:rPr>
            </w:pPr>
            <w:r w:rsidRPr="0071668C">
              <w:rPr>
                <w:rFonts w:ascii="Arial" w:eastAsia="Times New Roman" w:hAnsi="Arial" w:cs="Arial"/>
                <w:spacing w:val="-8"/>
                <w:sz w:val="20"/>
                <w:szCs w:val="20"/>
                <w:lang w:val="en" w:eastAsia="en-GB"/>
              </w:rPr>
              <w:t>An Extended Scope Physiotherapist (ESP) is a clinical physiotherapy specialist with an extended scope of practice. This implies working beyond the recognised scope of physiotherapy practice, for example  advising GPs on investigations e.g. US scans/nerve conduction studies, using the results of investigations to assist clinical diagnosis and appropriate management of patients ESP's must hold all necessary qualifications</w:t>
            </w:r>
          </w:p>
          <w:p w:rsidR="00D15167" w:rsidRPr="0071668C" w:rsidRDefault="00D15167" w:rsidP="00D15167">
            <w:pPr>
              <w:spacing w:before="100" w:beforeAutospacing="1" w:after="100" w:afterAutospacing="1" w:line="240" w:lineRule="auto"/>
              <w:rPr>
                <w:rFonts w:ascii="Arial" w:eastAsia="Times New Roman" w:hAnsi="Arial" w:cs="Arial"/>
                <w:b/>
                <w:spacing w:val="-8"/>
                <w:sz w:val="20"/>
                <w:szCs w:val="20"/>
                <w:lang w:val="en" w:eastAsia="en-GB"/>
              </w:rPr>
            </w:pPr>
            <w:r w:rsidRPr="0071668C">
              <w:rPr>
                <w:rFonts w:ascii="Arial" w:eastAsia="Times New Roman" w:hAnsi="Arial" w:cs="Arial"/>
                <w:b/>
                <w:spacing w:val="-8"/>
                <w:sz w:val="20"/>
                <w:szCs w:val="20"/>
                <w:lang w:val="en" w:eastAsia="en-GB"/>
              </w:rPr>
              <w:t>ESP Service</w:t>
            </w:r>
          </w:p>
          <w:p w:rsidR="00D15167" w:rsidRPr="0071668C" w:rsidRDefault="00D15167" w:rsidP="00D15167">
            <w:pPr>
              <w:spacing w:before="100" w:beforeAutospacing="1" w:after="100" w:afterAutospacing="1" w:line="240" w:lineRule="auto"/>
              <w:rPr>
                <w:rFonts w:ascii="Arial" w:eastAsia="Times New Roman" w:hAnsi="Arial" w:cs="Arial"/>
                <w:spacing w:val="-8"/>
                <w:sz w:val="20"/>
                <w:szCs w:val="20"/>
                <w:lang w:val="en" w:eastAsia="en-GB"/>
              </w:rPr>
            </w:pPr>
            <w:r w:rsidRPr="0071668C">
              <w:rPr>
                <w:rFonts w:ascii="Arial" w:eastAsia="Times New Roman" w:hAnsi="Arial" w:cs="Arial"/>
                <w:spacing w:val="-8"/>
                <w:sz w:val="20"/>
                <w:szCs w:val="20"/>
                <w:lang w:val="en" w:eastAsia="en-GB"/>
              </w:rPr>
              <w:t>The ESP service provides triage which forms the basis for decisions about referral, investigations and further management.</w:t>
            </w:r>
          </w:p>
          <w:p w:rsidR="00D15167" w:rsidRPr="0071668C" w:rsidRDefault="00D15167" w:rsidP="00D15167">
            <w:pPr>
              <w:spacing w:before="100" w:beforeAutospacing="1" w:after="100" w:afterAutospacing="1" w:line="240" w:lineRule="auto"/>
              <w:rPr>
                <w:rFonts w:ascii="Arial" w:eastAsia="Times New Roman" w:hAnsi="Arial" w:cs="Arial"/>
                <w:spacing w:val="-8"/>
                <w:sz w:val="20"/>
                <w:szCs w:val="20"/>
                <w:lang w:val="en" w:eastAsia="en-GB"/>
              </w:rPr>
            </w:pPr>
            <w:r w:rsidRPr="0071668C">
              <w:rPr>
                <w:rFonts w:ascii="Arial" w:eastAsia="Times New Roman" w:hAnsi="Arial" w:cs="Arial"/>
                <w:spacing w:val="-8"/>
                <w:sz w:val="20"/>
                <w:szCs w:val="20"/>
                <w:lang w:val="en" w:eastAsia="en-GB"/>
              </w:rPr>
              <w:t xml:space="preserve">Criteria for referral to community physiotherapy service </w:t>
            </w:r>
          </w:p>
          <w:p w:rsidR="00D15167" w:rsidRPr="0071668C" w:rsidRDefault="00D15167" w:rsidP="00D15167">
            <w:pPr>
              <w:numPr>
                <w:ilvl w:val="0"/>
                <w:numId w:val="33"/>
              </w:numPr>
              <w:spacing w:before="100" w:beforeAutospacing="1" w:after="100" w:afterAutospacing="1" w:line="240" w:lineRule="auto"/>
              <w:rPr>
                <w:rFonts w:ascii="Arial" w:eastAsia="Times New Roman" w:hAnsi="Arial" w:cs="Arial"/>
                <w:spacing w:val="-8"/>
                <w:sz w:val="20"/>
                <w:szCs w:val="20"/>
                <w:lang w:val="en" w:eastAsia="en-GB"/>
              </w:rPr>
            </w:pPr>
            <w:r w:rsidRPr="0071668C">
              <w:rPr>
                <w:rFonts w:ascii="Arial" w:eastAsia="Times New Roman" w:hAnsi="Arial" w:cs="Arial"/>
                <w:spacing w:val="-8"/>
                <w:sz w:val="20"/>
                <w:szCs w:val="20"/>
                <w:lang w:val="en" w:eastAsia="en-GB"/>
              </w:rPr>
              <w:t xml:space="preserve">All referred patients are first assessed by ESP </w:t>
            </w:r>
          </w:p>
          <w:p w:rsidR="00D15167" w:rsidRPr="0071668C" w:rsidRDefault="00D15167" w:rsidP="00D15167">
            <w:pPr>
              <w:numPr>
                <w:ilvl w:val="0"/>
                <w:numId w:val="33"/>
              </w:numPr>
              <w:spacing w:before="100" w:beforeAutospacing="1" w:after="100" w:afterAutospacing="1" w:line="240" w:lineRule="auto"/>
              <w:rPr>
                <w:rFonts w:ascii="Arial" w:eastAsia="Times New Roman" w:hAnsi="Arial" w:cs="Arial"/>
                <w:spacing w:val="-8"/>
                <w:sz w:val="20"/>
                <w:szCs w:val="20"/>
                <w:lang w:val="en" w:eastAsia="en-GB"/>
              </w:rPr>
            </w:pPr>
            <w:r w:rsidRPr="0071668C">
              <w:rPr>
                <w:rFonts w:ascii="Arial" w:eastAsia="Times New Roman" w:hAnsi="Arial" w:cs="Arial"/>
                <w:spacing w:val="-8"/>
                <w:sz w:val="20"/>
                <w:szCs w:val="20"/>
                <w:lang w:val="en" w:eastAsia="en-GB"/>
              </w:rPr>
              <w:t>Diagnosis and advice when the referrer is uncertain whether a consultant referral is required e.g. patients previously unresponsive to outpatient physiotherapy for the same condition.</w:t>
            </w:r>
          </w:p>
          <w:p w:rsidR="00D15167" w:rsidRPr="0071668C" w:rsidRDefault="00D15167" w:rsidP="00D15167">
            <w:pPr>
              <w:numPr>
                <w:ilvl w:val="0"/>
                <w:numId w:val="33"/>
              </w:numPr>
              <w:spacing w:before="100" w:beforeAutospacing="1" w:after="100" w:afterAutospacing="1" w:line="240" w:lineRule="auto"/>
              <w:rPr>
                <w:rFonts w:ascii="Arial" w:eastAsia="Times New Roman" w:hAnsi="Arial" w:cs="Arial"/>
                <w:spacing w:val="-8"/>
                <w:sz w:val="20"/>
                <w:szCs w:val="20"/>
                <w:lang w:val="en" w:eastAsia="en-GB"/>
              </w:rPr>
            </w:pPr>
            <w:r w:rsidRPr="0071668C">
              <w:rPr>
                <w:rFonts w:ascii="Arial" w:eastAsia="Times New Roman" w:hAnsi="Arial" w:cs="Arial"/>
                <w:spacing w:val="-8"/>
                <w:sz w:val="20"/>
                <w:szCs w:val="20"/>
                <w:lang w:val="en" w:eastAsia="en-GB"/>
              </w:rPr>
              <w:t>Patients with complex musculoskeletal conditions unlikely to require surgery or consultants advice.</w:t>
            </w:r>
          </w:p>
          <w:p w:rsidR="00D15167" w:rsidRPr="0071668C" w:rsidRDefault="00D15167" w:rsidP="00D15167">
            <w:pPr>
              <w:numPr>
                <w:ilvl w:val="0"/>
                <w:numId w:val="33"/>
              </w:numPr>
              <w:spacing w:before="100" w:beforeAutospacing="1" w:after="100" w:afterAutospacing="1" w:line="240" w:lineRule="auto"/>
              <w:rPr>
                <w:rFonts w:ascii="Arial" w:eastAsia="Times New Roman" w:hAnsi="Arial" w:cs="Arial"/>
                <w:spacing w:val="-8"/>
                <w:sz w:val="20"/>
                <w:szCs w:val="20"/>
                <w:lang w:val="en" w:eastAsia="en-GB"/>
              </w:rPr>
            </w:pPr>
            <w:r w:rsidRPr="0071668C">
              <w:rPr>
                <w:rFonts w:ascii="Arial" w:eastAsia="Times New Roman" w:hAnsi="Arial" w:cs="Arial"/>
                <w:spacing w:val="-8"/>
                <w:sz w:val="20"/>
                <w:szCs w:val="20"/>
                <w:lang w:val="en" w:eastAsia="en-GB"/>
              </w:rPr>
              <w:t>Patients who may benefit from corticosteroid injection therapy for peripheral conditions.</w:t>
            </w:r>
          </w:p>
          <w:p w:rsidR="00F0056C" w:rsidRPr="0090221E" w:rsidRDefault="00F0056C" w:rsidP="00D15167">
            <w:pPr>
              <w:spacing w:before="100" w:beforeAutospacing="1" w:after="100" w:afterAutospacing="1" w:line="240" w:lineRule="auto"/>
              <w:rPr>
                <w:rFonts w:ascii="Arial" w:hAnsi="Arial" w:cs="Arial"/>
              </w:rPr>
            </w:pPr>
          </w:p>
        </w:tc>
      </w:tr>
      <w:tr w:rsidR="0010198A" w:rsidRPr="00004044" w:rsidTr="002B7B95">
        <w:tc>
          <w:tcPr>
            <w:tcW w:w="9401" w:type="dxa"/>
          </w:tcPr>
          <w:p w:rsidR="0010198A" w:rsidRPr="00004044" w:rsidRDefault="0010198A" w:rsidP="00CE7424">
            <w:pPr>
              <w:pStyle w:val="ListParagraph"/>
              <w:spacing w:after="0" w:line="240" w:lineRule="auto"/>
              <w:jc w:val="center"/>
              <w:rPr>
                <w:rFonts w:ascii="Arial" w:hAnsi="Arial" w:cs="Arial"/>
              </w:rPr>
            </w:pPr>
            <w:r w:rsidRPr="00004044">
              <w:rPr>
                <w:rFonts w:ascii="Arial" w:hAnsi="Arial" w:cs="Arial"/>
                <w:b/>
              </w:rPr>
              <w:t>Information and Communication</w:t>
            </w:r>
            <w:r w:rsidRPr="00004044">
              <w:rPr>
                <w:rFonts w:ascii="Arial" w:hAnsi="Arial" w:cs="Arial"/>
              </w:rPr>
              <w:t>.</w:t>
            </w:r>
          </w:p>
        </w:tc>
      </w:tr>
      <w:tr w:rsidR="006161EB" w:rsidRPr="00004044" w:rsidTr="002B7B95">
        <w:tc>
          <w:tcPr>
            <w:tcW w:w="9401" w:type="dxa"/>
          </w:tcPr>
          <w:p w:rsidR="006E4819" w:rsidRPr="00004044" w:rsidRDefault="006E4819" w:rsidP="00004044">
            <w:pPr>
              <w:pStyle w:val="ListParagraph"/>
              <w:spacing w:after="0" w:line="240" w:lineRule="auto"/>
              <w:jc w:val="both"/>
              <w:rPr>
                <w:rFonts w:ascii="Arial" w:hAnsi="Arial" w:cs="Arial"/>
              </w:rPr>
            </w:pPr>
          </w:p>
          <w:p w:rsidR="002F7A66" w:rsidRDefault="002F7A66" w:rsidP="002F7A66">
            <w:pPr>
              <w:pStyle w:val="ListParagraph"/>
              <w:numPr>
                <w:ilvl w:val="0"/>
                <w:numId w:val="35"/>
              </w:numPr>
              <w:jc w:val="both"/>
              <w:rPr>
                <w:rFonts w:ascii="Arial" w:hAnsi="Arial" w:cs="Arial"/>
                <w:color w:val="000000" w:themeColor="text1"/>
                <w:lang w:eastAsia="en-GB"/>
              </w:rPr>
            </w:pPr>
            <w:r w:rsidRPr="002F7A66">
              <w:rPr>
                <w:rFonts w:ascii="Arial" w:hAnsi="Arial" w:cs="Arial"/>
                <w:color w:val="000000" w:themeColor="text1"/>
                <w:lang w:eastAsia="en-GB"/>
              </w:rPr>
              <w:t>The service provider is to ensure that the IT system utilised will fully comply with interoperability requirements for Brent CCG.</w:t>
            </w:r>
          </w:p>
          <w:p w:rsidR="002F7A66" w:rsidRDefault="002F7A66" w:rsidP="002F7A66">
            <w:pPr>
              <w:pStyle w:val="ListParagraph"/>
              <w:numPr>
                <w:ilvl w:val="0"/>
                <w:numId w:val="35"/>
              </w:numPr>
              <w:jc w:val="both"/>
              <w:rPr>
                <w:rFonts w:ascii="Arial" w:hAnsi="Arial" w:cs="Arial"/>
                <w:color w:val="000000" w:themeColor="text1"/>
                <w:lang w:eastAsia="en-GB"/>
              </w:rPr>
            </w:pPr>
            <w:r w:rsidRPr="002F7A66">
              <w:rPr>
                <w:rFonts w:ascii="Arial" w:hAnsi="Arial" w:cs="Arial"/>
                <w:color w:val="000000" w:themeColor="text1"/>
                <w:lang w:eastAsia="en-GB"/>
              </w:rPr>
              <w:t xml:space="preserve">As Brent CCG has 100% coverage of EMIS across its estate and </w:t>
            </w:r>
            <w:r w:rsidRPr="002F7A66">
              <w:rPr>
                <w:rFonts w:ascii="Arial" w:hAnsi="Arial" w:cs="Arial"/>
                <w:color w:val="000000" w:themeColor="text1"/>
              </w:rPr>
              <w:t xml:space="preserve">the requirement for clinicians to access ‘core elements’ of information held in the clinical record the service will be required to implement its own instance of </w:t>
            </w:r>
            <w:r w:rsidRPr="002F7A66">
              <w:rPr>
                <w:rFonts w:ascii="Arial" w:hAnsi="Arial" w:cs="Arial"/>
                <w:color w:val="000000" w:themeColor="text1"/>
                <w:lang w:eastAsia="en-GB"/>
              </w:rPr>
              <w:t xml:space="preserve"> EMIS Web EPR Viewer and </w:t>
            </w:r>
            <w:r w:rsidRPr="002F7A66">
              <w:rPr>
                <w:rFonts w:ascii="Arial" w:hAnsi="Arial" w:cs="Arial"/>
                <w:color w:val="000000" w:themeColor="text1"/>
                <w:lang w:eastAsia="en-GB"/>
              </w:rPr>
              <w:lastRenderedPageBreak/>
              <w:t xml:space="preserve">the associated Clinical Services functionality to allow federated working capabilities . </w:t>
            </w:r>
            <w:r w:rsidRPr="002F7A66">
              <w:rPr>
                <w:rFonts w:ascii="Arial" w:hAnsi="Arial" w:cs="Arial"/>
                <w:color w:val="000000" w:themeColor="text1"/>
              </w:rPr>
              <w:t>The</w:t>
            </w:r>
            <w:r w:rsidRPr="002F7A66">
              <w:rPr>
                <w:rFonts w:ascii="Arial" w:hAnsi="Arial" w:cs="Arial"/>
                <w:color w:val="000000" w:themeColor="text1"/>
                <w:lang w:eastAsia="en-GB"/>
              </w:rPr>
              <w:t xml:space="preserve"> EMIS EPR Viewer product will allow healthcare professionals to have secure access to the patients’ clinical record.</w:t>
            </w:r>
          </w:p>
          <w:p w:rsidR="002F7A66" w:rsidRDefault="002F7A66" w:rsidP="002F7A66">
            <w:pPr>
              <w:pStyle w:val="ListParagraph"/>
              <w:numPr>
                <w:ilvl w:val="0"/>
                <w:numId w:val="35"/>
              </w:numPr>
              <w:jc w:val="both"/>
              <w:rPr>
                <w:rFonts w:ascii="Arial" w:hAnsi="Arial" w:cs="Arial"/>
                <w:color w:val="000000" w:themeColor="text1"/>
                <w:lang w:eastAsia="en-GB"/>
              </w:rPr>
            </w:pPr>
            <w:r w:rsidRPr="002F7A66">
              <w:rPr>
                <w:rFonts w:ascii="Arial" w:hAnsi="Arial" w:cs="Arial"/>
                <w:color w:val="000000" w:themeColor="text1"/>
                <w:lang w:eastAsia="en-GB"/>
              </w:rPr>
              <w:t>The service will be required to develop an Information Sharing Agreement (ISA) specific to the service detailing which elements of patient data/information is required to deliver care safely and efficiently. This ISA will need to be signed by all GP practices using the service to allow sharing in EMIS Web. The service will also be required to sign a Brent Harrow &amp; Hillingdon</w:t>
            </w:r>
            <w:r w:rsidR="00BC6B16">
              <w:rPr>
                <w:rFonts w:ascii="Arial" w:hAnsi="Arial" w:cs="Arial"/>
                <w:color w:val="000000" w:themeColor="text1"/>
                <w:lang w:eastAsia="en-GB"/>
              </w:rPr>
              <w:t xml:space="preserve"> </w:t>
            </w:r>
            <w:r w:rsidRPr="002F7A66">
              <w:rPr>
                <w:rFonts w:ascii="Arial" w:hAnsi="Arial" w:cs="Arial"/>
                <w:color w:val="000000" w:themeColor="text1"/>
                <w:lang w:eastAsia="en-GB"/>
              </w:rPr>
              <w:t>(BHH) Information Sharing Protocol (ISP).</w:t>
            </w:r>
          </w:p>
          <w:p w:rsidR="006161EB" w:rsidRPr="002F7A66" w:rsidRDefault="002F7A66" w:rsidP="002F7A66">
            <w:pPr>
              <w:pStyle w:val="ListParagraph"/>
              <w:numPr>
                <w:ilvl w:val="0"/>
                <w:numId w:val="35"/>
              </w:numPr>
              <w:jc w:val="both"/>
              <w:rPr>
                <w:rFonts w:ascii="Arial" w:hAnsi="Arial" w:cs="Arial"/>
              </w:rPr>
            </w:pPr>
            <w:r w:rsidRPr="002F7A66">
              <w:rPr>
                <w:rFonts w:ascii="Arial" w:hAnsi="Arial" w:cs="Arial"/>
                <w:color w:val="000000" w:themeColor="text1"/>
                <w:lang w:eastAsia="en-GB"/>
              </w:rPr>
              <w:t xml:space="preserve">The provider will also ensure that explicit consent will be obtained from patients when treating or managing the patient before data is viewed. </w:t>
            </w:r>
          </w:p>
        </w:tc>
      </w:tr>
      <w:tr w:rsidR="00A824E9" w:rsidRPr="00004044" w:rsidTr="002B7B95">
        <w:trPr>
          <w:trHeight w:val="454"/>
        </w:trPr>
        <w:tc>
          <w:tcPr>
            <w:tcW w:w="9401" w:type="dxa"/>
          </w:tcPr>
          <w:p w:rsidR="00A824E9" w:rsidRPr="00CE7424" w:rsidRDefault="00A824E9" w:rsidP="00CE7424">
            <w:pPr>
              <w:spacing w:after="0" w:line="240" w:lineRule="auto"/>
              <w:jc w:val="center"/>
              <w:rPr>
                <w:rFonts w:ascii="Arial" w:hAnsi="Arial" w:cs="Arial"/>
              </w:rPr>
            </w:pPr>
            <w:r w:rsidRPr="00CE7424">
              <w:rPr>
                <w:rFonts w:ascii="Arial" w:hAnsi="Arial" w:cs="Arial"/>
                <w:b/>
              </w:rPr>
              <w:lastRenderedPageBreak/>
              <w:t>Scope</w:t>
            </w:r>
          </w:p>
        </w:tc>
      </w:tr>
      <w:tr w:rsidR="006161EB" w:rsidRPr="00004044" w:rsidTr="002B7B95">
        <w:tc>
          <w:tcPr>
            <w:tcW w:w="9401" w:type="dxa"/>
          </w:tcPr>
          <w:p w:rsidR="006161EB" w:rsidRPr="00CE7424" w:rsidRDefault="006161EB" w:rsidP="00CE7424">
            <w:pPr>
              <w:spacing w:after="0" w:line="240" w:lineRule="auto"/>
              <w:jc w:val="both"/>
              <w:rPr>
                <w:rFonts w:ascii="Arial" w:hAnsi="Arial" w:cs="Arial"/>
                <w:b/>
              </w:rPr>
            </w:pPr>
            <w:r w:rsidRPr="00CE7424">
              <w:rPr>
                <w:rFonts w:ascii="Arial" w:hAnsi="Arial" w:cs="Arial"/>
                <w:b/>
              </w:rPr>
              <w:t>Aims and objectives of service</w:t>
            </w:r>
          </w:p>
          <w:p w:rsidR="002F7A66" w:rsidRDefault="002F7A66" w:rsidP="004F778F">
            <w:pPr>
              <w:pStyle w:val="Default"/>
              <w:jc w:val="both"/>
              <w:rPr>
                <w:color w:val="auto"/>
                <w:sz w:val="22"/>
                <w:szCs w:val="22"/>
                <w:lang w:eastAsia="en-US"/>
              </w:rPr>
            </w:pPr>
          </w:p>
          <w:p w:rsidR="004F778F" w:rsidRPr="0004399C" w:rsidRDefault="004F778F" w:rsidP="004F778F">
            <w:pPr>
              <w:pStyle w:val="Default"/>
              <w:jc w:val="both"/>
              <w:rPr>
                <w:sz w:val="22"/>
                <w:szCs w:val="22"/>
              </w:rPr>
            </w:pPr>
            <w:r w:rsidRPr="0004399C">
              <w:rPr>
                <w:sz w:val="22"/>
                <w:szCs w:val="22"/>
              </w:rPr>
              <w:t xml:space="preserve">The aim of the service is to provide a comprehensive, patient-centred, and easy to access community </w:t>
            </w:r>
            <w:r w:rsidR="0090221E" w:rsidRPr="0004399C">
              <w:rPr>
                <w:sz w:val="22"/>
                <w:szCs w:val="22"/>
              </w:rPr>
              <w:t xml:space="preserve">physiotherapy </w:t>
            </w:r>
            <w:r w:rsidRPr="0004399C">
              <w:rPr>
                <w:sz w:val="22"/>
                <w:szCs w:val="22"/>
              </w:rPr>
              <w:t xml:space="preserve">service with high quality, efficient service in line with national guidance and local requirements. </w:t>
            </w:r>
          </w:p>
          <w:p w:rsidR="002F7A66" w:rsidRPr="0004399C" w:rsidRDefault="002F7A66" w:rsidP="004F778F">
            <w:pPr>
              <w:pStyle w:val="Default"/>
              <w:jc w:val="both"/>
              <w:rPr>
                <w:sz w:val="22"/>
                <w:szCs w:val="22"/>
              </w:rPr>
            </w:pPr>
          </w:p>
          <w:p w:rsidR="004F778F" w:rsidRPr="0004399C" w:rsidRDefault="004F778F" w:rsidP="004F778F">
            <w:pPr>
              <w:pStyle w:val="Default"/>
              <w:jc w:val="both"/>
              <w:rPr>
                <w:sz w:val="22"/>
                <w:szCs w:val="22"/>
              </w:rPr>
            </w:pPr>
            <w:r w:rsidRPr="0004399C">
              <w:rPr>
                <w:sz w:val="22"/>
                <w:szCs w:val="22"/>
              </w:rPr>
              <w:t xml:space="preserve">The service objectives are: </w:t>
            </w:r>
          </w:p>
          <w:p w:rsidR="002F7A66" w:rsidRPr="0004399C" w:rsidRDefault="002F7A66" w:rsidP="004F778F">
            <w:pPr>
              <w:pStyle w:val="Default"/>
              <w:jc w:val="both"/>
              <w:rPr>
                <w:sz w:val="22"/>
                <w:szCs w:val="22"/>
              </w:rPr>
            </w:pPr>
          </w:p>
          <w:p w:rsidR="002F7A66" w:rsidRPr="0004399C" w:rsidRDefault="004F778F" w:rsidP="002F7A66">
            <w:pPr>
              <w:pStyle w:val="Default"/>
              <w:numPr>
                <w:ilvl w:val="0"/>
                <w:numId w:val="36"/>
              </w:numPr>
              <w:jc w:val="both"/>
              <w:rPr>
                <w:sz w:val="22"/>
                <w:szCs w:val="22"/>
              </w:rPr>
            </w:pPr>
            <w:r w:rsidRPr="0004399C">
              <w:rPr>
                <w:sz w:val="22"/>
                <w:szCs w:val="22"/>
              </w:rPr>
              <w:t>To give patients a choice of where they receive their treatment</w:t>
            </w:r>
          </w:p>
          <w:p w:rsidR="004F778F" w:rsidRPr="0004399C" w:rsidRDefault="004F778F" w:rsidP="002F7A66">
            <w:pPr>
              <w:pStyle w:val="Default"/>
              <w:numPr>
                <w:ilvl w:val="0"/>
                <w:numId w:val="36"/>
              </w:numPr>
              <w:jc w:val="both"/>
              <w:rPr>
                <w:sz w:val="22"/>
                <w:szCs w:val="22"/>
              </w:rPr>
            </w:pPr>
            <w:r w:rsidRPr="0004399C">
              <w:rPr>
                <w:sz w:val="22"/>
                <w:szCs w:val="22"/>
              </w:rPr>
              <w:t xml:space="preserve">To provide improved access to care closer to home </w:t>
            </w:r>
          </w:p>
          <w:p w:rsidR="002F7A66" w:rsidRPr="0004399C" w:rsidRDefault="004F778F" w:rsidP="002F7A66">
            <w:pPr>
              <w:pStyle w:val="Default"/>
              <w:numPr>
                <w:ilvl w:val="0"/>
                <w:numId w:val="36"/>
              </w:numPr>
              <w:jc w:val="both"/>
              <w:rPr>
                <w:sz w:val="22"/>
                <w:szCs w:val="22"/>
              </w:rPr>
            </w:pPr>
            <w:r w:rsidRPr="0004399C">
              <w:rPr>
                <w:sz w:val="22"/>
                <w:szCs w:val="22"/>
              </w:rPr>
              <w:t xml:space="preserve">To reduce waiting times to access the service and deliver treatment to enable patients to reach their individual treatment goals sooner. </w:t>
            </w:r>
          </w:p>
          <w:p w:rsidR="002F7A66" w:rsidRPr="0004399C" w:rsidRDefault="004F778F" w:rsidP="002F7A66">
            <w:pPr>
              <w:pStyle w:val="Default"/>
              <w:numPr>
                <w:ilvl w:val="0"/>
                <w:numId w:val="36"/>
              </w:numPr>
              <w:jc w:val="both"/>
              <w:rPr>
                <w:sz w:val="22"/>
                <w:szCs w:val="22"/>
              </w:rPr>
            </w:pPr>
            <w:r w:rsidRPr="0004399C">
              <w:rPr>
                <w:sz w:val="22"/>
                <w:szCs w:val="22"/>
              </w:rPr>
              <w:t xml:space="preserve">The service should aim to improve Patient Quality of Life, including the ability to return to work and improved pain management. </w:t>
            </w:r>
          </w:p>
          <w:p w:rsidR="004F778F" w:rsidRPr="0004399C" w:rsidRDefault="004F778F" w:rsidP="002F7A66">
            <w:pPr>
              <w:pStyle w:val="Default"/>
              <w:numPr>
                <w:ilvl w:val="0"/>
                <w:numId w:val="36"/>
              </w:numPr>
              <w:jc w:val="both"/>
              <w:rPr>
                <w:sz w:val="22"/>
                <w:szCs w:val="22"/>
              </w:rPr>
            </w:pPr>
            <w:r w:rsidRPr="0004399C">
              <w:rPr>
                <w:sz w:val="22"/>
                <w:szCs w:val="22"/>
              </w:rPr>
              <w:t xml:space="preserve">To ensure that all patients receive </w:t>
            </w:r>
            <w:r w:rsidR="002F7A66" w:rsidRPr="0004399C">
              <w:rPr>
                <w:sz w:val="22"/>
                <w:szCs w:val="22"/>
              </w:rPr>
              <w:t xml:space="preserve">assessment and </w:t>
            </w:r>
            <w:r w:rsidRPr="0004399C">
              <w:rPr>
                <w:sz w:val="22"/>
                <w:szCs w:val="22"/>
              </w:rPr>
              <w:t xml:space="preserve">treatment according to their clinical need with routine patients treated in chronological order, thereby minimising the time that the patient spends on the waiting list and thus improving the quality of their patient experience </w:t>
            </w:r>
          </w:p>
          <w:p w:rsidR="004F778F" w:rsidRPr="0004399C" w:rsidRDefault="004F778F" w:rsidP="002F7A66">
            <w:pPr>
              <w:pStyle w:val="Default"/>
              <w:numPr>
                <w:ilvl w:val="0"/>
                <w:numId w:val="36"/>
              </w:numPr>
              <w:jc w:val="both"/>
              <w:rPr>
                <w:sz w:val="22"/>
                <w:szCs w:val="22"/>
              </w:rPr>
            </w:pPr>
            <w:r w:rsidRPr="0004399C">
              <w:rPr>
                <w:sz w:val="22"/>
                <w:szCs w:val="22"/>
              </w:rPr>
              <w:t xml:space="preserve">To deliver clinically effective treatments that reduce the demand on secondary care (acute) services and reduces the need for more costly interventions </w:t>
            </w:r>
          </w:p>
          <w:p w:rsidR="004F778F" w:rsidRPr="0004399C" w:rsidRDefault="004F778F" w:rsidP="002F7A66">
            <w:pPr>
              <w:pStyle w:val="Default"/>
              <w:numPr>
                <w:ilvl w:val="0"/>
                <w:numId w:val="36"/>
              </w:numPr>
              <w:jc w:val="both"/>
              <w:rPr>
                <w:sz w:val="22"/>
                <w:szCs w:val="22"/>
              </w:rPr>
            </w:pPr>
            <w:r w:rsidRPr="0004399C">
              <w:rPr>
                <w:sz w:val="22"/>
                <w:szCs w:val="22"/>
              </w:rPr>
              <w:t xml:space="preserve">To provide community services that have a strong emphasis on patient education and self-management, thereby promoting active, healthy lifestyles and reducing recurrence of injury or illness </w:t>
            </w:r>
          </w:p>
          <w:p w:rsidR="004F778F" w:rsidRPr="0004399C" w:rsidRDefault="004F778F" w:rsidP="002F7A66">
            <w:pPr>
              <w:pStyle w:val="Default"/>
              <w:numPr>
                <w:ilvl w:val="0"/>
                <w:numId w:val="36"/>
              </w:numPr>
              <w:jc w:val="both"/>
              <w:rPr>
                <w:sz w:val="22"/>
                <w:szCs w:val="22"/>
              </w:rPr>
            </w:pPr>
            <w:r w:rsidRPr="0004399C">
              <w:rPr>
                <w:sz w:val="22"/>
                <w:szCs w:val="22"/>
              </w:rPr>
              <w:t xml:space="preserve">Provide feedback, advice and guidance via phone, email and face to face for referring clinicians as to how conditions can be managed within primary care where appropriate, or provide advice and guidance on requests to encourage and promote up-skilling in primary care </w:t>
            </w:r>
          </w:p>
          <w:p w:rsidR="004F778F" w:rsidRPr="0004399C" w:rsidRDefault="004F778F" w:rsidP="002F7A66">
            <w:pPr>
              <w:pStyle w:val="Default"/>
              <w:numPr>
                <w:ilvl w:val="0"/>
                <w:numId w:val="36"/>
              </w:numPr>
              <w:jc w:val="both"/>
              <w:rPr>
                <w:sz w:val="22"/>
                <w:szCs w:val="22"/>
              </w:rPr>
            </w:pPr>
            <w:r w:rsidRPr="0004399C">
              <w:rPr>
                <w:sz w:val="22"/>
                <w:szCs w:val="22"/>
              </w:rPr>
              <w:t xml:space="preserve">Assess clinically and refer onward patients who are not appropriate for treatment within the service </w:t>
            </w:r>
          </w:p>
          <w:p w:rsidR="004F778F" w:rsidRPr="0004399C" w:rsidRDefault="004F778F" w:rsidP="002F7A66">
            <w:pPr>
              <w:pStyle w:val="Default"/>
              <w:numPr>
                <w:ilvl w:val="0"/>
                <w:numId w:val="36"/>
              </w:numPr>
              <w:jc w:val="both"/>
              <w:rPr>
                <w:sz w:val="22"/>
                <w:szCs w:val="22"/>
              </w:rPr>
            </w:pPr>
            <w:r w:rsidRPr="0004399C">
              <w:rPr>
                <w:sz w:val="22"/>
                <w:szCs w:val="22"/>
              </w:rPr>
              <w:t xml:space="preserve">Assess clinically and refer backward patients who may be managed by their own GP practice in primary care </w:t>
            </w:r>
          </w:p>
          <w:p w:rsidR="004F778F" w:rsidRPr="0004399C" w:rsidRDefault="004F778F" w:rsidP="002F7A66">
            <w:pPr>
              <w:pStyle w:val="Default"/>
              <w:numPr>
                <w:ilvl w:val="0"/>
                <w:numId w:val="36"/>
              </w:numPr>
              <w:jc w:val="both"/>
              <w:rPr>
                <w:sz w:val="22"/>
                <w:szCs w:val="22"/>
              </w:rPr>
            </w:pPr>
            <w:r w:rsidRPr="0004399C">
              <w:rPr>
                <w:sz w:val="22"/>
                <w:szCs w:val="22"/>
              </w:rPr>
              <w:t xml:space="preserve">Provide a holistic, one-stop (where appropriate) service for patients </w:t>
            </w:r>
          </w:p>
          <w:p w:rsidR="004F778F" w:rsidRPr="0004399C" w:rsidRDefault="004F778F" w:rsidP="002F7A66">
            <w:pPr>
              <w:pStyle w:val="Default"/>
              <w:numPr>
                <w:ilvl w:val="0"/>
                <w:numId w:val="36"/>
              </w:numPr>
              <w:jc w:val="both"/>
              <w:rPr>
                <w:sz w:val="22"/>
                <w:szCs w:val="22"/>
              </w:rPr>
            </w:pPr>
            <w:r w:rsidRPr="0004399C">
              <w:rPr>
                <w:sz w:val="22"/>
                <w:szCs w:val="22"/>
              </w:rPr>
              <w:t xml:space="preserve">To operate well planned and clearly articulated care pathways, covering the defined presentations and conditions and delivering safe, evidence-based care </w:t>
            </w:r>
          </w:p>
          <w:p w:rsidR="004F778F" w:rsidRPr="0004399C" w:rsidRDefault="004F778F" w:rsidP="002F7A66">
            <w:pPr>
              <w:pStyle w:val="Default"/>
              <w:numPr>
                <w:ilvl w:val="0"/>
                <w:numId w:val="36"/>
              </w:numPr>
              <w:jc w:val="both"/>
              <w:rPr>
                <w:sz w:val="22"/>
                <w:szCs w:val="22"/>
              </w:rPr>
            </w:pPr>
            <w:r w:rsidRPr="0004399C">
              <w:rPr>
                <w:sz w:val="22"/>
                <w:szCs w:val="22"/>
              </w:rPr>
              <w:t xml:space="preserve">To ensure each patient sees a person with relevant skills, using the right equipment, in a suitable location </w:t>
            </w:r>
          </w:p>
          <w:p w:rsidR="004F778F" w:rsidRPr="0004399C" w:rsidRDefault="004F778F" w:rsidP="002F7A66">
            <w:pPr>
              <w:pStyle w:val="Default"/>
              <w:numPr>
                <w:ilvl w:val="0"/>
                <w:numId w:val="36"/>
              </w:numPr>
              <w:jc w:val="both"/>
              <w:rPr>
                <w:sz w:val="22"/>
                <w:szCs w:val="22"/>
              </w:rPr>
            </w:pPr>
            <w:r w:rsidRPr="0004399C">
              <w:rPr>
                <w:sz w:val="22"/>
                <w:szCs w:val="22"/>
              </w:rPr>
              <w:t xml:space="preserve">To deliver the shortest pathway possible, compatible with best patient outcomes </w:t>
            </w:r>
          </w:p>
          <w:p w:rsidR="004F778F" w:rsidRPr="0004399C" w:rsidRDefault="004F778F" w:rsidP="002F7A66">
            <w:pPr>
              <w:pStyle w:val="Default"/>
              <w:numPr>
                <w:ilvl w:val="0"/>
                <w:numId w:val="36"/>
              </w:numPr>
              <w:jc w:val="both"/>
              <w:rPr>
                <w:sz w:val="22"/>
                <w:szCs w:val="22"/>
              </w:rPr>
            </w:pPr>
            <w:r w:rsidRPr="0004399C">
              <w:rPr>
                <w:sz w:val="22"/>
                <w:szCs w:val="22"/>
              </w:rPr>
              <w:t xml:space="preserve">To deliver an integrated service which works closely with other service providers </w:t>
            </w:r>
            <w:r w:rsidRPr="0004399C">
              <w:rPr>
                <w:sz w:val="22"/>
                <w:szCs w:val="22"/>
              </w:rPr>
              <w:lastRenderedPageBreak/>
              <w:t xml:space="preserve">across the local healthcare system maximising efficiencies and delivering high quality care </w:t>
            </w:r>
          </w:p>
          <w:p w:rsidR="004F778F" w:rsidRPr="0004399C" w:rsidRDefault="004F778F" w:rsidP="002F7A66">
            <w:pPr>
              <w:pStyle w:val="Default"/>
              <w:numPr>
                <w:ilvl w:val="0"/>
                <w:numId w:val="36"/>
              </w:numPr>
              <w:jc w:val="both"/>
              <w:rPr>
                <w:sz w:val="22"/>
                <w:szCs w:val="22"/>
              </w:rPr>
            </w:pPr>
            <w:r w:rsidRPr="0004399C">
              <w:rPr>
                <w:sz w:val="22"/>
                <w:szCs w:val="22"/>
              </w:rPr>
              <w:t xml:space="preserve">To emphasise the benefits of Physiotherapy to ensure that referrers access the service for all appropriate patients </w:t>
            </w:r>
          </w:p>
          <w:p w:rsidR="002F7A66" w:rsidRPr="0004399C" w:rsidRDefault="004F778F" w:rsidP="002F7A66">
            <w:pPr>
              <w:pStyle w:val="Default"/>
              <w:numPr>
                <w:ilvl w:val="0"/>
                <w:numId w:val="36"/>
              </w:numPr>
              <w:jc w:val="both"/>
              <w:rPr>
                <w:sz w:val="22"/>
                <w:szCs w:val="22"/>
              </w:rPr>
            </w:pPr>
            <w:r w:rsidRPr="0004399C">
              <w:rPr>
                <w:sz w:val="22"/>
                <w:szCs w:val="22"/>
              </w:rPr>
              <w:t>To improve the patient experience by reducing Did Not Attend (DNA) and cancellations</w:t>
            </w:r>
          </w:p>
          <w:p w:rsidR="002F7A66" w:rsidRPr="0004399C" w:rsidRDefault="002F7A66" w:rsidP="002F7A66">
            <w:pPr>
              <w:pStyle w:val="Default"/>
              <w:numPr>
                <w:ilvl w:val="0"/>
                <w:numId w:val="36"/>
              </w:numPr>
              <w:jc w:val="both"/>
              <w:rPr>
                <w:sz w:val="22"/>
                <w:szCs w:val="22"/>
              </w:rPr>
            </w:pPr>
            <w:r w:rsidRPr="0004399C">
              <w:rPr>
                <w:sz w:val="22"/>
                <w:szCs w:val="22"/>
              </w:rPr>
              <w:t xml:space="preserve">To </w:t>
            </w:r>
            <w:r w:rsidRPr="0004399C">
              <w:rPr>
                <w:color w:val="000000" w:themeColor="text1"/>
                <w:sz w:val="22"/>
                <w:szCs w:val="22"/>
              </w:rPr>
              <w:t xml:space="preserve">provide the equipment and other resources necessary to offer the service. </w:t>
            </w:r>
          </w:p>
          <w:p w:rsidR="002F7A66" w:rsidRPr="0004399C" w:rsidRDefault="002F7A66" w:rsidP="002F7A66">
            <w:pPr>
              <w:pStyle w:val="Default"/>
              <w:numPr>
                <w:ilvl w:val="0"/>
                <w:numId w:val="36"/>
              </w:numPr>
              <w:jc w:val="both"/>
              <w:rPr>
                <w:sz w:val="22"/>
                <w:szCs w:val="22"/>
              </w:rPr>
            </w:pPr>
            <w:r w:rsidRPr="0004399C">
              <w:rPr>
                <w:color w:val="000000" w:themeColor="text1"/>
                <w:sz w:val="22"/>
                <w:szCs w:val="22"/>
              </w:rPr>
              <w:t>The service provider is to ensure that the IT system utilised will fully comply with interoperability requirements for Brent CCG</w:t>
            </w:r>
          </w:p>
          <w:p w:rsidR="002F7A66" w:rsidRPr="0004399C" w:rsidRDefault="002F7A66" w:rsidP="002F7A66">
            <w:pPr>
              <w:pStyle w:val="Default"/>
              <w:numPr>
                <w:ilvl w:val="0"/>
                <w:numId w:val="36"/>
              </w:numPr>
              <w:jc w:val="both"/>
              <w:rPr>
                <w:sz w:val="22"/>
                <w:szCs w:val="22"/>
              </w:rPr>
            </w:pPr>
            <w:r w:rsidRPr="0004399C">
              <w:rPr>
                <w:color w:val="000000" w:themeColor="text1"/>
                <w:sz w:val="22"/>
                <w:szCs w:val="22"/>
              </w:rPr>
              <w:t>Provide booking patients facility service</w:t>
            </w:r>
          </w:p>
          <w:p w:rsidR="002F7A66" w:rsidRPr="0004399C" w:rsidRDefault="002F7A66" w:rsidP="002F7A66">
            <w:pPr>
              <w:pStyle w:val="Default"/>
              <w:numPr>
                <w:ilvl w:val="0"/>
                <w:numId w:val="36"/>
              </w:numPr>
              <w:jc w:val="both"/>
              <w:rPr>
                <w:sz w:val="22"/>
                <w:szCs w:val="22"/>
              </w:rPr>
            </w:pPr>
            <w:r w:rsidRPr="0004399C">
              <w:rPr>
                <w:sz w:val="22"/>
                <w:szCs w:val="22"/>
              </w:rPr>
              <w:t>Service provider must have in place and provide evidence to CCG of up to date on all relevant insurance and indemnity to provide this service</w:t>
            </w:r>
          </w:p>
          <w:p w:rsidR="006161EB" w:rsidRPr="002F7A66" w:rsidRDefault="006161EB" w:rsidP="002F7A66">
            <w:pPr>
              <w:spacing w:after="0" w:line="240" w:lineRule="auto"/>
              <w:jc w:val="both"/>
              <w:rPr>
                <w:rFonts w:ascii="Arial" w:hAnsi="Arial" w:cs="Arial"/>
              </w:rPr>
            </w:pPr>
          </w:p>
        </w:tc>
      </w:tr>
      <w:tr w:rsidR="006161EB" w:rsidRPr="00004044" w:rsidTr="002B7B95">
        <w:tc>
          <w:tcPr>
            <w:tcW w:w="9401" w:type="dxa"/>
          </w:tcPr>
          <w:p w:rsidR="006161EB" w:rsidRPr="005F1D2C" w:rsidRDefault="006161EB" w:rsidP="005F1D2C">
            <w:pPr>
              <w:spacing w:after="0" w:line="240" w:lineRule="auto"/>
              <w:jc w:val="center"/>
              <w:rPr>
                <w:rFonts w:ascii="Arial" w:hAnsi="Arial" w:cs="Arial"/>
                <w:b/>
              </w:rPr>
            </w:pPr>
            <w:r w:rsidRPr="00CE7424">
              <w:rPr>
                <w:rFonts w:ascii="Arial" w:hAnsi="Arial" w:cs="Arial"/>
                <w:b/>
              </w:rPr>
              <w:lastRenderedPageBreak/>
              <w:t>Service Delivery</w:t>
            </w:r>
          </w:p>
        </w:tc>
      </w:tr>
      <w:tr w:rsidR="006161EB" w:rsidRPr="00004044" w:rsidTr="002B7B95">
        <w:tc>
          <w:tcPr>
            <w:tcW w:w="9401" w:type="dxa"/>
          </w:tcPr>
          <w:p w:rsidR="004F778F" w:rsidRPr="00265BF4" w:rsidRDefault="004F778F" w:rsidP="004F778F">
            <w:pPr>
              <w:pStyle w:val="Default"/>
              <w:jc w:val="both"/>
              <w:rPr>
                <w:b/>
                <w:bCs/>
                <w:sz w:val="22"/>
                <w:szCs w:val="22"/>
              </w:rPr>
            </w:pPr>
            <w:r w:rsidRPr="00265BF4">
              <w:rPr>
                <w:b/>
                <w:bCs/>
                <w:sz w:val="22"/>
                <w:szCs w:val="22"/>
              </w:rPr>
              <w:t xml:space="preserve">Service description / care pathway </w:t>
            </w:r>
          </w:p>
          <w:p w:rsidR="002F7A66" w:rsidRPr="00265BF4" w:rsidRDefault="002F7A66" w:rsidP="004F778F">
            <w:pPr>
              <w:pStyle w:val="Default"/>
              <w:jc w:val="both"/>
              <w:rPr>
                <w:sz w:val="22"/>
                <w:szCs w:val="22"/>
              </w:rPr>
            </w:pPr>
          </w:p>
          <w:p w:rsidR="004F778F" w:rsidRDefault="004F778F" w:rsidP="004F778F">
            <w:pPr>
              <w:pStyle w:val="Default"/>
              <w:jc w:val="both"/>
              <w:rPr>
                <w:sz w:val="22"/>
                <w:szCs w:val="22"/>
              </w:rPr>
            </w:pPr>
            <w:r w:rsidRPr="00265BF4">
              <w:rPr>
                <w:sz w:val="22"/>
                <w:szCs w:val="22"/>
              </w:rPr>
              <w:t xml:space="preserve">The Community </w:t>
            </w:r>
            <w:r w:rsidR="0004399C">
              <w:rPr>
                <w:sz w:val="22"/>
                <w:szCs w:val="22"/>
              </w:rPr>
              <w:t xml:space="preserve">physiotherapy </w:t>
            </w:r>
            <w:r w:rsidRPr="00265BF4">
              <w:rPr>
                <w:sz w:val="22"/>
                <w:szCs w:val="22"/>
              </w:rPr>
              <w:t xml:space="preserve">service shall offer patients a choice of sites and access to specialist treatment within the local community. </w:t>
            </w:r>
          </w:p>
          <w:p w:rsidR="0004399C" w:rsidRPr="00265BF4" w:rsidRDefault="0004399C" w:rsidP="004F778F">
            <w:pPr>
              <w:pStyle w:val="Default"/>
              <w:jc w:val="both"/>
              <w:rPr>
                <w:sz w:val="22"/>
                <w:szCs w:val="22"/>
              </w:rPr>
            </w:pPr>
          </w:p>
          <w:p w:rsidR="008B4242" w:rsidRPr="00265BF4" w:rsidRDefault="008B4242" w:rsidP="00265BF4">
            <w:pPr>
              <w:jc w:val="both"/>
              <w:rPr>
                <w:rFonts w:ascii="Arial" w:hAnsi="Arial" w:cs="Arial"/>
              </w:rPr>
            </w:pPr>
            <w:r w:rsidRPr="00265BF4">
              <w:rPr>
                <w:rFonts w:ascii="Arial" w:hAnsi="Arial" w:cs="Arial"/>
              </w:rPr>
              <w:t xml:space="preserve">The Service Provider must offer time limited courses of treatment where clear and achievable goals are set and agreed with the patients and identify clear management pathways for each of the musculoskeletal conditions identified below. </w:t>
            </w:r>
          </w:p>
          <w:p w:rsidR="008B4242" w:rsidRPr="00265BF4" w:rsidRDefault="008B4242" w:rsidP="008B4242">
            <w:pPr>
              <w:jc w:val="both"/>
              <w:rPr>
                <w:rFonts w:ascii="Arial" w:hAnsi="Arial" w:cs="Arial"/>
              </w:rPr>
            </w:pPr>
            <w:r w:rsidRPr="00265BF4">
              <w:rPr>
                <w:rFonts w:ascii="Arial" w:hAnsi="Arial" w:cs="Arial"/>
              </w:rPr>
              <w:t>The Service Provider must ensure there are Patient Care Pathways in place for the following conditions requiring physiotherapy (please note – this is not an exhaustive list, subject to commissioner/provider formal agreement via robust commissioning processes):</w:t>
            </w:r>
          </w:p>
          <w:p w:rsidR="008B4242" w:rsidRPr="00265BF4" w:rsidRDefault="008B4242" w:rsidP="005F1D2C">
            <w:pPr>
              <w:numPr>
                <w:ilvl w:val="0"/>
                <w:numId w:val="50"/>
              </w:numPr>
              <w:spacing w:after="0" w:line="240" w:lineRule="auto"/>
              <w:jc w:val="both"/>
              <w:rPr>
                <w:rFonts w:ascii="Arial" w:hAnsi="Arial" w:cs="Arial"/>
              </w:rPr>
            </w:pPr>
            <w:r w:rsidRPr="00265BF4">
              <w:rPr>
                <w:rFonts w:ascii="Arial" w:hAnsi="Arial" w:cs="Arial"/>
                <w:b/>
              </w:rPr>
              <w:t>Spinal (neck and back)</w:t>
            </w:r>
            <w:r w:rsidRPr="00265BF4">
              <w:rPr>
                <w:rFonts w:ascii="Arial" w:hAnsi="Arial" w:cs="Arial"/>
              </w:rPr>
              <w:t>: whiplash associated disorders, stiffness and restricted movement, headaches, symptoms referring into arms and legs (numbness, parasthesia, pain), mechanical low back pain, discogenic problems, degenerative pain, postural related neck and back pain, rib pain</w:t>
            </w:r>
          </w:p>
          <w:p w:rsidR="008B4242" w:rsidRPr="00265BF4" w:rsidRDefault="008B4242" w:rsidP="005F1D2C">
            <w:pPr>
              <w:numPr>
                <w:ilvl w:val="0"/>
                <w:numId w:val="50"/>
              </w:numPr>
              <w:spacing w:after="0" w:line="240" w:lineRule="auto"/>
              <w:jc w:val="both"/>
              <w:rPr>
                <w:rFonts w:ascii="Arial" w:hAnsi="Arial" w:cs="Arial"/>
              </w:rPr>
            </w:pPr>
            <w:r w:rsidRPr="00265BF4">
              <w:rPr>
                <w:rFonts w:ascii="Arial" w:hAnsi="Arial" w:cs="Arial"/>
                <w:b/>
              </w:rPr>
              <w:t>Shoulder</w:t>
            </w:r>
            <w:r w:rsidRPr="00265BF4">
              <w:rPr>
                <w:rFonts w:ascii="Arial" w:hAnsi="Arial" w:cs="Arial"/>
              </w:rPr>
              <w:t xml:space="preserve">: </w:t>
            </w:r>
            <w:r w:rsidR="005F1D2C" w:rsidRPr="00265BF4">
              <w:rPr>
                <w:rFonts w:ascii="Arial" w:hAnsi="Arial" w:cs="Arial"/>
              </w:rPr>
              <w:t>F</w:t>
            </w:r>
            <w:r w:rsidRPr="00265BF4">
              <w:rPr>
                <w:rFonts w:ascii="Arial" w:hAnsi="Arial" w:cs="Arial"/>
              </w:rPr>
              <w:t>rozen shoulder, impingements, instability, muscle imbalance, AC joint pain</w:t>
            </w:r>
          </w:p>
          <w:p w:rsidR="008B4242" w:rsidRPr="00265BF4" w:rsidRDefault="008B4242" w:rsidP="005F1D2C">
            <w:pPr>
              <w:numPr>
                <w:ilvl w:val="0"/>
                <w:numId w:val="50"/>
              </w:numPr>
              <w:spacing w:after="0" w:line="240" w:lineRule="auto"/>
              <w:jc w:val="both"/>
              <w:rPr>
                <w:rFonts w:ascii="Arial" w:hAnsi="Arial" w:cs="Arial"/>
              </w:rPr>
            </w:pPr>
            <w:r w:rsidRPr="00265BF4">
              <w:rPr>
                <w:rFonts w:ascii="Arial" w:hAnsi="Arial" w:cs="Arial"/>
                <w:b/>
              </w:rPr>
              <w:t>Knee</w:t>
            </w:r>
            <w:r w:rsidRPr="00265BF4">
              <w:rPr>
                <w:rFonts w:ascii="Arial" w:hAnsi="Arial" w:cs="Arial"/>
              </w:rPr>
              <w:t>:</w:t>
            </w:r>
            <w:r w:rsidR="005F1D2C" w:rsidRPr="00265BF4">
              <w:rPr>
                <w:rFonts w:ascii="Arial" w:hAnsi="Arial" w:cs="Arial"/>
              </w:rPr>
              <w:t xml:space="preserve"> P</w:t>
            </w:r>
            <w:r w:rsidRPr="00265BF4">
              <w:rPr>
                <w:rFonts w:ascii="Arial" w:hAnsi="Arial" w:cs="Arial"/>
              </w:rPr>
              <w:t>atello-femoral pain, patella tendinopathy, meniscal tears, cruciate and collateral ligament strains, osteoarthritis, ITB</w:t>
            </w:r>
          </w:p>
          <w:p w:rsidR="005F1D2C" w:rsidRPr="00265BF4" w:rsidRDefault="008B4242" w:rsidP="005F1D2C">
            <w:pPr>
              <w:numPr>
                <w:ilvl w:val="0"/>
                <w:numId w:val="50"/>
              </w:numPr>
              <w:spacing w:after="0" w:line="240" w:lineRule="auto"/>
              <w:jc w:val="both"/>
              <w:rPr>
                <w:rFonts w:ascii="Arial" w:hAnsi="Arial" w:cs="Arial"/>
              </w:rPr>
            </w:pPr>
            <w:r w:rsidRPr="00265BF4">
              <w:rPr>
                <w:rFonts w:ascii="Arial" w:hAnsi="Arial" w:cs="Arial"/>
                <w:b/>
              </w:rPr>
              <w:t>Hip and groin</w:t>
            </w:r>
            <w:r w:rsidRPr="00265BF4">
              <w:rPr>
                <w:rFonts w:ascii="Arial" w:hAnsi="Arial" w:cs="Arial"/>
              </w:rPr>
              <w:t>: sacro-iliac disorders, muscle tears, osteoarthritis, soft tissue inflammation around joint</w:t>
            </w:r>
          </w:p>
          <w:p w:rsidR="006B2BD6" w:rsidRPr="00265BF4" w:rsidRDefault="006B2BD6" w:rsidP="005F1D2C">
            <w:pPr>
              <w:numPr>
                <w:ilvl w:val="0"/>
                <w:numId w:val="50"/>
              </w:numPr>
              <w:spacing w:after="0" w:line="240" w:lineRule="auto"/>
              <w:jc w:val="both"/>
              <w:rPr>
                <w:rFonts w:ascii="Arial" w:hAnsi="Arial" w:cs="Arial"/>
              </w:rPr>
            </w:pPr>
            <w:r w:rsidRPr="00265BF4">
              <w:rPr>
                <w:rFonts w:ascii="Arial" w:hAnsi="Arial" w:cs="Arial"/>
                <w:b/>
              </w:rPr>
              <w:t>Ankle</w:t>
            </w:r>
            <w:r w:rsidR="005F1D2C" w:rsidRPr="00265BF4">
              <w:rPr>
                <w:rFonts w:ascii="Arial" w:hAnsi="Arial" w:cs="Arial"/>
                <w:b/>
              </w:rPr>
              <w:t xml:space="preserve">: </w:t>
            </w:r>
            <w:r w:rsidRPr="00265BF4">
              <w:rPr>
                <w:rFonts w:ascii="Arial" w:hAnsi="Arial" w:cs="Arial"/>
              </w:rPr>
              <w:t xml:space="preserve">Achillies pain, other tendon pain, joint </w:t>
            </w:r>
            <w:r w:rsidR="005F1D2C" w:rsidRPr="00265BF4">
              <w:rPr>
                <w:rFonts w:ascii="Arial" w:hAnsi="Arial" w:cs="Arial"/>
              </w:rPr>
              <w:t>stiffness</w:t>
            </w:r>
          </w:p>
          <w:p w:rsidR="006B2BD6" w:rsidRPr="00265BF4" w:rsidRDefault="006B2BD6" w:rsidP="005F1D2C">
            <w:pPr>
              <w:numPr>
                <w:ilvl w:val="0"/>
                <w:numId w:val="50"/>
              </w:numPr>
              <w:spacing w:after="0" w:line="240" w:lineRule="auto"/>
              <w:jc w:val="both"/>
              <w:rPr>
                <w:rFonts w:ascii="Arial" w:hAnsi="Arial" w:cs="Arial"/>
              </w:rPr>
            </w:pPr>
            <w:r w:rsidRPr="00265BF4">
              <w:rPr>
                <w:rFonts w:ascii="Arial" w:hAnsi="Arial" w:cs="Arial"/>
                <w:b/>
              </w:rPr>
              <w:t>Muscle</w:t>
            </w:r>
            <w:r w:rsidR="005F1D2C" w:rsidRPr="00265BF4">
              <w:rPr>
                <w:rFonts w:ascii="Arial" w:hAnsi="Arial" w:cs="Arial"/>
                <w:b/>
              </w:rPr>
              <w:t xml:space="preserve">: </w:t>
            </w:r>
            <w:r w:rsidR="005F1D2C" w:rsidRPr="00265BF4">
              <w:rPr>
                <w:rFonts w:ascii="Arial" w:hAnsi="Arial" w:cs="Arial"/>
              </w:rPr>
              <w:t>T</w:t>
            </w:r>
            <w:r w:rsidRPr="00265BF4">
              <w:rPr>
                <w:rFonts w:ascii="Arial" w:hAnsi="Arial" w:cs="Arial"/>
              </w:rPr>
              <w:t>ears and strains</w:t>
            </w:r>
          </w:p>
          <w:p w:rsidR="006B2BD6" w:rsidRPr="00265BF4" w:rsidRDefault="006B2BD6" w:rsidP="005F1D2C">
            <w:pPr>
              <w:numPr>
                <w:ilvl w:val="0"/>
                <w:numId w:val="50"/>
              </w:numPr>
              <w:spacing w:after="0" w:line="240" w:lineRule="auto"/>
              <w:jc w:val="both"/>
              <w:rPr>
                <w:rFonts w:ascii="Arial" w:hAnsi="Arial" w:cs="Arial"/>
              </w:rPr>
            </w:pPr>
            <w:r w:rsidRPr="00265BF4">
              <w:rPr>
                <w:rFonts w:ascii="Arial" w:hAnsi="Arial" w:cs="Arial"/>
                <w:b/>
              </w:rPr>
              <w:t>Joint, tendon and ligament</w:t>
            </w:r>
            <w:r w:rsidRPr="00265BF4">
              <w:rPr>
                <w:rFonts w:ascii="Arial" w:hAnsi="Arial" w:cs="Arial"/>
              </w:rPr>
              <w:t xml:space="preserve"> sprains (all joints)</w:t>
            </w:r>
          </w:p>
          <w:p w:rsidR="006B2BD6" w:rsidRPr="00265BF4" w:rsidRDefault="006B2BD6" w:rsidP="005F1D2C">
            <w:pPr>
              <w:numPr>
                <w:ilvl w:val="0"/>
                <w:numId w:val="50"/>
              </w:numPr>
              <w:spacing w:after="0" w:line="240" w:lineRule="auto"/>
              <w:jc w:val="both"/>
              <w:rPr>
                <w:rFonts w:ascii="Arial" w:hAnsi="Arial" w:cs="Arial"/>
              </w:rPr>
            </w:pPr>
            <w:r w:rsidRPr="00265BF4">
              <w:rPr>
                <w:rFonts w:ascii="Arial" w:hAnsi="Arial" w:cs="Arial"/>
                <w:b/>
              </w:rPr>
              <w:t>Osteoarthritis</w:t>
            </w:r>
          </w:p>
          <w:p w:rsidR="006B2BD6" w:rsidRPr="00265BF4" w:rsidRDefault="006B2BD6" w:rsidP="005F1D2C">
            <w:pPr>
              <w:numPr>
                <w:ilvl w:val="0"/>
                <w:numId w:val="50"/>
              </w:numPr>
              <w:spacing w:after="0" w:line="240" w:lineRule="auto"/>
              <w:jc w:val="both"/>
              <w:rPr>
                <w:rFonts w:ascii="Arial" w:hAnsi="Arial" w:cs="Arial"/>
              </w:rPr>
            </w:pPr>
            <w:r w:rsidRPr="00265BF4">
              <w:rPr>
                <w:rFonts w:ascii="Arial" w:hAnsi="Arial" w:cs="Arial"/>
                <w:b/>
              </w:rPr>
              <w:t>Peripheral nerve pain</w:t>
            </w:r>
          </w:p>
          <w:p w:rsidR="006B2BD6" w:rsidRPr="00265BF4" w:rsidRDefault="006B2BD6" w:rsidP="005F1D2C">
            <w:pPr>
              <w:numPr>
                <w:ilvl w:val="0"/>
                <w:numId w:val="50"/>
              </w:numPr>
              <w:spacing w:after="0" w:line="240" w:lineRule="auto"/>
              <w:jc w:val="both"/>
              <w:rPr>
                <w:rFonts w:ascii="Arial" w:hAnsi="Arial" w:cs="Arial"/>
                <w:b/>
              </w:rPr>
            </w:pPr>
            <w:r w:rsidRPr="00265BF4">
              <w:rPr>
                <w:rFonts w:ascii="Arial" w:hAnsi="Arial" w:cs="Arial"/>
                <w:b/>
              </w:rPr>
              <w:t xml:space="preserve">Facial palsy </w:t>
            </w:r>
          </w:p>
          <w:p w:rsidR="006B2BD6" w:rsidRPr="00265BF4" w:rsidRDefault="006B2BD6" w:rsidP="005F1D2C">
            <w:pPr>
              <w:numPr>
                <w:ilvl w:val="0"/>
                <w:numId w:val="50"/>
              </w:numPr>
              <w:spacing w:after="0" w:line="240" w:lineRule="auto"/>
              <w:jc w:val="both"/>
              <w:rPr>
                <w:rFonts w:ascii="Arial" w:hAnsi="Arial" w:cs="Arial"/>
                <w:u w:val="single"/>
              </w:rPr>
            </w:pPr>
            <w:r w:rsidRPr="00265BF4">
              <w:rPr>
                <w:rFonts w:ascii="Arial" w:hAnsi="Arial" w:cs="Arial"/>
                <w:b/>
              </w:rPr>
              <w:t>Gynaecological</w:t>
            </w:r>
            <w:r w:rsidR="005F1D2C" w:rsidRPr="00265BF4">
              <w:rPr>
                <w:rFonts w:ascii="Arial" w:hAnsi="Arial" w:cs="Arial"/>
                <w:b/>
              </w:rPr>
              <w:t xml:space="preserve"> </w:t>
            </w:r>
            <w:r w:rsidRPr="00265BF4">
              <w:rPr>
                <w:rFonts w:ascii="Arial" w:hAnsi="Arial" w:cs="Arial"/>
                <w:b/>
              </w:rPr>
              <w:t>management</w:t>
            </w:r>
            <w:r w:rsidRPr="00265BF4">
              <w:rPr>
                <w:rFonts w:ascii="Arial" w:hAnsi="Arial" w:cs="Arial"/>
              </w:rPr>
              <w:t xml:space="preserve">: including the management of female urinary incontinence/pelvic floor exercises </w:t>
            </w:r>
          </w:p>
          <w:p w:rsidR="006B2BD6" w:rsidRPr="009A5857" w:rsidRDefault="006B2BD6" w:rsidP="005F1D2C">
            <w:pPr>
              <w:numPr>
                <w:ilvl w:val="0"/>
                <w:numId w:val="50"/>
              </w:numPr>
              <w:spacing w:after="0" w:line="240" w:lineRule="auto"/>
              <w:jc w:val="both"/>
              <w:rPr>
                <w:rFonts w:ascii="Arial" w:hAnsi="Arial" w:cs="Arial"/>
                <w:color w:val="000000" w:themeColor="text1"/>
                <w:u w:val="single"/>
              </w:rPr>
            </w:pPr>
            <w:r w:rsidRPr="009A5857">
              <w:rPr>
                <w:rFonts w:ascii="Arial" w:hAnsi="Arial" w:cs="Arial"/>
                <w:b/>
                <w:color w:val="000000" w:themeColor="text1"/>
              </w:rPr>
              <w:t>Women’s Health</w:t>
            </w:r>
            <w:r w:rsidR="005F1D2C" w:rsidRPr="009A5857">
              <w:rPr>
                <w:rFonts w:ascii="Arial" w:hAnsi="Arial" w:cs="Arial"/>
                <w:color w:val="000000" w:themeColor="text1"/>
              </w:rPr>
              <w:t xml:space="preserve">: </w:t>
            </w:r>
            <w:r w:rsidRPr="009A5857">
              <w:rPr>
                <w:rFonts w:ascii="Arial" w:hAnsi="Arial" w:cs="Arial"/>
                <w:color w:val="000000" w:themeColor="text1"/>
              </w:rPr>
              <w:t>The service shall provide a specialist integrated approach to the management of patients with stress incontinence, urgency, cyctocele, utero-vaginal prolapse, rectocele, postnatal and postoperative conditions. This approach shall be centred on a specialist physiotherapy and continence service which includes advice on diet, weight-loss, alcohol and smoking cessation.</w:t>
            </w:r>
            <w:r w:rsidR="00470441">
              <w:rPr>
                <w:rFonts w:ascii="Arial" w:hAnsi="Arial" w:cs="Arial"/>
                <w:color w:val="000000" w:themeColor="text1"/>
              </w:rPr>
              <w:t xml:space="preserve"> This can also be delivered as a group session, with a minimum of 7 in the group </w:t>
            </w:r>
          </w:p>
          <w:p w:rsidR="0004399C" w:rsidRDefault="006B2BD6" w:rsidP="0004399C">
            <w:pPr>
              <w:numPr>
                <w:ilvl w:val="0"/>
                <w:numId w:val="50"/>
              </w:numPr>
              <w:spacing w:after="0" w:line="240" w:lineRule="auto"/>
              <w:jc w:val="both"/>
            </w:pPr>
            <w:r w:rsidRPr="009A5857">
              <w:rPr>
                <w:rFonts w:ascii="Arial" w:hAnsi="Arial" w:cs="Arial"/>
                <w:b/>
                <w:color w:val="000000" w:themeColor="text1"/>
              </w:rPr>
              <w:t>Other services</w:t>
            </w:r>
            <w:r w:rsidR="005F1D2C" w:rsidRPr="009A5857">
              <w:rPr>
                <w:rFonts w:ascii="Arial" w:hAnsi="Arial" w:cs="Arial"/>
                <w:color w:val="000000" w:themeColor="text1"/>
              </w:rPr>
              <w:t xml:space="preserve">: </w:t>
            </w:r>
            <w:r w:rsidRPr="009A5857">
              <w:rPr>
                <w:rFonts w:ascii="Arial" w:hAnsi="Arial" w:cs="Arial"/>
                <w:color w:val="000000" w:themeColor="text1"/>
              </w:rPr>
              <w:t xml:space="preserve">Additional specialist services included </w:t>
            </w:r>
            <w:r w:rsidRPr="00265BF4">
              <w:rPr>
                <w:rFonts w:ascii="Arial" w:hAnsi="Arial" w:cs="Arial"/>
              </w:rPr>
              <w:t xml:space="preserve">in scope where there is likely to be benefit from physiotherapy include: Patients with learning disabilities requiring </w:t>
            </w:r>
            <w:r w:rsidRPr="00265BF4">
              <w:rPr>
                <w:rFonts w:ascii="Arial" w:hAnsi="Arial" w:cs="Arial"/>
              </w:rPr>
              <w:lastRenderedPageBreak/>
              <w:t xml:space="preserve">physiotherapy ,Vertigo, Headaches </w:t>
            </w:r>
          </w:p>
          <w:p w:rsidR="0004399C" w:rsidRPr="00004044" w:rsidRDefault="0004399C" w:rsidP="0004399C">
            <w:pPr>
              <w:spacing w:after="0" w:line="240" w:lineRule="auto"/>
              <w:ind w:left="720"/>
              <w:jc w:val="both"/>
            </w:pPr>
          </w:p>
        </w:tc>
      </w:tr>
      <w:tr w:rsidR="005F1D2C" w:rsidRPr="00004044" w:rsidTr="002B7B95">
        <w:tc>
          <w:tcPr>
            <w:tcW w:w="9401" w:type="dxa"/>
          </w:tcPr>
          <w:p w:rsidR="005F1D2C" w:rsidRPr="005F1D2C" w:rsidRDefault="005F1D2C" w:rsidP="005F1D2C">
            <w:pPr>
              <w:pStyle w:val="Default"/>
              <w:jc w:val="center"/>
              <w:rPr>
                <w:b/>
                <w:bCs/>
                <w:sz w:val="22"/>
                <w:szCs w:val="22"/>
                <w:u w:val="single"/>
              </w:rPr>
            </w:pPr>
            <w:r w:rsidRPr="002F7A66">
              <w:rPr>
                <w:b/>
                <w:bCs/>
                <w:sz w:val="22"/>
                <w:szCs w:val="22"/>
                <w:u w:val="single"/>
              </w:rPr>
              <w:lastRenderedPageBreak/>
              <w:t>Exclusion Criteria</w:t>
            </w:r>
          </w:p>
        </w:tc>
      </w:tr>
      <w:tr w:rsidR="005F1D2C" w:rsidRPr="00004044" w:rsidTr="002B7B95">
        <w:tc>
          <w:tcPr>
            <w:tcW w:w="9401" w:type="dxa"/>
          </w:tcPr>
          <w:p w:rsidR="005F1D2C" w:rsidRPr="002F7A66" w:rsidRDefault="005F1D2C" w:rsidP="005F1D2C">
            <w:pPr>
              <w:pStyle w:val="Default"/>
              <w:jc w:val="both"/>
              <w:rPr>
                <w:sz w:val="22"/>
                <w:szCs w:val="22"/>
              </w:rPr>
            </w:pPr>
          </w:p>
          <w:p w:rsidR="005F1D2C" w:rsidRDefault="005F1D2C" w:rsidP="005F1D2C">
            <w:pPr>
              <w:pStyle w:val="Default"/>
              <w:jc w:val="both"/>
              <w:rPr>
                <w:sz w:val="22"/>
                <w:szCs w:val="22"/>
              </w:rPr>
            </w:pPr>
            <w:r w:rsidRPr="002F7A66">
              <w:rPr>
                <w:sz w:val="22"/>
                <w:szCs w:val="22"/>
              </w:rPr>
              <w:t xml:space="preserve">The service is not available to; </w:t>
            </w:r>
          </w:p>
          <w:p w:rsidR="00BC6B16" w:rsidRPr="002F7A66" w:rsidRDefault="00BC6B16" w:rsidP="005F1D2C">
            <w:pPr>
              <w:pStyle w:val="Default"/>
              <w:jc w:val="both"/>
              <w:rPr>
                <w:sz w:val="22"/>
                <w:szCs w:val="22"/>
              </w:rPr>
            </w:pPr>
          </w:p>
          <w:p w:rsidR="005F1D2C" w:rsidRPr="002F7A66" w:rsidRDefault="005F1D2C" w:rsidP="005F1D2C">
            <w:pPr>
              <w:pStyle w:val="Default"/>
              <w:numPr>
                <w:ilvl w:val="0"/>
                <w:numId w:val="37"/>
              </w:numPr>
              <w:jc w:val="both"/>
              <w:rPr>
                <w:sz w:val="22"/>
                <w:szCs w:val="22"/>
              </w:rPr>
            </w:pPr>
            <w:r w:rsidRPr="002F7A66">
              <w:rPr>
                <w:sz w:val="22"/>
                <w:szCs w:val="22"/>
              </w:rPr>
              <w:t xml:space="preserve">Patients registered with a GP practice outside </w:t>
            </w:r>
            <w:r>
              <w:rPr>
                <w:sz w:val="22"/>
                <w:szCs w:val="22"/>
              </w:rPr>
              <w:t xml:space="preserve">Brent CCG </w:t>
            </w:r>
            <w:r w:rsidRPr="002F7A66">
              <w:rPr>
                <w:sz w:val="22"/>
                <w:szCs w:val="22"/>
              </w:rPr>
              <w:t xml:space="preserve"> </w:t>
            </w:r>
          </w:p>
          <w:p w:rsidR="0004399C" w:rsidRDefault="005F1D2C" w:rsidP="00BC6B16">
            <w:pPr>
              <w:pStyle w:val="Default"/>
              <w:numPr>
                <w:ilvl w:val="0"/>
                <w:numId w:val="37"/>
              </w:numPr>
              <w:jc w:val="both"/>
              <w:rPr>
                <w:sz w:val="22"/>
                <w:szCs w:val="22"/>
              </w:rPr>
            </w:pPr>
            <w:r w:rsidRPr="002F7A66">
              <w:rPr>
                <w:sz w:val="22"/>
                <w:szCs w:val="22"/>
              </w:rPr>
              <w:t xml:space="preserve">Those requiring emergency treatment </w:t>
            </w:r>
          </w:p>
          <w:p w:rsidR="005F1D2C" w:rsidRPr="00BC6B16" w:rsidRDefault="005F1D2C" w:rsidP="00BC6B16">
            <w:pPr>
              <w:pStyle w:val="Default"/>
              <w:numPr>
                <w:ilvl w:val="0"/>
                <w:numId w:val="37"/>
              </w:numPr>
              <w:jc w:val="both"/>
              <w:rPr>
                <w:sz w:val="22"/>
                <w:szCs w:val="22"/>
              </w:rPr>
            </w:pPr>
            <w:r w:rsidRPr="00C170EE">
              <w:rPr>
                <w:sz w:val="22"/>
                <w:szCs w:val="22"/>
              </w:rPr>
              <w:t>Those with suspected serious pathology, or red flag symptoms (‘Red flag’ symptom is the term given to the identification of dangerous or potentially dangerous findings in the history or examination.)</w:t>
            </w:r>
          </w:p>
          <w:p w:rsidR="005F1D2C" w:rsidRPr="002F7A66" w:rsidRDefault="005F1D2C" w:rsidP="005F1D2C">
            <w:pPr>
              <w:pStyle w:val="Default"/>
              <w:numPr>
                <w:ilvl w:val="0"/>
                <w:numId w:val="37"/>
              </w:numPr>
              <w:jc w:val="both"/>
              <w:rPr>
                <w:sz w:val="22"/>
                <w:szCs w:val="22"/>
              </w:rPr>
            </w:pPr>
            <w:r w:rsidRPr="002F7A66">
              <w:rPr>
                <w:sz w:val="22"/>
                <w:szCs w:val="22"/>
              </w:rPr>
              <w:t xml:space="preserve">Those with conditions unlikely to benefit from conservative Physiotherapy management </w:t>
            </w:r>
          </w:p>
          <w:p w:rsidR="005F1D2C" w:rsidRPr="009C323A" w:rsidRDefault="005F1D2C" w:rsidP="005F1D2C">
            <w:pPr>
              <w:pStyle w:val="Default"/>
              <w:numPr>
                <w:ilvl w:val="0"/>
                <w:numId w:val="37"/>
              </w:numPr>
              <w:jc w:val="both"/>
              <w:rPr>
                <w:color w:val="000000" w:themeColor="text1"/>
                <w:sz w:val="22"/>
                <w:szCs w:val="22"/>
              </w:rPr>
            </w:pPr>
            <w:r w:rsidRPr="009C323A">
              <w:rPr>
                <w:color w:val="000000" w:themeColor="text1"/>
                <w:sz w:val="22"/>
                <w:szCs w:val="22"/>
              </w:rPr>
              <w:t>Those who have previously not responded to Physiotherapy treatment for the same presenting condition unless there are good indications that further treatment shall provide improved outcomes</w:t>
            </w:r>
            <w:r w:rsidR="0004399C" w:rsidRPr="009C323A">
              <w:rPr>
                <w:color w:val="000000" w:themeColor="text1"/>
                <w:sz w:val="22"/>
                <w:szCs w:val="22"/>
              </w:rPr>
              <w:t>.( no earlier than 6 months after initial referral and treatment</w:t>
            </w:r>
            <w:r w:rsidR="00470441" w:rsidRPr="009C323A">
              <w:rPr>
                <w:color w:val="000000" w:themeColor="text1"/>
                <w:sz w:val="22"/>
                <w:szCs w:val="22"/>
              </w:rPr>
              <w:t xml:space="preserve"> and 12 months from initial appointment</w:t>
            </w:r>
            <w:r w:rsidR="0004399C" w:rsidRPr="009C323A">
              <w:rPr>
                <w:color w:val="000000" w:themeColor="text1"/>
                <w:sz w:val="22"/>
                <w:szCs w:val="22"/>
              </w:rPr>
              <w:t>)</w:t>
            </w:r>
          </w:p>
          <w:p w:rsidR="005F1D2C" w:rsidRPr="002F7A66" w:rsidRDefault="005F1D2C" w:rsidP="005F1D2C">
            <w:pPr>
              <w:pStyle w:val="Default"/>
              <w:numPr>
                <w:ilvl w:val="0"/>
                <w:numId w:val="37"/>
              </w:numPr>
              <w:jc w:val="both"/>
              <w:rPr>
                <w:sz w:val="22"/>
                <w:szCs w:val="22"/>
              </w:rPr>
            </w:pPr>
            <w:r w:rsidRPr="002F7A66">
              <w:rPr>
                <w:sz w:val="22"/>
                <w:szCs w:val="22"/>
              </w:rPr>
              <w:t xml:space="preserve">Patients who require diagnostic investigations which should be completed prior to referral </w:t>
            </w:r>
          </w:p>
          <w:p w:rsidR="005F1D2C" w:rsidRPr="002F7A66" w:rsidRDefault="005F1D2C" w:rsidP="005F1D2C">
            <w:pPr>
              <w:pStyle w:val="Default"/>
              <w:numPr>
                <w:ilvl w:val="0"/>
                <w:numId w:val="37"/>
              </w:numPr>
              <w:jc w:val="both"/>
              <w:rPr>
                <w:sz w:val="22"/>
                <w:szCs w:val="22"/>
              </w:rPr>
            </w:pPr>
            <w:r w:rsidRPr="002F7A66">
              <w:rPr>
                <w:sz w:val="22"/>
                <w:szCs w:val="22"/>
              </w:rPr>
              <w:t xml:space="preserve">Patients under 16 years of age </w:t>
            </w:r>
          </w:p>
          <w:p w:rsidR="005F1D2C" w:rsidRPr="002F7A66" w:rsidRDefault="005F1D2C" w:rsidP="005F1D2C">
            <w:pPr>
              <w:pStyle w:val="Default"/>
              <w:numPr>
                <w:ilvl w:val="0"/>
                <w:numId w:val="37"/>
              </w:numPr>
              <w:jc w:val="both"/>
              <w:rPr>
                <w:sz w:val="22"/>
                <w:szCs w:val="22"/>
              </w:rPr>
            </w:pPr>
            <w:r w:rsidRPr="002F7A66">
              <w:rPr>
                <w:sz w:val="22"/>
                <w:szCs w:val="22"/>
              </w:rPr>
              <w:t xml:space="preserve">Patients with a neurological condition requiring specialist neurological physiotherapy </w:t>
            </w:r>
          </w:p>
          <w:p w:rsidR="005F1D2C" w:rsidRPr="002F7A66" w:rsidRDefault="005F1D2C" w:rsidP="005F1D2C">
            <w:pPr>
              <w:pStyle w:val="Default"/>
              <w:numPr>
                <w:ilvl w:val="0"/>
                <w:numId w:val="37"/>
              </w:numPr>
              <w:jc w:val="both"/>
              <w:rPr>
                <w:sz w:val="22"/>
                <w:szCs w:val="22"/>
              </w:rPr>
            </w:pPr>
            <w:r w:rsidRPr="002F7A66">
              <w:rPr>
                <w:sz w:val="22"/>
                <w:szCs w:val="22"/>
              </w:rPr>
              <w:t>Patients unable to give informed consent</w:t>
            </w:r>
          </w:p>
          <w:p w:rsidR="005F1D2C" w:rsidRPr="002F7A66" w:rsidRDefault="005F1D2C" w:rsidP="005F1D2C">
            <w:pPr>
              <w:pStyle w:val="Default"/>
              <w:numPr>
                <w:ilvl w:val="0"/>
                <w:numId w:val="37"/>
              </w:numPr>
              <w:jc w:val="both"/>
              <w:rPr>
                <w:sz w:val="22"/>
                <w:szCs w:val="22"/>
              </w:rPr>
            </w:pPr>
            <w:r w:rsidRPr="002F7A66">
              <w:rPr>
                <w:sz w:val="22"/>
                <w:szCs w:val="22"/>
              </w:rPr>
              <w:t xml:space="preserve">Patients who require Physiotherapy treatment post operatively where treatment is available via a separate, defined and commissioned pathway </w:t>
            </w:r>
          </w:p>
          <w:p w:rsidR="005F1D2C" w:rsidRDefault="005F1D2C" w:rsidP="005F1D2C">
            <w:pPr>
              <w:pStyle w:val="Default"/>
              <w:jc w:val="both"/>
              <w:rPr>
                <w:sz w:val="22"/>
                <w:szCs w:val="22"/>
              </w:rPr>
            </w:pPr>
          </w:p>
          <w:p w:rsidR="00091147" w:rsidRDefault="00091147" w:rsidP="005F1D2C">
            <w:pPr>
              <w:pStyle w:val="Default"/>
              <w:jc w:val="both"/>
              <w:rPr>
                <w:sz w:val="22"/>
                <w:szCs w:val="22"/>
              </w:rPr>
            </w:pPr>
          </w:p>
          <w:p w:rsidR="00091147" w:rsidRDefault="00091147" w:rsidP="005F1D2C">
            <w:pPr>
              <w:pStyle w:val="Default"/>
              <w:jc w:val="both"/>
              <w:rPr>
                <w:sz w:val="22"/>
                <w:szCs w:val="22"/>
              </w:rPr>
            </w:pPr>
          </w:p>
          <w:p w:rsidR="00091147" w:rsidRDefault="00091147" w:rsidP="005F1D2C">
            <w:pPr>
              <w:pStyle w:val="Default"/>
              <w:jc w:val="both"/>
              <w:rPr>
                <w:sz w:val="22"/>
                <w:szCs w:val="22"/>
              </w:rPr>
            </w:pPr>
          </w:p>
          <w:p w:rsidR="00091147" w:rsidRDefault="00091147" w:rsidP="005F1D2C">
            <w:pPr>
              <w:pStyle w:val="Default"/>
              <w:jc w:val="both"/>
              <w:rPr>
                <w:sz w:val="22"/>
                <w:szCs w:val="22"/>
              </w:rPr>
            </w:pPr>
          </w:p>
          <w:p w:rsidR="005F1D2C" w:rsidRPr="002F7A66" w:rsidRDefault="005F1D2C" w:rsidP="005F1D2C">
            <w:pPr>
              <w:pStyle w:val="Default"/>
              <w:jc w:val="both"/>
              <w:rPr>
                <w:sz w:val="22"/>
                <w:szCs w:val="22"/>
              </w:rPr>
            </w:pPr>
          </w:p>
          <w:p w:rsidR="005F1D2C" w:rsidRPr="002F7A66" w:rsidRDefault="005F1D2C" w:rsidP="005F1D2C">
            <w:pPr>
              <w:pStyle w:val="Default"/>
              <w:jc w:val="both"/>
              <w:rPr>
                <w:sz w:val="22"/>
                <w:szCs w:val="22"/>
              </w:rPr>
            </w:pPr>
            <w:r w:rsidRPr="002F7A66">
              <w:rPr>
                <w:b/>
                <w:bCs/>
                <w:sz w:val="22"/>
                <w:szCs w:val="22"/>
                <w:u w:val="single"/>
              </w:rPr>
              <w:t xml:space="preserve">Red flag symptoms include; </w:t>
            </w:r>
          </w:p>
          <w:p w:rsidR="005F1D2C" w:rsidRDefault="005F1D2C" w:rsidP="005F1D2C">
            <w:pPr>
              <w:pStyle w:val="Default"/>
              <w:jc w:val="both"/>
              <w:rPr>
                <w:sz w:val="22"/>
                <w:szCs w:val="22"/>
              </w:rPr>
            </w:pPr>
            <w:r w:rsidRPr="002F7A66">
              <w:rPr>
                <w:sz w:val="22"/>
                <w:szCs w:val="22"/>
              </w:rPr>
              <w:t xml:space="preserve">Reference: </w:t>
            </w:r>
          </w:p>
          <w:p w:rsidR="005F1D2C" w:rsidRDefault="005F1D2C" w:rsidP="005F1D2C">
            <w:pPr>
              <w:pStyle w:val="Default"/>
              <w:jc w:val="both"/>
              <w:rPr>
                <w:sz w:val="22"/>
                <w:szCs w:val="22"/>
              </w:rPr>
            </w:pPr>
          </w:p>
          <w:p w:rsidR="005F1D2C" w:rsidRDefault="0043506A" w:rsidP="005F1D2C">
            <w:pPr>
              <w:pStyle w:val="Default"/>
              <w:jc w:val="both"/>
              <w:rPr>
                <w:sz w:val="22"/>
                <w:szCs w:val="22"/>
                <w:u w:val="single"/>
              </w:rPr>
            </w:pPr>
            <w:hyperlink r:id="rId9" w:history="1">
              <w:r w:rsidR="005F1D2C" w:rsidRPr="00060BD3">
                <w:rPr>
                  <w:rStyle w:val="Hyperlink"/>
                  <w:sz w:val="22"/>
                  <w:szCs w:val="22"/>
                </w:rPr>
                <w:t>http://www.thephysiotherapysite.co.uk/physiotherapy/physiotherapists/articles/40/assessing-red-flags</w:t>
              </w:r>
            </w:hyperlink>
          </w:p>
          <w:p w:rsidR="005F1D2C" w:rsidRPr="006137D7" w:rsidRDefault="005F1D2C" w:rsidP="005F1D2C">
            <w:pPr>
              <w:pStyle w:val="Default"/>
              <w:jc w:val="both"/>
              <w:rPr>
                <w:sz w:val="22"/>
                <w:szCs w:val="22"/>
                <w:u w:val="single"/>
              </w:rPr>
            </w:pPr>
          </w:p>
          <w:p w:rsidR="005F1D2C" w:rsidRPr="002F7A66" w:rsidRDefault="005F1D2C" w:rsidP="005F1D2C">
            <w:pPr>
              <w:pStyle w:val="Default"/>
              <w:numPr>
                <w:ilvl w:val="0"/>
                <w:numId w:val="38"/>
              </w:numPr>
              <w:jc w:val="both"/>
              <w:rPr>
                <w:sz w:val="22"/>
                <w:szCs w:val="22"/>
              </w:rPr>
            </w:pPr>
            <w:r w:rsidRPr="002F7A66">
              <w:rPr>
                <w:sz w:val="22"/>
                <w:szCs w:val="22"/>
              </w:rPr>
              <w:t xml:space="preserve">Bodyweight loss, if the reason for the weight loss is not clear </w:t>
            </w:r>
          </w:p>
          <w:p w:rsidR="005F1D2C" w:rsidRPr="002F7A66" w:rsidRDefault="005F1D2C" w:rsidP="005F1D2C">
            <w:pPr>
              <w:pStyle w:val="Default"/>
              <w:numPr>
                <w:ilvl w:val="0"/>
                <w:numId w:val="38"/>
              </w:numPr>
              <w:jc w:val="both"/>
              <w:rPr>
                <w:sz w:val="22"/>
                <w:szCs w:val="22"/>
              </w:rPr>
            </w:pPr>
            <w:r w:rsidRPr="002F7A66">
              <w:rPr>
                <w:sz w:val="22"/>
                <w:szCs w:val="22"/>
              </w:rPr>
              <w:t>Losing one’s appetite</w:t>
            </w:r>
          </w:p>
          <w:p w:rsidR="005F1D2C" w:rsidRPr="002F7A66" w:rsidRDefault="005F1D2C" w:rsidP="005F1D2C">
            <w:pPr>
              <w:pStyle w:val="Default"/>
              <w:numPr>
                <w:ilvl w:val="0"/>
                <w:numId w:val="38"/>
              </w:numPr>
              <w:jc w:val="both"/>
              <w:rPr>
                <w:sz w:val="22"/>
                <w:szCs w:val="22"/>
              </w:rPr>
            </w:pPr>
            <w:r w:rsidRPr="002F7A66">
              <w:rPr>
                <w:sz w:val="22"/>
                <w:szCs w:val="22"/>
              </w:rPr>
              <w:t xml:space="preserve">Feeling unwell - anyone who complains of persistently feeling unwell, especially with loss of appetite and weight loss, should be regarded with suspicion </w:t>
            </w:r>
          </w:p>
          <w:p w:rsidR="005F1D2C" w:rsidRPr="002F7A66" w:rsidRDefault="005F1D2C" w:rsidP="005F1D2C">
            <w:pPr>
              <w:pStyle w:val="Default"/>
              <w:numPr>
                <w:ilvl w:val="0"/>
                <w:numId w:val="38"/>
              </w:numPr>
              <w:jc w:val="both"/>
              <w:rPr>
                <w:sz w:val="22"/>
                <w:szCs w:val="22"/>
              </w:rPr>
            </w:pPr>
            <w:r w:rsidRPr="002F7A66">
              <w:rPr>
                <w:sz w:val="22"/>
                <w:szCs w:val="22"/>
              </w:rPr>
              <w:t xml:space="preserve">Pain on rest and at night - if the pain is particularly bad lying down, or at night, it should be recorded as a suspicious finding </w:t>
            </w:r>
          </w:p>
          <w:p w:rsidR="005F1D2C" w:rsidRPr="002F7A66" w:rsidRDefault="005F1D2C" w:rsidP="005F1D2C">
            <w:pPr>
              <w:pStyle w:val="Default"/>
              <w:numPr>
                <w:ilvl w:val="0"/>
                <w:numId w:val="38"/>
              </w:numPr>
              <w:jc w:val="both"/>
              <w:rPr>
                <w:sz w:val="22"/>
                <w:szCs w:val="22"/>
              </w:rPr>
            </w:pPr>
            <w:r w:rsidRPr="002F7A66">
              <w:rPr>
                <w:sz w:val="22"/>
                <w:szCs w:val="22"/>
              </w:rPr>
              <w:t xml:space="preserve">Early morning stiffness - lasting for an hour or more - could be due to a rheumatoid condition </w:t>
            </w:r>
          </w:p>
          <w:p w:rsidR="005F1D2C" w:rsidRPr="002F7A66" w:rsidRDefault="005F1D2C" w:rsidP="005F1D2C">
            <w:pPr>
              <w:pStyle w:val="Default"/>
              <w:numPr>
                <w:ilvl w:val="0"/>
                <w:numId w:val="38"/>
              </w:numPr>
              <w:jc w:val="both"/>
              <w:rPr>
                <w:sz w:val="22"/>
                <w:szCs w:val="22"/>
              </w:rPr>
            </w:pPr>
            <w:r w:rsidRPr="002F7A66">
              <w:rPr>
                <w:sz w:val="22"/>
                <w:szCs w:val="22"/>
              </w:rPr>
              <w:t xml:space="preserve">Previous medical history of a tumour - a recurrence could be the presenting cause of the patient's problems </w:t>
            </w:r>
          </w:p>
          <w:p w:rsidR="005F1D2C" w:rsidRPr="002F7A66" w:rsidRDefault="005F1D2C" w:rsidP="005F1D2C">
            <w:pPr>
              <w:pStyle w:val="Default"/>
              <w:numPr>
                <w:ilvl w:val="0"/>
                <w:numId w:val="38"/>
              </w:numPr>
              <w:jc w:val="both"/>
              <w:rPr>
                <w:sz w:val="22"/>
                <w:szCs w:val="22"/>
              </w:rPr>
            </w:pPr>
            <w:r w:rsidRPr="002F7A66">
              <w:rPr>
                <w:sz w:val="22"/>
                <w:szCs w:val="22"/>
              </w:rPr>
              <w:t xml:space="preserve">Bladder and bowel function - not previously present, or an inability to pass water (retention), is important and should be immediately reported </w:t>
            </w:r>
          </w:p>
          <w:p w:rsidR="005F1D2C" w:rsidRPr="002F7A66" w:rsidRDefault="005F1D2C" w:rsidP="005F1D2C">
            <w:pPr>
              <w:pStyle w:val="Default"/>
              <w:numPr>
                <w:ilvl w:val="0"/>
                <w:numId w:val="38"/>
              </w:numPr>
              <w:jc w:val="both"/>
              <w:rPr>
                <w:sz w:val="22"/>
                <w:szCs w:val="22"/>
              </w:rPr>
            </w:pPr>
            <w:r w:rsidRPr="002F7A66">
              <w:rPr>
                <w:sz w:val="22"/>
                <w:szCs w:val="22"/>
              </w:rPr>
              <w:t xml:space="preserve">Perineal loss of sensitivity </w:t>
            </w:r>
          </w:p>
          <w:p w:rsidR="005F1D2C" w:rsidRPr="002F7A66" w:rsidRDefault="005F1D2C" w:rsidP="005F1D2C">
            <w:pPr>
              <w:pStyle w:val="Default"/>
              <w:numPr>
                <w:ilvl w:val="0"/>
                <w:numId w:val="38"/>
              </w:numPr>
              <w:jc w:val="both"/>
              <w:rPr>
                <w:sz w:val="22"/>
                <w:szCs w:val="22"/>
              </w:rPr>
            </w:pPr>
            <w:r w:rsidRPr="002F7A66">
              <w:rPr>
                <w:sz w:val="22"/>
                <w:szCs w:val="22"/>
              </w:rPr>
              <w:t xml:space="preserve">Spasticity and hyper-reflexia - any significant increase in tone, reflexes or clonus could indicate a central nervous system problem </w:t>
            </w:r>
          </w:p>
          <w:p w:rsidR="005F1D2C" w:rsidRPr="002F7A66" w:rsidRDefault="005F1D2C" w:rsidP="005F1D2C">
            <w:pPr>
              <w:pStyle w:val="Default"/>
              <w:numPr>
                <w:ilvl w:val="0"/>
                <w:numId w:val="38"/>
              </w:numPr>
              <w:jc w:val="both"/>
              <w:rPr>
                <w:sz w:val="22"/>
                <w:szCs w:val="22"/>
              </w:rPr>
            </w:pPr>
            <w:r w:rsidRPr="002F7A66">
              <w:rPr>
                <w:sz w:val="22"/>
                <w:szCs w:val="22"/>
              </w:rPr>
              <w:t xml:space="preserve">Generalised loss of muscle power </w:t>
            </w:r>
          </w:p>
          <w:p w:rsidR="005F1D2C" w:rsidRDefault="005F1D2C" w:rsidP="005F1D2C">
            <w:pPr>
              <w:pStyle w:val="Default"/>
              <w:numPr>
                <w:ilvl w:val="0"/>
                <w:numId w:val="38"/>
              </w:numPr>
              <w:jc w:val="both"/>
              <w:rPr>
                <w:sz w:val="22"/>
                <w:szCs w:val="22"/>
              </w:rPr>
            </w:pPr>
            <w:r w:rsidRPr="002F7A66">
              <w:rPr>
                <w:sz w:val="22"/>
                <w:szCs w:val="22"/>
              </w:rPr>
              <w:t xml:space="preserve">Thoracic pain - most spinal pains occur in the lumbar, sacral or cervical areas and </w:t>
            </w:r>
            <w:r w:rsidRPr="002F7A66">
              <w:rPr>
                <w:sz w:val="22"/>
                <w:szCs w:val="22"/>
              </w:rPr>
              <w:lastRenderedPageBreak/>
              <w:t xml:space="preserve">are benign. Thoracic pain is associated with a higher risk of serious conditions such as tumours, and this should be taken into account </w:t>
            </w:r>
          </w:p>
          <w:p w:rsidR="00BC6B16" w:rsidRPr="005F1D2C" w:rsidRDefault="00BC6B16" w:rsidP="00BC6B16">
            <w:pPr>
              <w:pStyle w:val="Default"/>
              <w:ind w:left="720"/>
              <w:jc w:val="both"/>
              <w:rPr>
                <w:sz w:val="22"/>
                <w:szCs w:val="22"/>
              </w:rPr>
            </w:pPr>
          </w:p>
        </w:tc>
      </w:tr>
      <w:tr w:rsidR="005F1D2C" w:rsidRPr="00004044" w:rsidTr="002B7B95">
        <w:tc>
          <w:tcPr>
            <w:tcW w:w="9401" w:type="dxa"/>
          </w:tcPr>
          <w:p w:rsidR="005F1D2C" w:rsidRPr="00265BF4" w:rsidRDefault="005F1D2C" w:rsidP="005F1D2C">
            <w:pPr>
              <w:pStyle w:val="Default"/>
              <w:jc w:val="center"/>
              <w:rPr>
                <w:b/>
                <w:bCs/>
                <w:sz w:val="22"/>
                <w:szCs w:val="22"/>
                <w:u w:val="single"/>
              </w:rPr>
            </w:pPr>
            <w:r w:rsidRPr="00265BF4">
              <w:rPr>
                <w:b/>
                <w:color w:val="000000" w:themeColor="text1"/>
                <w:sz w:val="22"/>
                <w:szCs w:val="22"/>
              </w:rPr>
              <w:lastRenderedPageBreak/>
              <w:t>Assessment</w:t>
            </w:r>
          </w:p>
        </w:tc>
      </w:tr>
      <w:tr w:rsidR="005F1D2C" w:rsidRPr="00004044" w:rsidTr="002B7B95">
        <w:tc>
          <w:tcPr>
            <w:tcW w:w="9401" w:type="dxa"/>
          </w:tcPr>
          <w:p w:rsidR="005F1D2C" w:rsidRDefault="005F1D2C" w:rsidP="005F1D2C">
            <w:pPr>
              <w:pStyle w:val="Default"/>
              <w:jc w:val="both"/>
              <w:rPr>
                <w:sz w:val="22"/>
                <w:szCs w:val="22"/>
              </w:rPr>
            </w:pPr>
          </w:p>
          <w:p w:rsidR="005F1D2C" w:rsidRDefault="005F1D2C" w:rsidP="005F1D2C">
            <w:pPr>
              <w:pStyle w:val="Default"/>
              <w:jc w:val="both"/>
              <w:rPr>
                <w:sz w:val="22"/>
                <w:szCs w:val="22"/>
              </w:rPr>
            </w:pPr>
            <w:r w:rsidRPr="002F7A66">
              <w:rPr>
                <w:sz w:val="22"/>
                <w:szCs w:val="22"/>
              </w:rPr>
              <w:t>The service shall provide triage</w:t>
            </w:r>
            <w:r>
              <w:rPr>
                <w:sz w:val="22"/>
                <w:szCs w:val="22"/>
              </w:rPr>
              <w:t xml:space="preserve"> by ESP</w:t>
            </w:r>
            <w:r w:rsidRPr="002F7A66">
              <w:rPr>
                <w:sz w:val="22"/>
                <w:szCs w:val="22"/>
              </w:rPr>
              <w:t xml:space="preserve">, assessment and management for all patients registered with </w:t>
            </w:r>
            <w:r>
              <w:rPr>
                <w:sz w:val="22"/>
                <w:szCs w:val="22"/>
              </w:rPr>
              <w:t xml:space="preserve">Brent CCG </w:t>
            </w:r>
            <w:r w:rsidRPr="002F7A66">
              <w:rPr>
                <w:sz w:val="22"/>
                <w:szCs w:val="22"/>
              </w:rPr>
              <w:t>GP practice</w:t>
            </w:r>
            <w:r>
              <w:rPr>
                <w:sz w:val="22"/>
                <w:szCs w:val="22"/>
              </w:rPr>
              <w:t>s</w:t>
            </w:r>
            <w:r w:rsidRPr="002F7A66">
              <w:rPr>
                <w:sz w:val="22"/>
                <w:szCs w:val="22"/>
              </w:rPr>
              <w:t xml:space="preserve"> </w:t>
            </w:r>
          </w:p>
          <w:p w:rsidR="005F1D2C" w:rsidRPr="002F7A66" w:rsidRDefault="005F1D2C" w:rsidP="005F1D2C">
            <w:pPr>
              <w:pStyle w:val="Default"/>
              <w:jc w:val="both"/>
              <w:rPr>
                <w:sz w:val="22"/>
                <w:szCs w:val="22"/>
              </w:rPr>
            </w:pPr>
            <w:r w:rsidRPr="002F7A66">
              <w:rPr>
                <w:sz w:val="22"/>
                <w:szCs w:val="22"/>
              </w:rPr>
              <w:t xml:space="preserve"> </w:t>
            </w:r>
          </w:p>
          <w:p w:rsidR="005F1D2C" w:rsidRDefault="005F1D2C" w:rsidP="005F1D2C">
            <w:pPr>
              <w:pStyle w:val="Default"/>
              <w:jc w:val="both"/>
              <w:rPr>
                <w:sz w:val="22"/>
                <w:szCs w:val="22"/>
              </w:rPr>
            </w:pPr>
            <w:r w:rsidRPr="002F7A66">
              <w:rPr>
                <w:sz w:val="22"/>
                <w:szCs w:val="22"/>
              </w:rPr>
              <w:t xml:space="preserve">The service shall be delivered by qualified </w:t>
            </w:r>
            <w:r>
              <w:rPr>
                <w:sz w:val="22"/>
                <w:szCs w:val="22"/>
              </w:rPr>
              <w:t xml:space="preserve">ESPs </w:t>
            </w:r>
            <w:r w:rsidRPr="002F7A66">
              <w:rPr>
                <w:sz w:val="22"/>
                <w:szCs w:val="22"/>
              </w:rPr>
              <w:t>and registered Physiotherapy practitioners.</w:t>
            </w:r>
          </w:p>
          <w:p w:rsidR="005F1D2C" w:rsidRPr="002F7A66" w:rsidRDefault="005F1D2C" w:rsidP="005F1D2C">
            <w:pPr>
              <w:pStyle w:val="Default"/>
              <w:jc w:val="both"/>
              <w:rPr>
                <w:sz w:val="22"/>
                <w:szCs w:val="22"/>
              </w:rPr>
            </w:pPr>
            <w:r w:rsidRPr="002F7A66">
              <w:rPr>
                <w:sz w:val="22"/>
                <w:szCs w:val="22"/>
              </w:rPr>
              <w:t xml:space="preserve"> </w:t>
            </w:r>
          </w:p>
          <w:p w:rsidR="005F1D2C" w:rsidRDefault="005F1D2C" w:rsidP="005F1D2C">
            <w:pPr>
              <w:pStyle w:val="Default"/>
              <w:jc w:val="both"/>
              <w:rPr>
                <w:sz w:val="22"/>
                <w:szCs w:val="22"/>
              </w:rPr>
            </w:pPr>
            <w:r w:rsidRPr="002F7A66">
              <w:rPr>
                <w:sz w:val="22"/>
                <w:szCs w:val="22"/>
              </w:rPr>
              <w:t xml:space="preserve">Any diagnostics (e.g. x-rays, scans) must be performed by practitioners who possess the relevant and up to date training and accreditation. </w:t>
            </w:r>
          </w:p>
          <w:p w:rsidR="005F1D2C" w:rsidRPr="002F7A66" w:rsidRDefault="005F1D2C" w:rsidP="005F1D2C">
            <w:pPr>
              <w:pStyle w:val="Default"/>
              <w:jc w:val="both"/>
              <w:rPr>
                <w:sz w:val="22"/>
                <w:szCs w:val="22"/>
              </w:rPr>
            </w:pPr>
          </w:p>
          <w:p w:rsidR="005F1D2C" w:rsidRDefault="005F1D2C" w:rsidP="005F1D2C">
            <w:pPr>
              <w:pStyle w:val="Default"/>
              <w:jc w:val="both"/>
              <w:rPr>
                <w:sz w:val="22"/>
                <w:szCs w:val="22"/>
              </w:rPr>
            </w:pPr>
            <w:r w:rsidRPr="002F7A66">
              <w:rPr>
                <w:sz w:val="22"/>
                <w:szCs w:val="22"/>
              </w:rPr>
              <w:t>Referrals shall be triaged in a community setting</w:t>
            </w:r>
            <w:r>
              <w:rPr>
                <w:sz w:val="22"/>
                <w:szCs w:val="22"/>
              </w:rPr>
              <w:t xml:space="preserve"> by ESPs</w:t>
            </w:r>
            <w:r w:rsidRPr="002F7A66">
              <w:rPr>
                <w:sz w:val="22"/>
                <w:szCs w:val="22"/>
              </w:rPr>
              <w:t>,</w:t>
            </w:r>
            <w:r>
              <w:rPr>
                <w:sz w:val="22"/>
                <w:szCs w:val="22"/>
              </w:rPr>
              <w:t xml:space="preserve"> </w:t>
            </w:r>
            <w:r w:rsidRPr="002F7A66">
              <w:rPr>
                <w:sz w:val="22"/>
                <w:szCs w:val="22"/>
              </w:rPr>
              <w:t>with patients being seen and managed within the Community Physiotherapy service</w:t>
            </w:r>
            <w:r>
              <w:rPr>
                <w:sz w:val="22"/>
                <w:szCs w:val="22"/>
              </w:rPr>
              <w:t xml:space="preserve"> with possible recommendation to GPs on onward referrals to</w:t>
            </w:r>
            <w:r w:rsidRPr="002F7A66">
              <w:rPr>
                <w:sz w:val="22"/>
                <w:szCs w:val="22"/>
              </w:rPr>
              <w:t xml:space="preserve"> appropriate services, as necessary. </w:t>
            </w:r>
          </w:p>
          <w:p w:rsidR="005F1D2C" w:rsidRPr="002F7A66" w:rsidRDefault="005F1D2C" w:rsidP="005F1D2C">
            <w:pPr>
              <w:pStyle w:val="Default"/>
              <w:jc w:val="both"/>
              <w:rPr>
                <w:sz w:val="22"/>
                <w:szCs w:val="22"/>
              </w:rPr>
            </w:pPr>
          </w:p>
          <w:p w:rsidR="005F1D2C" w:rsidRDefault="005F1D2C" w:rsidP="005F1D2C">
            <w:pPr>
              <w:pStyle w:val="Default"/>
              <w:jc w:val="both"/>
              <w:rPr>
                <w:sz w:val="22"/>
                <w:szCs w:val="22"/>
              </w:rPr>
            </w:pPr>
            <w:r w:rsidRPr="002F7A66">
              <w:rPr>
                <w:sz w:val="22"/>
                <w:szCs w:val="22"/>
              </w:rPr>
              <w:t>Following the triage of a referral, the following options shall be available:</w:t>
            </w:r>
          </w:p>
          <w:p w:rsidR="005F1D2C" w:rsidRPr="002F7A66" w:rsidRDefault="005F1D2C" w:rsidP="005F1D2C">
            <w:pPr>
              <w:pStyle w:val="Default"/>
              <w:jc w:val="both"/>
              <w:rPr>
                <w:sz w:val="22"/>
                <w:szCs w:val="22"/>
              </w:rPr>
            </w:pPr>
            <w:r w:rsidRPr="002F7A66">
              <w:rPr>
                <w:sz w:val="22"/>
                <w:szCs w:val="22"/>
              </w:rPr>
              <w:t xml:space="preserve"> </w:t>
            </w:r>
          </w:p>
          <w:p w:rsidR="005F1D2C" w:rsidRPr="009C323A" w:rsidRDefault="005F1D2C" w:rsidP="00BC6B16">
            <w:pPr>
              <w:pStyle w:val="Default"/>
              <w:numPr>
                <w:ilvl w:val="0"/>
                <w:numId w:val="53"/>
              </w:numPr>
              <w:jc w:val="both"/>
              <w:rPr>
                <w:color w:val="000000" w:themeColor="text1"/>
                <w:sz w:val="22"/>
                <w:szCs w:val="22"/>
              </w:rPr>
            </w:pPr>
            <w:r w:rsidRPr="009C323A">
              <w:rPr>
                <w:color w:val="000000" w:themeColor="text1"/>
                <w:sz w:val="22"/>
                <w:szCs w:val="22"/>
              </w:rPr>
              <w:t xml:space="preserve">Patient discharge with advice for self-care management </w:t>
            </w:r>
            <w:r w:rsidR="0004399C" w:rsidRPr="009C323A">
              <w:rPr>
                <w:color w:val="000000" w:themeColor="text1"/>
                <w:sz w:val="22"/>
                <w:szCs w:val="22"/>
              </w:rPr>
              <w:t>( Provider to supply all necessary with information and leaflets and follow up patient, either via email or phone within 4 weeks of discharge)</w:t>
            </w:r>
          </w:p>
          <w:p w:rsidR="005F1D2C" w:rsidRPr="002F7A66" w:rsidRDefault="005F1D2C" w:rsidP="00BC6B16">
            <w:pPr>
              <w:pStyle w:val="Default"/>
              <w:numPr>
                <w:ilvl w:val="0"/>
                <w:numId w:val="53"/>
              </w:numPr>
              <w:jc w:val="both"/>
              <w:rPr>
                <w:sz w:val="22"/>
                <w:szCs w:val="22"/>
              </w:rPr>
            </w:pPr>
            <w:r w:rsidRPr="002F7A66">
              <w:rPr>
                <w:sz w:val="22"/>
                <w:szCs w:val="22"/>
              </w:rPr>
              <w:t xml:space="preserve">Assessment and treatment by a qualified practitioner </w:t>
            </w:r>
          </w:p>
          <w:p w:rsidR="0004399C" w:rsidRDefault="005F1D2C" w:rsidP="00BC6B16">
            <w:pPr>
              <w:pStyle w:val="Default"/>
              <w:numPr>
                <w:ilvl w:val="0"/>
                <w:numId w:val="53"/>
              </w:numPr>
              <w:jc w:val="both"/>
              <w:rPr>
                <w:sz w:val="22"/>
                <w:szCs w:val="22"/>
              </w:rPr>
            </w:pPr>
            <w:r w:rsidRPr="002F7A66">
              <w:rPr>
                <w:sz w:val="22"/>
                <w:szCs w:val="22"/>
              </w:rPr>
              <w:t>Referral back to the GP with advice re management in general practice</w:t>
            </w:r>
          </w:p>
          <w:p w:rsidR="00BC6B16" w:rsidRDefault="005F1D2C" w:rsidP="00BC6B16">
            <w:pPr>
              <w:pStyle w:val="Default"/>
              <w:numPr>
                <w:ilvl w:val="0"/>
                <w:numId w:val="53"/>
              </w:numPr>
              <w:jc w:val="both"/>
              <w:rPr>
                <w:sz w:val="22"/>
                <w:szCs w:val="22"/>
              </w:rPr>
            </w:pPr>
            <w:r w:rsidRPr="00BC6B16">
              <w:rPr>
                <w:sz w:val="22"/>
                <w:szCs w:val="22"/>
              </w:rPr>
              <w:t xml:space="preserve">The service shall complete a thorough history and undertake physical assessment of patients with suspected disorders. </w:t>
            </w:r>
          </w:p>
          <w:p w:rsidR="005F1D2C" w:rsidRPr="00BC6B16" w:rsidRDefault="005F1D2C" w:rsidP="00BC6B16">
            <w:pPr>
              <w:pStyle w:val="Default"/>
              <w:numPr>
                <w:ilvl w:val="0"/>
                <w:numId w:val="53"/>
              </w:numPr>
              <w:jc w:val="both"/>
              <w:rPr>
                <w:sz w:val="22"/>
                <w:szCs w:val="22"/>
              </w:rPr>
            </w:pPr>
            <w:r w:rsidRPr="00BC6B16">
              <w:rPr>
                <w:sz w:val="22"/>
                <w:szCs w:val="22"/>
              </w:rPr>
              <w:t xml:space="preserve">Following assessment, the Provider shall document a Patient Care Plan. </w:t>
            </w:r>
          </w:p>
          <w:p w:rsidR="005F1D2C" w:rsidRPr="002F7A66" w:rsidRDefault="005F1D2C" w:rsidP="005F1D2C">
            <w:pPr>
              <w:pStyle w:val="Default"/>
              <w:jc w:val="both"/>
              <w:rPr>
                <w:sz w:val="22"/>
                <w:szCs w:val="22"/>
              </w:rPr>
            </w:pPr>
          </w:p>
          <w:p w:rsidR="005F1D2C" w:rsidRPr="002F7A66" w:rsidRDefault="005F1D2C" w:rsidP="005F1D2C">
            <w:pPr>
              <w:pStyle w:val="Default"/>
              <w:jc w:val="both"/>
              <w:rPr>
                <w:sz w:val="22"/>
                <w:szCs w:val="22"/>
              </w:rPr>
            </w:pPr>
          </w:p>
          <w:p w:rsidR="005F1D2C" w:rsidRPr="002F7A66" w:rsidRDefault="005F1D2C" w:rsidP="005F1D2C">
            <w:pPr>
              <w:pStyle w:val="Default"/>
              <w:jc w:val="both"/>
              <w:rPr>
                <w:sz w:val="22"/>
                <w:szCs w:val="22"/>
              </w:rPr>
            </w:pPr>
          </w:p>
          <w:p w:rsidR="005F1D2C" w:rsidRPr="002F7A66" w:rsidRDefault="005F1D2C" w:rsidP="005F1D2C">
            <w:pPr>
              <w:pStyle w:val="Default"/>
              <w:jc w:val="both"/>
              <w:rPr>
                <w:sz w:val="22"/>
                <w:szCs w:val="22"/>
              </w:rPr>
            </w:pPr>
            <w:r w:rsidRPr="002F7A66">
              <w:rPr>
                <w:b/>
                <w:bCs/>
                <w:sz w:val="22"/>
                <w:szCs w:val="22"/>
              </w:rPr>
              <w:t xml:space="preserve">Population covered </w:t>
            </w:r>
          </w:p>
          <w:p w:rsidR="005F1D2C" w:rsidRDefault="005F1D2C" w:rsidP="005F1D2C">
            <w:pPr>
              <w:pStyle w:val="Default"/>
              <w:jc w:val="both"/>
              <w:rPr>
                <w:sz w:val="22"/>
                <w:szCs w:val="22"/>
              </w:rPr>
            </w:pPr>
            <w:r w:rsidRPr="002F7A66">
              <w:rPr>
                <w:sz w:val="22"/>
                <w:szCs w:val="22"/>
              </w:rPr>
              <w:t xml:space="preserve">The service shall be available to patients registered with the GP practices that are members of the </w:t>
            </w:r>
            <w:r>
              <w:rPr>
                <w:sz w:val="22"/>
                <w:szCs w:val="22"/>
              </w:rPr>
              <w:t xml:space="preserve">Brent </w:t>
            </w:r>
            <w:r w:rsidRPr="002F7A66">
              <w:rPr>
                <w:sz w:val="22"/>
                <w:szCs w:val="22"/>
              </w:rPr>
              <w:t xml:space="preserve">Clinical Commissioning Group </w:t>
            </w:r>
          </w:p>
          <w:p w:rsidR="005F1D2C" w:rsidRPr="002F7A66" w:rsidRDefault="005F1D2C" w:rsidP="005F1D2C">
            <w:pPr>
              <w:pStyle w:val="Default"/>
              <w:jc w:val="both"/>
              <w:rPr>
                <w:sz w:val="22"/>
                <w:szCs w:val="22"/>
              </w:rPr>
            </w:pPr>
          </w:p>
          <w:p w:rsidR="005F1D2C" w:rsidRDefault="005F1D2C" w:rsidP="005F1D2C">
            <w:pPr>
              <w:pStyle w:val="Default"/>
              <w:jc w:val="both"/>
              <w:rPr>
                <w:b/>
                <w:bCs/>
                <w:sz w:val="22"/>
                <w:szCs w:val="22"/>
              </w:rPr>
            </w:pPr>
            <w:r w:rsidRPr="002F7A66">
              <w:rPr>
                <w:b/>
                <w:bCs/>
                <w:sz w:val="22"/>
                <w:szCs w:val="22"/>
              </w:rPr>
              <w:t xml:space="preserve">Any acceptance and exclusion criteria and thresholds </w:t>
            </w:r>
          </w:p>
          <w:p w:rsidR="005F1D2C" w:rsidRPr="002F7A66" w:rsidRDefault="005F1D2C" w:rsidP="005F1D2C">
            <w:pPr>
              <w:pStyle w:val="Default"/>
              <w:jc w:val="both"/>
              <w:rPr>
                <w:sz w:val="22"/>
                <w:szCs w:val="22"/>
              </w:rPr>
            </w:pPr>
          </w:p>
          <w:p w:rsidR="005F1D2C" w:rsidRDefault="005F1D2C" w:rsidP="005F1D2C">
            <w:pPr>
              <w:pStyle w:val="Default"/>
              <w:jc w:val="both"/>
              <w:rPr>
                <w:b/>
                <w:bCs/>
                <w:sz w:val="22"/>
                <w:szCs w:val="22"/>
                <w:u w:val="single"/>
              </w:rPr>
            </w:pPr>
            <w:r w:rsidRPr="002F7A66">
              <w:rPr>
                <w:b/>
                <w:bCs/>
                <w:sz w:val="22"/>
                <w:szCs w:val="22"/>
                <w:u w:val="single"/>
              </w:rPr>
              <w:t xml:space="preserve">Referral Criteria </w:t>
            </w:r>
          </w:p>
          <w:p w:rsidR="005F1D2C" w:rsidRPr="002F7A66" w:rsidRDefault="005F1D2C" w:rsidP="005F1D2C">
            <w:pPr>
              <w:pStyle w:val="Default"/>
              <w:jc w:val="both"/>
              <w:rPr>
                <w:sz w:val="22"/>
                <w:szCs w:val="22"/>
              </w:rPr>
            </w:pPr>
          </w:p>
          <w:p w:rsidR="005F1D2C" w:rsidRPr="009C323A" w:rsidRDefault="005F1D2C" w:rsidP="005F1D2C">
            <w:pPr>
              <w:pStyle w:val="Default"/>
              <w:jc w:val="both"/>
              <w:rPr>
                <w:color w:val="000000" w:themeColor="text1"/>
                <w:sz w:val="22"/>
                <w:szCs w:val="22"/>
              </w:rPr>
            </w:pPr>
            <w:r w:rsidRPr="009C323A">
              <w:rPr>
                <w:color w:val="000000" w:themeColor="text1"/>
                <w:sz w:val="22"/>
                <w:szCs w:val="22"/>
              </w:rPr>
              <w:t xml:space="preserve">The service shall be available to people aged 16 years or over, with a particular focus on older people, with a suspected or recognised condition requiring further investigation, assessment and/or diagnosis, prior to treatment options. </w:t>
            </w:r>
          </w:p>
          <w:p w:rsidR="005F1D2C" w:rsidRPr="009C323A" w:rsidRDefault="005F1D2C" w:rsidP="005F1D2C">
            <w:pPr>
              <w:pStyle w:val="Default"/>
              <w:jc w:val="both"/>
              <w:rPr>
                <w:color w:val="000000" w:themeColor="text1"/>
                <w:sz w:val="22"/>
                <w:szCs w:val="22"/>
              </w:rPr>
            </w:pPr>
          </w:p>
          <w:p w:rsidR="005F1D2C" w:rsidRPr="009C323A" w:rsidRDefault="005F1D2C" w:rsidP="005F1D2C">
            <w:pPr>
              <w:pStyle w:val="Default"/>
              <w:jc w:val="both"/>
              <w:rPr>
                <w:color w:val="000000" w:themeColor="text1"/>
                <w:sz w:val="22"/>
                <w:szCs w:val="22"/>
              </w:rPr>
            </w:pPr>
            <w:r w:rsidRPr="009C323A">
              <w:rPr>
                <w:color w:val="000000" w:themeColor="text1"/>
                <w:sz w:val="22"/>
                <w:szCs w:val="22"/>
              </w:rPr>
              <w:t xml:space="preserve">The service shall accept referrals from; GPs, other Healthcare Professionals and patient self-referrals (open access). </w:t>
            </w:r>
          </w:p>
          <w:p w:rsidR="005F1D2C" w:rsidRPr="009C323A" w:rsidRDefault="005F1D2C" w:rsidP="005F1D2C">
            <w:pPr>
              <w:pStyle w:val="Default"/>
              <w:jc w:val="both"/>
              <w:rPr>
                <w:color w:val="000000" w:themeColor="text1"/>
                <w:sz w:val="22"/>
                <w:szCs w:val="22"/>
              </w:rPr>
            </w:pPr>
          </w:p>
          <w:p w:rsidR="005F1D2C" w:rsidRPr="009C323A" w:rsidRDefault="005F1D2C" w:rsidP="005F1D2C">
            <w:pPr>
              <w:pStyle w:val="Default"/>
              <w:jc w:val="both"/>
              <w:rPr>
                <w:color w:val="000000" w:themeColor="text1"/>
                <w:sz w:val="22"/>
                <w:szCs w:val="22"/>
              </w:rPr>
            </w:pPr>
            <w:r w:rsidRPr="009C323A">
              <w:rPr>
                <w:color w:val="000000" w:themeColor="text1"/>
                <w:sz w:val="22"/>
                <w:szCs w:val="22"/>
              </w:rPr>
              <w:t>The service shall only accept referrals for patients registered with a Brent GP Practice</w:t>
            </w:r>
          </w:p>
          <w:p w:rsidR="005F1D2C" w:rsidRPr="006B2BD6" w:rsidRDefault="005F1D2C" w:rsidP="005F1D2C">
            <w:pPr>
              <w:pStyle w:val="Default"/>
              <w:jc w:val="both"/>
              <w:rPr>
                <w:color w:val="FF0000"/>
                <w:sz w:val="22"/>
                <w:szCs w:val="22"/>
              </w:rPr>
            </w:pPr>
          </w:p>
          <w:p w:rsidR="005F1D2C" w:rsidRDefault="005F1D2C" w:rsidP="005F1D2C">
            <w:pPr>
              <w:pStyle w:val="Default"/>
              <w:jc w:val="both"/>
              <w:rPr>
                <w:b/>
                <w:bCs/>
                <w:sz w:val="22"/>
                <w:szCs w:val="22"/>
                <w:u w:val="single"/>
              </w:rPr>
            </w:pPr>
            <w:r w:rsidRPr="002F7A66">
              <w:rPr>
                <w:b/>
                <w:bCs/>
                <w:sz w:val="22"/>
                <w:szCs w:val="22"/>
                <w:u w:val="single"/>
              </w:rPr>
              <w:t xml:space="preserve">Referral Process </w:t>
            </w:r>
          </w:p>
          <w:p w:rsidR="005F1D2C" w:rsidRPr="002F7A66" w:rsidRDefault="005F1D2C" w:rsidP="005F1D2C">
            <w:pPr>
              <w:pStyle w:val="Default"/>
              <w:jc w:val="both"/>
              <w:rPr>
                <w:sz w:val="22"/>
                <w:szCs w:val="22"/>
              </w:rPr>
            </w:pPr>
          </w:p>
          <w:p w:rsidR="00470441" w:rsidRPr="009C323A" w:rsidRDefault="005F1D2C" w:rsidP="005F1D2C">
            <w:pPr>
              <w:pStyle w:val="Default"/>
              <w:jc w:val="both"/>
              <w:rPr>
                <w:color w:val="000000" w:themeColor="text1"/>
                <w:sz w:val="22"/>
                <w:szCs w:val="22"/>
              </w:rPr>
            </w:pPr>
            <w:r w:rsidRPr="009C323A">
              <w:rPr>
                <w:color w:val="000000" w:themeColor="text1"/>
                <w:sz w:val="22"/>
                <w:szCs w:val="22"/>
              </w:rPr>
              <w:t xml:space="preserve">For GP or other Healthcare Professional referrals, the referrer shall either complete a service referral form, </w:t>
            </w:r>
            <w:r w:rsidR="00470441" w:rsidRPr="009C323A">
              <w:rPr>
                <w:color w:val="000000" w:themeColor="text1"/>
                <w:sz w:val="22"/>
                <w:szCs w:val="22"/>
              </w:rPr>
              <w:t xml:space="preserve">and </w:t>
            </w:r>
            <w:r w:rsidRPr="009C323A">
              <w:rPr>
                <w:color w:val="000000" w:themeColor="text1"/>
                <w:sz w:val="22"/>
                <w:szCs w:val="22"/>
              </w:rPr>
              <w:t xml:space="preserve">ask the patient </w:t>
            </w:r>
            <w:r w:rsidR="00761A3D" w:rsidRPr="009C323A">
              <w:rPr>
                <w:color w:val="000000" w:themeColor="text1"/>
                <w:sz w:val="22"/>
                <w:szCs w:val="22"/>
              </w:rPr>
              <w:t>to book</w:t>
            </w:r>
            <w:r w:rsidR="00470441" w:rsidRPr="009C323A">
              <w:rPr>
                <w:color w:val="000000" w:themeColor="text1"/>
                <w:sz w:val="22"/>
                <w:szCs w:val="22"/>
              </w:rPr>
              <w:t xml:space="preserve"> themselves with any provider</w:t>
            </w:r>
            <w:r w:rsidRPr="009C323A">
              <w:rPr>
                <w:color w:val="000000" w:themeColor="text1"/>
                <w:sz w:val="22"/>
                <w:szCs w:val="22"/>
              </w:rPr>
              <w:t xml:space="preserve">. </w:t>
            </w:r>
          </w:p>
          <w:p w:rsidR="00CD47DB" w:rsidRPr="009C323A" w:rsidRDefault="00CD47DB" w:rsidP="005F1D2C">
            <w:pPr>
              <w:pStyle w:val="Default"/>
              <w:jc w:val="both"/>
              <w:rPr>
                <w:color w:val="000000" w:themeColor="text1"/>
                <w:sz w:val="22"/>
                <w:szCs w:val="22"/>
              </w:rPr>
            </w:pPr>
          </w:p>
          <w:p w:rsidR="00CD47DB" w:rsidRPr="009C323A" w:rsidRDefault="00CD47DB" w:rsidP="005F1D2C">
            <w:pPr>
              <w:pStyle w:val="Default"/>
              <w:jc w:val="both"/>
              <w:rPr>
                <w:color w:val="000000" w:themeColor="text1"/>
                <w:sz w:val="22"/>
                <w:szCs w:val="22"/>
              </w:rPr>
            </w:pPr>
            <w:r w:rsidRPr="009C323A">
              <w:rPr>
                <w:color w:val="000000" w:themeColor="text1"/>
                <w:sz w:val="22"/>
                <w:szCs w:val="22"/>
              </w:rPr>
              <w:t xml:space="preserve">Provider must ensure that the service is available on </w:t>
            </w:r>
            <w:r w:rsidR="00A1494C">
              <w:rPr>
                <w:color w:val="000000" w:themeColor="text1"/>
                <w:sz w:val="22"/>
                <w:szCs w:val="22"/>
              </w:rPr>
              <w:t xml:space="preserve">E Referral System </w:t>
            </w:r>
          </w:p>
          <w:p w:rsidR="00470441" w:rsidRPr="009C323A" w:rsidRDefault="00470441" w:rsidP="005F1D2C">
            <w:pPr>
              <w:pStyle w:val="Default"/>
              <w:jc w:val="both"/>
              <w:rPr>
                <w:color w:val="000000" w:themeColor="text1"/>
                <w:sz w:val="22"/>
                <w:szCs w:val="22"/>
              </w:rPr>
            </w:pPr>
          </w:p>
          <w:p w:rsidR="005F1D2C" w:rsidRPr="009C323A" w:rsidRDefault="005F1D2C" w:rsidP="005F1D2C">
            <w:pPr>
              <w:pStyle w:val="Default"/>
              <w:jc w:val="both"/>
              <w:rPr>
                <w:color w:val="000000" w:themeColor="text1"/>
                <w:sz w:val="22"/>
                <w:szCs w:val="22"/>
              </w:rPr>
            </w:pPr>
            <w:r w:rsidRPr="009C323A">
              <w:rPr>
                <w:color w:val="000000" w:themeColor="text1"/>
                <w:sz w:val="22"/>
                <w:szCs w:val="22"/>
              </w:rPr>
              <w:lastRenderedPageBreak/>
              <w:t xml:space="preserve">GPs </w:t>
            </w:r>
            <w:r w:rsidR="00470441" w:rsidRPr="009C323A">
              <w:rPr>
                <w:color w:val="000000" w:themeColor="text1"/>
                <w:sz w:val="22"/>
                <w:szCs w:val="22"/>
              </w:rPr>
              <w:t xml:space="preserve">shall use standard referral form </w:t>
            </w:r>
            <w:r w:rsidRPr="009C323A">
              <w:rPr>
                <w:color w:val="000000" w:themeColor="text1"/>
                <w:sz w:val="22"/>
                <w:szCs w:val="22"/>
              </w:rPr>
              <w:t xml:space="preserve">containing the service contact details. This shall be given to patients that agree to self-refer following a GP practice consultation. </w:t>
            </w:r>
          </w:p>
          <w:p w:rsidR="005F1D2C" w:rsidRPr="009C323A" w:rsidRDefault="005F1D2C" w:rsidP="005F1D2C">
            <w:pPr>
              <w:pStyle w:val="Default"/>
              <w:jc w:val="both"/>
              <w:rPr>
                <w:color w:val="000000" w:themeColor="text1"/>
                <w:sz w:val="22"/>
                <w:szCs w:val="22"/>
              </w:rPr>
            </w:pPr>
          </w:p>
          <w:p w:rsidR="005F1D2C" w:rsidRPr="009C323A" w:rsidRDefault="005F1D2C" w:rsidP="005F1D2C">
            <w:pPr>
              <w:pStyle w:val="Default"/>
              <w:jc w:val="both"/>
              <w:rPr>
                <w:color w:val="000000" w:themeColor="text1"/>
                <w:sz w:val="22"/>
                <w:szCs w:val="22"/>
              </w:rPr>
            </w:pPr>
          </w:p>
          <w:p w:rsidR="00470441" w:rsidRPr="009C323A" w:rsidRDefault="00470441" w:rsidP="00470441">
            <w:pPr>
              <w:pStyle w:val="Default"/>
              <w:spacing w:after="200" w:line="276" w:lineRule="auto"/>
              <w:jc w:val="both"/>
              <w:rPr>
                <w:color w:val="000000" w:themeColor="text1"/>
                <w:sz w:val="22"/>
                <w:szCs w:val="22"/>
              </w:rPr>
            </w:pPr>
            <w:r w:rsidRPr="009C323A">
              <w:rPr>
                <w:color w:val="000000" w:themeColor="text1"/>
                <w:sz w:val="22"/>
                <w:szCs w:val="22"/>
              </w:rPr>
              <w:t xml:space="preserve">Patients should be able to book appointment for assessment  (by telephone, email or in person ) </w:t>
            </w:r>
          </w:p>
          <w:p w:rsidR="005F1D2C" w:rsidRDefault="005F1D2C" w:rsidP="005F1D2C">
            <w:pPr>
              <w:pStyle w:val="Default"/>
              <w:jc w:val="both"/>
              <w:rPr>
                <w:sz w:val="22"/>
                <w:szCs w:val="22"/>
              </w:rPr>
            </w:pPr>
          </w:p>
          <w:p w:rsidR="00470441" w:rsidRPr="009C323A" w:rsidRDefault="00470441" w:rsidP="00470441">
            <w:pPr>
              <w:pStyle w:val="Default"/>
              <w:spacing w:after="200" w:line="276" w:lineRule="auto"/>
              <w:jc w:val="both"/>
              <w:rPr>
                <w:color w:val="000000" w:themeColor="text1"/>
                <w:sz w:val="22"/>
                <w:szCs w:val="22"/>
              </w:rPr>
            </w:pPr>
            <w:r w:rsidRPr="009C323A">
              <w:rPr>
                <w:color w:val="000000" w:themeColor="text1"/>
                <w:sz w:val="22"/>
                <w:szCs w:val="22"/>
              </w:rPr>
              <w:t xml:space="preserve">For patient with learning disabilities and </w:t>
            </w:r>
            <w:r w:rsidR="00761A3D" w:rsidRPr="009C323A">
              <w:rPr>
                <w:color w:val="000000" w:themeColor="text1"/>
                <w:sz w:val="22"/>
                <w:szCs w:val="22"/>
              </w:rPr>
              <w:t>vulnerable</w:t>
            </w:r>
            <w:r w:rsidRPr="009C323A">
              <w:rPr>
                <w:color w:val="000000" w:themeColor="text1"/>
                <w:sz w:val="22"/>
                <w:szCs w:val="22"/>
              </w:rPr>
              <w:t xml:space="preserve"> </w:t>
            </w:r>
            <w:r w:rsidR="00761A3D" w:rsidRPr="009C323A">
              <w:rPr>
                <w:color w:val="000000" w:themeColor="text1"/>
                <w:sz w:val="22"/>
                <w:szCs w:val="22"/>
              </w:rPr>
              <w:t>adult,</w:t>
            </w:r>
            <w:r w:rsidRPr="009C323A">
              <w:rPr>
                <w:color w:val="000000" w:themeColor="text1"/>
                <w:sz w:val="22"/>
                <w:szCs w:val="22"/>
              </w:rPr>
              <w:t xml:space="preserve"> GPs will be able to refer directly to physiotherapy of patient choosing (email </w:t>
            </w:r>
            <w:r w:rsidR="00761A3D" w:rsidRPr="009C323A">
              <w:rPr>
                <w:color w:val="000000" w:themeColor="text1"/>
                <w:sz w:val="22"/>
                <w:szCs w:val="22"/>
              </w:rPr>
              <w:t xml:space="preserve">or fax). </w:t>
            </w:r>
            <w:r w:rsidRPr="009C323A">
              <w:rPr>
                <w:color w:val="000000" w:themeColor="text1"/>
                <w:sz w:val="22"/>
                <w:szCs w:val="22"/>
              </w:rPr>
              <w:t xml:space="preserve">All direct GP referral would be actioned </w:t>
            </w:r>
            <w:r w:rsidR="008D04FE" w:rsidRPr="009C323A">
              <w:rPr>
                <w:color w:val="000000" w:themeColor="text1"/>
                <w:sz w:val="22"/>
                <w:szCs w:val="22"/>
              </w:rPr>
              <w:t>as per standard assessment criteria.</w:t>
            </w:r>
          </w:p>
          <w:p w:rsidR="00470441" w:rsidRPr="002F7A66" w:rsidRDefault="00470441" w:rsidP="005F1D2C">
            <w:pPr>
              <w:pStyle w:val="Default"/>
              <w:jc w:val="both"/>
              <w:rPr>
                <w:sz w:val="22"/>
                <w:szCs w:val="22"/>
              </w:rPr>
            </w:pPr>
          </w:p>
          <w:p w:rsidR="005F1D2C" w:rsidRPr="002F7A66" w:rsidRDefault="005F1D2C" w:rsidP="005F1D2C">
            <w:pPr>
              <w:pStyle w:val="Default"/>
              <w:jc w:val="both"/>
              <w:rPr>
                <w:sz w:val="22"/>
                <w:szCs w:val="22"/>
              </w:rPr>
            </w:pPr>
          </w:p>
          <w:p w:rsidR="005F1D2C" w:rsidRDefault="005F1D2C" w:rsidP="005F1D2C">
            <w:pPr>
              <w:pStyle w:val="Default"/>
              <w:jc w:val="both"/>
              <w:rPr>
                <w:b/>
                <w:bCs/>
                <w:sz w:val="22"/>
                <w:szCs w:val="22"/>
                <w:u w:val="single"/>
              </w:rPr>
            </w:pPr>
            <w:r w:rsidRPr="002F7A66">
              <w:rPr>
                <w:b/>
                <w:bCs/>
                <w:sz w:val="22"/>
                <w:szCs w:val="22"/>
                <w:u w:val="single"/>
              </w:rPr>
              <w:t>Discharge Process</w:t>
            </w:r>
          </w:p>
          <w:p w:rsidR="005F1D2C" w:rsidRPr="002F7A66" w:rsidRDefault="005F1D2C" w:rsidP="005F1D2C">
            <w:pPr>
              <w:pStyle w:val="Default"/>
              <w:jc w:val="both"/>
              <w:rPr>
                <w:sz w:val="22"/>
                <w:szCs w:val="22"/>
              </w:rPr>
            </w:pPr>
            <w:r w:rsidRPr="002F7A66">
              <w:rPr>
                <w:b/>
                <w:bCs/>
                <w:sz w:val="22"/>
                <w:szCs w:val="22"/>
                <w:u w:val="single"/>
              </w:rPr>
              <w:t xml:space="preserve"> </w:t>
            </w:r>
          </w:p>
          <w:p w:rsidR="005F1D2C" w:rsidRDefault="005F1D2C" w:rsidP="005F1D2C">
            <w:pPr>
              <w:pStyle w:val="Default"/>
              <w:jc w:val="both"/>
              <w:rPr>
                <w:sz w:val="22"/>
                <w:szCs w:val="22"/>
              </w:rPr>
            </w:pPr>
            <w:r w:rsidRPr="002F7A66">
              <w:rPr>
                <w:sz w:val="22"/>
                <w:szCs w:val="22"/>
              </w:rPr>
              <w:t xml:space="preserve">The Provider shall be responsible for ensuring that the patient’s GP is sent a discharge summary letter within 3 Working Days of discharge from the service, outlining the diagnosis, investigations, treatment plan, recommendations and patient advice following each patient consultation. </w:t>
            </w:r>
          </w:p>
          <w:p w:rsidR="005F1D2C" w:rsidRDefault="005F1D2C" w:rsidP="005F1D2C">
            <w:pPr>
              <w:pStyle w:val="Default"/>
              <w:jc w:val="both"/>
              <w:rPr>
                <w:sz w:val="22"/>
                <w:szCs w:val="22"/>
              </w:rPr>
            </w:pPr>
          </w:p>
          <w:p w:rsidR="005F1D2C" w:rsidRDefault="005F1D2C" w:rsidP="005F1D2C">
            <w:pPr>
              <w:pStyle w:val="Default"/>
              <w:jc w:val="both"/>
              <w:rPr>
                <w:sz w:val="22"/>
                <w:szCs w:val="22"/>
              </w:rPr>
            </w:pPr>
            <w:r w:rsidRPr="002F7A66">
              <w:rPr>
                <w:sz w:val="22"/>
                <w:szCs w:val="22"/>
              </w:rPr>
              <w:t xml:space="preserve">The patient shall also receive a copy of their discharge letter, if, when asked, they indicate that they would like a copy. </w:t>
            </w:r>
          </w:p>
          <w:p w:rsidR="005F1D2C" w:rsidRPr="002F7A66" w:rsidRDefault="005F1D2C" w:rsidP="005F1D2C">
            <w:pPr>
              <w:pStyle w:val="Default"/>
              <w:jc w:val="both"/>
              <w:rPr>
                <w:sz w:val="22"/>
                <w:szCs w:val="22"/>
              </w:rPr>
            </w:pPr>
          </w:p>
          <w:p w:rsidR="005F1D2C" w:rsidRPr="009C323A" w:rsidRDefault="005F1D2C" w:rsidP="005F1D2C">
            <w:pPr>
              <w:pStyle w:val="Default"/>
              <w:jc w:val="both"/>
              <w:rPr>
                <w:b/>
                <w:color w:val="000000" w:themeColor="text1"/>
                <w:sz w:val="22"/>
                <w:szCs w:val="22"/>
              </w:rPr>
            </w:pPr>
            <w:r w:rsidRPr="009C323A">
              <w:rPr>
                <w:color w:val="000000" w:themeColor="text1"/>
                <w:sz w:val="22"/>
                <w:szCs w:val="22"/>
              </w:rPr>
              <w:t xml:space="preserve">Onward referral </w:t>
            </w:r>
            <w:r w:rsidR="009A5857" w:rsidRPr="009C323A">
              <w:rPr>
                <w:color w:val="000000" w:themeColor="text1"/>
                <w:sz w:val="22"/>
                <w:szCs w:val="22"/>
              </w:rPr>
              <w:t>depending on future RFS systems in pl</w:t>
            </w:r>
            <w:r w:rsidR="009A5857">
              <w:rPr>
                <w:color w:val="000000" w:themeColor="text1"/>
                <w:sz w:val="22"/>
                <w:szCs w:val="22"/>
              </w:rPr>
              <w:t>a</w:t>
            </w:r>
            <w:r w:rsidR="009A5857" w:rsidRPr="009C323A">
              <w:rPr>
                <w:color w:val="000000" w:themeColor="text1"/>
                <w:sz w:val="22"/>
                <w:szCs w:val="22"/>
              </w:rPr>
              <w:t xml:space="preserve">ce in Brent. </w:t>
            </w:r>
          </w:p>
          <w:p w:rsidR="005F1D2C" w:rsidRPr="009C323A" w:rsidRDefault="005F1D2C" w:rsidP="009C323A">
            <w:pPr>
              <w:pStyle w:val="Default"/>
              <w:numPr>
                <w:ilvl w:val="0"/>
                <w:numId w:val="56"/>
              </w:numPr>
              <w:jc w:val="both"/>
              <w:rPr>
                <w:color w:val="000000" w:themeColor="text1"/>
                <w:sz w:val="22"/>
                <w:szCs w:val="22"/>
              </w:rPr>
            </w:pPr>
            <w:r w:rsidRPr="009C323A">
              <w:rPr>
                <w:color w:val="000000" w:themeColor="text1"/>
                <w:sz w:val="22"/>
                <w:szCs w:val="22"/>
              </w:rPr>
              <w:t>Referral to other primary care services, for example, Podiatry and Continence</w:t>
            </w:r>
          </w:p>
          <w:p w:rsidR="005F1D2C" w:rsidRPr="009C323A" w:rsidRDefault="005F1D2C" w:rsidP="005F1D2C">
            <w:pPr>
              <w:pStyle w:val="Default"/>
              <w:jc w:val="both"/>
              <w:rPr>
                <w:color w:val="000000" w:themeColor="text1"/>
                <w:sz w:val="22"/>
                <w:szCs w:val="22"/>
              </w:rPr>
            </w:pPr>
          </w:p>
          <w:p w:rsidR="005F1D2C" w:rsidRPr="009C323A" w:rsidRDefault="005F1D2C" w:rsidP="009C323A">
            <w:pPr>
              <w:pStyle w:val="Default"/>
              <w:ind w:left="720"/>
              <w:jc w:val="both"/>
              <w:rPr>
                <w:color w:val="000000" w:themeColor="text1"/>
                <w:sz w:val="22"/>
                <w:szCs w:val="22"/>
              </w:rPr>
            </w:pPr>
            <w:r w:rsidRPr="009C323A">
              <w:rPr>
                <w:color w:val="000000" w:themeColor="text1"/>
                <w:sz w:val="22"/>
                <w:szCs w:val="22"/>
              </w:rPr>
              <w:t xml:space="preserve">Referral back to the GP with advice re treatment in general practice or referral </w:t>
            </w:r>
            <w:r w:rsidR="00761A3D" w:rsidRPr="009C323A">
              <w:rPr>
                <w:color w:val="000000" w:themeColor="text1"/>
                <w:sz w:val="22"/>
                <w:szCs w:val="22"/>
              </w:rPr>
              <w:t>to Secondary</w:t>
            </w:r>
            <w:r w:rsidRPr="009C323A">
              <w:rPr>
                <w:color w:val="000000" w:themeColor="text1"/>
                <w:sz w:val="22"/>
                <w:szCs w:val="22"/>
              </w:rPr>
              <w:t xml:space="preserve"> Care</w:t>
            </w:r>
          </w:p>
          <w:p w:rsidR="005F1D2C" w:rsidRPr="009C323A" w:rsidRDefault="005F1D2C" w:rsidP="009C323A">
            <w:pPr>
              <w:pStyle w:val="Default"/>
              <w:numPr>
                <w:ilvl w:val="0"/>
                <w:numId w:val="56"/>
              </w:numPr>
              <w:jc w:val="both"/>
              <w:rPr>
                <w:color w:val="000000" w:themeColor="text1"/>
                <w:sz w:val="22"/>
                <w:szCs w:val="22"/>
              </w:rPr>
            </w:pPr>
            <w:r w:rsidRPr="009C323A">
              <w:rPr>
                <w:color w:val="000000" w:themeColor="text1"/>
                <w:sz w:val="22"/>
                <w:szCs w:val="22"/>
              </w:rPr>
              <w:t xml:space="preserve">Referral to diagnostics (x-ray, MRI, ultrasound scanning)  </w:t>
            </w:r>
          </w:p>
          <w:p w:rsidR="005F1D2C" w:rsidRPr="002F7A66" w:rsidRDefault="005F1D2C" w:rsidP="005F1D2C">
            <w:pPr>
              <w:pStyle w:val="Default"/>
              <w:jc w:val="both"/>
              <w:rPr>
                <w:b/>
                <w:bCs/>
                <w:sz w:val="22"/>
                <w:szCs w:val="22"/>
                <w:u w:val="single"/>
              </w:rPr>
            </w:pPr>
          </w:p>
        </w:tc>
      </w:tr>
      <w:tr w:rsidR="005F1D2C" w:rsidRPr="00004044" w:rsidTr="002B7B95">
        <w:tc>
          <w:tcPr>
            <w:tcW w:w="9401" w:type="dxa"/>
          </w:tcPr>
          <w:p w:rsidR="005F1D2C" w:rsidRPr="005F1D2C" w:rsidRDefault="005F1D2C" w:rsidP="005F1D2C">
            <w:pPr>
              <w:pStyle w:val="Default"/>
              <w:jc w:val="center"/>
              <w:rPr>
                <w:sz w:val="22"/>
                <w:szCs w:val="22"/>
              </w:rPr>
            </w:pPr>
            <w:r w:rsidRPr="002F7A66">
              <w:rPr>
                <w:b/>
                <w:bCs/>
                <w:sz w:val="22"/>
                <w:szCs w:val="22"/>
              </w:rPr>
              <w:lastRenderedPageBreak/>
              <w:t>Interdependence with other Providers</w:t>
            </w:r>
          </w:p>
        </w:tc>
      </w:tr>
      <w:tr w:rsidR="005F1D2C" w:rsidRPr="00004044" w:rsidTr="002B7B95">
        <w:tc>
          <w:tcPr>
            <w:tcW w:w="9401" w:type="dxa"/>
          </w:tcPr>
          <w:p w:rsidR="00BC6B16" w:rsidRDefault="00BC6B16" w:rsidP="005F1D2C">
            <w:pPr>
              <w:pStyle w:val="Default"/>
              <w:jc w:val="both"/>
              <w:rPr>
                <w:sz w:val="22"/>
                <w:szCs w:val="22"/>
              </w:rPr>
            </w:pPr>
          </w:p>
          <w:p w:rsidR="00C429C6" w:rsidRDefault="005F1D2C" w:rsidP="005F1D2C">
            <w:pPr>
              <w:pStyle w:val="Default"/>
              <w:jc w:val="both"/>
              <w:rPr>
                <w:sz w:val="22"/>
                <w:szCs w:val="22"/>
              </w:rPr>
            </w:pPr>
            <w:r w:rsidRPr="002F7A66">
              <w:rPr>
                <w:sz w:val="22"/>
                <w:szCs w:val="22"/>
              </w:rPr>
              <w:t xml:space="preserve">The service shall be integrated with other Providers in primary, community and secondary care settings. Where a referral is outside the scope of this service, the Provider shall work closely with other Providers, to ensure the appropriate care is provided to patients. </w:t>
            </w:r>
          </w:p>
          <w:p w:rsidR="00C429C6" w:rsidRDefault="00C429C6" w:rsidP="005F1D2C">
            <w:pPr>
              <w:pStyle w:val="Default"/>
              <w:jc w:val="both"/>
              <w:rPr>
                <w:sz w:val="22"/>
                <w:szCs w:val="22"/>
              </w:rPr>
            </w:pPr>
          </w:p>
          <w:p w:rsidR="005F1D2C" w:rsidRDefault="005F1D2C" w:rsidP="005F1D2C">
            <w:pPr>
              <w:pStyle w:val="Default"/>
              <w:jc w:val="both"/>
              <w:rPr>
                <w:sz w:val="22"/>
                <w:szCs w:val="22"/>
              </w:rPr>
            </w:pPr>
            <w:r w:rsidRPr="002F7A66">
              <w:rPr>
                <w:sz w:val="22"/>
                <w:szCs w:val="22"/>
              </w:rPr>
              <w:t>The Provider shall ensure that onward referral and signposting is carried out in a timely fashion and does not contribute to a delay in treatment, where treatment is required.</w:t>
            </w:r>
          </w:p>
          <w:p w:rsidR="005F1D2C" w:rsidRPr="002F7A66" w:rsidRDefault="005F1D2C" w:rsidP="005F1D2C">
            <w:pPr>
              <w:pStyle w:val="Default"/>
              <w:jc w:val="both"/>
              <w:rPr>
                <w:sz w:val="22"/>
                <w:szCs w:val="22"/>
              </w:rPr>
            </w:pPr>
            <w:r w:rsidRPr="002F7A66">
              <w:rPr>
                <w:sz w:val="22"/>
                <w:szCs w:val="22"/>
              </w:rPr>
              <w:t xml:space="preserve"> </w:t>
            </w:r>
          </w:p>
          <w:p w:rsidR="005F1D2C" w:rsidRDefault="005F1D2C" w:rsidP="005F1D2C">
            <w:pPr>
              <w:pStyle w:val="Default"/>
              <w:jc w:val="both"/>
              <w:rPr>
                <w:sz w:val="22"/>
                <w:szCs w:val="22"/>
              </w:rPr>
            </w:pPr>
            <w:r w:rsidRPr="002F7A66">
              <w:rPr>
                <w:sz w:val="22"/>
                <w:szCs w:val="22"/>
              </w:rPr>
              <w:t xml:space="preserve">In addition, the service shall be accessible to all Health Care Professionals and the Provider shall be required to facilitate and develop robust two-way referral mechanisms so that patients can move easily between different parts of the system when required. </w:t>
            </w:r>
          </w:p>
          <w:p w:rsidR="005F1D2C" w:rsidRPr="002F7A66" w:rsidRDefault="005F1D2C" w:rsidP="005F1D2C">
            <w:pPr>
              <w:pStyle w:val="Default"/>
              <w:jc w:val="both"/>
              <w:rPr>
                <w:sz w:val="22"/>
                <w:szCs w:val="22"/>
              </w:rPr>
            </w:pPr>
          </w:p>
          <w:p w:rsidR="005F1D2C" w:rsidRPr="002F7A66" w:rsidRDefault="005F1D2C" w:rsidP="005F1D2C">
            <w:pPr>
              <w:pStyle w:val="Default"/>
              <w:jc w:val="both"/>
              <w:rPr>
                <w:sz w:val="22"/>
                <w:szCs w:val="22"/>
              </w:rPr>
            </w:pPr>
            <w:r w:rsidRPr="002F7A66">
              <w:rPr>
                <w:sz w:val="22"/>
                <w:szCs w:val="22"/>
              </w:rPr>
              <w:t xml:space="preserve">Key interdependencies include: </w:t>
            </w:r>
          </w:p>
          <w:p w:rsidR="005F1D2C" w:rsidRPr="002F7A66" w:rsidRDefault="005F1D2C" w:rsidP="005F1D2C">
            <w:pPr>
              <w:pStyle w:val="Default"/>
              <w:numPr>
                <w:ilvl w:val="0"/>
                <w:numId w:val="39"/>
              </w:numPr>
              <w:jc w:val="both"/>
              <w:rPr>
                <w:sz w:val="22"/>
                <w:szCs w:val="22"/>
              </w:rPr>
            </w:pPr>
            <w:r>
              <w:rPr>
                <w:sz w:val="22"/>
                <w:szCs w:val="22"/>
              </w:rPr>
              <w:t xml:space="preserve">Brent </w:t>
            </w:r>
            <w:r w:rsidRPr="002F7A66">
              <w:rPr>
                <w:sz w:val="22"/>
                <w:szCs w:val="22"/>
              </w:rPr>
              <w:t xml:space="preserve">CCG GP practices </w:t>
            </w:r>
          </w:p>
          <w:p w:rsidR="005F1D2C" w:rsidRPr="002F7A66" w:rsidRDefault="005F1D2C" w:rsidP="005F1D2C">
            <w:pPr>
              <w:pStyle w:val="Default"/>
              <w:numPr>
                <w:ilvl w:val="0"/>
                <w:numId w:val="39"/>
              </w:numPr>
              <w:jc w:val="both"/>
              <w:rPr>
                <w:sz w:val="22"/>
                <w:szCs w:val="22"/>
              </w:rPr>
            </w:pPr>
            <w:r w:rsidRPr="002F7A66">
              <w:rPr>
                <w:sz w:val="22"/>
                <w:szCs w:val="22"/>
              </w:rPr>
              <w:t xml:space="preserve">Secondary care (including specialist assessment services) </w:t>
            </w:r>
          </w:p>
          <w:p w:rsidR="005F1D2C" w:rsidRPr="002F7A66" w:rsidRDefault="005F1D2C" w:rsidP="005F1D2C">
            <w:pPr>
              <w:pStyle w:val="Default"/>
              <w:numPr>
                <w:ilvl w:val="0"/>
                <w:numId w:val="39"/>
              </w:numPr>
              <w:jc w:val="both"/>
              <w:rPr>
                <w:sz w:val="22"/>
                <w:szCs w:val="22"/>
              </w:rPr>
            </w:pPr>
            <w:r w:rsidRPr="002F7A66">
              <w:rPr>
                <w:sz w:val="22"/>
                <w:szCs w:val="22"/>
              </w:rPr>
              <w:t xml:space="preserve">Community services </w:t>
            </w:r>
          </w:p>
          <w:p w:rsidR="005F1D2C" w:rsidRPr="002F7A66" w:rsidRDefault="005F1D2C" w:rsidP="005F1D2C">
            <w:pPr>
              <w:pStyle w:val="Default"/>
              <w:numPr>
                <w:ilvl w:val="0"/>
                <w:numId w:val="39"/>
              </w:numPr>
              <w:jc w:val="both"/>
              <w:rPr>
                <w:sz w:val="22"/>
                <w:szCs w:val="22"/>
              </w:rPr>
            </w:pPr>
            <w:r w:rsidRPr="002F7A66">
              <w:rPr>
                <w:sz w:val="22"/>
                <w:szCs w:val="22"/>
              </w:rPr>
              <w:t xml:space="preserve">Local CCG Education &amp; Training resources </w:t>
            </w:r>
          </w:p>
          <w:p w:rsidR="005F1D2C" w:rsidRDefault="005F1D2C" w:rsidP="005F1D2C">
            <w:pPr>
              <w:pStyle w:val="Default"/>
              <w:numPr>
                <w:ilvl w:val="0"/>
                <w:numId w:val="39"/>
              </w:numPr>
              <w:jc w:val="both"/>
              <w:rPr>
                <w:sz w:val="22"/>
                <w:szCs w:val="22"/>
              </w:rPr>
            </w:pPr>
            <w:r w:rsidRPr="002F7A66">
              <w:rPr>
                <w:sz w:val="22"/>
                <w:szCs w:val="22"/>
              </w:rPr>
              <w:t xml:space="preserve">Patient and Public Engagement groups </w:t>
            </w:r>
          </w:p>
          <w:p w:rsidR="005F1D2C" w:rsidRDefault="005F1D2C" w:rsidP="005F1D2C">
            <w:pPr>
              <w:pStyle w:val="Default"/>
              <w:numPr>
                <w:ilvl w:val="0"/>
                <w:numId w:val="39"/>
              </w:numPr>
              <w:jc w:val="both"/>
              <w:rPr>
                <w:sz w:val="22"/>
                <w:szCs w:val="22"/>
              </w:rPr>
            </w:pPr>
            <w:r>
              <w:rPr>
                <w:sz w:val="22"/>
                <w:szCs w:val="22"/>
              </w:rPr>
              <w:t xml:space="preserve">Other Community Physiotherapy providers </w:t>
            </w:r>
          </w:p>
          <w:p w:rsidR="005F1D2C" w:rsidRPr="002F7A66" w:rsidRDefault="005F1D2C" w:rsidP="005F1D2C">
            <w:pPr>
              <w:pStyle w:val="Default"/>
              <w:jc w:val="both"/>
              <w:rPr>
                <w:sz w:val="22"/>
                <w:szCs w:val="22"/>
              </w:rPr>
            </w:pPr>
          </w:p>
          <w:p w:rsidR="005F1D2C" w:rsidRPr="002F7A66" w:rsidRDefault="005F1D2C" w:rsidP="005F1D2C">
            <w:pPr>
              <w:pStyle w:val="Default"/>
              <w:jc w:val="both"/>
              <w:rPr>
                <w:sz w:val="22"/>
                <w:szCs w:val="22"/>
              </w:rPr>
            </w:pPr>
          </w:p>
          <w:p w:rsidR="005F1D2C" w:rsidRPr="002F7A66" w:rsidRDefault="005F1D2C" w:rsidP="005F1D2C">
            <w:pPr>
              <w:pStyle w:val="Default"/>
              <w:jc w:val="both"/>
              <w:rPr>
                <w:sz w:val="22"/>
                <w:szCs w:val="22"/>
              </w:rPr>
            </w:pPr>
            <w:r w:rsidRPr="002F7A66">
              <w:rPr>
                <w:sz w:val="22"/>
                <w:szCs w:val="22"/>
              </w:rPr>
              <w:t>The Provider shall develop links with relevant organisations</w:t>
            </w:r>
            <w:r w:rsidR="00BC6B16">
              <w:rPr>
                <w:sz w:val="22"/>
                <w:szCs w:val="22"/>
              </w:rPr>
              <w:t>.</w:t>
            </w:r>
          </w:p>
          <w:p w:rsidR="005F1D2C" w:rsidRDefault="005F1D2C" w:rsidP="005F1D2C">
            <w:pPr>
              <w:pStyle w:val="Default"/>
              <w:jc w:val="both"/>
              <w:rPr>
                <w:sz w:val="22"/>
                <w:szCs w:val="22"/>
              </w:rPr>
            </w:pPr>
            <w:r w:rsidRPr="002F7A66">
              <w:rPr>
                <w:sz w:val="22"/>
                <w:szCs w:val="22"/>
              </w:rPr>
              <w:lastRenderedPageBreak/>
              <w:t xml:space="preserve">The Provider shall be required to be involved in any local networks that are of relevance to this service, such as the local networks relating to the specialty area. </w:t>
            </w:r>
          </w:p>
          <w:p w:rsidR="005F1D2C" w:rsidRPr="006B2BD6" w:rsidRDefault="005F1D2C" w:rsidP="004F778F">
            <w:pPr>
              <w:pStyle w:val="Default"/>
              <w:jc w:val="both"/>
              <w:rPr>
                <w:b/>
                <w:bCs/>
                <w:sz w:val="20"/>
                <w:szCs w:val="20"/>
              </w:rPr>
            </w:pPr>
          </w:p>
        </w:tc>
      </w:tr>
      <w:tr w:rsidR="005F1D2C" w:rsidRPr="00004044" w:rsidTr="002B7B95">
        <w:tc>
          <w:tcPr>
            <w:tcW w:w="9401" w:type="dxa"/>
          </w:tcPr>
          <w:p w:rsidR="005F1D2C" w:rsidRPr="005F1D2C" w:rsidRDefault="005F1D2C" w:rsidP="005F1D2C">
            <w:pPr>
              <w:pStyle w:val="Default"/>
              <w:jc w:val="center"/>
              <w:rPr>
                <w:b/>
                <w:bCs/>
                <w:sz w:val="22"/>
                <w:szCs w:val="22"/>
              </w:rPr>
            </w:pPr>
            <w:r w:rsidRPr="002F7A66">
              <w:rPr>
                <w:b/>
                <w:bCs/>
                <w:sz w:val="22"/>
                <w:szCs w:val="22"/>
              </w:rPr>
              <w:lastRenderedPageBreak/>
              <w:t>Equipment</w:t>
            </w:r>
          </w:p>
        </w:tc>
      </w:tr>
      <w:tr w:rsidR="005F1D2C" w:rsidRPr="00004044" w:rsidTr="002B7B95">
        <w:tc>
          <w:tcPr>
            <w:tcW w:w="9401" w:type="dxa"/>
          </w:tcPr>
          <w:p w:rsidR="005F1D2C" w:rsidRPr="002F7A66" w:rsidRDefault="005F1D2C" w:rsidP="005F1D2C">
            <w:pPr>
              <w:pStyle w:val="Default"/>
              <w:jc w:val="both"/>
              <w:rPr>
                <w:sz w:val="22"/>
                <w:szCs w:val="22"/>
              </w:rPr>
            </w:pPr>
          </w:p>
          <w:p w:rsidR="005F1D2C" w:rsidRPr="009C323A" w:rsidRDefault="005F1D2C" w:rsidP="005F1D2C">
            <w:pPr>
              <w:pStyle w:val="Default"/>
              <w:jc w:val="both"/>
              <w:rPr>
                <w:color w:val="000000" w:themeColor="text1"/>
                <w:sz w:val="22"/>
                <w:szCs w:val="22"/>
              </w:rPr>
            </w:pPr>
            <w:r w:rsidRPr="009C323A">
              <w:rPr>
                <w:color w:val="000000" w:themeColor="text1"/>
                <w:sz w:val="22"/>
                <w:szCs w:val="22"/>
              </w:rPr>
              <w:t xml:space="preserve">If the Provider assesses that the patient needs simple equipment as part of their episode of care and treatment plan, , such as a walking stick, simple ready-made splints , strapping or taping, then these shall be provided to the patient, at no charge by the Provider. </w:t>
            </w:r>
          </w:p>
          <w:p w:rsidR="005F1D2C" w:rsidRPr="009C323A" w:rsidRDefault="005F1D2C" w:rsidP="005F1D2C">
            <w:pPr>
              <w:pStyle w:val="Default"/>
              <w:spacing w:after="200" w:line="276" w:lineRule="auto"/>
              <w:jc w:val="both"/>
              <w:rPr>
                <w:color w:val="000000" w:themeColor="text1"/>
                <w:sz w:val="22"/>
                <w:szCs w:val="22"/>
              </w:rPr>
            </w:pPr>
          </w:p>
          <w:p w:rsidR="005F1D2C" w:rsidRPr="009C323A" w:rsidRDefault="005F1D2C" w:rsidP="005F1D2C">
            <w:pPr>
              <w:pStyle w:val="Default"/>
              <w:spacing w:after="200" w:line="276" w:lineRule="auto"/>
              <w:jc w:val="both"/>
              <w:rPr>
                <w:color w:val="000000" w:themeColor="text1"/>
                <w:sz w:val="22"/>
                <w:szCs w:val="22"/>
              </w:rPr>
            </w:pPr>
            <w:r w:rsidRPr="009C323A">
              <w:rPr>
                <w:color w:val="000000" w:themeColor="text1"/>
                <w:sz w:val="22"/>
                <w:szCs w:val="22"/>
              </w:rPr>
              <w:t xml:space="preserve">The cost of providing this equipment shall be included in the attendance fee. </w:t>
            </w:r>
          </w:p>
          <w:p w:rsidR="005F1D2C" w:rsidRPr="009C323A" w:rsidRDefault="005F1D2C" w:rsidP="005F1D2C">
            <w:pPr>
              <w:pStyle w:val="Default"/>
              <w:spacing w:after="200" w:line="276" w:lineRule="auto"/>
              <w:jc w:val="both"/>
              <w:rPr>
                <w:color w:val="000000" w:themeColor="text1"/>
                <w:sz w:val="22"/>
                <w:szCs w:val="22"/>
              </w:rPr>
            </w:pPr>
            <w:r w:rsidRPr="009C323A">
              <w:rPr>
                <w:color w:val="000000" w:themeColor="text1"/>
                <w:sz w:val="22"/>
                <w:szCs w:val="22"/>
              </w:rPr>
              <w:t xml:space="preserve">The Provider shall refer to specialist services, such as Biomechanics and Orthotics, for consideration for the provision of more specialist or bespoke equipment and appliances. </w:t>
            </w:r>
          </w:p>
          <w:p w:rsidR="005F1D2C" w:rsidRPr="009C323A" w:rsidRDefault="005F1D2C" w:rsidP="005F1D2C">
            <w:pPr>
              <w:pStyle w:val="Default"/>
              <w:spacing w:after="200" w:line="276" w:lineRule="auto"/>
              <w:jc w:val="both"/>
              <w:rPr>
                <w:color w:val="000000" w:themeColor="text1"/>
                <w:sz w:val="22"/>
                <w:szCs w:val="22"/>
              </w:rPr>
            </w:pPr>
            <w:r w:rsidRPr="009C323A">
              <w:rPr>
                <w:color w:val="000000" w:themeColor="text1"/>
                <w:sz w:val="22"/>
                <w:szCs w:val="22"/>
              </w:rPr>
              <w:t xml:space="preserve">The Provider shall refer to Community Services for any aids or appliances for home use if clinical needs dictate, e.g. rails on stairs, equipment for bathing and toileting. </w:t>
            </w:r>
          </w:p>
          <w:p w:rsidR="005F1D2C" w:rsidRPr="002F7A66" w:rsidRDefault="005F1D2C" w:rsidP="005F1D2C">
            <w:pPr>
              <w:pStyle w:val="Default"/>
              <w:jc w:val="both"/>
              <w:rPr>
                <w:sz w:val="22"/>
                <w:szCs w:val="22"/>
              </w:rPr>
            </w:pPr>
          </w:p>
        </w:tc>
      </w:tr>
      <w:tr w:rsidR="005F1D2C" w:rsidRPr="00004044" w:rsidTr="002B7B95">
        <w:tc>
          <w:tcPr>
            <w:tcW w:w="9401" w:type="dxa"/>
          </w:tcPr>
          <w:p w:rsidR="005F1D2C" w:rsidRPr="005F1D2C" w:rsidRDefault="005F1D2C" w:rsidP="005F1D2C">
            <w:pPr>
              <w:pStyle w:val="Default"/>
              <w:jc w:val="center"/>
              <w:rPr>
                <w:b/>
                <w:bCs/>
                <w:sz w:val="22"/>
                <w:szCs w:val="22"/>
              </w:rPr>
            </w:pPr>
            <w:r w:rsidRPr="002F7A66">
              <w:rPr>
                <w:b/>
                <w:bCs/>
                <w:sz w:val="22"/>
                <w:szCs w:val="22"/>
              </w:rPr>
              <w:t>Communication</w:t>
            </w:r>
            <w:r>
              <w:rPr>
                <w:b/>
                <w:bCs/>
                <w:sz w:val="22"/>
                <w:szCs w:val="22"/>
              </w:rPr>
              <w:t xml:space="preserve"> </w:t>
            </w:r>
            <w:r w:rsidRPr="002F7A66">
              <w:rPr>
                <w:b/>
                <w:bCs/>
                <w:sz w:val="22"/>
                <w:szCs w:val="22"/>
              </w:rPr>
              <w:t>marketing and highlighting services</w:t>
            </w:r>
          </w:p>
        </w:tc>
      </w:tr>
      <w:tr w:rsidR="005F1D2C" w:rsidRPr="00004044" w:rsidTr="002B7B95">
        <w:tc>
          <w:tcPr>
            <w:tcW w:w="9401" w:type="dxa"/>
          </w:tcPr>
          <w:p w:rsidR="005F1D2C" w:rsidRPr="002F7A66" w:rsidRDefault="005F1D2C" w:rsidP="005F1D2C">
            <w:pPr>
              <w:pStyle w:val="Default"/>
              <w:jc w:val="both"/>
              <w:rPr>
                <w:sz w:val="22"/>
                <w:szCs w:val="22"/>
              </w:rPr>
            </w:pPr>
          </w:p>
          <w:p w:rsidR="005F1D2C" w:rsidRPr="006836BA" w:rsidRDefault="005F1D2C" w:rsidP="005F1D2C">
            <w:pPr>
              <w:spacing w:after="0" w:line="240" w:lineRule="auto"/>
              <w:jc w:val="both"/>
              <w:rPr>
                <w:rFonts w:ascii="Arial" w:hAnsi="Arial" w:cs="Arial"/>
              </w:rPr>
            </w:pPr>
            <w:r w:rsidRPr="006836BA">
              <w:rPr>
                <w:rFonts w:ascii="Arial" w:hAnsi="Arial" w:cs="Arial"/>
              </w:rPr>
              <w:t>All members of the local health system should be informed about the use of the pathways for referral and signposting. This may include, but shall not be limited to:-</w:t>
            </w:r>
          </w:p>
          <w:p w:rsidR="005F1D2C" w:rsidRPr="006836BA" w:rsidRDefault="005F1D2C" w:rsidP="005F1D2C">
            <w:pPr>
              <w:spacing w:after="0" w:line="240" w:lineRule="auto"/>
              <w:jc w:val="both"/>
              <w:rPr>
                <w:rFonts w:ascii="Arial" w:hAnsi="Arial" w:cs="Arial"/>
              </w:rPr>
            </w:pPr>
          </w:p>
          <w:p w:rsidR="005F1D2C" w:rsidRPr="006836BA" w:rsidRDefault="005F1D2C" w:rsidP="006836BA">
            <w:pPr>
              <w:pStyle w:val="Default"/>
              <w:numPr>
                <w:ilvl w:val="0"/>
                <w:numId w:val="52"/>
              </w:numPr>
              <w:jc w:val="both"/>
              <w:rPr>
                <w:sz w:val="22"/>
                <w:szCs w:val="22"/>
              </w:rPr>
            </w:pPr>
            <w:r w:rsidRPr="006836BA">
              <w:rPr>
                <w:sz w:val="22"/>
                <w:szCs w:val="22"/>
              </w:rPr>
              <w:t>visiting GP Practices to promote pathways and gain feedback on issues</w:t>
            </w:r>
          </w:p>
          <w:p w:rsidR="005F1D2C" w:rsidRPr="006836BA" w:rsidRDefault="005F1D2C" w:rsidP="005F1D2C">
            <w:pPr>
              <w:pStyle w:val="Default"/>
              <w:numPr>
                <w:ilvl w:val="0"/>
                <w:numId w:val="40"/>
              </w:numPr>
              <w:jc w:val="both"/>
              <w:rPr>
                <w:sz w:val="22"/>
                <w:szCs w:val="22"/>
              </w:rPr>
            </w:pPr>
            <w:r w:rsidRPr="006836BA">
              <w:rPr>
                <w:sz w:val="22"/>
                <w:szCs w:val="22"/>
              </w:rPr>
              <w:t xml:space="preserve">creating service information leaflets - for patients and GPs </w:t>
            </w:r>
          </w:p>
          <w:p w:rsidR="005F1D2C" w:rsidRPr="006836BA" w:rsidRDefault="005F1D2C" w:rsidP="005F1D2C">
            <w:pPr>
              <w:pStyle w:val="Default"/>
              <w:numPr>
                <w:ilvl w:val="0"/>
                <w:numId w:val="40"/>
              </w:numPr>
              <w:jc w:val="both"/>
              <w:rPr>
                <w:sz w:val="22"/>
                <w:szCs w:val="22"/>
              </w:rPr>
            </w:pPr>
            <w:r w:rsidRPr="006836BA">
              <w:rPr>
                <w:sz w:val="22"/>
                <w:szCs w:val="22"/>
              </w:rPr>
              <w:t xml:space="preserve">organising, and/or, attending events to promote best use of the pathways </w:t>
            </w:r>
          </w:p>
          <w:p w:rsidR="005F1D2C" w:rsidRPr="006836BA" w:rsidRDefault="005F1D2C" w:rsidP="005F1D2C">
            <w:pPr>
              <w:pStyle w:val="Default"/>
              <w:jc w:val="both"/>
              <w:rPr>
                <w:sz w:val="22"/>
                <w:szCs w:val="22"/>
              </w:rPr>
            </w:pPr>
          </w:p>
          <w:p w:rsidR="006836BA" w:rsidRPr="006836BA" w:rsidRDefault="006836BA" w:rsidP="006836BA">
            <w:pPr>
              <w:jc w:val="both"/>
              <w:rPr>
                <w:rFonts w:ascii="Arial" w:hAnsi="Arial" w:cs="Arial"/>
              </w:rPr>
            </w:pPr>
            <w:r w:rsidRPr="006836BA">
              <w:rPr>
                <w:rFonts w:ascii="Arial" w:hAnsi="Arial" w:cs="Arial"/>
              </w:rPr>
              <w:t>The production of patient information leaflets will be the responsibility of the Service Provider.  The information should be appropriate for the requirements of a patient’s age, sex, ethnic origin, religion or disability.  The service should make available any literature produced by the patient support groups and display addresses and points of contact.</w:t>
            </w:r>
          </w:p>
          <w:p w:rsidR="006836BA" w:rsidRPr="006836BA" w:rsidRDefault="006836BA" w:rsidP="006836BA">
            <w:pPr>
              <w:jc w:val="both"/>
              <w:rPr>
                <w:rFonts w:ascii="Arial" w:hAnsi="Arial" w:cs="Arial"/>
              </w:rPr>
            </w:pPr>
            <w:r w:rsidRPr="006836BA">
              <w:rPr>
                <w:rFonts w:ascii="Arial" w:hAnsi="Arial" w:cs="Arial"/>
              </w:rPr>
              <w:t>The Service Provider must offer appropriate education and advice for all newly diagnosed/treated patients upon the management of the musculoskeletal condition.  This should be through both direct and indirect contact (e.g. telephone, internet or other means) and must include written information, where appropriate.</w:t>
            </w:r>
          </w:p>
          <w:p w:rsidR="006836BA" w:rsidRPr="006836BA" w:rsidRDefault="006836BA" w:rsidP="006836BA">
            <w:pPr>
              <w:jc w:val="both"/>
              <w:rPr>
                <w:rFonts w:ascii="Arial" w:hAnsi="Arial" w:cs="Arial"/>
              </w:rPr>
            </w:pPr>
            <w:r w:rsidRPr="006836BA">
              <w:rPr>
                <w:rFonts w:ascii="Arial" w:hAnsi="Arial" w:cs="Arial"/>
              </w:rPr>
              <w:t>The Service Provider is to take reasonable steps to ensure that patients are aware of:</w:t>
            </w:r>
          </w:p>
          <w:p w:rsidR="006836BA" w:rsidRPr="006836BA" w:rsidRDefault="006836BA" w:rsidP="006836BA">
            <w:pPr>
              <w:numPr>
                <w:ilvl w:val="0"/>
                <w:numId w:val="51"/>
              </w:numPr>
              <w:spacing w:after="0" w:line="240" w:lineRule="auto"/>
              <w:jc w:val="both"/>
              <w:rPr>
                <w:rFonts w:ascii="Arial" w:hAnsi="Arial" w:cs="Arial"/>
              </w:rPr>
            </w:pPr>
            <w:r w:rsidRPr="006836BA">
              <w:rPr>
                <w:rFonts w:ascii="Arial" w:hAnsi="Arial" w:cs="Arial"/>
              </w:rPr>
              <w:t>The complaints procedure, taking cognisance of language and communication requirements</w:t>
            </w:r>
          </w:p>
          <w:p w:rsidR="006836BA" w:rsidRPr="006836BA" w:rsidRDefault="006836BA" w:rsidP="006836BA">
            <w:pPr>
              <w:numPr>
                <w:ilvl w:val="0"/>
                <w:numId w:val="51"/>
              </w:numPr>
              <w:spacing w:after="0" w:line="240" w:lineRule="auto"/>
              <w:jc w:val="both"/>
              <w:rPr>
                <w:rFonts w:ascii="Arial" w:hAnsi="Arial" w:cs="Arial"/>
              </w:rPr>
            </w:pPr>
            <w:r w:rsidRPr="006836BA">
              <w:rPr>
                <w:rFonts w:ascii="Arial" w:hAnsi="Arial" w:cs="Arial"/>
              </w:rPr>
              <w:t>The role of the CCG and other bodies in relation to complaints about services under the contract and whatever relevant legislation is currently in force</w:t>
            </w:r>
          </w:p>
          <w:p w:rsidR="006836BA" w:rsidRPr="006836BA" w:rsidRDefault="006836BA" w:rsidP="006836BA">
            <w:pPr>
              <w:numPr>
                <w:ilvl w:val="0"/>
                <w:numId w:val="51"/>
              </w:numPr>
              <w:spacing w:after="0" w:line="240" w:lineRule="auto"/>
              <w:jc w:val="both"/>
              <w:rPr>
                <w:rFonts w:ascii="Arial" w:hAnsi="Arial" w:cs="Arial"/>
              </w:rPr>
            </w:pPr>
            <w:r w:rsidRPr="006836BA">
              <w:rPr>
                <w:rFonts w:ascii="Arial" w:hAnsi="Arial" w:cs="Arial"/>
              </w:rPr>
              <w:t>The right to assistance with any complaint form via independent advocacy services, as is statutorily provided</w:t>
            </w:r>
          </w:p>
          <w:p w:rsidR="006836BA" w:rsidRPr="006836BA" w:rsidRDefault="006836BA" w:rsidP="006836BA">
            <w:pPr>
              <w:jc w:val="both"/>
              <w:rPr>
                <w:rFonts w:ascii="Arial" w:hAnsi="Arial" w:cs="Arial"/>
              </w:rPr>
            </w:pPr>
          </w:p>
          <w:p w:rsidR="006836BA" w:rsidRPr="006836BA" w:rsidRDefault="006836BA" w:rsidP="005F1D2C">
            <w:pPr>
              <w:pStyle w:val="Default"/>
              <w:jc w:val="both"/>
              <w:rPr>
                <w:sz w:val="22"/>
                <w:szCs w:val="22"/>
              </w:rPr>
            </w:pPr>
            <w:r w:rsidRPr="006836BA">
              <w:rPr>
                <w:sz w:val="22"/>
                <w:szCs w:val="22"/>
              </w:rPr>
              <w:t xml:space="preserve">The Service Provider must establish a Patient Focus Group.  The terms of reference for this group should include the </w:t>
            </w:r>
            <w:r w:rsidR="00761A3D" w:rsidRPr="006836BA">
              <w:rPr>
                <w:sz w:val="22"/>
                <w:szCs w:val="22"/>
              </w:rPr>
              <w:t>on-going</w:t>
            </w:r>
            <w:r w:rsidRPr="006836BA">
              <w:rPr>
                <w:sz w:val="22"/>
                <w:szCs w:val="22"/>
              </w:rPr>
              <w:t xml:space="preserve"> evaluation of the change in service provision for physiotherapy services.  The group should meet at least twice yearly to review the findings of the patient satisfaction survey.  The Service Provider must demonstrate that any findings are discussed with the commissioners of the service and are actioned.</w:t>
            </w:r>
          </w:p>
          <w:p w:rsidR="006836BA" w:rsidRPr="002F7A66" w:rsidRDefault="006836BA" w:rsidP="005F1D2C">
            <w:pPr>
              <w:pStyle w:val="Default"/>
              <w:jc w:val="both"/>
              <w:rPr>
                <w:sz w:val="22"/>
                <w:szCs w:val="22"/>
              </w:rPr>
            </w:pPr>
          </w:p>
        </w:tc>
      </w:tr>
      <w:tr w:rsidR="00110D84" w:rsidRPr="00004044" w:rsidTr="002B7B95">
        <w:tc>
          <w:tcPr>
            <w:tcW w:w="9401" w:type="dxa"/>
          </w:tcPr>
          <w:p w:rsidR="00110D84" w:rsidRPr="002F7A66" w:rsidRDefault="00110D84" w:rsidP="005F1D2C">
            <w:pPr>
              <w:spacing w:after="0" w:line="240" w:lineRule="auto"/>
              <w:jc w:val="center"/>
            </w:pPr>
            <w:r w:rsidRPr="00CE7424">
              <w:rPr>
                <w:rFonts w:ascii="Arial" w:hAnsi="Arial" w:cs="Arial"/>
                <w:b/>
              </w:rPr>
              <w:lastRenderedPageBreak/>
              <w:t>Applicable National Service Standards and Quality Requirements</w:t>
            </w:r>
          </w:p>
        </w:tc>
      </w:tr>
      <w:tr w:rsidR="006161EB" w:rsidRPr="00004044" w:rsidTr="002B7B95">
        <w:tc>
          <w:tcPr>
            <w:tcW w:w="9401" w:type="dxa"/>
          </w:tcPr>
          <w:p w:rsidR="00E432EB" w:rsidRPr="00004044" w:rsidRDefault="00E432EB" w:rsidP="00004044">
            <w:pPr>
              <w:spacing w:after="0" w:line="240" w:lineRule="auto"/>
              <w:jc w:val="both"/>
              <w:rPr>
                <w:rFonts w:ascii="Arial" w:hAnsi="Arial" w:cs="Arial"/>
                <w:b/>
              </w:rPr>
            </w:pPr>
          </w:p>
          <w:p w:rsidR="004F778F" w:rsidRPr="00E442AA" w:rsidRDefault="004F778F" w:rsidP="004F778F">
            <w:pPr>
              <w:pStyle w:val="Default"/>
              <w:jc w:val="both"/>
              <w:rPr>
                <w:sz w:val="22"/>
                <w:szCs w:val="22"/>
              </w:rPr>
            </w:pPr>
            <w:r w:rsidRPr="00E442AA">
              <w:rPr>
                <w:sz w:val="22"/>
                <w:szCs w:val="22"/>
              </w:rPr>
              <w:t xml:space="preserve">The Provider shall deliver services in accordance with best practice in health care and shall comply in all respects with the standards and recommendations contained in:- </w:t>
            </w:r>
          </w:p>
          <w:p w:rsidR="00E442AA" w:rsidRDefault="00E442AA" w:rsidP="004F778F">
            <w:pPr>
              <w:pStyle w:val="Default"/>
              <w:jc w:val="both"/>
              <w:rPr>
                <w:sz w:val="22"/>
                <w:szCs w:val="22"/>
              </w:rPr>
            </w:pPr>
          </w:p>
          <w:p w:rsidR="00E442AA" w:rsidRDefault="004F778F" w:rsidP="00E442AA">
            <w:pPr>
              <w:pStyle w:val="Default"/>
              <w:numPr>
                <w:ilvl w:val="0"/>
                <w:numId w:val="41"/>
              </w:numPr>
              <w:jc w:val="both"/>
              <w:rPr>
                <w:sz w:val="22"/>
                <w:szCs w:val="22"/>
              </w:rPr>
            </w:pPr>
            <w:r w:rsidRPr="00E442AA">
              <w:rPr>
                <w:sz w:val="22"/>
                <w:szCs w:val="22"/>
              </w:rPr>
              <w:t xml:space="preserve">Registration with the Health and Care Professions Council and compliance with their guidance including Standards of proficiency – Physiotherapists </w:t>
            </w:r>
            <w:hyperlink r:id="rId10" w:history="1">
              <w:r w:rsidR="00E442AA" w:rsidRPr="00E442AA">
                <w:rPr>
                  <w:rStyle w:val="Hyperlink"/>
                  <w:sz w:val="22"/>
                  <w:szCs w:val="22"/>
                </w:rPr>
                <w:t>http://www.hpc-uk.org/assets/documents/10000DBCStandards_of_Proficiency_Physiotherapists.pdf</w:t>
              </w:r>
            </w:hyperlink>
          </w:p>
          <w:p w:rsidR="00E442AA" w:rsidRDefault="004F778F" w:rsidP="00E442AA">
            <w:pPr>
              <w:pStyle w:val="Default"/>
              <w:numPr>
                <w:ilvl w:val="0"/>
                <w:numId w:val="41"/>
              </w:numPr>
              <w:jc w:val="both"/>
              <w:rPr>
                <w:sz w:val="22"/>
                <w:szCs w:val="22"/>
              </w:rPr>
            </w:pPr>
            <w:r w:rsidRPr="00E442AA">
              <w:rPr>
                <w:sz w:val="22"/>
                <w:szCs w:val="22"/>
              </w:rPr>
              <w:t xml:space="preserve">The Chartered Society of Physiotherapists (CSP) including Core Standards of physiotherapy practice http://www.csp.org.uk/publications/core-standards-physiotherapy-practice; Scope of Physiotherapy Practice http://www.csp.org.uk/sites/files/csp/secure/PD001%20Scope%20of%20Practice%202008.pdf and Rules of Professional Conduct </w:t>
            </w:r>
            <w:hyperlink r:id="rId11" w:history="1">
              <w:r w:rsidR="00E442AA" w:rsidRPr="00E442AA">
                <w:rPr>
                  <w:rStyle w:val="Hyperlink"/>
                  <w:sz w:val="22"/>
                  <w:szCs w:val="22"/>
                </w:rPr>
                <w:t>http://www.csp.org.uk/professional-union/professionalism/csp-expectations-members/professional-rules</w:t>
              </w:r>
            </w:hyperlink>
          </w:p>
          <w:p w:rsidR="00E442AA" w:rsidRDefault="00E442AA" w:rsidP="00E442AA">
            <w:pPr>
              <w:pStyle w:val="ListParagraph"/>
            </w:pPr>
          </w:p>
          <w:p w:rsidR="00E442AA" w:rsidRDefault="004F778F" w:rsidP="00E442AA">
            <w:pPr>
              <w:pStyle w:val="Default"/>
              <w:numPr>
                <w:ilvl w:val="0"/>
                <w:numId w:val="41"/>
              </w:numPr>
              <w:jc w:val="both"/>
              <w:rPr>
                <w:sz w:val="22"/>
                <w:szCs w:val="22"/>
              </w:rPr>
            </w:pPr>
            <w:r w:rsidRPr="00E442AA">
              <w:rPr>
                <w:sz w:val="22"/>
                <w:szCs w:val="22"/>
              </w:rPr>
              <w:t>The local pathway that shall be made available through Map of Medicine, (where available)</w:t>
            </w:r>
          </w:p>
          <w:p w:rsidR="00E442AA" w:rsidRDefault="004F778F" w:rsidP="006836BA">
            <w:pPr>
              <w:pStyle w:val="Default"/>
              <w:numPr>
                <w:ilvl w:val="0"/>
                <w:numId w:val="41"/>
              </w:numPr>
              <w:jc w:val="both"/>
            </w:pPr>
            <w:r w:rsidRPr="00E442AA">
              <w:rPr>
                <w:sz w:val="22"/>
                <w:szCs w:val="22"/>
              </w:rPr>
              <w:t>All recognised clinical service standards such as evidence based clinical guidelines from the CSP and other similar bodies</w:t>
            </w:r>
          </w:p>
          <w:p w:rsidR="00E442AA" w:rsidRDefault="004F778F" w:rsidP="00E442AA">
            <w:pPr>
              <w:pStyle w:val="Default"/>
              <w:numPr>
                <w:ilvl w:val="0"/>
                <w:numId w:val="41"/>
              </w:numPr>
              <w:jc w:val="both"/>
              <w:rPr>
                <w:sz w:val="22"/>
                <w:szCs w:val="22"/>
              </w:rPr>
            </w:pPr>
            <w:r w:rsidRPr="00E442AA">
              <w:rPr>
                <w:sz w:val="22"/>
                <w:szCs w:val="22"/>
              </w:rPr>
              <w:t>Care Quality Commission registration standards (where applicable i.e. the provider is within scope of registration)</w:t>
            </w:r>
          </w:p>
          <w:p w:rsidR="00E442AA" w:rsidRDefault="004F778F" w:rsidP="00E442AA">
            <w:pPr>
              <w:pStyle w:val="Default"/>
              <w:numPr>
                <w:ilvl w:val="0"/>
                <w:numId w:val="41"/>
              </w:numPr>
              <w:jc w:val="both"/>
              <w:rPr>
                <w:sz w:val="22"/>
                <w:szCs w:val="22"/>
              </w:rPr>
            </w:pPr>
            <w:r w:rsidRPr="00E442AA">
              <w:rPr>
                <w:sz w:val="22"/>
                <w:szCs w:val="22"/>
              </w:rPr>
              <w:t xml:space="preserve">National Institute for Health and Clinical Excellence guidance, </w:t>
            </w:r>
          </w:p>
          <w:p w:rsidR="00E442AA" w:rsidRDefault="00E442AA" w:rsidP="00E442AA">
            <w:pPr>
              <w:pStyle w:val="Default"/>
              <w:jc w:val="both"/>
              <w:rPr>
                <w:sz w:val="22"/>
                <w:szCs w:val="22"/>
              </w:rPr>
            </w:pPr>
          </w:p>
          <w:p w:rsidR="00E442AA" w:rsidRDefault="00E442AA" w:rsidP="00E442AA">
            <w:pPr>
              <w:pStyle w:val="Default"/>
              <w:jc w:val="both"/>
              <w:rPr>
                <w:sz w:val="22"/>
                <w:szCs w:val="22"/>
              </w:rPr>
            </w:pPr>
            <w:r w:rsidRPr="00215A05">
              <w:rPr>
                <w:sz w:val="22"/>
                <w:szCs w:val="22"/>
              </w:rPr>
              <w:t xml:space="preserve">NICE Guidance, Osteoarthritis: The Care and Management of Osteoarthritis in Adults. February, 2014. </w:t>
            </w:r>
          </w:p>
          <w:p w:rsidR="00E442AA" w:rsidRPr="00215A05" w:rsidRDefault="00E442AA" w:rsidP="00E442AA">
            <w:pPr>
              <w:pStyle w:val="Default"/>
              <w:jc w:val="both"/>
              <w:rPr>
                <w:sz w:val="22"/>
                <w:szCs w:val="22"/>
              </w:rPr>
            </w:pPr>
          </w:p>
          <w:p w:rsidR="00E442AA" w:rsidRDefault="00E442AA" w:rsidP="00E442AA">
            <w:pPr>
              <w:pStyle w:val="Default"/>
              <w:jc w:val="both"/>
              <w:rPr>
                <w:sz w:val="22"/>
                <w:szCs w:val="22"/>
              </w:rPr>
            </w:pPr>
            <w:r w:rsidRPr="00215A05">
              <w:rPr>
                <w:sz w:val="22"/>
                <w:szCs w:val="22"/>
              </w:rPr>
              <w:t xml:space="preserve">NICE Guidance, Rheumatoid Arthritis: The Management of Rheumatoid Arthritis in Adults, February, 2009. </w:t>
            </w:r>
          </w:p>
          <w:p w:rsidR="00E442AA" w:rsidRPr="00215A05" w:rsidRDefault="00E442AA" w:rsidP="00E442AA">
            <w:pPr>
              <w:pStyle w:val="Default"/>
              <w:jc w:val="both"/>
              <w:rPr>
                <w:sz w:val="22"/>
                <w:szCs w:val="22"/>
              </w:rPr>
            </w:pPr>
          </w:p>
          <w:p w:rsidR="00E442AA" w:rsidRDefault="00761A3D" w:rsidP="00E442AA">
            <w:pPr>
              <w:pStyle w:val="Default"/>
              <w:jc w:val="both"/>
              <w:rPr>
                <w:sz w:val="22"/>
                <w:szCs w:val="22"/>
              </w:rPr>
            </w:pPr>
            <w:r w:rsidRPr="00215A05">
              <w:rPr>
                <w:sz w:val="22"/>
                <w:szCs w:val="22"/>
              </w:rPr>
              <w:t>NICE Pathway–Musculoskeletal</w:t>
            </w:r>
            <w:r>
              <w:rPr>
                <w:sz w:val="22"/>
                <w:szCs w:val="22"/>
              </w:rPr>
              <w:t xml:space="preserve"> </w:t>
            </w:r>
            <w:r w:rsidRPr="00215A05">
              <w:rPr>
                <w:sz w:val="22"/>
                <w:szCs w:val="22"/>
              </w:rPr>
              <w:t>Conditions (</w:t>
            </w:r>
            <w:hyperlink r:id="rId12" w:history="1">
              <w:r w:rsidRPr="00215A05">
                <w:rPr>
                  <w:rStyle w:val="Hyperlink"/>
                  <w:sz w:val="22"/>
                  <w:szCs w:val="22"/>
                </w:rPr>
                <w:t>http://pathways.nice.org.uk/pathways/musculoskeletal-conditions</w:t>
              </w:r>
            </w:hyperlink>
            <w:r w:rsidRPr="00215A05">
              <w:rPr>
                <w:sz w:val="22"/>
                <w:szCs w:val="22"/>
              </w:rPr>
              <w:t>)</w:t>
            </w:r>
          </w:p>
          <w:p w:rsidR="00E442AA" w:rsidRDefault="00E442AA" w:rsidP="00E442AA">
            <w:pPr>
              <w:pStyle w:val="ListParagraph"/>
            </w:pPr>
          </w:p>
          <w:p w:rsidR="00E442AA" w:rsidRPr="00E442AA" w:rsidRDefault="00E442AA" w:rsidP="00E442AA">
            <w:pPr>
              <w:pStyle w:val="Default"/>
              <w:numPr>
                <w:ilvl w:val="0"/>
                <w:numId w:val="41"/>
              </w:numPr>
              <w:jc w:val="both"/>
              <w:rPr>
                <w:sz w:val="22"/>
                <w:szCs w:val="22"/>
              </w:rPr>
            </w:pPr>
            <w:r w:rsidRPr="00E442AA">
              <w:rPr>
                <w:sz w:val="22"/>
                <w:szCs w:val="22"/>
              </w:rPr>
              <w:t xml:space="preserve">National Service Frameworks and national strategies </w:t>
            </w:r>
          </w:p>
          <w:p w:rsidR="00E442AA" w:rsidRPr="00215A05" w:rsidRDefault="00E442AA" w:rsidP="00E442AA">
            <w:pPr>
              <w:pStyle w:val="Default"/>
              <w:jc w:val="both"/>
              <w:rPr>
                <w:sz w:val="22"/>
                <w:szCs w:val="22"/>
              </w:rPr>
            </w:pPr>
          </w:p>
          <w:p w:rsidR="00E442AA" w:rsidRPr="00215A05" w:rsidRDefault="00E442AA" w:rsidP="00E442AA">
            <w:pPr>
              <w:pStyle w:val="Default"/>
              <w:jc w:val="both"/>
              <w:rPr>
                <w:sz w:val="22"/>
                <w:szCs w:val="22"/>
              </w:rPr>
            </w:pPr>
            <w:r w:rsidRPr="00215A05">
              <w:rPr>
                <w:sz w:val="22"/>
                <w:szCs w:val="22"/>
              </w:rPr>
              <w:t xml:space="preserve">National Services Frameworks (Long Term Conditions, 2005, Older People, 2001) </w:t>
            </w:r>
          </w:p>
          <w:p w:rsidR="00E442AA" w:rsidRDefault="00E442AA" w:rsidP="00E442AA">
            <w:pPr>
              <w:pStyle w:val="Default"/>
              <w:jc w:val="both"/>
              <w:rPr>
                <w:sz w:val="22"/>
                <w:szCs w:val="22"/>
              </w:rPr>
            </w:pPr>
            <w:r w:rsidRPr="00215A05">
              <w:rPr>
                <w:sz w:val="22"/>
                <w:szCs w:val="22"/>
              </w:rPr>
              <w:t>Musculoskeletal Service Framework - A joint responsibility: Doing it Differently, Department of Health (2006).</w:t>
            </w:r>
          </w:p>
          <w:p w:rsidR="00E442AA" w:rsidRDefault="00E442AA" w:rsidP="00E442AA">
            <w:pPr>
              <w:pStyle w:val="Default"/>
              <w:jc w:val="both"/>
              <w:rPr>
                <w:sz w:val="22"/>
                <w:szCs w:val="22"/>
              </w:rPr>
            </w:pPr>
          </w:p>
          <w:p w:rsidR="00E442AA" w:rsidRDefault="00E442AA" w:rsidP="00E442AA">
            <w:pPr>
              <w:pStyle w:val="Default"/>
              <w:numPr>
                <w:ilvl w:val="0"/>
                <w:numId w:val="41"/>
              </w:numPr>
              <w:jc w:val="both"/>
              <w:rPr>
                <w:sz w:val="22"/>
                <w:szCs w:val="22"/>
              </w:rPr>
            </w:pPr>
            <w:r w:rsidRPr="00215A05">
              <w:rPr>
                <w:sz w:val="22"/>
                <w:szCs w:val="22"/>
              </w:rPr>
              <w:t>National Patient Safety alerts and guidance</w:t>
            </w:r>
          </w:p>
          <w:p w:rsidR="00E442AA" w:rsidRDefault="00E442AA" w:rsidP="00E442AA">
            <w:pPr>
              <w:pStyle w:val="Default"/>
              <w:ind w:left="720"/>
              <w:jc w:val="both"/>
              <w:rPr>
                <w:sz w:val="22"/>
                <w:szCs w:val="22"/>
              </w:rPr>
            </w:pPr>
          </w:p>
          <w:p w:rsidR="00E442AA" w:rsidRDefault="00E442AA" w:rsidP="00E442AA">
            <w:pPr>
              <w:pStyle w:val="Default"/>
              <w:numPr>
                <w:ilvl w:val="0"/>
                <w:numId w:val="41"/>
              </w:numPr>
              <w:jc w:val="both"/>
              <w:rPr>
                <w:sz w:val="22"/>
                <w:szCs w:val="22"/>
              </w:rPr>
            </w:pPr>
            <w:r w:rsidRPr="00215A05">
              <w:rPr>
                <w:sz w:val="22"/>
                <w:szCs w:val="22"/>
              </w:rPr>
              <w:t>Clinical negligence for Trusts/ NHS Litigation Authority Scheme requirements including adequate insurance cover.</w:t>
            </w:r>
          </w:p>
          <w:p w:rsidR="00E442AA" w:rsidRDefault="00E442AA" w:rsidP="00E442AA">
            <w:pPr>
              <w:pStyle w:val="ListParagraph"/>
            </w:pPr>
          </w:p>
          <w:p w:rsidR="00E442AA" w:rsidRPr="00E442AA" w:rsidRDefault="00E442AA" w:rsidP="00E442AA">
            <w:pPr>
              <w:pStyle w:val="Default"/>
              <w:numPr>
                <w:ilvl w:val="0"/>
                <w:numId w:val="41"/>
              </w:numPr>
              <w:jc w:val="both"/>
              <w:rPr>
                <w:sz w:val="22"/>
                <w:szCs w:val="22"/>
              </w:rPr>
            </w:pPr>
            <w:r w:rsidRPr="00215A05">
              <w:rPr>
                <w:sz w:val="22"/>
                <w:szCs w:val="22"/>
              </w:rPr>
              <w:t xml:space="preserve">Changing Our Lives – Quality of Health Principles – </w:t>
            </w:r>
            <w:hyperlink r:id="rId13" w:history="1">
              <w:r w:rsidRPr="00215A05">
                <w:rPr>
                  <w:rStyle w:val="Hyperlink"/>
                  <w:sz w:val="22"/>
                  <w:szCs w:val="22"/>
                </w:rPr>
                <w:t>http://www.hqip.org.uk/assets/ppe/case-studeis-and-templates/qualityofhealthpriniciples.pdf</w:t>
              </w:r>
            </w:hyperlink>
          </w:p>
          <w:p w:rsidR="00E442AA" w:rsidRDefault="00E442AA" w:rsidP="00E442AA">
            <w:pPr>
              <w:pStyle w:val="ListParagraph"/>
            </w:pPr>
          </w:p>
          <w:p w:rsidR="00E442AA" w:rsidRPr="00E442AA" w:rsidRDefault="00E442AA" w:rsidP="00E442AA">
            <w:pPr>
              <w:pStyle w:val="Default"/>
              <w:numPr>
                <w:ilvl w:val="0"/>
                <w:numId w:val="41"/>
              </w:numPr>
              <w:jc w:val="both"/>
              <w:rPr>
                <w:sz w:val="22"/>
                <w:szCs w:val="22"/>
              </w:rPr>
            </w:pPr>
            <w:r w:rsidRPr="00215A05">
              <w:rPr>
                <w:sz w:val="22"/>
                <w:szCs w:val="22"/>
              </w:rPr>
              <w:t>Any other quality standards agreed in writing between the provider and the Commissioner</w:t>
            </w:r>
          </w:p>
          <w:p w:rsidR="004F778F" w:rsidRPr="00E442AA" w:rsidRDefault="004F778F" w:rsidP="004F778F">
            <w:pPr>
              <w:pStyle w:val="Default"/>
              <w:jc w:val="both"/>
              <w:rPr>
                <w:sz w:val="22"/>
                <w:szCs w:val="22"/>
              </w:rPr>
            </w:pPr>
          </w:p>
          <w:p w:rsidR="004F778F" w:rsidRPr="00E442AA" w:rsidRDefault="004F778F" w:rsidP="004F778F">
            <w:pPr>
              <w:pStyle w:val="Default"/>
              <w:jc w:val="both"/>
              <w:rPr>
                <w:sz w:val="22"/>
                <w:szCs w:val="22"/>
              </w:rPr>
            </w:pPr>
          </w:p>
          <w:p w:rsidR="004F778F" w:rsidRDefault="004F778F" w:rsidP="004F778F">
            <w:pPr>
              <w:pStyle w:val="Default"/>
              <w:jc w:val="both"/>
              <w:rPr>
                <w:b/>
                <w:bCs/>
                <w:sz w:val="22"/>
                <w:szCs w:val="22"/>
              </w:rPr>
            </w:pPr>
            <w:r w:rsidRPr="00E442AA">
              <w:rPr>
                <w:b/>
                <w:bCs/>
                <w:sz w:val="22"/>
                <w:szCs w:val="22"/>
              </w:rPr>
              <w:t xml:space="preserve">Applicable standards set out in Guidance and/or issued by a competent body (e.g. Royal Colleges) </w:t>
            </w:r>
          </w:p>
          <w:p w:rsidR="00E442AA" w:rsidRPr="00E442AA" w:rsidRDefault="00E442AA" w:rsidP="004F778F">
            <w:pPr>
              <w:pStyle w:val="Default"/>
              <w:jc w:val="both"/>
              <w:rPr>
                <w:sz w:val="22"/>
                <w:szCs w:val="22"/>
              </w:rPr>
            </w:pPr>
          </w:p>
          <w:p w:rsidR="004F778F" w:rsidRDefault="004F778F" w:rsidP="004F778F">
            <w:pPr>
              <w:pStyle w:val="Default"/>
              <w:jc w:val="both"/>
              <w:rPr>
                <w:sz w:val="22"/>
                <w:szCs w:val="22"/>
              </w:rPr>
            </w:pPr>
            <w:r w:rsidRPr="00E442AA">
              <w:rPr>
                <w:sz w:val="22"/>
                <w:szCs w:val="22"/>
              </w:rPr>
              <w:t xml:space="preserve">The most recent evidence base best practice standards to be applied to the delivery of this service, including prescribing. </w:t>
            </w:r>
          </w:p>
          <w:p w:rsidR="00E442AA" w:rsidRPr="00E442AA" w:rsidRDefault="00E442AA" w:rsidP="004F778F">
            <w:pPr>
              <w:pStyle w:val="Default"/>
              <w:jc w:val="both"/>
              <w:rPr>
                <w:sz w:val="22"/>
                <w:szCs w:val="22"/>
              </w:rPr>
            </w:pPr>
          </w:p>
          <w:p w:rsidR="004F778F" w:rsidRDefault="004F778F" w:rsidP="004F778F">
            <w:pPr>
              <w:pStyle w:val="Default"/>
              <w:jc w:val="both"/>
              <w:rPr>
                <w:sz w:val="22"/>
                <w:szCs w:val="22"/>
              </w:rPr>
            </w:pPr>
            <w:r w:rsidRPr="00E442AA">
              <w:rPr>
                <w:sz w:val="22"/>
                <w:szCs w:val="22"/>
              </w:rPr>
              <w:t xml:space="preserve">The Provider shall ensure that all healthcare professionals who are involved in performing or assisting in any procedure are: </w:t>
            </w:r>
          </w:p>
          <w:p w:rsidR="004F778F" w:rsidRPr="00E442AA" w:rsidRDefault="004F778F" w:rsidP="00E442AA">
            <w:pPr>
              <w:pStyle w:val="Default"/>
              <w:numPr>
                <w:ilvl w:val="0"/>
                <w:numId w:val="44"/>
              </w:numPr>
              <w:jc w:val="both"/>
              <w:rPr>
                <w:sz w:val="22"/>
                <w:szCs w:val="22"/>
              </w:rPr>
            </w:pPr>
            <w:r w:rsidRPr="00E442AA">
              <w:rPr>
                <w:sz w:val="22"/>
                <w:szCs w:val="22"/>
              </w:rPr>
              <w:t xml:space="preserve">competent in resuscitation; </w:t>
            </w:r>
          </w:p>
          <w:p w:rsidR="004F778F" w:rsidRPr="00E442AA" w:rsidRDefault="004F778F" w:rsidP="00E442AA">
            <w:pPr>
              <w:pStyle w:val="Default"/>
              <w:numPr>
                <w:ilvl w:val="0"/>
                <w:numId w:val="44"/>
              </w:numPr>
              <w:jc w:val="both"/>
              <w:rPr>
                <w:sz w:val="22"/>
                <w:szCs w:val="22"/>
              </w:rPr>
            </w:pPr>
            <w:r w:rsidRPr="00E442AA">
              <w:rPr>
                <w:sz w:val="22"/>
                <w:szCs w:val="22"/>
              </w:rPr>
              <w:t xml:space="preserve">able to demonstrate that their skills are regularly updated; </w:t>
            </w:r>
          </w:p>
          <w:p w:rsidR="004F778F" w:rsidRPr="00E442AA" w:rsidRDefault="004F778F" w:rsidP="00E442AA">
            <w:pPr>
              <w:pStyle w:val="Default"/>
              <w:numPr>
                <w:ilvl w:val="0"/>
                <w:numId w:val="44"/>
              </w:numPr>
              <w:jc w:val="both"/>
              <w:rPr>
                <w:sz w:val="22"/>
                <w:szCs w:val="22"/>
              </w:rPr>
            </w:pPr>
            <w:r w:rsidRPr="00E442AA">
              <w:rPr>
                <w:sz w:val="22"/>
                <w:szCs w:val="22"/>
              </w:rPr>
              <w:t xml:space="preserve">able to demonstrate a continuing sustained level of activity; </w:t>
            </w:r>
          </w:p>
          <w:p w:rsidR="00E442AA" w:rsidRPr="00E442AA" w:rsidRDefault="004F778F" w:rsidP="00E442AA">
            <w:pPr>
              <w:pStyle w:val="Default"/>
              <w:numPr>
                <w:ilvl w:val="0"/>
                <w:numId w:val="44"/>
              </w:numPr>
              <w:jc w:val="both"/>
              <w:rPr>
                <w:sz w:val="22"/>
                <w:szCs w:val="22"/>
              </w:rPr>
            </w:pPr>
            <w:r w:rsidRPr="00E442AA">
              <w:rPr>
                <w:sz w:val="22"/>
                <w:szCs w:val="22"/>
              </w:rPr>
              <w:t>able to conduct regular audits;</w:t>
            </w:r>
          </w:p>
          <w:p w:rsidR="00E442AA" w:rsidRDefault="004F778F" w:rsidP="00E442AA">
            <w:pPr>
              <w:pStyle w:val="Default"/>
              <w:numPr>
                <w:ilvl w:val="0"/>
                <w:numId w:val="44"/>
              </w:numPr>
              <w:jc w:val="both"/>
              <w:rPr>
                <w:rFonts w:cs="Times New Roman"/>
                <w:sz w:val="22"/>
                <w:szCs w:val="22"/>
              </w:rPr>
            </w:pPr>
            <w:r w:rsidRPr="00E442AA">
              <w:rPr>
                <w:rFonts w:cs="Times New Roman"/>
                <w:sz w:val="22"/>
                <w:szCs w:val="22"/>
              </w:rPr>
              <w:t>participate in appraisal ;</w:t>
            </w:r>
          </w:p>
          <w:p w:rsidR="004F778F" w:rsidRPr="00E442AA" w:rsidRDefault="004F778F" w:rsidP="00E442AA">
            <w:pPr>
              <w:pStyle w:val="Default"/>
              <w:numPr>
                <w:ilvl w:val="0"/>
                <w:numId w:val="44"/>
              </w:numPr>
              <w:jc w:val="both"/>
              <w:rPr>
                <w:sz w:val="22"/>
                <w:szCs w:val="22"/>
              </w:rPr>
            </w:pPr>
            <w:r w:rsidRPr="00E442AA">
              <w:rPr>
                <w:sz w:val="22"/>
                <w:szCs w:val="22"/>
              </w:rPr>
              <w:t xml:space="preserve">participate in supportive educational activities. </w:t>
            </w:r>
          </w:p>
          <w:p w:rsidR="004F778F" w:rsidRPr="00E442AA" w:rsidRDefault="004F778F" w:rsidP="00004044">
            <w:pPr>
              <w:spacing w:after="0" w:line="240" w:lineRule="auto"/>
              <w:jc w:val="both"/>
              <w:rPr>
                <w:rFonts w:ascii="Arial" w:hAnsi="Arial" w:cs="Arial"/>
              </w:rPr>
            </w:pPr>
          </w:p>
          <w:p w:rsidR="004F778F" w:rsidRDefault="004F778F" w:rsidP="004F778F">
            <w:pPr>
              <w:pStyle w:val="Default"/>
              <w:jc w:val="both"/>
              <w:rPr>
                <w:sz w:val="22"/>
                <w:szCs w:val="22"/>
              </w:rPr>
            </w:pPr>
            <w:r w:rsidRPr="00E442AA">
              <w:rPr>
                <w:sz w:val="22"/>
                <w:szCs w:val="22"/>
              </w:rPr>
              <w:t xml:space="preserve">The Provider is required to maintain evidence of continuing professional development in relation to this service. This may be required to be produced as evidence for re-accreditation. Clinical updates/training could include, though is not limited to; supervised practice, liaison/clinical audit sessions or attendance at appropriate postgraduate meetings/lectures/events. </w:t>
            </w:r>
          </w:p>
          <w:p w:rsidR="00E442AA" w:rsidRPr="00E442AA" w:rsidRDefault="00E442AA" w:rsidP="004F778F">
            <w:pPr>
              <w:pStyle w:val="Default"/>
              <w:jc w:val="both"/>
              <w:rPr>
                <w:sz w:val="22"/>
                <w:szCs w:val="22"/>
              </w:rPr>
            </w:pPr>
          </w:p>
          <w:p w:rsidR="004F778F" w:rsidRPr="00E442AA" w:rsidRDefault="004F778F" w:rsidP="004F778F">
            <w:pPr>
              <w:pStyle w:val="Default"/>
              <w:jc w:val="both"/>
              <w:rPr>
                <w:sz w:val="22"/>
                <w:szCs w:val="22"/>
              </w:rPr>
            </w:pPr>
            <w:r w:rsidRPr="00E442AA">
              <w:rPr>
                <w:sz w:val="22"/>
                <w:szCs w:val="22"/>
              </w:rPr>
              <w:t xml:space="preserve">The Provider shall complete a minimum of two audits per year. Examples of topics to focus on include: </w:t>
            </w:r>
          </w:p>
          <w:p w:rsidR="004F778F" w:rsidRPr="00E442AA" w:rsidRDefault="004F778F" w:rsidP="00E442AA">
            <w:pPr>
              <w:pStyle w:val="Default"/>
              <w:numPr>
                <w:ilvl w:val="0"/>
                <w:numId w:val="45"/>
              </w:numPr>
              <w:jc w:val="both"/>
              <w:rPr>
                <w:sz w:val="22"/>
                <w:szCs w:val="22"/>
              </w:rPr>
            </w:pPr>
            <w:r w:rsidRPr="00E442AA">
              <w:rPr>
                <w:sz w:val="22"/>
                <w:szCs w:val="22"/>
              </w:rPr>
              <w:t xml:space="preserve">Clinical outcomes </w:t>
            </w:r>
          </w:p>
          <w:p w:rsidR="004F778F" w:rsidRPr="00E442AA" w:rsidRDefault="004F778F" w:rsidP="00E442AA">
            <w:pPr>
              <w:pStyle w:val="Default"/>
              <w:numPr>
                <w:ilvl w:val="0"/>
                <w:numId w:val="45"/>
              </w:numPr>
              <w:jc w:val="both"/>
              <w:rPr>
                <w:sz w:val="22"/>
                <w:szCs w:val="22"/>
              </w:rPr>
            </w:pPr>
            <w:r w:rsidRPr="00E442AA">
              <w:rPr>
                <w:sz w:val="22"/>
                <w:szCs w:val="22"/>
              </w:rPr>
              <w:t xml:space="preserve">Rate of infection </w:t>
            </w:r>
          </w:p>
          <w:p w:rsidR="004F778F" w:rsidRPr="00E442AA" w:rsidRDefault="004F778F" w:rsidP="00E442AA">
            <w:pPr>
              <w:pStyle w:val="Default"/>
              <w:numPr>
                <w:ilvl w:val="0"/>
                <w:numId w:val="45"/>
              </w:numPr>
              <w:jc w:val="both"/>
              <w:rPr>
                <w:sz w:val="22"/>
                <w:szCs w:val="22"/>
              </w:rPr>
            </w:pPr>
            <w:r w:rsidRPr="00E442AA">
              <w:rPr>
                <w:sz w:val="22"/>
                <w:szCs w:val="22"/>
              </w:rPr>
              <w:t xml:space="preserve">Complications of cases </w:t>
            </w:r>
          </w:p>
          <w:p w:rsidR="004F778F" w:rsidRPr="00E442AA" w:rsidRDefault="004F778F" w:rsidP="00E442AA">
            <w:pPr>
              <w:pStyle w:val="Default"/>
              <w:numPr>
                <w:ilvl w:val="0"/>
                <w:numId w:val="45"/>
              </w:numPr>
              <w:jc w:val="both"/>
              <w:rPr>
                <w:sz w:val="22"/>
                <w:szCs w:val="22"/>
              </w:rPr>
            </w:pPr>
            <w:r w:rsidRPr="00E442AA">
              <w:rPr>
                <w:sz w:val="22"/>
                <w:szCs w:val="22"/>
              </w:rPr>
              <w:t xml:space="preserve">Completeness of care episode </w:t>
            </w:r>
          </w:p>
          <w:p w:rsidR="004F778F" w:rsidRPr="00E442AA" w:rsidRDefault="004F778F" w:rsidP="00E442AA">
            <w:pPr>
              <w:pStyle w:val="Default"/>
              <w:numPr>
                <w:ilvl w:val="0"/>
                <w:numId w:val="45"/>
              </w:numPr>
              <w:jc w:val="both"/>
              <w:rPr>
                <w:sz w:val="22"/>
                <w:szCs w:val="22"/>
              </w:rPr>
            </w:pPr>
            <w:r w:rsidRPr="00E442AA">
              <w:rPr>
                <w:sz w:val="22"/>
                <w:szCs w:val="22"/>
              </w:rPr>
              <w:t xml:space="preserve">Patient satisfaction (to be carried out at least quarterly) </w:t>
            </w:r>
          </w:p>
          <w:p w:rsidR="004F778F" w:rsidRPr="00E442AA" w:rsidRDefault="004F778F" w:rsidP="00E442AA">
            <w:pPr>
              <w:pStyle w:val="Default"/>
              <w:numPr>
                <w:ilvl w:val="0"/>
                <w:numId w:val="45"/>
              </w:numPr>
              <w:jc w:val="both"/>
              <w:rPr>
                <w:sz w:val="22"/>
                <w:szCs w:val="22"/>
              </w:rPr>
            </w:pPr>
            <w:r w:rsidRPr="00E442AA">
              <w:rPr>
                <w:sz w:val="22"/>
                <w:szCs w:val="22"/>
              </w:rPr>
              <w:t xml:space="preserve">Instrument/ surgical equipment is up to date </w:t>
            </w:r>
          </w:p>
          <w:p w:rsidR="004F778F" w:rsidRPr="00E442AA" w:rsidRDefault="004F778F" w:rsidP="004F778F">
            <w:pPr>
              <w:pStyle w:val="Default"/>
              <w:jc w:val="both"/>
              <w:rPr>
                <w:sz w:val="22"/>
                <w:szCs w:val="22"/>
              </w:rPr>
            </w:pPr>
          </w:p>
          <w:p w:rsidR="00BC6B16" w:rsidRPr="00E442AA" w:rsidRDefault="00BC6B16" w:rsidP="00D60B25">
            <w:pPr>
              <w:pStyle w:val="Default"/>
              <w:jc w:val="both"/>
              <w:rPr>
                <w:b/>
              </w:rPr>
            </w:pPr>
          </w:p>
        </w:tc>
      </w:tr>
      <w:tr w:rsidR="006161EB" w:rsidRPr="00004044" w:rsidTr="002B7B95">
        <w:tc>
          <w:tcPr>
            <w:tcW w:w="9401" w:type="dxa"/>
          </w:tcPr>
          <w:p w:rsidR="006161EB" w:rsidRPr="005F1D2C" w:rsidRDefault="00110D84" w:rsidP="005F1D2C">
            <w:pPr>
              <w:spacing w:after="0" w:line="240" w:lineRule="auto"/>
              <w:jc w:val="center"/>
              <w:rPr>
                <w:rFonts w:ascii="Arial" w:hAnsi="Arial" w:cs="Arial"/>
              </w:rPr>
            </w:pPr>
            <w:r w:rsidRPr="00CE7424">
              <w:rPr>
                <w:rFonts w:ascii="Arial" w:hAnsi="Arial" w:cs="Arial"/>
                <w:b/>
              </w:rPr>
              <w:lastRenderedPageBreak/>
              <w:t>Applicable local standards</w:t>
            </w:r>
          </w:p>
        </w:tc>
      </w:tr>
      <w:tr w:rsidR="006161EB" w:rsidRPr="00004044" w:rsidTr="002B7B95">
        <w:tc>
          <w:tcPr>
            <w:tcW w:w="9401" w:type="dxa"/>
          </w:tcPr>
          <w:p w:rsidR="00A4731D" w:rsidRDefault="00A4731D" w:rsidP="004F778F">
            <w:pPr>
              <w:pStyle w:val="Default"/>
              <w:jc w:val="both"/>
              <w:rPr>
                <w:color w:val="auto"/>
                <w:sz w:val="22"/>
                <w:szCs w:val="22"/>
                <w:lang w:eastAsia="en-US"/>
              </w:rPr>
            </w:pPr>
          </w:p>
          <w:p w:rsidR="004F778F" w:rsidRDefault="004F778F" w:rsidP="004F778F">
            <w:pPr>
              <w:pStyle w:val="Default"/>
              <w:jc w:val="both"/>
              <w:rPr>
                <w:b/>
                <w:bCs/>
                <w:sz w:val="22"/>
                <w:szCs w:val="22"/>
              </w:rPr>
            </w:pPr>
            <w:r w:rsidRPr="00E442AA">
              <w:rPr>
                <w:b/>
                <w:bCs/>
                <w:sz w:val="22"/>
                <w:szCs w:val="22"/>
              </w:rPr>
              <w:t xml:space="preserve">Applicable local standards </w:t>
            </w:r>
          </w:p>
          <w:p w:rsidR="00E442AA" w:rsidRPr="00E442AA" w:rsidRDefault="00E442AA" w:rsidP="004F778F">
            <w:pPr>
              <w:pStyle w:val="Default"/>
              <w:jc w:val="both"/>
              <w:rPr>
                <w:sz w:val="22"/>
                <w:szCs w:val="22"/>
              </w:rPr>
            </w:pPr>
          </w:p>
          <w:p w:rsidR="004F778F" w:rsidRDefault="004F778F" w:rsidP="004F778F">
            <w:pPr>
              <w:pStyle w:val="Default"/>
              <w:jc w:val="both"/>
              <w:rPr>
                <w:sz w:val="22"/>
                <w:szCs w:val="22"/>
              </w:rPr>
            </w:pPr>
            <w:r w:rsidRPr="00E442AA">
              <w:rPr>
                <w:sz w:val="22"/>
                <w:szCs w:val="22"/>
              </w:rPr>
              <w:t xml:space="preserve">The Provider shall adhere to the </w:t>
            </w:r>
            <w:r w:rsidR="00E80916">
              <w:rPr>
                <w:sz w:val="22"/>
                <w:szCs w:val="22"/>
              </w:rPr>
              <w:t xml:space="preserve">BCCG </w:t>
            </w:r>
            <w:r w:rsidRPr="00E442AA">
              <w:rPr>
                <w:sz w:val="22"/>
                <w:szCs w:val="22"/>
              </w:rPr>
              <w:t xml:space="preserve">Clinical Prioritisation Policies and agree to abide by any future amendments of policy which may affect the provision of the service. </w:t>
            </w:r>
          </w:p>
          <w:p w:rsidR="00E80916" w:rsidRPr="00E442AA" w:rsidRDefault="00E80916" w:rsidP="004F778F">
            <w:pPr>
              <w:pStyle w:val="Default"/>
              <w:jc w:val="both"/>
              <w:rPr>
                <w:sz w:val="22"/>
                <w:szCs w:val="22"/>
              </w:rPr>
            </w:pPr>
          </w:p>
          <w:p w:rsidR="004F778F" w:rsidRDefault="004F778F" w:rsidP="004F778F">
            <w:pPr>
              <w:pStyle w:val="Default"/>
              <w:jc w:val="both"/>
              <w:rPr>
                <w:sz w:val="22"/>
                <w:szCs w:val="22"/>
              </w:rPr>
            </w:pPr>
            <w:r w:rsidRPr="00E442AA">
              <w:rPr>
                <w:sz w:val="22"/>
                <w:szCs w:val="22"/>
              </w:rPr>
              <w:t xml:space="preserve">The Provider shall work in line with local infection control guidelines. </w:t>
            </w:r>
          </w:p>
          <w:p w:rsidR="00A4731D" w:rsidRDefault="00A4731D" w:rsidP="004F778F">
            <w:pPr>
              <w:pStyle w:val="Default"/>
              <w:jc w:val="both"/>
              <w:rPr>
                <w:sz w:val="22"/>
                <w:szCs w:val="22"/>
              </w:rPr>
            </w:pPr>
          </w:p>
          <w:p w:rsidR="00A4731D" w:rsidRDefault="00A4731D" w:rsidP="004F778F">
            <w:pPr>
              <w:pStyle w:val="Default"/>
              <w:jc w:val="both"/>
              <w:rPr>
                <w:sz w:val="22"/>
                <w:szCs w:val="22"/>
              </w:rPr>
            </w:pPr>
          </w:p>
          <w:p w:rsidR="00A4731D" w:rsidRDefault="00A4731D" w:rsidP="00A4731D">
            <w:pPr>
              <w:pStyle w:val="Default"/>
              <w:jc w:val="both"/>
              <w:rPr>
                <w:sz w:val="22"/>
                <w:szCs w:val="22"/>
              </w:rPr>
            </w:pPr>
            <w:r w:rsidRPr="002F7A66">
              <w:rPr>
                <w:sz w:val="22"/>
                <w:szCs w:val="22"/>
              </w:rPr>
              <w:t xml:space="preserve">The Provider shall use </w:t>
            </w:r>
            <w:r>
              <w:rPr>
                <w:sz w:val="22"/>
                <w:szCs w:val="22"/>
              </w:rPr>
              <w:t xml:space="preserve">Emis Web </w:t>
            </w:r>
            <w:r w:rsidRPr="002F7A66">
              <w:rPr>
                <w:sz w:val="22"/>
                <w:szCs w:val="22"/>
              </w:rPr>
              <w:t>as the Clinical IT System</w:t>
            </w:r>
            <w:r>
              <w:rPr>
                <w:sz w:val="22"/>
                <w:szCs w:val="22"/>
              </w:rPr>
              <w:t xml:space="preserve"> or system with interoperability with Emis Web</w:t>
            </w:r>
            <w:r w:rsidR="00AB7198">
              <w:rPr>
                <w:sz w:val="22"/>
                <w:szCs w:val="22"/>
              </w:rPr>
              <w:t>.</w:t>
            </w:r>
          </w:p>
          <w:p w:rsidR="00A4731D" w:rsidRPr="002F7A66" w:rsidRDefault="00A4731D" w:rsidP="00A4731D">
            <w:pPr>
              <w:pStyle w:val="Default"/>
              <w:jc w:val="both"/>
              <w:rPr>
                <w:sz w:val="22"/>
                <w:szCs w:val="22"/>
              </w:rPr>
            </w:pPr>
          </w:p>
          <w:p w:rsidR="00A4731D" w:rsidRDefault="00A4731D" w:rsidP="00A4731D">
            <w:pPr>
              <w:pStyle w:val="Default"/>
              <w:jc w:val="both"/>
              <w:rPr>
                <w:sz w:val="22"/>
                <w:szCs w:val="22"/>
              </w:rPr>
            </w:pPr>
            <w:r w:rsidRPr="002F7A66">
              <w:rPr>
                <w:sz w:val="22"/>
                <w:szCs w:val="22"/>
              </w:rPr>
              <w:t xml:space="preserve">The Provider is required to be N3 compliant with the capability to upload to National systems including, but not limited to Secondary Uses Services (SUS) and Unify. The national reporting requirements are detailed at the link; </w:t>
            </w:r>
            <w:hyperlink r:id="rId14" w:history="1">
              <w:r w:rsidRPr="004F47A6">
                <w:rPr>
                  <w:rStyle w:val="Hyperlink"/>
                  <w:sz w:val="22"/>
                  <w:szCs w:val="22"/>
                </w:rPr>
                <w:t>http://www.ic.nhs.uk/datasets</w:t>
              </w:r>
            </w:hyperlink>
            <w:r w:rsidRPr="002F7A66">
              <w:rPr>
                <w:sz w:val="22"/>
                <w:szCs w:val="22"/>
              </w:rPr>
              <w:t>.</w:t>
            </w:r>
          </w:p>
          <w:p w:rsidR="00A4731D" w:rsidRPr="002F7A66" w:rsidRDefault="00A4731D" w:rsidP="00A4731D">
            <w:pPr>
              <w:pStyle w:val="Default"/>
              <w:jc w:val="both"/>
              <w:rPr>
                <w:sz w:val="22"/>
                <w:szCs w:val="22"/>
              </w:rPr>
            </w:pPr>
            <w:r w:rsidRPr="002F7A66">
              <w:rPr>
                <w:sz w:val="22"/>
                <w:szCs w:val="22"/>
              </w:rPr>
              <w:t xml:space="preserve"> </w:t>
            </w:r>
          </w:p>
          <w:p w:rsidR="00A4731D" w:rsidRDefault="00A4731D" w:rsidP="00A4731D">
            <w:pPr>
              <w:pStyle w:val="Default"/>
              <w:jc w:val="both"/>
              <w:rPr>
                <w:sz w:val="22"/>
                <w:szCs w:val="22"/>
              </w:rPr>
            </w:pPr>
            <w:r w:rsidRPr="002F7A66">
              <w:rPr>
                <w:sz w:val="22"/>
                <w:szCs w:val="22"/>
              </w:rPr>
              <w:t xml:space="preserve">The Provider shall also be required to provide a monthly Contract Performance and Quality Assurance report. </w:t>
            </w:r>
          </w:p>
          <w:p w:rsidR="00A4731D" w:rsidRDefault="00A4731D" w:rsidP="00A4731D">
            <w:pPr>
              <w:pStyle w:val="Default"/>
              <w:jc w:val="both"/>
              <w:rPr>
                <w:sz w:val="22"/>
                <w:szCs w:val="22"/>
              </w:rPr>
            </w:pPr>
          </w:p>
          <w:p w:rsidR="00A4731D" w:rsidRDefault="00A4731D" w:rsidP="00A4731D">
            <w:pPr>
              <w:pStyle w:val="Default"/>
              <w:jc w:val="both"/>
              <w:rPr>
                <w:sz w:val="22"/>
                <w:szCs w:val="22"/>
              </w:rPr>
            </w:pPr>
            <w:r w:rsidRPr="002F7A66">
              <w:rPr>
                <w:sz w:val="22"/>
                <w:szCs w:val="22"/>
              </w:rPr>
              <w:t xml:space="preserve">The Contract Performance report shall include, but not be limited to; KPI reporting, activity </w:t>
            </w:r>
            <w:r w:rsidRPr="002F7A66">
              <w:rPr>
                <w:sz w:val="22"/>
                <w:szCs w:val="22"/>
              </w:rPr>
              <w:lastRenderedPageBreak/>
              <w:t xml:space="preserve">reporting including discharge summaries, Friends &amp; Family reporting. </w:t>
            </w:r>
          </w:p>
          <w:p w:rsidR="00A4731D" w:rsidRPr="002F7A66" w:rsidRDefault="00A4731D" w:rsidP="00A4731D">
            <w:pPr>
              <w:pStyle w:val="Default"/>
              <w:jc w:val="both"/>
              <w:rPr>
                <w:sz w:val="22"/>
                <w:szCs w:val="22"/>
              </w:rPr>
            </w:pPr>
          </w:p>
          <w:p w:rsidR="00A4731D" w:rsidRDefault="00A4731D" w:rsidP="00A4731D">
            <w:pPr>
              <w:pStyle w:val="Default"/>
              <w:jc w:val="both"/>
              <w:rPr>
                <w:sz w:val="22"/>
                <w:szCs w:val="22"/>
              </w:rPr>
            </w:pPr>
            <w:r w:rsidRPr="002F7A66">
              <w:rPr>
                <w:sz w:val="22"/>
                <w:szCs w:val="22"/>
              </w:rPr>
              <w:t xml:space="preserve">The Contract Quality Assurance report shall include, but not be limited to Personal care planning, Patient experience, Complaints, Compliments, Harm free care, Serious Incidents and Safeguarding </w:t>
            </w:r>
          </w:p>
          <w:p w:rsidR="00A4731D" w:rsidRPr="002F7A66" w:rsidRDefault="00A4731D" w:rsidP="00A4731D">
            <w:pPr>
              <w:pStyle w:val="Default"/>
              <w:jc w:val="both"/>
              <w:rPr>
                <w:sz w:val="22"/>
                <w:szCs w:val="22"/>
              </w:rPr>
            </w:pPr>
          </w:p>
          <w:p w:rsidR="00A4731D" w:rsidRDefault="00A4731D" w:rsidP="004F778F">
            <w:pPr>
              <w:pStyle w:val="Default"/>
              <w:jc w:val="both"/>
              <w:rPr>
                <w:sz w:val="22"/>
                <w:szCs w:val="22"/>
              </w:rPr>
            </w:pPr>
            <w:r w:rsidRPr="002F7A66">
              <w:rPr>
                <w:sz w:val="22"/>
                <w:szCs w:val="22"/>
              </w:rPr>
              <w:t>The final reporting requirements shall be agreed between the Commissioner and Provi</w:t>
            </w:r>
            <w:r>
              <w:rPr>
                <w:sz w:val="22"/>
                <w:szCs w:val="22"/>
              </w:rPr>
              <w:t xml:space="preserve">der. </w:t>
            </w:r>
          </w:p>
          <w:p w:rsidR="00A4731D" w:rsidRDefault="00A4731D" w:rsidP="004F778F">
            <w:pPr>
              <w:pStyle w:val="Default"/>
              <w:jc w:val="both"/>
              <w:rPr>
                <w:sz w:val="22"/>
                <w:szCs w:val="22"/>
              </w:rPr>
            </w:pPr>
          </w:p>
          <w:p w:rsidR="00BC6B16" w:rsidRDefault="00BC6B16" w:rsidP="004F778F">
            <w:pPr>
              <w:pStyle w:val="Default"/>
              <w:jc w:val="both"/>
              <w:rPr>
                <w:sz w:val="22"/>
                <w:szCs w:val="22"/>
              </w:rPr>
            </w:pPr>
          </w:p>
          <w:p w:rsidR="004F778F" w:rsidRDefault="004F778F" w:rsidP="004F778F">
            <w:pPr>
              <w:pStyle w:val="Default"/>
              <w:jc w:val="both"/>
              <w:rPr>
                <w:b/>
                <w:bCs/>
                <w:sz w:val="22"/>
                <w:szCs w:val="22"/>
              </w:rPr>
            </w:pPr>
            <w:r w:rsidRPr="00E442AA">
              <w:rPr>
                <w:b/>
                <w:bCs/>
                <w:sz w:val="22"/>
                <w:szCs w:val="22"/>
              </w:rPr>
              <w:t xml:space="preserve">Service response times </w:t>
            </w:r>
          </w:p>
          <w:p w:rsidR="00E442AA" w:rsidRPr="00E442AA" w:rsidRDefault="00E442AA" w:rsidP="004F778F">
            <w:pPr>
              <w:pStyle w:val="Default"/>
              <w:jc w:val="both"/>
              <w:rPr>
                <w:sz w:val="22"/>
                <w:szCs w:val="22"/>
              </w:rPr>
            </w:pPr>
          </w:p>
          <w:p w:rsidR="004F778F" w:rsidRPr="009C323A" w:rsidRDefault="004F778F" w:rsidP="004F778F">
            <w:pPr>
              <w:pStyle w:val="Default"/>
              <w:jc w:val="both"/>
              <w:rPr>
                <w:color w:val="000000" w:themeColor="text1"/>
                <w:sz w:val="22"/>
                <w:szCs w:val="22"/>
              </w:rPr>
            </w:pPr>
            <w:r w:rsidRPr="009C323A">
              <w:rPr>
                <w:color w:val="000000" w:themeColor="text1"/>
                <w:sz w:val="22"/>
                <w:szCs w:val="22"/>
              </w:rPr>
              <w:t>For the purposes of clarity, the required response times for all services commissioned within this Service Specification</w:t>
            </w:r>
            <w:r w:rsidR="008D04FE" w:rsidRPr="009C323A">
              <w:rPr>
                <w:color w:val="000000" w:themeColor="text1"/>
                <w:sz w:val="22"/>
                <w:szCs w:val="22"/>
              </w:rPr>
              <w:t xml:space="preserve"> set out in the Standard </w:t>
            </w:r>
            <w:r w:rsidR="00761A3D" w:rsidRPr="009C323A">
              <w:rPr>
                <w:color w:val="000000" w:themeColor="text1"/>
                <w:sz w:val="22"/>
                <w:szCs w:val="22"/>
              </w:rPr>
              <w:t>section –</w:t>
            </w:r>
            <w:r w:rsidRPr="009C323A">
              <w:rPr>
                <w:color w:val="000000" w:themeColor="text1"/>
                <w:sz w:val="22"/>
                <w:szCs w:val="22"/>
              </w:rPr>
              <w:t xml:space="preserve"> summary of all Standards the Provider shall be required to meet in full. </w:t>
            </w:r>
          </w:p>
          <w:p w:rsidR="004F778F" w:rsidRPr="00E442AA" w:rsidRDefault="004F778F" w:rsidP="004F778F">
            <w:pPr>
              <w:pStyle w:val="Default"/>
              <w:jc w:val="both"/>
              <w:rPr>
                <w:sz w:val="22"/>
                <w:szCs w:val="22"/>
              </w:rPr>
            </w:pPr>
          </w:p>
          <w:p w:rsidR="004F778F" w:rsidRDefault="004F778F" w:rsidP="004F778F">
            <w:pPr>
              <w:pStyle w:val="Default"/>
              <w:jc w:val="both"/>
              <w:rPr>
                <w:sz w:val="22"/>
                <w:szCs w:val="22"/>
              </w:rPr>
            </w:pPr>
            <w:r w:rsidRPr="00E442AA">
              <w:rPr>
                <w:sz w:val="22"/>
                <w:szCs w:val="22"/>
              </w:rPr>
              <w:t xml:space="preserve">Following agreement with the patient of their appointment date and time, a confirmation of appointment should be sent to the patient by their preferred method of communication (email, letter, telephone or text.) on the day that the appointment is confirmed. </w:t>
            </w:r>
          </w:p>
          <w:p w:rsidR="00E80916" w:rsidRPr="00E442AA" w:rsidRDefault="00E80916" w:rsidP="004F778F">
            <w:pPr>
              <w:pStyle w:val="Default"/>
              <w:jc w:val="both"/>
              <w:rPr>
                <w:sz w:val="22"/>
                <w:szCs w:val="22"/>
              </w:rPr>
            </w:pPr>
          </w:p>
          <w:p w:rsidR="004F778F" w:rsidRDefault="004F778F" w:rsidP="004F778F">
            <w:pPr>
              <w:pStyle w:val="Default"/>
              <w:jc w:val="both"/>
              <w:rPr>
                <w:sz w:val="22"/>
                <w:szCs w:val="22"/>
              </w:rPr>
            </w:pPr>
            <w:r w:rsidRPr="00E442AA">
              <w:rPr>
                <w:sz w:val="22"/>
                <w:szCs w:val="22"/>
              </w:rPr>
              <w:t xml:space="preserve">The Provider should recognise that patients may have pre-existing schedules and commitments. Accordingly, when making the appointment booking, all efforts should be made to accommodate the patient’s schedule. Due consideration should be given to the requests of the patient in terms of location, frequency and time of day, within the practical constraints of the contracted service. </w:t>
            </w:r>
          </w:p>
          <w:p w:rsidR="00E80916" w:rsidRPr="00E442AA" w:rsidRDefault="00E80916" w:rsidP="004F778F">
            <w:pPr>
              <w:pStyle w:val="Default"/>
              <w:jc w:val="both"/>
              <w:rPr>
                <w:sz w:val="22"/>
                <w:szCs w:val="22"/>
              </w:rPr>
            </w:pPr>
          </w:p>
          <w:p w:rsidR="004F778F" w:rsidRDefault="004F778F" w:rsidP="004F778F">
            <w:pPr>
              <w:pStyle w:val="Default"/>
              <w:jc w:val="both"/>
              <w:rPr>
                <w:sz w:val="22"/>
                <w:szCs w:val="22"/>
              </w:rPr>
            </w:pPr>
            <w:r w:rsidRPr="00E442AA">
              <w:rPr>
                <w:sz w:val="22"/>
                <w:szCs w:val="22"/>
              </w:rPr>
              <w:t xml:space="preserve">Initial assessment - Patients triaged as “Urgent” shall be seen and assessed within </w:t>
            </w:r>
            <w:r w:rsidR="00470441">
              <w:rPr>
                <w:sz w:val="22"/>
                <w:szCs w:val="22"/>
              </w:rPr>
              <w:t>5</w:t>
            </w:r>
            <w:r w:rsidRPr="00E442AA">
              <w:rPr>
                <w:sz w:val="22"/>
                <w:szCs w:val="22"/>
              </w:rPr>
              <w:t xml:space="preserve"> Working Days. </w:t>
            </w:r>
          </w:p>
          <w:p w:rsidR="00E80916" w:rsidRPr="00E442AA" w:rsidRDefault="00E80916" w:rsidP="004F778F">
            <w:pPr>
              <w:pStyle w:val="Default"/>
              <w:jc w:val="both"/>
              <w:rPr>
                <w:sz w:val="22"/>
                <w:szCs w:val="22"/>
              </w:rPr>
            </w:pPr>
          </w:p>
          <w:p w:rsidR="004F778F" w:rsidRDefault="004F778F" w:rsidP="004F778F">
            <w:pPr>
              <w:pStyle w:val="Default"/>
              <w:jc w:val="both"/>
              <w:rPr>
                <w:sz w:val="22"/>
                <w:szCs w:val="22"/>
              </w:rPr>
            </w:pPr>
            <w:r w:rsidRPr="00E442AA">
              <w:rPr>
                <w:sz w:val="22"/>
                <w:szCs w:val="22"/>
              </w:rPr>
              <w:t>Initial assessment - Patients triaged as “Routine” shall be seen and assessed within</w:t>
            </w:r>
            <w:r w:rsidR="00470441">
              <w:rPr>
                <w:sz w:val="22"/>
                <w:szCs w:val="22"/>
              </w:rPr>
              <w:t xml:space="preserve"> 10</w:t>
            </w:r>
            <w:r w:rsidRPr="00E442AA">
              <w:rPr>
                <w:sz w:val="22"/>
                <w:szCs w:val="22"/>
              </w:rPr>
              <w:t xml:space="preserve"> Working Days. </w:t>
            </w:r>
          </w:p>
          <w:p w:rsidR="00E80916" w:rsidRPr="00E442AA" w:rsidRDefault="00E80916" w:rsidP="004F778F">
            <w:pPr>
              <w:pStyle w:val="Default"/>
              <w:jc w:val="both"/>
              <w:rPr>
                <w:sz w:val="22"/>
                <w:szCs w:val="22"/>
              </w:rPr>
            </w:pPr>
          </w:p>
          <w:p w:rsidR="004F778F" w:rsidRDefault="004F778F" w:rsidP="004F778F">
            <w:pPr>
              <w:spacing w:after="0" w:line="240" w:lineRule="auto"/>
              <w:jc w:val="both"/>
              <w:rPr>
                <w:rFonts w:ascii="Arial" w:hAnsi="Arial" w:cs="Arial"/>
                <w:b/>
                <w:bCs/>
              </w:rPr>
            </w:pPr>
            <w:r w:rsidRPr="00E442AA">
              <w:rPr>
                <w:rFonts w:ascii="Arial" w:hAnsi="Arial" w:cs="Arial"/>
                <w:b/>
                <w:bCs/>
              </w:rPr>
              <w:t>DNAs (Did Not Attends)</w:t>
            </w:r>
          </w:p>
          <w:p w:rsidR="00E80916" w:rsidRPr="00E442AA" w:rsidRDefault="00E80916" w:rsidP="004F778F">
            <w:pPr>
              <w:spacing w:after="0" w:line="240" w:lineRule="auto"/>
              <w:jc w:val="both"/>
              <w:rPr>
                <w:rFonts w:ascii="Arial" w:hAnsi="Arial" w:cs="Arial"/>
                <w:b/>
                <w:bCs/>
              </w:rPr>
            </w:pPr>
          </w:p>
          <w:p w:rsidR="00CF4FF6" w:rsidRDefault="00CF4FF6" w:rsidP="00CF4FF6">
            <w:pPr>
              <w:pStyle w:val="Default"/>
              <w:jc w:val="both"/>
              <w:rPr>
                <w:sz w:val="22"/>
                <w:szCs w:val="22"/>
              </w:rPr>
            </w:pPr>
            <w:r w:rsidRPr="00E442AA">
              <w:rPr>
                <w:sz w:val="22"/>
                <w:szCs w:val="22"/>
              </w:rPr>
              <w:t xml:space="preserve">Patients who do not attend their agreed and confirmed first appointment should be discharged back to the care of their referring source, and the referrer and patient informed of this action. The onus in this discharge has to be for the patient to re-initiate contact with the service, not for the GP to have to follow up with the patient. </w:t>
            </w:r>
          </w:p>
          <w:p w:rsidR="00E80916" w:rsidRPr="00E442AA" w:rsidRDefault="00E80916" w:rsidP="00CF4FF6">
            <w:pPr>
              <w:pStyle w:val="Default"/>
              <w:jc w:val="both"/>
              <w:rPr>
                <w:sz w:val="22"/>
                <w:szCs w:val="22"/>
              </w:rPr>
            </w:pPr>
          </w:p>
          <w:p w:rsidR="00CF4FF6" w:rsidRDefault="00CF4FF6" w:rsidP="00CF4FF6">
            <w:pPr>
              <w:pStyle w:val="Default"/>
              <w:jc w:val="both"/>
              <w:rPr>
                <w:sz w:val="22"/>
                <w:szCs w:val="22"/>
              </w:rPr>
            </w:pPr>
            <w:r w:rsidRPr="00E442AA">
              <w:rPr>
                <w:sz w:val="22"/>
                <w:szCs w:val="22"/>
              </w:rPr>
              <w:t xml:space="preserve">Patients who do not attend their agreed and confirmed follow-up appointment should be given one further opportunity to attend. Patients who then DNA their second and subsequent agreed and confirmed follow-up appointment should be discharged back to the care of their referring source, and the referrer and patient informed of this action. The onus in this discharge has to be for the patient to re-initiate contact with the service, not for the GP to have to follow up with the patient. </w:t>
            </w:r>
          </w:p>
          <w:p w:rsidR="00E80916" w:rsidRPr="00E442AA" w:rsidRDefault="00E80916" w:rsidP="00CF4FF6">
            <w:pPr>
              <w:pStyle w:val="Default"/>
              <w:jc w:val="both"/>
              <w:rPr>
                <w:sz w:val="22"/>
                <w:szCs w:val="22"/>
              </w:rPr>
            </w:pPr>
          </w:p>
          <w:p w:rsidR="00CF4FF6" w:rsidRDefault="00CF4FF6" w:rsidP="00CF4FF6">
            <w:pPr>
              <w:pStyle w:val="Default"/>
              <w:jc w:val="both"/>
              <w:rPr>
                <w:sz w:val="22"/>
                <w:szCs w:val="22"/>
              </w:rPr>
            </w:pPr>
            <w:r w:rsidRPr="00E442AA">
              <w:rPr>
                <w:sz w:val="22"/>
                <w:szCs w:val="22"/>
              </w:rPr>
              <w:t xml:space="preserve">When a patient contacts the service following a DNA and requests a further appointment, the decision whether to grant this request should be made by the Provider Health Care Professional, following a review of the patient’s DNA circumstances and clinical need. In most cases it is expected that this request for an appointment is granted. </w:t>
            </w:r>
          </w:p>
          <w:p w:rsidR="00E80916" w:rsidRPr="00E442AA" w:rsidRDefault="00E80916" w:rsidP="00CF4FF6">
            <w:pPr>
              <w:pStyle w:val="Default"/>
              <w:jc w:val="both"/>
              <w:rPr>
                <w:sz w:val="22"/>
                <w:szCs w:val="22"/>
              </w:rPr>
            </w:pPr>
          </w:p>
          <w:p w:rsidR="00CF4FF6" w:rsidRDefault="00CF4FF6" w:rsidP="00CF4FF6">
            <w:pPr>
              <w:pStyle w:val="Default"/>
              <w:jc w:val="both"/>
              <w:rPr>
                <w:sz w:val="22"/>
                <w:szCs w:val="22"/>
              </w:rPr>
            </w:pPr>
            <w:r w:rsidRPr="00E442AA">
              <w:rPr>
                <w:sz w:val="22"/>
                <w:szCs w:val="22"/>
              </w:rPr>
              <w:t xml:space="preserve">The Provider should use all reasonable means at its disposal to, wherever possible, reduce the rate of DNAs by making further and more frequent contact with the patient, to remind them of their appointment arrangements. </w:t>
            </w:r>
          </w:p>
          <w:p w:rsidR="00E80916" w:rsidRPr="00E442AA" w:rsidRDefault="00E80916" w:rsidP="00CF4FF6">
            <w:pPr>
              <w:pStyle w:val="Default"/>
              <w:jc w:val="both"/>
              <w:rPr>
                <w:sz w:val="22"/>
                <w:szCs w:val="22"/>
              </w:rPr>
            </w:pPr>
          </w:p>
          <w:p w:rsidR="00CF4FF6" w:rsidRDefault="00CF4FF6" w:rsidP="00CF4FF6">
            <w:pPr>
              <w:pStyle w:val="Default"/>
              <w:jc w:val="both"/>
              <w:rPr>
                <w:b/>
                <w:bCs/>
                <w:sz w:val="22"/>
                <w:szCs w:val="22"/>
              </w:rPr>
            </w:pPr>
            <w:r w:rsidRPr="00E442AA">
              <w:rPr>
                <w:b/>
                <w:bCs/>
                <w:sz w:val="22"/>
                <w:szCs w:val="22"/>
              </w:rPr>
              <w:t xml:space="preserve">Patient initiated cancellations </w:t>
            </w:r>
          </w:p>
          <w:p w:rsidR="00E80916" w:rsidRPr="00E442AA" w:rsidRDefault="00E80916" w:rsidP="00CF4FF6">
            <w:pPr>
              <w:pStyle w:val="Default"/>
              <w:jc w:val="both"/>
              <w:rPr>
                <w:sz w:val="22"/>
                <w:szCs w:val="22"/>
              </w:rPr>
            </w:pPr>
          </w:p>
          <w:p w:rsidR="00CF4FF6" w:rsidRDefault="00CF4FF6" w:rsidP="00CF4FF6">
            <w:pPr>
              <w:pStyle w:val="Default"/>
              <w:jc w:val="both"/>
              <w:rPr>
                <w:sz w:val="22"/>
                <w:szCs w:val="22"/>
              </w:rPr>
            </w:pPr>
            <w:r w:rsidRPr="00E442AA">
              <w:rPr>
                <w:sz w:val="22"/>
                <w:szCs w:val="22"/>
              </w:rPr>
              <w:t xml:space="preserve">Patients should be allowed to cancel their previously confirmed appointment and request a rebooking once, and a second appointment date and time agreed with the patient. If the patient then cancels their second confirmed appointment, the patient should be discharged back to the care of their referring source, and the referrer and patient informed of this action. Similarly, if a patient requests termination of their treatment cycle, the patient should be discharged back to the care of their referring source, and the referrer and patient informed of this action. </w:t>
            </w:r>
          </w:p>
          <w:p w:rsidR="00E80916" w:rsidRPr="00E442AA" w:rsidRDefault="00E80916" w:rsidP="00CF4FF6">
            <w:pPr>
              <w:pStyle w:val="Default"/>
              <w:jc w:val="both"/>
              <w:rPr>
                <w:sz w:val="22"/>
                <w:szCs w:val="22"/>
              </w:rPr>
            </w:pPr>
          </w:p>
          <w:p w:rsidR="00CF4FF6" w:rsidRDefault="00CF4FF6" w:rsidP="00CF4FF6">
            <w:pPr>
              <w:pStyle w:val="Default"/>
              <w:jc w:val="both"/>
              <w:rPr>
                <w:b/>
                <w:bCs/>
                <w:sz w:val="22"/>
                <w:szCs w:val="22"/>
              </w:rPr>
            </w:pPr>
            <w:r w:rsidRPr="00E442AA">
              <w:rPr>
                <w:b/>
                <w:bCs/>
                <w:sz w:val="22"/>
                <w:szCs w:val="22"/>
              </w:rPr>
              <w:t xml:space="preserve">Service initiated cancellations </w:t>
            </w:r>
          </w:p>
          <w:p w:rsidR="00E80916" w:rsidRPr="00E442AA" w:rsidRDefault="00E80916" w:rsidP="00CF4FF6">
            <w:pPr>
              <w:pStyle w:val="Default"/>
              <w:jc w:val="both"/>
              <w:rPr>
                <w:sz w:val="22"/>
                <w:szCs w:val="22"/>
              </w:rPr>
            </w:pPr>
          </w:p>
          <w:p w:rsidR="00CF4FF6" w:rsidRDefault="00CF4FF6" w:rsidP="00CF4FF6">
            <w:pPr>
              <w:pStyle w:val="Default"/>
              <w:jc w:val="both"/>
              <w:rPr>
                <w:sz w:val="22"/>
                <w:szCs w:val="22"/>
              </w:rPr>
            </w:pPr>
            <w:r w:rsidRPr="00E442AA">
              <w:rPr>
                <w:sz w:val="22"/>
                <w:szCs w:val="22"/>
              </w:rPr>
              <w:t xml:space="preserve">Where patient appointments have to be cancelled, the Provider shall offer alternative dates, within 5 Operational Days, to the patient without significantly lengthening their treatment pathway time. Wherever possible, patients who have been cancelled once should not be cancelled again, except as the result of an urgent clinical re-prioritisation, and there being no other options. </w:t>
            </w:r>
          </w:p>
          <w:p w:rsidR="00E80916" w:rsidRPr="00E442AA" w:rsidRDefault="00E80916" w:rsidP="00CF4FF6">
            <w:pPr>
              <w:pStyle w:val="Default"/>
              <w:jc w:val="both"/>
              <w:rPr>
                <w:sz w:val="22"/>
                <w:szCs w:val="22"/>
              </w:rPr>
            </w:pPr>
          </w:p>
          <w:p w:rsidR="00CF4FF6" w:rsidRPr="00E442AA" w:rsidRDefault="00CF4FF6" w:rsidP="00CF4FF6">
            <w:pPr>
              <w:pStyle w:val="Default"/>
              <w:jc w:val="both"/>
              <w:rPr>
                <w:sz w:val="22"/>
                <w:szCs w:val="22"/>
              </w:rPr>
            </w:pPr>
            <w:r w:rsidRPr="00E442AA">
              <w:rPr>
                <w:b/>
                <w:bCs/>
                <w:sz w:val="22"/>
                <w:szCs w:val="22"/>
              </w:rPr>
              <w:t xml:space="preserve">Unfit patients </w:t>
            </w:r>
          </w:p>
          <w:p w:rsidR="00CF4FF6" w:rsidRDefault="00CF4FF6" w:rsidP="00CF4FF6">
            <w:pPr>
              <w:pStyle w:val="Default"/>
              <w:jc w:val="both"/>
              <w:rPr>
                <w:sz w:val="22"/>
                <w:szCs w:val="22"/>
              </w:rPr>
            </w:pPr>
            <w:r w:rsidRPr="00E442AA">
              <w:rPr>
                <w:sz w:val="22"/>
                <w:szCs w:val="22"/>
              </w:rPr>
              <w:t xml:space="preserve">Patients deemed unfit for their treatment should be discharged back to the care of their referring source, and the referrer and patient informed of this action. </w:t>
            </w:r>
          </w:p>
          <w:p w:rsidR="00E80916" w:rsidRPr="00E442AA" w:rsidRDefault="00E80916" w:rsidP="00CF4FF6">
            <w:pPr>
              <w:pStyle w:val="Default"/>
              <w:jc w:val="both"/>
              <w:rPr>
                <w:sz w:val="22"/>
                <w:szCs w:val="22"/>
              </w:rPr>
            </w:pPr>
          </w:p>
          <w:p w:rsidR="00CF4FF6" w:rsidRPr="00E442AA" w:rsidRDefault="00CF4FF6" w:rsidP="00CF4FF6">
            <w:pPr>
              <w:pStyle w:val="Default"/>
              <w:jc w:val="both"/>
              <w:rPr>
                <w:sz w:val="22"/>
                <w:szCs w:val="22"/>
              </w:rPr>
            </w:pPr>
            <w:r w:rsidRPr="00E442AA">
              <w:rPr>
                <w:b/>
                <w:bCs/>
                <w:sz w:val="22"/>
                <w:szCs w:val="22"/>
              </w:rPr>
              <w:t xml:space="preserve">Transfers </w:t>
            </w:r>
          </w:p>
          <w:p w:rsidR="00CF4FF6" w:rsidRDefault="00CF4FF6" w:rsidP="00CF4FF6">
            <w:pPr>
              <w:pStyle w:val="Default"/>
              <w:jc w:val="both"/>
              <w:rPr>
                <w:sz w:val="22"/>
                <w:szCs w:val="22"/>
              </w:rPr>
            </w:pPr>
            <w:r w:rsidRPr="00E442AA">
              <w:rPr>
                <w:sz w:val="22"/>
                <w:szCs w:val="22"/>
              </w:rPr>
              <w:t xml:space="preserve">When a patient moves from a </w:t>
            </w:r>
            <w:r w:rsidR="00C429C6">
              <w:rPr>
                <w:sz w:val="22"/>
                <w:szCs w:val="22"/>
              </w:rPr>
              <w:t xml:space="preserve">BCCG </w:t>
            </w:r>
            <w:r w:rsidRPr="00E442AA">
              <w:rPr>
                <w:sz w:val="22"/>
                <w:szCs w:val="22"/>
              </w:rPr>
              <w:t xml:space="preserve">GP practice to another area, they may wish to transfer their treatment to another provider closer to their new home. In this instance, the patient should be referred back to their referring source, and the referrer and patient informed of this action. The referring source should be responsible for referring the patient to their new appropriate primary care provider. </w:t>
            </w:r>
          </w:p>
          <w:p w:rsidR="00E80916" w:rsidRPr="00E442AA" w:rsidRDefault="00E80916" w:rsidP="00CF4FF6">
            <w:pPr>
              <w:pStyle w:val="Default"/>
              <w:jc w:val="both"/>
              <w:rPr>
                <w:sz w:val="22"/>
                <w:szCs w:val="22"/>
              </w:rPr>
            </w:pPr>
          </w:p>
          <w:p w:rsidR="00CF4FF6" w:rsidRPr="00E442AA" w:rsidRDefault="00CF4FF6" w:rsidP="00CF4FF6">
            <w:pPr>
              <w:pStyle w:val="Default"/>
              <w:jc w:val="both"/>
              <w:rPr>
                <w:sz w:val="22"/>
                <w:szCs w:val="22"/>
              </w:rPr>
            </w:pPr>
            <w:r w:rsidRPr="00E442AA">
              <w:rPr>
                <w:b/>
                <w:bCs/>
                <w:sz w:val="22"/>
                <w:szCs w:val="22"/>
              </w:rPr>
              <w:t xml:space="preserve">Patient information </w:t>
            </w:r>
          </w:p>
          <w:p w:rsidR="00CF4FF6" w:rsidRDefault="00CF4FF6" w:rsidP="00CF4FF6">
            <w:pPr>
              <w:pStyle w:val="Default"/>
              <w:jc w:val="both"/>
              <w:rPr>
                <w:sz w:val="22"/>
                <w:szCs w:val="22"/>
              </w:rPr>
            </w:pPr>
            <w:r w:rsidRPr="00E442AA">
              <w:rPr>
                <w:sz w:val="22"/>
                <w:szCs w:val="22"/>
              </w:rPr>
              <w:t xml:space="preserve">The Provider shall ensure that, as part of the admission process, patients are well informed about their condition and about what to expect within the Service. They should be given information about any procedures and recovery process, including information on aftercare, how to access other relevant services out-of-hours and also reassurance that the clinician caring for them is suitably qualified/experienced. </w:t>
            </w:r>
          </w:p>
          <w:p w:rsidR="00E80916" w:rsidRPr="00E442AA" w:rsidRDefault="00E80916" w:rsidP="00CF4FF6">
            <w:pPr>
              <w:pStyle w:val="Default"/>
              <w:jc w:val="both"/>
              <w:rPr>
                <w:sz w:val="22"/>
                <w:szCs w:val="22"/>
              </w:rPr>
            </w:pPr>
          </w:p>
          <w:p w:rsidR="00E80916" w:rsidRDefault="00CF4FF6" w:rsidP="00CF4FF6">
            <w:pPr>
              <w:spacing w:after="0" w:line="240" w:lineRule="auto"/>
              <w:jc w:val="both"/>
              <w:rPr>
                <w:rFonts w:ascii="Arial" w:hAnsi="Arial" w:cs="Arial"/>
              </w:rPr>
            </w:pPr>
            <w:r w:rsidRPr="00E442AA">
              <w:rPr>
                <w:rFonts w:ascii="Arial" w:hAnsi="Arial" w:cs="Arial"/>
              </w:rPr>
              <w:t xml:space="preserve">The information should also be available on the Provider’s website which shall include detailed patient information about all common conditions and related procedures. Where possible, this should be diagrammatic and visual, and include examples of real patient stories (case studies). </w:t>
            </w:r>
          </w:p>
          <w:p w:rsidR="00F75444" w:rsidRDefault="00F75444" w:rsidP="00CF4FF6">
            <w:pPr>
              <w:spacing w:after="0" w:line="240" w:lineRule="auto"/>
              <w:jc w:val="both"/>
              <w:rPr>
                <w:rFonts w:ascii="Arial" w:hAnsi="Arial" w:cs="Arial"/>
              </w:rPr>
            </w:pPr>
          </w:p>
          <w:p w:rsidR="00CF4FF6" w:rsidRDefault="00CF4FF6" w:rsidP="00F75444">
            <w:pPr>
              <w:spacing w:after="0" w:line="240" w:lineRule="auto"/>
              <w:jc w:val="both"/>
              <w:rPr>
                <w:rFonts w:ascii="Arial" w:hAnsi="Arial" w:cs="Arial"/>
              </w:rPr>
            </w:pPr>
            <w:r w:rsidRPr="00E442AA">
              <w:rPr>
                <w:rFonts w:ascii="Arial" w:hAnsi="Arial" w:cs="Arial"/>
              </w:rPr>
              <w:t>The</w:t>
            </w:r>
            <w:r w:rsidR="00E80916">
              <w:rPr>
                <w:rFonts w:ascii="Arial" w:hAnsi="Arial" w:cs="Arial"/>
              </w:rPr>
              <w:t xml:space="preserve"> </w:t>
            </w:r>
            <w:r w:rsidRPr="00E442AA">
              <w:rPr>
                <w:rFonts w:ascii="Arial" w:hAnsi="Arial" w:cs="Arial"/>
              </w:rPr>
              <w:t xml:space="preserve">Provider shall also ensure that the patient is given an opportunity to ask questions and receive reassurance as necessary. </w:t>
            </w:r>
          </w:p>
          <w:p w:rsidR="00F75444" w:rsidRPr="00E442AA" w:rsidRDefault="00F75444" w:rsidP="00F75444">
            <w:pPr>
              <w:spacing w:after="0" w:line="240" w:lineRule="auto"/>
              <w:jc w:val="both"/>
            </w:pPr>
          </w:p>
          <w:p w:rsidR="00E80916" w:rsidRPr="00E442AA" w:rsidRDefault="00E80916" w:rsidP="00CF4FF6">
            <w:pPr>
              <w:pStyle w:val="Default"/>
              <w:jc w:val="both"/>
              <w:rPr>
                <w:sz w:val="22"/>
                <w:szCs w:val="22"/>
              </w:rPr>
            </w:pPr>
          </w:p>
          <w:p w:rsidR="00CF4FF6" w:rsidRDefault="00CF4FF6" w:rsidP="00CF4FF6">
            <w:pPr>
              <w:pStyle w:val="Default"/>
              <w:jc w:val="both"/>
              <w:rPr>
                <w:sz w:val="22"/>
                <w:szCs w:val="22"/>
              </w:rPr>
            </w:pPr>
            <w:r w:rsidRPr="00E442AA">
              <w:rPr>
                <w:sz w:val="22"/>
                <w:szCs w:val="22"/>
              </w:rPr>
              <w:t xml:space="preserve">The Provider shall provide access to appropriate translation services for patients speaking </w:t>
            </w:r>
            <w:r w:rsidR="00761A3D" w:rsidRPr="00E442AA">
              <w:rPr>
                <w:sz w:val="22"/>
                <w:szCs w:val="22"/>
              </w:rPr>
              <w:t>little</w:t>
            </w:r>
            <w:r w:rsidRPr="00E442AA">
              <w:rPr>
                <w:sz w:val="22"/>
                <w:szCs w:val="22"/>
              </w:rPr>
              <w:t xml:space="preserve"> or no English. If required, longer appointments should be offered for these patients, or those with disabilities. </w:t>
            </w:r>
          </w:p>
          <w:p w:rsidR="00E80916" w:rsidRPr="00E442AA" w:rsidRDefault="00E80916" w:rsidP="00CF4FF6">
            <w:pPr>
              <w:pStyle w:val="Default"/>
              <w:jc w:val="both"/>
              <w:rPr>
                <w:sz w:val="22"/>
                <w:szCs w:val="22"/>
              </w:rPr>
            </w:pPr>
          </w:p>
          <w:p w:rsidR="00CF4FF6" w:rsidRDefault="00CF4FF6" w:rsidP="00CF4FF6">
            <w:pPr>
              <w:pStyle w:val="Default"/>
              <w:jc w:val="both"/>
              <w:rPr>
                <w:sz w:val="22"/>
                <w:szCs w:val="22"/>
              </w:rPr>
            </w:pPr>
            <w:r w:rsidRPr="00E442AA">
              <w:rPr>
                <w:sz w:val="22"/>
                <w:szCs w:val="22"/>
              </w:rPr>
              <w:t xml:space="preserve">Patients (particularly those who require </w:t>
            </w:r>
            <w:r w:rsidR="00761A3D" w:rsidRPr="00E442AA">
              <w:rPr>
                <w:sz w:val="22"/>
                <w:szCs w:val="22"/>
              </w:rPr>
              <w:t>on-going</w:t>
            </w:r>
            <w:r w:rsidRPr="00E442AA">
              <w:rPr>
                <w:sz w:val="22"/>
                <w:szCs w:val="22"/>
              </w:rPr>
              <w:t xml:space="preserve"> care within the Service) should be supplied with contact details for a named clinician who can respond to queries and concerns, and, where necessary, give clinical telephone advice. </w:t>
            </w:r>
          </w:p>
          <w:p w:rsidR="00E80916" w:rsidRPr="00E442AA" w:rsidRDefault="00E80916" w:rsidP="00CF4FF6">
            <w:pPr>
              <w:pStyle w:val="Default"/>
              <w:jc w:val="both"/>
              <w:rPr>
                <w:sz w:val="22"/>
                <w:szCs w:val="22"/>
              </w:rPr>
            </w:pPr>
          </w:p>
          <w:p w:rsidR="00CF4FF6" w:rsidRDefault="00CF4FF6" w:rsidP="00CF4FF6">
            <w:pPr>
              <w:pStyle w:val="Default"/>
              <w:jc w:val="both"/>
              <w:rPr>
                <w:b/>
                <w:bCs/>
                <w:sz w:val="22"/>
                <w:szCs w:val="22"/>
              </w:rPr>
            </w:pPr>
            <w:r w:rsidRPr="00E442AA">
              <w:rPr>
                <w:b/>
                <w:bCs/>
                <w:sz w:val="22"/>
                <w:szCs w:val="22"/>
              </w:rPr>
              <w:t xml:space="preserve">Equal opportunities: </w:t>
            </w:r>
          </w:p>
          <w:p w:rsidR="00E80916" w:rsidRPr="00E442AA" w:rsidRDefault="00E80916" w:rsidP="00CF4FF6">
            <w:pPr>
              <w:pStyle w:val="Default"/>
              <w:jc w:val="both"/>
              <w:rPr>
                <w:sz w:val="22"/>
                <w:szCs w:val="22"/>
              </w:rPr>
            </w:pPr>
          </w:p>
          <w:p w:rsidR="00CF4FF6" w:rsidRDefault="00CF4FF6" w:rsidP="00CF4FF6">
            <w:pPr>
              <w:pStyle w:val="Default"/>
              <w:jc w:val="both"/>
              <w:rPr>
                <w:sz w:val="22"/>
                <w:szCs w:val="22"/>
              </w:rPr>
            </w:pPr>
            <w:r w:rsidRPr="00E442AA">
              <w:rPr>
                <w:sz w:val="22"/>
                <w:szCs w:val="22"/>
              </w:rPr>
              <w:t xml:space="preserve">The Provider must demonstrate how they meet equal opportunity requirements in the </w:t>
            </w:r>
            <w:r w:rsidRPr="00E442AA">
              <w:rPr>
                <w:sz w:val="22"/>
                <w:szCs w:val="22"/>
              </w:rPr>
              <w:lastRenderedPageBreak/>
              <w:t xml:space="preserve">following areas: </w:t>
            </w:r>
          </w:p>
          <w:p w:rsidR="00E80916" w:rsidRPr="00E442AA" w:rsidRDefault="00E80916" w:rsidP="00CF4FF6">
            <w:pPr>
              <w:pStyle w:val="Default"/>
              <w:jc w:val="both"/>
              <w:rPr>
                <w:sz w:val="22"/>
                <w:szCs w:val="22"/>
              </w:rPr>
            </w:pPr>
          </w:p>
          <w:p w:rsidR="00CF4FF6" w:rsidRPr="00E442AA" w:rsidRDefault="00CF4FF6" w:rsidP="00F75444">
            <w:pPr>
              <w:pStyle w:val="Default"/>
              <w:numPr>
                <w:ilvl w:val="0"/>
                <w:numId w:val="46"/>
              </w:numPr>
              <w:jc w:val="both"/>
              <w:rPr>
                <w:sz w:val="22"/>
                <w:szCs w:val="22"/>
                <w:lang w:eastAsia="en-US"/>
              </w:rPr>
            </w:pPr>
            <w:r w:rsidRPr="00E442AA">
              <w:rPr>
                <w:sz w:val="22"/>
                <w:szCs w:val="22"/>
              </w:rPr>
              <w:t xml:space="preserve">They must be committed to equal opportunities and must not discriminate in performance of the service towards service users or members of staff in any way </w:t>
            </w:r>
          </w:p>
          <w:p w:rsidR="00CF4FF6" w:rsidRPr="00E442AA" w:rsidRDefault="00CF4FF6" w:rsidP="00F75444">
            <w:pPr>
              <w:pStyle w:val="Default"/>
              <w:numPr>
                <w:ilvl w:val="0"/>
                <w:numId w:val="46"/>
              </w:numPr>
              <w:jc w:val="both"/>
              <w:rPr>
                <w:sz w:val="22"/>
                <w:szCs w:val="22"/>
                <w:lang w:eastAsia="en-US"/>
              </w:rPr>
            </w:pPr>
            <w:r w:rsidRPr="00E442AA">
              <w:rPr>
                <w:sz w:val="22"/>
                <w:szCs w:val="22"/>
              </w:rPr>
              <w:t xml:space="preserve">The provision of same-sex therapists and/or chaperones at the patient’s request </w:t>
            </w:r>
          </w:p>
          <w:p w:rsidR="00CF4FF6" w:rsidRPr="00E442AA" w:rsidRDefault="00CF4FF6" w:rsidP="00F75444">
            <w:pPr>
              <w:pStyle w:val="Default"/>
              <w:numPr>
                <w:ilvl w:val="0"/>
                <w:numId w:val="46"/>
              </w:numPr>
              <w:jc w:val="both"/>
              <w:rPr>
                <w:sz w:val="22"/>
                <w:szCs w:val="22"/>
                <w:lang w:eastAsia="en-US"/>
              </w:rPr>
            </w:pPr>
            <w:r w:rsidRPr="00E442AA">
              <w:rPr>
                <w:sz w:val="22"/>
                <w:szCs w:val="22"/>
              </w:rPr>
              <w:t xml:space="preserve">The provision of premises, facilities and treatment rooms that are compliant with disability legislation </w:t>
            </w:r>
          </w:p>
          <w:p w:rsidR="00CF4FF6" w:rsidRPr="00E442AA" w:rsidRDefault="00CF4FF6" w:rsidP="00F75444">
            <w:pPr>
              <w:pStyle w:val="Default"/>
              <w:numPr>
                <w:ilvl w:val="0"/>
                <w:numId w:val="46"/>
              </w:numPr>
              <w:jc w:val="both"/>
              <w:rPr>
                <w:sz w:val="22"/>
                <w:szCs w:val="22"/>
                <w:lang w:eastAsia="en-US"/>
              </w:rPr>
            </w:pPr>
            <w:r w:rsidRPr="00E442AA">
              <w:rPr>
                <w:sz w:val="22"/>
                <w:szCs w:val="22"/>
              </w:rPr>
              <w:t xml:space="preserve">Access to foreign language interpreter or sign language interpreters, if necessary </w:t>
            </w:r>
          </w:p>
          <w:p w:rsidR="00CF4FF6" w:rsidRPr="00E442AA" w:rsidRDefault="00CF4FF6" w:rsidP="00F75444">
            <w:pPr>
              <w:pStyle w:val="Default"/>
              <w:numPr>
                <w:ilvl w:val="0"/>
                <w:numId w:val="46"/>
              </w:numPr>
              <w:jc w:val="both"/>
              <w:rPr>
                <w:sz w:val="22"/>
                <w:szCs w:val="22"/>
                <w:lang w:eastAsia="en-US"/>
              </w:rPr>
            </w:pPr>
            <w:r w:rsidRPr="00E442AA">
              <w:rPr>
                <w:sz w:val="22"/>
                <w:szCs w:val="22"/>
              </w:rPr>
              <w:t xml:space="preserve">The provision of written patient information in a variety of languages appropriate to the patient population in the CCG. The maximum timescale for the implementation of multi lingual literature will be 6 months from the service commencement date, to be contained within the contract Service Development and Improvement Plan. </w:t>
            </w:r>
          </w:p>
          <w:p w:rsidR="00414C59" w:rsidRPr="00CE7424" w:rsidRDefault="00414C59" w:rsidP="00CE7424">
            <w:pPr>
              <w:spacing w:after="0" w:line="240" w:lineRule="auto"/>
              <w:jc w:val="both"/>
              <w:rPr>
                <w:rFonts w:ascii="Arial" w:hAnsi="Arial" w:cs="Arial"/>
                <w:b/>
              </w:rPr>
            </w:pPr>
          </w:p>
        </w:tc>
      </w:tr>
      <w:tr w:rsidR="00740531" w:rsidRPr="00004044" w:rsidTr="002B7B95">
        <w:tc>
          <w:tcPr>
            <w:tcW w:w="9401" w:type="dxa"/>
          </w:tcPr>
          <w:p w:rsidR="00740531" w:rsidRPr="00CE7424" w:rsidRDefault="00740531" w:rsidP="00CE7424">
            <w:pPr>
              <w:spacing w:after="0" w:line="240" w:lineRule="auto"/>
              <w:jc w:val="center"/>
              <w:rPr>
                <w:rFonts w:ascii="Arial" w:hAnsi="Arial" w:cs="Arial"/>
                <w:b/>
              </w:rPr>
            </w:pPr>
            <w:r w:rsidRPr="00CE7424">
              <w:rPr>
                <w:rFonts w:ascii="Arial" w:hAnsi="Arial" w:cs="Arial"/>
                <w:b/>
              </w:rPr>
              <w:lastRenderedPageBreak/>
              <w:t>Locally defined, general requirements for providers</w:t>
            </w:r>
          </w:p>
        </w:tc>
      </w:tr>
      <w:tr w:rsidR="00740531" w:rsidRPr="00004044" w:rsidTr="002B7B95">
        <w:tc>
          <w:tcPr>
            <w:tcW w:w="9401" w:type="dxa"/>
          </w:tcPr>
          <w:p w:rsidR="00740531" w:rsidRPr="00004044" w:rsidRDefault="00740531" w:rsidP="00004044">
            <w:pPr>
              <w:pStyle w:val="ListParagraph"/>
              <w:spacing w:after="0" w:line="240" w:lineRule="auto"/>
              <w:ind w:left="480"/>
              <w:jc w:val="both"/>
              <w:rPr>
                <w:rFonts w:ascii="Arial" w:hAnsi="Arial" w:cs="Arial"/>
                <w:b/>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6"/>
              <w:gridCol w:w="3351"/>
            </w:tblGrid>
            <w:tr w:rsidR="00740531" w:rsidRPr="00004044" w:rsidTr="002D64ED">
              <w:tc>
                <w:tcPr>
                  <w:tcW w:w="5386" w:type="dxa"/>
                  <w:tcBorders>
                    <w:top w:val="single" w:sz="4" w:space="0" w:color="auto"/>
                    <w:left w:val="single" w:sz="4" w:space="0" w:color="auto"/>
                    <w:bottom w:val="single" w:sz="4" w:space="0" w:color="auto"/>
                    <w:right w:val="single" w:sz="4" w:space="0" w:color="auto"/>
                  </w:tcBorders>
                </w:tcPr>
                <w:p w:rsidR="00740531" w:rsidRPr="00004044" w:rsidRDefault="00740531" w:rsidP="00004044">
                  <w:pPr>
                    <w:pStyle w:val="ListParagraph"/>
                    <w:spacing w:after="0" w:line="240" w:lineRule="auto"/>
                    <w:ind w:left="0"/>
                    <w:jc w:val="both"/>
                    <w:rPr>
                      <w:rFonts w:ascii="Arial" w:hAnsi="Arial" w:cs="Arial"/>
                      <w:b/>
                    </w:rPr>
                  </w:pPr>
                  <w:r w:rsidRPr="00004044">
                    <w:rPr>
                      <w:rFonts w:ascii="Arial" w:hAnsi="Arial" w:cs="Arial"/>
                      <w:b/>
                    </w:rPr>
                    <w:t>Requirement</w:t>
                  </w:r>
                </w:p>
              </w:tc>
              <w:tc>
                <w:tcPr>
                  <w:tcW w:w="3351" w:type="dxa"/>
                  <w:tcBorders>
                    <w:top w:val="single" w:sz="4" w:space="0" w:color="auto"/>
                    <w:left w:val="single" w:sz="4" w:space="0" w:color="auto"/>
                    <w:bottom w:val="single" w:sz="4" w:space="0" w:color="auto"/>
                    <w:right w:val="single" w:sz="4" w:space="0" w:color="auto"/>
                  </w:tcBorders>
                </w:tcPr>
                <w:p w:rsidR="00740531" w:rsidRPr="00004044" w:rsidRDefault="00740531" w:rsidP="00004044">
                  <w:pPr>
                    <w:pStyle w:val="ListParagraph"/>
                    <w:spacing w:after="0" w:line="240" w:lineRule="auto"/>
                    <w:jc w:val="both"/>
                    <w:rPr>
                      <w:rFonts w:ascii="Arial" w:hAnsi="Arial" w:cs="Arial"/>
                      <w:b/>
                    </w:rPr>
                  </w:pPr>
                  <w:r w:rsidRPr="00004044">
                    <w:rPr>
                      <w:rFonts w:ascii="Arial" w:hAnsi="Arial" w:cs="Arial"/>
                      <w:b/>
                    </w:rPr>
                    <w:t>Applicable service category</w:t>
                  </w:r>
                </w:p>
                <w:p w:rsidR="00740531" w:rsidRPr="00004044" w:rsidRDefault="00740531" w:rsidP="00004044">
                  <w:pPr>
                    <w:pStyle w:val="ListParagraph"/>
                    <w:spacing w:after="0" w:line="240" w:lineRule="auto"/>
                    <w:ind w:left="0"/>
                    <w:jc w:val="both"/>
                    <w:rPr>
                      <w:rFonts w:ascii="Arial" w:hAnsi="Arial" w:cs="Arial"/>
                      <w:b/>
                    </w:rPr>
                  </w:pPr>
                </w:p>
              </w:tc>
            </w:tr>
            <w:tr w:rsidR="00740531" w:rsidRPr="00004044" w:rsidTr="002D64ED">
              <w:tc>
                <w:tcPr>
                  <w:tcW w:w="5386" w:type="dxa"/>
                  <w:tcBorders>
                    <w:top w:val="single" w:sz="4" w:space="0" w:color="auto"/>
                    <w:left w:val="single" w:sz="4" w:space="0" w:color="auto"/>
                    <w:bottom w:val="single" w:sz="4" w:space="0" w:color="auto"/>
                    <w:right w:val="single" w:sz="4" w:space="0" w:color="auto"/>
                  </w:tcBorders>
                </w:tcPr>
                <w:p w:rsidR="00740531" w:rsidRPr="00004044" w:rsidRDefault="00740531" w:rsidP="00004044">
                  <w:pPr>
                    <w:spacing w:after="0" w:line="240" w:lineRule="auto"/>
                    <w:jc w:val="both"/>
                    <w:rPr>
                      <w:rFonts w:ascii="Arial" w:hAnsi="Arial" w:cs="Arial"/>
                    </w:rPr>
                  </w:pPr>
                  <w:r w:rsidRPr="00004044">
                    <w:rPr>
                      <w:rFonts w:ascii="Arial" w:hAnsi="Arial" w:cs="Arial"/>
                    </w:rPr>
                    <w:t>Provider is CQC registered with no conditions</w:t>
                  </w:r>
                </w:p>
              </w:tc>
              <w:tc>
                <w:tcPr>
                  <w:tcW w:w="3351" w:type="dxa"/>
                  <w:tcBorders>
                    <w:top w:val="single" w:sz="4" w:space="0" w:color="auto"/>
                    <w:left w:val="single" w:sz="4" w:space="0" w:color="auto"/>
                    <w:bottom w:val="single" w:sz="4" w:space="0" w:color="auto"/>
                    <w:right w:val="single" w:sz="4" w:space="0" w:color="auto"/>
                  </w:tcBorders>
                </w:tcPr>
                <w:p w:rsidR="00740531" w:rsidRPr="00004044" w:rsidRDefault="00740531" w:rsidP="00004044">
                  <w:pPr>
                    <w:pStyle w:val="ListParagraph"/>
                    <w:spacing w:after="0" w:line="240" w:lineRule="auto"/>
                    <w:jc w:val="both"/>
                    <w:rPr>
                      <w:rFonts w:ascii="Arial" w:hAnsi="Arial" w:cs="Arial"/>
                    </w:rPr>
                  </w:pPr>
                  <w:r w:rsidRPr="00004044">
                    <w:rPr>
                      <w:rFonts w:ascii="Arial" w:hAnsi="Arial" w:cs="Arial"/>
                    </w:rPr>
                    <w:t>All</w:t>
                  </w:r>
                </w:p>
              </w:tc>
            </w:tr>
            <w:tr w:rsidR="00740531" w:rsidRPr="00004044" w:rsidTr="002D64ED">
              <w:tc>
                <w:tcPr>
                  <w:tcW w:w="5386" w:type="dxa"/>
                  <w:tcBorders>
                    <w:top w:val="single" w:sz="4" w:space="0" w:color="auto"/>
                    <w:left w:val="single" w:sz="4" w:space="0" w:color="auto"/>
                    <w:bottom w:val="single" w:sz="4" w:space="0" w:color="auto"/>
                    <w:right w:val="single" w:sz="4" w:space="0" w:color="auto"/>
                  </w:tcBorders>
                </w:tcPr>
                <w:p w:rsidR="00740531" w:rsidRPr="00004044" w:rsidRDefault="00740531" w:rsidP="00004044">
                  <w:pPr>
                    <w:spacing w:after="0" w:line="240" w:lineRule="auto"/>
                    <w:jc w:val="both"/>
                    <w:rPr>
                      <w:rFonts w:ascii="Arial" w:hAnsi="Arial" w:cs="Arial"/>
                    </w:rPr>
                  </w:pPr>
                  <w:r w:rsidRPr="00004044">
                    <w:rPr>
                      <w:rFonts w:ascii="Arial" w:hAnsi="Arial" w:cs="Arial"/>
                    </w:rPr>
                    <w:t>Same day appointments are available for patients clinically assessed as requiring them.</w:t>
                  </w:r>
                </w:p>
              </w:tc>
              <w:tc>
                <w:tcPr>
                  <w:tcW w:w="3351" w:type="dxa"/>
                  <w:tcBorders>
                    <w:top w:val="single" w:sz="4" w:space="0" w:color="auto"/>
                    <w:left w:val="single" w:sz="4" w:space="0" w:color="auto"/>
                    <w:bottom w:val="single" w:sz="4" w:space="0" w:color="auto"/>
                    <w:right w:val="single" w:sz="4" w:space="0" w:color="auto"/>
                  </w:tcBorders>
                </w:tcPr>
                <w:p w:rsidR="00740531" w:rsidRPr="00004044" w:rsidRDefault="00740531" w:rsidP="00004044">
                  <w:pPr>
                    <w:pStyle w:val="ListParagraph"/>
                    <w:spacing w:after="0" w:line="240" w:lineRule="auto"/>
                    <w:jc w:val="both"/>
                    <w:rPr>
                      <w:rFonts w:ascii="Arial" w:hAnsi="Arial" w:cs="Arial"/>
                    </w:rPr>
                  </w:pPr>
                  <w:r w:rsidRPr="00004044">
                    <w:rPr>
                      <w:rFonts w:ascii="Arial" w:hAnsi="Arial" w:cs="Arial"/>
                    </w:rPr>
                    <w:t>All</w:t>
                  </w:r>
                </w:p>
                <w:p w:rsidR="00740531" w:rsidRPr="00004044" w:rsidRDefault="00740531" w:rsidP="00004044">
                  <w:pPr>
                    <w:pStyle w:val="ListParagraph"/>
                    <w:spacing w:after="0" w:line="240" w:lineRule="auto"/>
                    <w:ind w:left="0"/>
                    <w:jc w:val="both"/>
                    <w:rPr>
                      <w:rFonts w:ascii="Arial" w:hAnsi="Arial" w:cs="Arial"/>
                    </w:rPr>
                  </w:pPr>
                </w:p>
              </w:tc>
            </w:tr>
            <w:tr w:rsidR="00740531" w:rsidRPr="00004044" w:rsidTr="002D64ED">
              <w:tc>
                <w:tcPr>
                  <w:tcW w:w="5386" w:type="dxa"/>
                  <w:tcBorders>
                    <w:top w:val="single" w:sz="4" w:space="0" w:color="auto"/>
                    <w:left w:val="single" w:sz="4" w:space="0" w:color="auto"/>
                    <w:bottom w:val="single" w:sz="4" w:space="0" w:color="auto"/>
                    <w:right w:val="single" w:sz="4" w:space="0" w:color="auto"/>
                  </w:tcBorders>
                </w:tcPr>
                <w:p w:rsidR="00740531" w:rsidRPr="00004044" w:rsidRDefault="00740531" w:rsidP="00004044">
                  <w:pPr>
                    <w:spacing w:after="0" w:line="240" w:lineRule="auto"/>
                    <w:jc w:val="both"/>
                    <w:rPr>
                      <w:rFonts w:ascii="Arial" w:hAnsi="Arial" w:cs="Arial"/>
                    </w:rPr>
                  </w:pPr>
                  <w:r w:rsidRPr="00004044">
                    <w:rPr>
                      <w:rFonts w:ascii="Arial" w:hAnsi="Arial" w:cs="Arial"/>
                    </w:rPr>
                    <w:t>Provider shares information with commissioners to support quality improvements (subject to IG rules).</w:t>
                  </w:r>
                </w:p>
              </w:tc>
              <w:tc>
                <w:tcPr>
                  <w:tcW w:w="3351" w:type="dxa"/>
                  <w:tcBorders>
                    <w:top w:val="single" w:sz="4" w:space="0" w:color="auto"/>
                    <w:left w:val="single" w:sz="4" w:space="0" w:color="auto"/>
                    <w:bottom w:val="single" w:sz="4" w:space="0" w:color="auto"/>
                    <w:right w:val="single" w:sz="4" w:space="0" w:color="auto"/>
                  </w:tcBorders>
                </w:tcPr>
                <w:p w:rsidR="00740531" w:rsidRPr="00004044" w:rsidRDefault="00740531" w:rsidP="00004044">
                  <w:pPr>
                    <w:pStyle w:val="ListParagraph"/>
                    <w:spacing w:after="0" w:line="240" w:lineRule="auto"/>
                    <w:jc w:val="both"/>
                    <w:rPr>
                      <w:rFonts w:ascii="Arial" w:hAnsi="Arial" w:cs="Arial"/>
                    </w:rPr>
                  </w:pPr>
                  <w:r w:rsidRPr="00004044">
                    <w:rPr>
                      <w:rFonts w:ascii="Arial" w:hAnsi="Arial" w:cs="Arial"/>
                    </w:rPr>
                    <w:t>All</w:t>
                  </w:r>
                </w:p>
                <w:p w:rsidR="00740531" w:rsidRPr="00004044" w:rsidRDefault="00740531" w:rsidP="00004044">
                  <w:pPr>
                    <w:pStyle w:val="ListParagraph"/>
                    <w:spacing w:after="0" w:line="240" w:lineRule="auto"/>
                    <w:ind w:left="0"/>
                    <w:jc w:val="both"/>
                    <w:rPr>
                      <w:rFonts w:ascii="Arial" w:hAnsi="Arial" w:cs="Arial"/>
                    </w:rPr>
                  </w:pPr>
                </w:p>
              </w:tc>
            </w:tr>
            <w:tr w:rsidR="00740531" w:rsidRPr="00004044" w:rsidTr="002D64ED">
              <w:tc>
                <w:tcPr>
                  <w:tcW w:w="5386" w:type="dxa"/>
                  <w:tcBorders>
                    <w:top w:val="single" w:sz="4" w:space="0" w:color="auto"/>
                    <w:left w:val="single" w:sz="4" w:space="0" w:color="auto"/>
                    <w:bottom w:val="single" w:sz="4" w:space="0" w:color="auto"/>
                    <w:right w:val="single" w:sz="4" w:space="0" w:color="auto"/>
                  </w:tcBorders>
                </w:tcPr>
                <w:p w:rsidR="00740531" w:rsidRPr="00004044" w:rsidRDefault="00740531" w:rsidP="00004044">
                  <w:pPr>
                    <w:spacing w:after="0" w:line="240" w:lineRule="auto"/>
                    <w:jc w:val="both"/>
                    <w:rPr>
                      <w:rFonts w:ascii="Arial" w:hAnsi="Arial" w:cs="Arial"/>
                      <w:highlight w:val="yellow"/>
                    </w:rPr>
                  </w:pPr>
                  <w:r w:rsidRPr="00004044">
                    <w:rPr>
                      <w:rFonts w:ascii="Arial" w:hAnsi="Arial" w:cs="Arial"/>
                    </w:rPr>
                    <w:t>Provider actively collects, analyses and acts on feedback from patients and carers using the service</w:t>
                  </w:r>
                </w:p>
              </w:tc>
              <w:tc>
                <w:tcPr>
                  <w:tcW w:w="3351" w:type="dxa"/>
                  <w:tcBorders>
                    <w:top w:val="single" w:sz="4" w:space="0" w:color="auto"/>
                    <w:left w:val="single" w:sz="4" w:space="0" w:color="auto"/>
                    <w:bottom w:val="single" w:sz="4" w:space="0" w:color="auto"/>
                    <w:right w:val="single" w:sz="4" w:space="0" w:color="auto"/>
                  </w:tcBorders>
                </w:tcPr>
                <w:p w:rsidR="00740531" w:rsidRPr="00004044" w:rsidRDefault="00740531" w:rsidP="00004044">
                  <w:pPr>
                    <w:pStyle w:val="ListParagraph"/>
                    <w:spacing w:after="0" w:line="240" w:lineRule="auto"/>
                    <w:jc w:val="both"/>
                    <w:rPr>
                      <w:rFonts w:ascii="Arial" w:hAnsi="Arial" w:cs="Arial"/>
                    </w:rPr>
                  </w:pPr>
                  <w:r w:rsidRPr="00004044">
                    <w:rPr>
                      <w:rFonts w:ascii="Arial" w:hAnsi="Arial" w:cs="Arial"/>
                    </w:rPr>
                    <w:t>All</w:t>
                  </w:r>
                </w:p>
                <w:p w:rsidR="00740531" w:rsidRPr="00004044" w:rsidRDefault="00740531" w:rsidP="00004044">
                  <w:pPr>
                    <w:pStyle w:val="ListParagraph"/>
                    <w:spacing w:after="0" w:line="240" w:lineRule="auto"/>
                    <w:ind w:left="0"/>
                    <w:jc w:val="both"/>
                    <w:rPr>
                      <w:rFonts w:ascii="Arial" w:hAnsi="Arial" w:cs="Arial"/>
                    </w:rPr>
                  </w:pPr>
                </w:p>
              </w:tc>
            </w:tr>
            <w:tr w:rsidR="00740531" w:rsidRPr="00004044" w:rsidTr="002D64ED">
              <w:tc>
                <w:tcPr>
                  <w:tcW w:w="5386" w:type="dxa"/>
                  <w:tcBorders>
                    <w:top w:val="single" w:sz="4" w:space="0" w:color="auto"/>
                    <w:left w:val="single" w:sz="4" w:space="0" w:color="auto"/>
                    <w:bottom w:val="single" w:sz="4" w:space="0" w:color="auto"/>
                    <w:right w:val="single" w:sz="4" w:space="0" w:color="auto"/>
                  </w:tcBorders>
                </w:tcPr>
                <w:p w:rsidR="00740531" w:rsidRPr="00004044" w:rsidRDefault="00E80916" w:rsidP="00004044">
                  <w:pPr>
                    <w:spacing w:after="0" w:line="240" w:lineRule="auto"/>
                    <w:jc w:val="both"/>
                    <w:rPr>
                      <w:rFonts w:ascii="Arial" w:hAnsi="Arial" w:cs="Arial"/>
                    </w:rPr>
                  </w:pPr>
                  <w:r>
                    <w:rPr>
                      <w:rFonts w:ascii="Arial" w:hAnsi="Arial" w:cs="Arial"/>
                    </w:rPr>
                    <w:t xml:space="preserve">Provider </w:t>
                  </w:r>
                  <w:r w:rsidR="00740531" w:rsidRPr="00004044">
                    <w:rPr>
                      <w:rFonts w:ascii="Arial" w:hAnsi="Arial" w:cs="Arial"/>
                    </w:rPr>
                    <w:t>participates in clinical audit cycles and peer review external to their practice.</w:t>
                  </w:r>
                </w:p>
              </w:tc>
              <w:tc>
                <w:tcPr>
                  <w:tcW w:w="3351" w:type="dxa"/>
                  <w:tcBorders>
                    <w:top w:val="single" w:sz="4" w:space="0" w:color="auto"/>
                    <w:left w:val="single" w:sz="4" w:space="0" w:color="auto"/>
                    <w:bottom w:val="single" w:sz="4" w:space="0" w:color="auto"/>
                    <w:right w:val="single" w:sz="4" w:space="0" w:color="auto"/>
                  </w:tcBorders>
                </w:tcPr>
                <w:p w:rsidR="00740531" w:rsidRPr="00004044" w:rsidRDefault="00E80916" w:rsidP="00004044">
                  <w:pPr>
                    <w:pStyle w:val="ListParagraph"/>
                    <w:spacing w:after="0" w:line="240" w:lineRule="auto"/>
                    <w:jc w:val="both"/>
                    <w:rPr>
                      <w:rFonts w:ascii="Arial" w:hAnsi="Arial" w:cs="Arial"/>
                    </w:rPr>
                  </w:pPr>
                  <w:r>
                    <w:rPr>
                      <w:rFonts w:ascii="Arial" w:hAnsi="Arial" w:cs="Arial"/>
                    </w:rPr>
                    <w:t xml:space="preserve">All </w:t>
                  </w:r>
                </w:p>
              </w:tc>
            </w:tr>
          </w:tbl>
          <w:p w:rsidR="00740531" w:rsidRPr="00004044" w:rsidRDefault="00740531" w:rsidP="00004044">
            <w:pPr>
              <w:spacing w:after="0" w:line="240" w:lineRule="auto"/>
              <w:jc w:val="both"/>
              <w:rPr>
                <w:rFonts w:ascii="Arial" w:hAnsi="Arial" w:cs="Arial"/>
                <w:b/>
              </w:rPr>
            </w:pPr>
          </w:p>
          <w:p w:rsidR="00740531" w:rsidRPr="00004044" w:rsidRDefault="00740531" w:rsidP="00004044">
            <w:pPr>
              <w:pStyle w:val="ListParagraph"/>
              <w:spacing w:after="0" w:line="240" w:lineRule="auto"/>
              <w:ind w:left="480"/>
              <w:jc w:val="both"/>
              <w:rPr>
                <w:rFonts w:ascii="Arial" w:hAnsi="Arial" w:cs="Arial"/>
                <w:b/>
              </w:rPr>
            </w:pPr>
          </w:p>
        </w:tc>
      </w:tr>
      <w:tr w:rsidR="00740531" w:rsidRPr="00004044" w:rsidTr="002B7B95">
        <w:tc>
          <w:tcPr>
            <w:tcW w:w="9401" w:type="dxa"/>
          </w:tcPr>
          <w:p w:rsidR="00740531" w:rsidRPr="00CE7424" w:rsidRDefault="00740531" w:rsidP="00CE7424">
            <w:pPr>
              <w:spacing w:after="0" w:line="240" w:lineRule="auto"/>
              <w:jc w:val="center"/>
              <w:rPr>
                <w:rFonts w:ascii="Arial" w:hAnsi="Arial" w:cs="Arial"/>
                <w:b/>
              </w:rPr>
            </w:pPr>
            <w:r w:rsidRPr="00CE7424">
              <w:rPr>
                <w:rFonts w:ascii="Arial" w:hAnsi="Arial" w:cs="Arial"/>
                <w:b/>
              </w:rPr>
              <w:t>Locally defined, service-specific requirements for providers</w:t>
            </w:r>
          </w:p>
        </w:tc>
      </w:tr>
      <w:tr w:rsidR="006161EB" w:rsidRPr="00004044" w:rsidTr="00CE7424">
        <w:trPr>
          <w:trHeight w:val="6299"/>
        </w:trPr>
        <w:tc>
          <w:tcPr>
            <w:tcW w:w="9401" w:type="dxa"/>
          </w:tcPr>
          <w:p w:rsidR="006161EB" w:rsidRPr="00004044" w:rsidRDefault="006161EB" w:rsidP="00004044">
            <w:pPr>
              <w:pStyle w:val="ListParagraph"/>
              <w:spacing w:after="0" w:line="240" w:lineRule="auto"/>
              <w:jc w:val="both"/>
              <w:rPr>
                <w:rFonts w:ascii="Arial" w:hAnsi="Arial" w:cs="Arial"/>
                <w:b/>
              </w:rPr>
            </w:pPr>
          </w:p>
          <w:p w:rsidR="006161EB" w:rsidRPr="00004044" w:rsidRDefault="006161EB" w:rsidP="00004044">
            <w:pPr>
              <w:pStyle w:val="ListParagraph"/>
              <w:spacing w:after="0" w:line="240" w:lineRule="auto"/>
              <w:jc w:val="both"/>
              <w:rPr>
                <w:rFonts w:ascii="Arial" w:hAnsi="Arial" w:cs="Arial"/>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6"/>
              <w:gridCol w:w="3069"/>
            </w:tblGrid>
            <w:tr w:rsidR="00740531" w:rsidRPr="00004044" w:rsidTr="00A4731D">
              <w:tc>
                <w:tcPr>
                  <w:tcW w:w="5386" w:type="dxa"/>
                  <w:tcBorders>
                    <w:top w:val="single" w:sz="4" w:space="0" w:color="auto"/>
                    <w:left w:val="single" w:sz="4" w:space="0" w:color="auto"/>
                    <w:bottom w:val="single" w:sz="4" w:space="0" w:color="auto"/>
                    <w:right w:val="single" w:sz="4" w:space="0" w:color="auto"/>
                  </w:tcBorders>
                </w:tcPr>
                <w:p w:rsidR="00740531" w:rsidRPr="00004044" w:rsidRDefault="00740531" w:rsidP="00004044">
                  <w:pPr>
                    <w:pStyle w:val="ListParagraph"/>
                    <w:spacing w:after="0" w:line="240" w:lineRule="auto"/>
                    <w:ind w:left="0"/>
                    <w:jc w:val="both"/>
                    <w:rPr>
                      <w:rFonts w:ascii="Arial" w:hAnsi="Arial" w:cs="Arial"/>
                      <w:b/>
                    </w:rPr>
                  </w:pPr>
                  <w:r w:rsidRPr="00004044">
                    <w:rPr>
                      <w:rFonts w:ascii="Arial" w:hAnsi="Arial" w:cs="Arial"/>
                      <w:b/>
                    </w:rPr>
                    <w:t>Requirement</w:t>
                  </w:r>
                </w:p>
              </w:tc>
              <w:tc>
                <w:tcPr>
                  <w:tcW w:w="3069" w:type="dxa"/>
                  <w:tcBorders>
                    <w:top w:val="single" w:sz="4" w:space="0" w:color="auto"/>
                    <w:left w:val="single" w:sz="4" w:space="0" w:color="auto"/>
                    <w:bottom w:val="single" w:sz="4" w:space="0" w:color="auto"/>
                    <w:right w:val="single" w:sz="4" w:space="0" w:color="auto"/>
                  </w:tcBorders>
                </w:tcPr>
                <w:p w:rsidR="00740531" w:rsidRPr="00004044" w:rsidRDefault="00740531" w:rsidP="00A4731D">
                  <w:pPr>
                    <w:pStyle w:val="ListParagraph"/>
                    <w:spacing w:after="0" w:line="240" w:lineRule="auto"/>
                    <w:rPr>
                      <w:rFonts w:ascii="Arial" w:hAnsi="Arial" w:cs="Arial"/>
                      <w:b/>
                    </w:rPr>
                  </w:pPr>
                  <w:r w:rsidRPr="00004044">
                    <w:rPr>
                      <w:rFonts w:ascii="Arial" w:hAnsi="Arial" w:cs="Arial"/>
                      <w:b/>
                    </w:rPr>
                    <w:t>Applicable service category</w:t>
                  </w:r>
                </w:p>
                <w:p w:rsidR="00740531" w:rsidRPr="00004044" w:rsidRDefault="00740531" w:rsidP="00004044">
                  <w:pPr>
                    <w:pStyle w:val="ListParagraph"/>
                    <w:spacing w:after="0" w:line="240" w:lineRule="auto"/>
                    <w:ind w:left="0"/>
                    <w:jc w:val="both"/>
                    <w:rPr>
                      <w:rFonts w:ascii="Arial" w:hAnsi="Arial" w:cs="Arial"/>
                      <w:b/>
                    </w:rPr>
                  </w:pPr>
                </w:p>
              </w:tc>
            </w:tr>
            <w:tr w:rsidR="00740531" w:rsidRPr="00004044" w:rsidTr="00A4731D">
              <w:tc>
                <w:tcPr>
                  <w:tcW w:w="5386" w:type="dxa"/>
                  <w:tcBorders>
                    <w:top w:val="single" w:sz="4" w:space="0" w:color="auto"/>
                    <w:left w:val="single" w:sz="4" w:space="0" w:color="auto"/>
                    <w:bottom w:val="single" w:sz="4" w:space="0" w:color="auto"/>
                    <w:right w:val="single" w:sz="4" w:space="0" w:color="auto"/>
                  </w:tcBorders>
                </w:tcPr>
                <w:p w:rsidR="00740531" w:rsidRPr="00004044" w:rsidRDefault="00740531" w:rsidP="00004044">
                  <w:pPr>
                    <w:spacing w:after="0" w:line="240" w:lineRule="auto"/>
                    <w:jc w:val="both"/>
                    <w:rPr>
                      <w:rFonts w:ascii="Arial" w:hAnsi="Arial" w:cs="Arial"/>
                    </w:rPr>
                  </w:pPr>
                  <w:r w:rsidRPr="00004044">
                    <w:rPr>
                      <w:rFonts w:ascii="Arial" w:hAnsi="Arial" w:cs="Arial"/>
                    </w:rPr>
                    <w:t>Individuals will have access to relevant and comprehensive information, in the right formats, to inform choice and decision-making about their care.</w:t>
                  </w:r>
                </w:p>
              </w:tc>
              <w:tc>
                <w:tcPr>
                  <w:tcW w:w="3069" w:type="dxa"/>
                  <w:tcBorders>
                    <w:top w:val="single" w:sz="4" w:space="0" w:color="auto"/>
                    <w:left w:val="single" w:sz="4" w:space="0" w:color="auto"/>
                    <w:bottom w:val="single" w:sz="4" w:space="0" w:color="auto"/>
                    <w:right w:val="single" w:sz="4" w:space="0" w:color="auto"/>
                  </w:tcBorders>
                </w:tcPr>
                <w:p w:rsidR="00740531" w:rsidRPr="00CE7424" w:rsidRDefault="00740531" w:rsidP="00CE7424">
                  <w:pPr>
                    <w:spacing w:after="0" w:line="240" w:lineRule="auto"/>
                    <w:jc w:val="center"/>
                    <w:rPr>
                      <w:rFonts w:ascii="Arial" w:hAnsi="Arial" w:cs="Arial"/>
                    </w:rPr>
                  </w:pPr>
                  <w:r w:rsidRPr="00CE7424">
                    <w:rPr>
                      <w:rFonts w:ascii="Arial" w:hAnsi="Arial" w:cs="Arial"/>
                    </w:rPr>
                    <w:t>All</w:t>
                  </w:r>
                </w:p>
                <w:p w:rsidR="00740531" w:rsidRPr="00004044" w:rsidRDefault="00740531" w:rsidP="00CE7424">
                  <w:pPr>
                    <w:pStyle w:val="ListParagraph"/>
                    <w:spacing w:after="0" w:line="240" w:lineRule="auto"/>
                    <w:ind w:left="0"/>
                    <w:jc w:val="center"/>
                    <w:rPr>
                      <w:rFonts w:ascii="Arial" w:hAnsi="Arial" w:cs="Arial"/>
                    </w:rPr>
                  </w:pPr>
                </w:p>
              </w:tc>
            </w:tr>
            <w:tr w:rsidR="00740531" w:rsidRPr="00004044" w:rsidTr="00A4731D">
              <w:tc>
                <w:tcPr>
                  <w:tcW w:w="5386" w:type="dxa"/>
                  <w:tcBorders>
                    <w:top w:val="single" w:sz="4" w:space="0" w:color="auto"/>
                    <w:left w:val="single" w:sz="4" w:space="0" w:color="auto"/>
                    <w:bottom w:val="single" w:sz="4" w:space="0" w:color="auto"/>
                    <w:right w:val="single" w:sz="4" w:space="0" w:color="auto"/>
                  </w:tcBorders>
                </w:tcPr>
                <w:p w:rsidR="00740531" w:rsidRPr="00004044" w:rsidRDefault="00740531" w:rsidP="00004044">
                  <w:pPr>
                    <w:spacing w:after="0" w:line="240" w:lineRule="auto"/>
                    <w:jc w:val="both"/>
                    <w:rPr>
                      <w:rFonts w:ascii="Arial" w:hAnsi="Arial" w:cs="Arial"/>
                    </w:rPr>
                  </w:pPr>
                  <w:r w:rsidRPr="00004044">
                    <w:rPr>
                      <w:rFonts w:ascii="Arial" w:hAnsi="Arial" w:cs="Arial"/>
                    </w:rPr>
                    <w:t>Providers will signpost patients to local services which could help them.</w:t>
                  </w:r>
                </w:p>
              </w:tc>
              <w:tc>
                <w:tcPr>
                  <w:tcW w:w="3069" w:type="dxa"/>
                  <w:tcBorders>
                    <w:top w:val="single" w:sz="4" w:space="0" w:color="auto"/>
                    <w:left w:val="single" w:sz="4" w:space="0" w:color="auto"/>
                    <w:bottom w:val="single" w:sz="4" w:space="0" w:color="auto"/>
                    <w:right w:val="single" w:sz="4" w:space="0" w:color="auto"/>
                  </w:tcBorders>
                </w:tcPr>
                <w:p w:rsidR="00740531" w:rsidRPr="00CE7424" w:rsidRDefault="00740531" w:rsidP="00CE7424">
                  <w:pPr>
                    <w:spacing w:after="0" w:line="240" w:lineRule="auto"/>
                    <w:jc w:val="center"/>
                    <w:rPr>
                      <w:rFonts w:ascii="Arial" w:hAnsi="Arial" w:cs="Arial"/>
                    </w:rPr>
                  </w:pPr>
                  <w:r w:rsidRPr="00CE7424">
                    <w:rPr>
                      <w:rFonts w:ascii="Arial" w:hAnsi="Arial" w:cs="Arial"/>
                    </w:rPr>
                    <w:t>All</w:t>
                  </w:r>
                </w:p>
                <w:p w:rsidR="00740531" w:rsidRPr="00004044" w:rsidRDefault="00740531" w:rsidP="00CE7424">
                  <w:pPr>
                    <w:pStyle w:val="ListParagraph"/>
                    <w:spacing w:after="0" w:line="240" w:lineRule="auto"/>
                    <w:ind w:left="0"/>
                    <w:jc w:val="center"/>
                    <w:rPr>
                      <w:rFonts w:ascii="Arial" w:hAnsi="Arial" w:cs="Arial"/>
                    </w:rPr>
                  </w:pPr>
                </w:p>
              </w:tc>
            </w:tr>
            <w:tr w:rsidR="00740531" w:rsidRPr="00004044" w:rsidTr="00A4731D">
              <w:tc>
                <w:tcPr>
                  <w:tcW w:w="5386" w:type="dxa"/>
                  <w:tcBorders>
                    <w:top w:val="single" w:sz="4" w:space="0" w:color="auto"/>
                    <w:left w:val="single" w:sz="4" w:space="0" w:color="auto"/>
                    <w:bottom w:val="single" w:sz="4" w:space="0" w:color="auto"/>
                    <w:right w:val="single" w:sz="4" w:space="0" w:color="auto"/>
                  </w:tcBorders>
                </w:tcPr>
                <w:p w:rsidR="00740531" w:rsidRPr="00004044" w:rsidRDefault="00740531" w:rsidP="00004044">
                  <w:pPr>
                    <w:spacing w:after="0" w:line="240" w:lineRule="auto"/>
                    <w:jc w:val="both"/>
                    <w:rPr>
                      <w:rFonts w:ascii="Arial" w:hAnsi="Arial" w:cs="Arial"/>
                    </w:rPr>
                  </w:pPr>
                  <w:r w:rsidRPr="00004044">
                    <w:rPr>
                      <w:rFonts w:ascii="Arial" w:hAnsi="Arial" w:cs="Arial"/>
                    </w:rPr>
                    <w:t>Information and services will be available for individuals who are able to self-manage their conditions or who need care plan support.</w:t>
                  </w:r>
                </w:p>
              </w:tc>
              <w:tc>
                <w:tcPr>
                  <w:tcW w:w="3069" w:type="dxa"/>
                  <w:tcBorders>
                    <w:top w:val="single" w:sz="4" w:space="0" w:color="auto"/>
                    <w:left w:val="single" w:sz="4" w:space="0" w:color="auto"/>
                    <w:bottom w:val="single" w:sz="4" w:space="0" w:color="auto"/>
                    <w:right w:val="single" w:sz="4" w:space="0" w:color="auto"/>
                  </w:tcBorders>
                </w:tcPr>
                <w:p w:rsidR="00740531" w:rsidRPr="00CE7424" w:rsidRDefault="00740531" w:rsidP="00CE7424">
                  <w:pPr>
                    <w:spacing w:after="0" w:line="240" w:lineRule="auto"/>
                    <w:jc w:val="center"/>
                    <w:rPr>
                      <w:rFonts w:ascii="Arial" w:hAnsi="Arial" w:cs="Arial"/>
                    </w:rPr>
                  </w:pPr>
                  <w:r w:rsidRPr="00CE7424">
                    <w:rPr>
                      <w:rFonts w:ascii="Arial" w:hAnsi="Arial" w:cs="Arial"/>
                    </w:rPr>
                    <w:t>All</w:t>
                  </w:r>
                </w:p>
                <w:p w:rsidR="00740531" w:rsidRPr="00004044" w:rsidRDefault="00740531" w:rsidP="00CE7424">
                  <w:pPr>
                    <w:pStyle w:val="ListParagraph"/>
                    <w:spacing w:after="0" w:line="240" w:lineRule="auto"/>
                    <w:ind w:left="0"/>
                    <w:jc w:val="center"/>
                    <w:rPr>
                      <w:rFonts w:ascii="Arial" w:hAnsi="Arial" w:cs="Arial"/>
                    </w:rPr>
                  </w:pPr>
                </w:p>
              </w:tc>
            </w:tr>
            <w:tr w:rsidR="00740531" w:rsidRPr="00004044" w:rsidTr="00A4731D">
              <w:tc>
                <w:tcPr>
                  <w:tcW w:w="5386" w:type="dxa"/>
                  <w:tcBorders>
                    <w:top w:val="single" w:sz="4" w:space="0" w:color="auto"/>
                    <w:left w:val="single" w:sz="4" w:space="0" w:color="auto"/>
                    <w:bottom w:val="single" w:sz="4" w:space="0" w:color="auto"/>
                    <w:right w:val="single" w:sz="4" w:space="0" w:color="auto"/>
                  </w:tcBorders>
                </w:tcPr>
                <w:p w:rsidR="00740531" w:rsidRPr="00004044" w:rsidRDefault="00740531" w:rsidP="00004044">
                  <w:pPr>
                    <w:spacing w:after="0" w:line="240" w:lineRule="auto"/>
                    <w:jc w:val="both"/>
                    <w:rPr>
                      <w:rFonts w:ascii="Arial" w:hAnsi="Arial" w:cs="Arial"/>
                    </w:rPr>
                  </w:pPr>
                  <w:r w:rsidRPr="00004044">
                    <w:rPr>
                      <w:rFonts w:ascii="Arial" w:hAnsi="Arial" w:cs="Arial"/>
                    </w:rPr>
                    <w:t xml:space="preserve">Providers will consider the effectiveness of working with other providers especially in hand over and follow up within primary care </w:t>
                  </w:r>
                </w:p>
              </w:tc>
              <w:tc>
                <w:tcPr>
                  <w:tcW w:w="3069" w:type="dxa"/>
                  <w:tcBorders>
                    <w:top w:val="single" w:sz="4" w:space="0" w:color="auto"/>
                    <w:left w:val="single" w:sz="4" w:space="0" w:color="auto"/>
                    <w:bottom w:val="single" w:sz="4" w:space="0" w:color="auto"/>
                    <w:right w:val="single" w:sz="4" w:space="0" w:color="auto"/>
                  </w:tcBorders>
                </w:tcPr>
                <w:p w:rsidR="00740531" w:rsidRPr="00CE7424" w:rsidRDefault="00740531" w:rsidP="00CE7424">
                  <w:pPr>
                    <w:spacing w:after="0" w:line="240" w:lineRule="auto"/>
                    <w:jc w:val="center"/>
                    <w:rPr>
                      <w:rFonts w:ascii="Arial" w:hAnsi="Arial" w:cs="Arial"/>
                    </w:rPr>
                  </w:pPr>
                  <w:r w:rsidRPr="00CE7424">
                    <w:rPr>
                      <w:rFonts w:ascii="Arial" w:hAnsi="Arial" w:cs="Arial"/>
                    </w:rPr>
                    <w:t>All</w:t>
                  </w:r>
                </w:p>
                <w:p w:rsidR="00740531" w:rsidRPr="00004044" w:rsidRDefault="00740531" w:rsidP="00CE7424">
                  <w:pPr>
                    <w:pStyle w:val="ListParagraph"/>
                    <w:spacing w:after="0" w:line="240" w:lineRule="auto"/>
                    <w:ind w:left="0"/>
                    <w:jc w:val="center"/>
                    <w:rPr>
                      <w:rFonts w:ascii="Arial" w:hAnsi="Arial" w:cs="Arial"/>
                    </w:rPr>
                  </w:pPr>
                </w:p>
              </w:tc>
            </w:tr>
            <w:tr w:rsidR="00740531" w:rsidRPr="00004044" w:rsidTr="00A4731D">
              <w:tc>
                <w:tcPr>
                  <w:tcW w:w="5386" w:type="dxa"/>
                  <w:tcBorders>
                    <w:top w:val="single" w:sz="4" w:space="0" w:color="auto"/>
                    <w:left w:val="single" w:sz="4" w:space="0" w:color="auto"/>
                    <w:bottom w:val="single" w:sz="4" w:space="0" w:color="auto"/>
                    <w:right w:val="single" w:sz="4" w:space="0" w:color="auto"/>
                  </w:tcBorders>
                </w:tcPr>
                <w:p w:rsidR="00740531" w:rsidRPr="00004044" w:rsidRDefault="00740531" w:rsidP="00004044">
                  <w:pPr>
                    <w:spacing w:after="0" w:line="240" w:lineRule="auto"/>
                    <w:jc w:val="both"/>
                    <w:rPr>
                      <w:rFonts w:ascii="Arial" w:hAnsi="Arial" w:cs="Arial"/>
                    </w:rPr>
                  </w:pPr>
                  <w:r w:rsidRPr="00004044">
                    <w:rPr>
                      <w:rFonts w:ascii="Arial" w:hAnsi="Arial" w:cs="Arial"/>
                    </w:rPr>
                    <w:t>Providers demonstrate that they have identified any potentially hard to reach groups (as defined by the JSNA) that exist within their target population, and have taken appropriate action to improve access to the service for these groups.</w:t>
                  </w:r>
                </w:p>
              </w:tc>
              <w:tc>
                <w:tcPr>
                  <w:tcW w:w="3069" w:type="dxa"/>
                  <w:tcBorders>
                    <w:top w:val="single" w:sz="4" w:space="0" w:color="auto"/>
                    <w:left w:val="single" w:sz="4" w:space="0" w:color="auto"/>
                    <w:bottom w:val="single" w:sz="4" w:space="0" w:color="auto"/>
                    <w:right w:val="single" w:sz="4" w:space="0" w:color="auto"/>
                  </w:tcBorders>
                </w:tcPr>
                <w:p w:rsidR="00740531" w:rsidRPr="00004044" w:rsidRDefault="00740531" w:rsidP="00CE7424">
                  <w:pPr>
                    <w:pStyle w:val="ListParagraph"/>
                    <w:spacing w:after="0" w:line="240" w:lineRule="auto"/>
                    <w:ind w:left="0"/>
                    <w:jc w:val="center"/>
                    <w:rPr>
                      <w:rFonts w:ascii="Arial" w:hAnsi="Arial" w:cs="Arial"/>
                    </w:rPr>
                  </w:pPr>
                  <w:r w:rsidRPr="00004044">
                    <w:rPr>
                      <w:rFonts w:ascii="Arial" w:hAnsi="Arial" w:cs="Arial"/>
                    </w:rPr>
                    <w:t>All</w:t>
                  </w:r>
                </w:p>
              </w:tc>
            </w:tr>
          </w:tbl>
          <w:p w:rsidR="006161EB" w:rsidRPr="00004044" w:rsidRDefault="006161EB" w:rsidP="00004044">
            <w:pPr>
              <w:spacing w:after="0" w:line="240" w:lineRule="auto"/>
              <w:jc w:val="both"/>
              <w:rPr>
                <w:rFonts w:ascii="Arial" w:hAnsi="Arial" w:cs="Arial"/>
              </w:rPr>
            </w:pPr>
          </w:p>
        </w:tc>
      </w:tr>
      <w:tr w:rsidR="006161EB" w:rsidRPr="00004044" w:rsidTr="002B7B95">
        <w:tc>
          <w:tcPr>
            <w:tcW w:w="9401" w:type="dxa"/>
          </w:tcPr>
          <w:p w:rsidR="006161EB" w:rsidRPr="00F66003" w:rsidRDefault="005C08C3" w:rsidP="00A4731D">
            <w:pPr>
              <w:spacing w:after="0" w:line="240" w:lineRule="auto"/>
              <w:jc w:val="center"/>
              <w:rPr>
                <w:rFonts w:ascii="Arial" w:hAnsi="Arial" w:cs="Arial"/>
                <w:b/>
              </w:rPr>
            </w:pPr>
            <w:r>
              <w:rPr>
                <w:rFonts w:ascii="Helvetica-Bold" w:hAnsi="Helvetica-Bold" w:cs="Helvetica-Bold"/>
                <w:b/>
                <w:bCs/>
                <w:sz w:val="20"/>
                <w:szCs w:val="20"/>
                <w:lang w:eastAsia="en-GB"/>
              </w:rPr>
              <w:t>Key information requirements</w:t>
            </w:r>
          </w:p>
        </w:tc>
      </w:tr>
      <w:tr w:rsidR="006161EB" w:rsidRPr="00004044" w:rsidTr="002B7B95">
        <w:tc>
          <w:tcPr>
            <w:tcW w:w="9401" w:type="dxa"/>
          </w:tcPr>
          <w:p w:rsidR="005C08C3" w:rsidRPr="00A4731D" w:rsidRDefault="005C08C3" w:rsidP="00A4731D">
            <w:pPr>
              <w:spacing w:after="0" w:line="240" w:lineRule="auto"/>
              <w:jc w:val="both"/>
              <w:rPr>
                <w:rFonts w:ascii="Arial" w:hAnsi="Arial" w:cs="Arial"/>
              </w:rPr>
            </w:pPr>
          </w:p>
          <w:p w:rsidR="005C08C3" w:rsidRDefault="005C08C3" w:rsidP="005C08C3">
            <w:pPr>
              <w:autoSpaceDE w:val="0"/>
              <w:autoSpaceDN w:val="0"/>
              <w:adjustRightInd w:val="0"/>
              <w:spacing w:after="0" w:line="240" w:lineRule="auto"/>
              <w:rPr>
                <w:rFonts w:ascii="Arial" w:hAnsi="Arial" w:cs="Arial"/>
                <w:lang w:eastAsia="en-GB"/>
              </w:rPr>
            </w:pPr>
            <w:r w:rsidRPr="00F66003">
              <w:rPr>
                <w:rFonts w:ascii="Arial" w:hAnsi="Arial" w:cs="Arial"/>
                <w:lang w:eastAsia="en-GB"/>
              </w:rPr>
              <w:t>The Service Provider must maintain adequate record</w:t>
            </w:r>
            <w:r w:rsidRPr="005C08C3">
              <w:rPr>
                <w:rFonts w:ascii="Arial" w:hAnsi="Arial" w:cs="Arial"/>
                <w:lang w:eastAsia="en-GB"/>
              </w:rPr>
              <w:t>s of patient attendance and the</w:t>
            </w:r>
            <w:r>
              <w:rPr>
                <w:rFonts w:ascii="Arial" w:hAnsi="Arial" w:cs="Arial"/>
                <w:lang w:eastAsia="en-GB"/>
              </w:rPr>
              <w:t xml:space="preserve"> </w:t>
            </w:r>
            <w:r w:rsidRPr="00F66003">
              <w:rPr>
                <w:rFonts w:ascii="Arial" w:hAnsi="Arial" w:cs="Arial"/>
                <w:lang w:eastAsia="en-GB"/>
              </w:rPr>
              <w:t>service provided using an electronic ba</w:t>
            </w:r>
            <w:r w:rsidRPr="005C08C3">
              <w:rPr>
                <w:rFonts w:ascii="Arial" w:hAnsi="Arial" w:cs="Arial"/>
                <w:lang w:eastAsia="en-GB"/>
              </w:rPr>
              <w:t>sed system. Full records of all</w:t>
            </w:r>
            <w:r>
              <w:rPr>
                <w:rFonts w:ascii="Arial" w:hAnsi="Arial" w:cs="Arial"/>
                <w:lang w:eastAsia="en-GB"/>
              </w:rPr>
              <w:t xml:space="preserve"> </w:t>
            </w:r>
            <w:r w:rsidRPr="00F66003">
              <w:rPr>
                <w:rFonts w:ascii="Arial" w:hAnsi="Arial" w:cs="Arial"/>
                <w:lang w:eastAsia="en-GB"/>
              </w:rPr>
              <w:t>procedures should be maintained in such a way that</w:t>
            </w:r>
            <w:r w:rsidRPr="005C08C3">
              <w:rPr>
                <w:rFonts w:ascii="Arial" w:hAnsi="Arial" w:cs="Arial"/>
                <w:lang w:eastAsia="en-GB"/>
              </w:rPr>
              <w:t xml:space="preserve"> aggregated data and details of</w:t>
            </w:r>
            <w:r>
              <w:rPr>
                <w:rFonts w:ascii="Arial" w:hAnsi="Arial" w:cs="Arial"/>
                <w:lang w:eastAsia="en-GB"/>
              </w:rPr>
              <w:t xml:space="preserve"> </w:t>
            </w:r>
            <w:r w:rsidRPr="00F66003">
              <w:rPr>
                <w:rFonts w:ascii="Arial" w:hAnsi="Arial" w:cs="Arial"/>
                <w:lang w:eastAsia="en-GB"/>
              </w:rPr>
              <w:t>individual patients are readily accessibl</w:t>
            </w:r>
            <w:r w:rsidRPr="005C08C3">
              <w:rPr>
                <w:rFonts w:ascii="Arial" w:hAnsi="Arial" w:cs="Arial"/>
                <w:lang w:eastAsia="en-GB"/>
              </w:rPr>
              <w:t xml:space="preserve">e if requested by </w:t>
            </w:r>
            <w:r>
              <w:rPr>
                <w:rFonts w:ascii="Arial" w:hAnsi="Arial" w:cs="Arial"/>
                <w:lang w:eastAsia="en-GB"/>
              </w:rPr>
              <w:t xml:space="preserve">Brent CCG </w:t>
            </w:r>
          </w:p>
          <w:p w:rsidR="005C08C3" w:rsidRPr="00F66003" w:rsidRDefault="005C08C3" w:rsidP="005C08C3">
            <w:pPr>
              <w:autoSpaceDE w:val="0"/>
              <w:autoSpaceDN w:val="0"/>
              <w:adjustRightInd w:val="0"/>
              <w:spacing w:after="0" w:line="240" w:lineRule="auto"/>
              <w:rPr>
                <w:rFonts w:ascii="Arial" w:hAnsi="Arial" w:cs="Arial"/>
                <w:lang w:eastAsia="en-GB"/>
              </w:rPr>
            </w:pPr>
          </w:p>
          <w:p w:rsidR="005C08C3" w:rsidRDefault="005C08C3" w:rsidP="005C08C3">
            <w:pPr>
              <w:autoSpaceDE w:val="0"/>
              <w:autoSpaceDN w:val="0"/>
              <w:adjustRightInd w:val="0"/>
              <w:spacing w:after="0" w:line="240" w:lineRule="auto"/>
              <w:rPr>
                <w:rFonts w:ascii="Arial" w:hAnsi="Arial" w:cs="Arial"/>
                <w:lang w:eastAsia="en-GB"/>
              </w:rPr>
            </w:pPr>
            <w:r w:rsidRPr="00F66003">
              <w:rPr>
                <w:rFonts w:ascii="Arial" w:hAnsi="Arial" w:cs="Arial"/>
                <w:lang w:eastAsia="en-GB"/>
              </w:rPr>
              <w:t>1. For the contracted period, the Service P</w:t>
            </w:r>
            <w:r w:rsidRPr="005C08C3">
              <w:rPr>
                <w:rFonts w:ascii="Arial" w:hAnsi="Arial" w:cs="Arial"/>
                <w:lang w:eastAsia="en-GB"/>
              </w:rPr>
              <w:t>rovider must be able to produce</w:t>
            </w:r>
            <w:r>
              <w:rPr>
                <w:rFonts w:ascii="Arial" w:hAnsi="Arial" w:cs="Arial"/>
                <w:lang w:eastAsia="en-GB"/>
              </w:rPr>
              <w:t xml:space="preserve"> </w:t>
            </w:r>
            <w:r w:rsidRPr="00F66003">
              <w:rPr>
                <w:rFonts w:ascii="Arial" w:hAnsi="Arial" w:cs="Arial"/>
                <w:lang w:eastAsia="en-GB"/>
              </w:rPr>
              <w:t>accurate clinical records for each patient referre</w:t>
            </w:r>
            <w:r w:rsidRPr="005C08C3">
              <w:rPr>
                <w:rFonts w:ascii="Arial" w:hAnsi="Arial" w:cs="Arial"/>
                <w:lang w:eastAsia="en-GB"/>
              </w:rPr>
              <w:t>d into the service. Information</w:t>
            </w:r>
            <w:r>
              <w:rPr>
                <w:rFonts w:ascii="Arial" w:hAnsi="Arial" w:cs="Arial"/>
                <w:lang w:eastAsia="en-GB"/>
              </w:rPr>
              <w:t xml:space="preserve"> </w:t>
            </w:r>
            <w:r w:rsidRPr="00F66003">
              <w:rPr>
                <w:rFonts w:ascii="Arial" w:hAnsi="Arial" w:cs="Arial"/>
                <w:lang w:eastAsia="en-GB"/>
              </w:rPr>
              <w:t>should include as a minimum:</w:t>
            </w:r>
          </w:p>
          <w:p w:rsidR="005C08C3" w:rsidRPr="00F66003" w:rsidRDefault="005C08C3" w:rsidP="005C08C3">
            <w:pPr>
              <w:autoSpaceDE w:val="0"/>
              <w:autoSpaceDN w:val="0"/>
              <w:adjustRightInd w:val="0"/>
              <w:spacing w:after="0" w:line="240" w:lineRule="auto"/>
              <w:rPr>
                <w:rFonts w:ascii="Arial" w:hAnsi="Arial" w:cs="Arial"/>
                <w:lang w:eastAsia="en-GB"/>
              </w:rPr>
            </w:pPr>
          </w:p>
          <w:p w:rsidR="005C08C3" w:rsidRPr="00F66003" w:rsidRDefault="005C08C3" w:rsidP="00F66003">
            <w:pPr>
              <w:pStyle w:val="ListParagraph"/>
              <w:numPr>
                <w:ilvl w:val="0"/>
                <w:numId w:val="30"/>
              </w:numPr>
              <w:autoSpaceDE w:val="0"/>
              <w:autoSpaceDN w:val="0"/>
              <w:adjustRightInd w:val="0"/>
              <w:spacing w:after="0" w:line="240" w:lineRule="auto"/>
              <w:rPr>
                <w:rFonts w:ascii="Arial" w:hAnsi="Arial" w:cs="Arial"/>
                <w:lang w:eastAsia="en-GB"/>
              </w:rPr>
            </w:pPr>
            <w:r w:rsidRPr="00F66003">
              <w:rPr>
                <w:rFonts w:ascii="Arial" w:hAnsi="Arial" w:cs="Arial"/>
                <w:lang w:eastAsia="en-GB"/>
              </w:rPr>
              <w:t>Patient name</w:t>
            </w:r>
          </w:p>
          <w:p w:rsidR="005C08C3" w:rsidRPr="00F66003" w:rsidRDefault="005C08C3" w:rsidP="00F66003">
            <w:pPr>
              <w:pStyle w:val="ListParagraph"/>
              <w:numPr>
                <w:ilvl w:val="0"/>
                <w:numId w:val="30"/>
              </w:numPr>
              <w:autoSpaceDE w:val="0"/>
              <w:autoSpaceDN w:val="0"/>
              <w:adjustRightInd w:val="0"/>
              <w:spacing w:after="0" w:line="240" w:lineRule="auto"/>
              <w:rPr>
                <w:rFonts w:ascii="Arial" w:hAnsi="Arial" w:cs="Arial"/>
                <w:lang w:eastAsia="en-GB"/>
              </w:rPr>
            </w:pPr>
            <w:r w:rsidRPr="00F66003">
              <w:rPr>
                <w:rFonts w:ascii="Arial" w:hAnsi="Arial" w:cs="Arial"/>
                <w:lang w:eastAsia="en-GB"/>
              </w:rPr>
              <w:t>Patient NHS number</w:t>
            </w:r>
          </w:p>
          <w:p w:rsidR="005C08C3" w:rsidRPr="00F66003" w:rsidRDefault="005C08C3" w:rsidP="00F66003">
            <w:pPr>
              <w:pStyle w:val="ListParagraph"/>
              <w:numPr>
                <w:ilvl w:val="0"/>
                <w:numId w:val="30"/>
              </w:numPr>
              <w:autoSpaceDE w:val="0"/>
              <w:autoSpaceDN w:val="0"/>
              <w:adjustRightInd w:val="0"/>
              <w:spacing w:after="0" w:line="240" w:lineRule="auto"/>
              <w:rPr>
                <w:rFonts w:ascii="Arial" w:hAnsi="Arial" w:cs="Arial"/>
                <w:lang w:eastAsia="en-GB"/>
              </w:rPr>
            </w:pPr>
            <w:r w:rsidRPr="00F66003">
              <w:rPr>
                <w:rFonts w:ascii="Arial" w:hAnsi="Arial" w:cs="Arial"/>
                <w:lang w:eastAsia="en-GB"/>
              </w:rPr>
              <w:t>Patient date of birth</w:t>
            </w:r>
          </w:p>
          <w:p w:rsidR="005C08C3" w:rsidRPr="00F66003" w:rsidRDefault="005C08C3" w:rsidP="00F66003">
            <w:pPr>
              <w:pStyle w:val="ListParagraph"/>
              <w:numPr>
                <w:ilvl w:val="0"/>
                <w:numId w:val="30"/>
              </w:numPr>
              <w:autoSpaceDE w:val="0"/>
              <w:autoSpaceDN w:val="0"/>
              <w:adjustRightInd w:val="0"/>
              <w:spacing w:after="0" w:line="240" w:lineRule="auto"/>
              <w:rPr>
                <w:rFonts w:ascii="Arial" w:hAnsi="Arial" w:cs="Arial"/>
                <w:lang w:eastAsia="en-GB"/>
              </w:rPr>
            </w:pPr>
            <w:r w:rsidRPr="00F66003">
              <w:rPr>
                <w:rFonts w:ascii="Arial" w:hAnsi="Arial" w:cs="Arial"/>
                <w:lang w:eastAsia="en-GB"/>
              </w:rPr>
              <w:t>Patient ethnicity</w:t>
            </w:r>
          </w:p>
          <w:p w:rsidR="005C08C3" w:rsidRPr="00F66003" w:rsidRDefault="005C08C3" w:rsidP="00F66003">
            <w:pPr>
              <w:pStyle w:val="ListParagraph"/>
              <w:numPr>
                <w:ilvl w:val="0"/>
                <w:numId w:val="30"/>
              </w:numPr>
              <w:autoSpaceDE w:val="0"/>
              <w:autoSpaceDN w:val="0"/>
              <w:adjustRightInd w:val="0"/>
              <w:spacing w:after="0" w:line="240" w:lineRule="auto"/>
              <w:rPr>
                <w:rFonts w:ascii="Arial" w:hAnsi="Arial" w:cs="Arial"/>
                <w:lang w:eastAsia="en-GB"/>
              </w:rPr>
            </w:pPr>
            <w:r w:rsidRPr="00F66003">
              <w:rPr>
                <w:rFonts w:ascii="Arial" w:hAnsi="Arial" w:cs="Arial"/>
                <w:lang w:eastAsia="en-GB"/>
              </w:rPr>
              <w:t>Patient practice</w:t>
            </w:r>
          </w:p>
          <w:p w:rsidR="005C08C3" w:rsidRPr="00F66003" w:rsidRDefault="005C08C3" w:rsidP="00F66003">
            <w:pPr>
              <w:pStyle w:val="ListParagraph"/>
              <w:numPr>
                <w:ilvl w:val="0"/>
                <w:numId w:val="30"/>
              </w:numPr>
              <w:autoSpaceDE w:val="0"/>
              <w:autoSpaceDN w:val="0"/>
              <w:adjustRightInd w:val="0"/>
              <w:spacing w:after="0" w:line="240" w:lineRule="auto"/>
              <w:rPr>
                <w:rFonts w:ascii="Arial" w:hAnsi="Arial" w:cs="Arial"/>
                <w:lang w:eastAsia="en-GB"/>
              </w:rPr>
            </w:pPr>
            <w:r w:rsidRPr="00F66003">
              <w:rPr>
                <w:rFonts w:ascii="Arial" w:hAnsi="Arial" w:cs="Arial"/>
                <w:lang w:eastAsia="en-GB"/>
              </w:rPr>
              <w:t>Name and designation of person providing care</w:t>
            </w:r>
          </w:p>
          <w:p w:rsidR="005C08C3" w:rsidRPr="00F66003" w:rsidRDefault="005C08C3" w:rsidP="00F66003">
            <w:pPr>
              <w:pStyle w:val="ListParagraph"/>
              <w:numPr>
                <w:ilvl w:val="0"/>
                <w:numId w:val="30"/>
              </w:numPr>
              <w:autoSpaceDE w:val="0"/>
              <w:autoSpaceDN w:val="0"/>
              <w:adjustRightInd w:val="0"/>
              <w:spacing w:after="0" w:line="240" w:lineRule="auto"/>
              <w:rPr>
                <w:rFonts w:ascii="Arial" w:hAnsi="Arial" w:cs="Arial"/>
                <w:lang w:eastAsia="en-GB"/>
              </w:rPr>
            </w:pPr>
            <w:r w:rsidRPr="00F66003">
              <w:rPr>
                <w:rFonts w:ascii="Arial" w:hAnsi="Arial" w:cs="Arial"/>
                <w:lang w:eastAsia="en-GB"/>
              </w:rPr>
              <w:t>Reason for consultation</w:t>
            </w:r>
          </w:p>
          <w:p w:rsidR="005C08C3" w:rsidRDefault="005C08C3" w:rsidP="00F66003">
            <w:pPr>
              <w:pStyle w:val="ListParagraph"/>
              <w:numPr>
                <w:ilvl w:val="0"/>
                <w:numId w:val="30"/>
              </w:numPr>
              <w:autoSpaceDE w:val="0"/>
              <w:autoSpaceDN w:val="0"/>
              <w:adjustRightInd w:val="0"/>
              <w:spacing w:after="0" w:line="240" w:lineRule="auto"/>
              <w:rPr>
                <w:rFonts w:ascii="Arial" w:hAnsi="Arial" w:cs="Arial"/>
                <w:lang w:eastAsia="en-GB"/>
              </w:rPr>
            </w:pPr>
            <w:r w:rsidRPr="00F66003">
              <w:rPr>
                <w:rFonts w:ascii="Arial" w:hAnsi="Arial" w:cs="Arial"/>
                <w:lang w:eastAsia="en-GB"/>
              </w:rPr>
              <w:t>Details of adverse events associated with treatment</w:t>
            </w:r>
          </w:p>
          <w:p w:rsidR="005C08C3" w:rsidRPr="00F66003" w:rsidRDefault="005C08C3" w:rsidP="00F66003">
            <w:pPr>
              <w:pStyle w:val="ListParagraph"/>
              <w:autoSpaceDE w:val="0"/>
              <w:autoSpaceDN w:val="0"/>
              <w:adjustRightInd w:val="0"/>
              <w:spacing w:after="0" w:line="240" w:lineRule="auto"/>
              <w:rPr>
                <w:rFonts w:ascii="Arial" w:hAnsi="Arial" w:cs="Arial"/>
                <w:lang w:eastAsia="en-GB"/>
              </w:rPr>
            </w:pPr>
          </w:p>
          <w:p w:rsidR="005C08C3" w:rsidRPr="00A4731D" w:rsidRDefault="005C08C3" w:rsidP="005C08C3">
            <w:pPr>
              <w:autoSpaceDE w:val="0"/>
              <w:autoSpaceDN w:val="0"/>
              <w:adjustRightInd w:val="0"/>
              <w:spacing w:after="0" w:line="240" w:lineRule="auto"/>
              <w:rPr>
                <w:rFonts w:ascii="Arial" w:hAnsi="Arial" w:cs="Arial"/>
                <w:lang w:eastAsia="en-GB"/>
              </w:rPr>
            </w:pPr>
            <w:r w:rsidRPr="00F66003">
              <w:rPr>
                <w:rFonts w:ascii="Arial" w:hAnsi="Arial" w:cs="Arial"/>
                <w:lang w:eastAsia="en-GB"/>
              </w:rPr>
              <w:t xml:space="preserve">2. For the contracted period, the Service Provider must produce </w:t>
            </w:r>
            <w:r w:rsidRPr="00A4731D">
              <w:rPr>
                <w:rFonts w:ascii="Arial" w:hAnsi="Arial" w:cs="Arial"/>
                <w:bCs/>
                <w:lang w:eastAsia="en-GB"/>
              </w:rPr>
              <w:t xml:space="preserve">monthly management minimum data set </w:t>
            </w:r>
            <w:r w:rsidRPr="00A4731D">
              <w:rPr>
                <w:rFonts w:ascii="Arial" w:hAnsi="Arial" w:cs="Arial"/>
                <w:lang w:eastAsia="en-GB"/>
              </w:rPr>
              <w:t>to BCCG by practice to</w:t>
            </w:r>
            <w:r w:rsidRPr="00A4731D">
              <w:rPr>
                <w:rFonts w:ascii="Arial" w:hAnsi="Arial" w:cs="Arial"/>
                <w:bCs/>
                <w:lang w:eastAsia="en-GB"/>
              </w:rPr>
              <w:t xml:space="preserve"> </w:t>
            </w:r>
            <w:r w:rsidRPr="00A4731D">
              <w:rPr>
                <w:rFonts w:ascii="Arial" w:hAnsi="Arial" w:cs="Arial"/>
                <w:lang w:eastAsia="en-GB"/>
              </w:rPr>
              <w:t>include:</w:t>
            </w:r>
          </w:p>
          <w:p w:rsidR="00A4731D" w:rsidRPr="00F66003" w:rsidRDefault="00A4731D" w:rsidP="005C08C3">
            <w:pPr>
              <w:autoSpaceDE w:val="0"/>
              <w:autoSpaceDN w:val="0"/>
              <w:adjustRightInd w:val="0"/>
              <w:spacing w:after="0" w:line="240" w:lineRule="auto"/>
              <w:rPr>
                <w:rFonts w:ascii="Arial" w:hAnsi="Arial" w:cs="Arial"/>
                <w:b/>
                <w:bCs/>
                <w:lang w:eastAsia="en-GB"/>
              </w:rPr>
            </w:pPr>
          </w:p>
          <w:p w:rsidR="005C08C3" w:rsidRPr="00F66003" w:rsidRDefault="005C08C3" w:rsidP="00F66003">
            <w:pPr>
              <w:pStyle w:val="ListParagraph"/>
              <w:numPr>
                <w:ilvl w:val="0"/>
                <w:numId w:val="54"/>
              </w:numPr>
              <w:autoSpaceDE w:val="0"/>
              <w:autoSpaceDN w:val="0"/>
              <w:adjustRightInd w:val="0"/>
              <w:spacing w:after="0" w:line="240" w:lineRule="auto"/>
              <w:rPr>
                <w:rFonts w:ascii="Arial" w:hAnsi="Arial" w:cs="Arial"/>
                <w:lang w:eastAsia="en-GB"/>
              </w:rPr>
            </w:pPr>
            <w:r w:rsidRPr="00F66003">
              <w:rPr>
                <w:rFonts w:ascii="Arial" w:hAnsi="Arial" w:cs="Arial"/>
                <w:lang w:eastAsia="en-GB"/>
              </w:rPr>
              <w:t>Number of New referrals per practice</w:t>
            </w:r>
          </w:p>
          <w:p w:rsidR="005C08C3" w:rsidRPr="00F66003" w:rsidRDefault="005C08C3" w:rsidP="00F66003">
            <w:pPr>
              <w:pStyle w:val="ListParagraph"/>
              <w:numPr>
                <w:ilvl w:val="0"/>
                <w:numId w:val="54"/>
              </w:numPr>
              <w:autoSpaceDE w:val="0"/>
              <w:autoSpaceDN w:val="0"/>
              <w:adjustRightInd w:val="0"/>
              <w:spacing w:after="0" w:line="240" w:lineRule="auto"/>
              <w:rPr>
                <w:rFonts w:ascii="Arial" w:hAnsi="Arial" w:cs="Arial"/>
                <w:lang w:eastAsia="en-GB"/>
              </w:rPr>
            </w:pPr>
            <w:r w:rsidRPr="00F66003">
              <w:rPr>
                <w:rFonts w:ascii="Arial" w:hAnsi="Arial" w:cs="Arial"/>
                <w:lang w:eastAsia="en-GB"/>
              </w:rPr>
              <w:t>Number of DNAs</w:t>
            </w:r>
          </w:p>
          <w:p w:rsidR="005C08C3" w:rsidRPr="00F66003" w:rsidRDefault="005C08C3" w:rsidP="00F66003">
            <w:pPr>
              <w:pStyle w:val="ListParagraph"/>
              <w:numPr>
                <w:ilvl w:val="0"/>
                <w:numId w:val="54"/>
              </w:numPr>
              <w:autoSpaceDE w:val="0"/>
              <w:autoSpaceDN w:val="0"/>
              <w:adjustRightInd w:val="0"/>
              <w:spacing w:after="0" w:line="240" w:lineRule="auto"/>
              <w:rPr>
                <w:rFonts w:ascii="Arial" w:hAnsi="Arial" w:cs="Arial"/>
                <w:lang w:eastAsia="en-GB"/>
              </w:rPr>
            </w:pPr>
            <w:r w:rsidRPr="00F66003">
              <w:rPr>
                <w:rFonts w:ascii="Arial" w:hAnsi="Arial" w:cs="Arial"/>
                <w:lang w:eastAsia="en-GB"/>
              </w:rPr>
              <w:t>Number of 1st New Appointments</w:t>
            </w:r>
          </w:p>
          <w:p w:rsidR="005C08C3" w:rsidRPr="00F66003" w:rsidRDefault="005C08C3" w:rsidP="00F66003">
            <w:pPr>
              <w:pStyle w:val="ListParagraph"/>
              <w:numPr>
                <w:ilvl w:val="0"/>
                <w:numId w:val="54"/>
              </w:numPr>
              <w:autoSpaceDE w:val="0"/>
              <w:autoSpaceDN w:val="0"/>
              <w:adjustRightInd w:val="0"/>
              <w:spacing w:after="0" w:line="240" w:lineRule="auto"/>
              <w:rPr>
                <w:rFonts w:ascii="Arial" w:hAnsi="Arial" w:cs="Arial"/>
                <w:lang w:eastAsia="en-GB"/>
              </w:rPr>
            </w:pPr>
            <w:r w:rsidRPr="00F66003">
              <w:rPr>
                <w:rFonts w:ascii="Arial" w:hAnsi="Arial" w:cs="Arial"/>
                <w:lang w:eastAsia="en-GB"/>
              </w:rPr>
              <w:t>Number of Follow Up Appointments</w:t>
            </w:r>
          </w:p>
          <w:p w:rsidR="005C08C3" w:rsidRPr="00F66003" w:rsidRDefault="005C08C3" w:rsidP="00F66003">
            <w:pPr>
              <w:pStyle w:val="ListParagraph"/>
              <w:numPr>
                <w:ilvl w:val="0"/>
                <w:numId w:val="54"/>
              </w:numPr>
              <w:autoSpaceDE w:val="0"/>
              <w:autoSpaceDN w:val="0"/>
              <w:adjustRightInd w:val="0"/>
              <w:spacing w:after="0" w:line="240" w:lineRule="auto"/>
              <w:rPr>
                <w:rFonts w:ascii="Arial" w:hAnsi="Arial" w:cs="Arial"/>
                <w:lang w:eastAsia="en-GB"/>
              </w:rPr>
            </w:pPr>
            <w:r w:rsidRPr="00F66003">
              <w:rPr>
                <w:rFonts w:ascii="Arial" w:hAnsi="Arial" w:cs="Arial"/>
                <w:lang w:eastAsia="en-GB"/>
              </w:rPr>
              <w:t>New to Follow Up Ratio</w:t>
            </w:r>
          </w:p>
          <w:p w:rsidR="005C08C3" w:rsidRPr="00F66003" w:rsidRDefault="005C08C3" w:rsidP="00F66003">
            <w:pPr>
              <w:pStyle w:val="ListParagraph"/>
              <w:numPr>
                <w:ilvl w:val="0"/>
                <w:numId w:val="54"/>
              </w:numPr>
              <w:autoSpaceDE w:val="0"/>
              <w:autoSpaceDN w:val="0"/>
              <w:adjustRightInd w:val="0"/>
              <w:spacing w:after="0" w:line="240" w:lineRule="auto"/>
              <w:rPr>
                <w:rFonts w:ascii="Arial" w:hAnsi="Arial" w:cs="Arial"/>
                <w:lang w:eastAsia="en-GB"/>
              </w:rPr>
            </w:pPr>
            <w:r w:rsidRPr="00F66003">
              <w:rPr>
                <w:rFonts w:ascii="Arial" w:hAnsi="Arial" w:cs="Arial"/>
                <w:lang w:eastAsia="en-GB"/>
              </w:rPr>
              <w:t>Average waiting time for 1st appointment.</w:t>
            </w:r>
          </w:p>
          <w:p w:rsidR="005C08C3" w:rsidRPr="00F66003" w:rsidRDefault="005C08C3" w:rsidP="00F66003">
            <w:pPr>
              <w:pStyle w:val="ListParagraph"/>
              <w:numPr>
                <w:ilvl w:val="0"/>
                <w:numId w:val="54"/>
              </w:numPr>
              <w:autoSpaceDE w:val="0"/>
              <w:autoSpaceDN w:val="0"/>
              <w:adjustRightInd w:val="0"/>
              <w:spacing w:after="0" w:line="240" w:lineRule="auto"/>
              <w:rPr>
                <w:rFonts w:ascii="Arial" w:hAnsi="Arial" w:cs="Arial"/>
                <w:lang w:eastAsia="en-GB"/>
              </w:rPr>
            </w:pPr>
            <w:r w:rsidRPr="00F66003">
              <w:rPr>
                <w:rFonts w:ascii="Arial" w:hAnsi="Arial" w:cs="Arial"/>
                <w:lang w:eastAsia="en-GB"/>
              </w:rPr>
              <w:t>Average waiting time for follow up appointment</w:t>
            </w:r>
          </w:p>
          <w:p w:rsidR="005C08C3" w:rsidRDefault="005C08C3" w:rsidP="00F66003">
            <w:pPr>
              <w:pStyle w:val="ListParagraph"/>
              <w:numPr>
                <w:ilvl w:val="0"/>
                <w:numId w:val="54"/>
              </w:numPr>
              <w:autoSpaceDE w:val="0"/>
              <w:autoSpaceDN w:val="0"/>
              <w:adjustRightInd w:val="0"/>
              <w:spacing w:after="0" w:line="240" w:lineRule="auto"/>
              <w:rPr>
                <w:rFonts w:ascii="Arial" w:hAnsi="Arial" w:cs="Arial"/>
                <w:lang w:eastAsia="en-GB"/>
              </w:rPr>
            </w:pPr>
            <w:r w:rsidRPr="00F66003">
              <w:rPr>
                <w:rFonts w:ascii="Arial" w:hAnsi="Arial" w:cs="Arial"/>
                <w:lang w:eastAsia="en-GB"/>
              </w:rPr>
              <w:lastRenderedPageBreak/>
              <w:t>Reason for consultation/presenting condition. This must also identify joint</w:t>
            </w:r>
            <w:r>
              <w:rPr>
                <w:rFonts w:ascii="Arial" w:hAnsi="Arial" w:cs="Arial"/>
                <w:lang w:eastAsia="en-GB"/>
              </w:rPr>
              <w:t xml:space="preserve"> </w:t>
            </w:r>
            <w:r w:rsidRPr="00F66003">
              <w:rPr>
                <w:rFonts w:ascii="Arial" w:hAnsi="Arial" w:cs="Arial"/>
                <w:lang w:eastAsia="en-GB"/>
              </w:rPr>
              <w:t>involved in initial referral i.e. knee, shoulder, hip etc</w:t>
            </w:r>
            <w:r w:rsidR="00AB7198">
              <w:rPr>
                <w:rFonts w:ascii="Arial" w:hAnsi="Arial" w:cs="Arial"/>
                <w:lang w:eastAsia="en-GB"/>
              </w:rPr>
              <w:t>.</w:t>
            </w:r>
          </w:p>
          <w:p w:rsidR="00F66003" w:rsidRDefault="00F66003" w:rsidP="00F66003">
            <w:pPr>
              <w:autoSpaceDE w:val="0"/>
              <w:autoSpaceDN w:val="0"/>
              <w:adjustRightInd w:val="0"/>
              <w:spacing w:after="0" w:line="240" w:lineRule="auto"/>
              <w:ind w:left="720"/>
              <w:rPr>
                <w:rFonts w:ascii="Arial" w:hAnsi="Arial" w:cs="Arial"/>
                <w:lang w:eastAsia="en-GB"/>
              </w:rPr>
            </w:pPr>
          </w:p>
          <w:p w:rsidR="00F66003" w:rsidRPr="00F66003" w:rsidRDefault="00F66003" w:rsidP="00F66003">
            <w:pPr>
              <w:autoSpaceDE w:val="0"/>
              <w:autoSpaceDN w:val="0"/>
              <w:adjustRightInd w:val="0"/>
              <w:spacing w:after="0" w:line="240" w:lineRule="auto"/>
              <w:rPr>
                <w:rFonts w:ascii="Arial" w:hAnsi="Arial" w:cs="Arial"/>
                <w:lang w:eastAsia="en-GB"/>
              </w:rPr>
            </w:pPr>
          </w:p>
          <w:p w:rsidR="00A4731D" w:rsidRDefault="006161EB" w:rsidP="00A4731D">
            <w:pPr>
              <w:spacing w:after="0" w:line="240" w:lineRule="auto"/>
              <w:jc w:val="both"/>
              <w:rPr>
                <w:rFonts w:ascii="Arial" w:hAnsi="Arial" w:cs="Arial"/>
              </w:rPr>
            </w:pPr>
            <w:r w:rsidRPr="00A4731D">
              <w:rPr>
                <w:rFonts w:ascii="Arial" w:hAnsi="Arial" w:cs="Arial"/>
              </w:rPr>
              <w:t xml:space="preserve">Data Return </w:t>
            </w:r>
            <w:r w:rsidR="00832E16">
              <w:rPr>
                <w:rFonts w:ascii="Arial" w:hAnsi="Arial" w:cs="Arial"/>
              </w:rPr>
              <w:t>–</w:t>
            </w:r>
            <w:r w:rsidRPr="00A4731D">
              <w:rPr>
                <w:rFonts w:ascii="Arial" w:hAnsi="Arial" w:cs="Arial"/>
              </w:rPr>
              <w:t xml:space="preserve"> P</w:t>
            </w:r>
            <w:r w:rsidR="00832E16">
              <w:rPr>
                <w:rFonts w:ascii="Arial" w:hAnsi="Arial" w:cs="Arial"/>
              </w:rPr>
              <w:t xml:space="preserve">roviders </w:t>
            </w:r>
            <w:r w:rsidRPr="00A4731D">
              <w:rPr>
                <w:rFonts w:ascii="Arial" w:hAnsi="Arial" w:cs="Arial"/>
              </w:rPr>
              <w:t>must complete the necessary audit</w:t>
            </w:r>
            <w:r w:rsidR="00832E16">
              <w:rPr>
                <w:rFonts w:ascii="Arial" w:hAnsi="Arial" w:cs="Arial"/>
              </w:rPr>
              <w:t>s</w:t>
            </w:r>
            <w:r w:rsidRPr="00A4731D">
              <w:rPr>
                <w:rFonts w:ascii="Arial" w:hAnsi="Arial" w:cs="Arial"/>
              </w:rPr>
              <w:t xml:space="preserve"> for each patient and forward</w:t>
            </w:r>
            <w:r w:rsidR="00832E16">
              <w:rPr>
                <w:rFonts w:ascii="Arial" w:hAnsi="Arial" w:cs="Arial"/>
              </w:rPr>
              <w:t xml:space="preserve"> aggregated information </w:t>
            </w:r>
            <w:r w:rsidRPr="00A4731D">
              <w:rPr>
                <w:rFonts w:ascii="Arial" w:hAnsi="Arial" w:cs="Arial"/>
              </w:rPr>
              <w:t xml:space="preserve">to the </w:t>
            </w:r>
            <w:r w:rsidR="00135A25" w:rsidRPr="00A4731D">
              <w:rPr>
                <w:rFonts w:ascii="Arial" w:hAnsi="Arial" w:cs="Arial"/>
              </w:rPr>
              <w:t>CCG</w:t>
            </w:r>
            <w:r w:rsidR="00802EBE" w:rsidRPr="00A4731D">
              <w:rPr>
                <w:rFonts w:ascii="Arial" w:hAnsi="Arial" w:cs="Arial"/>
              </w:rPr>
              <w:t xml:space="preserve"> at the end of each quarter</w:t>
            </w:r>
            <w:r w:rsidRPr="00A4731D">
              <w:rPr>
                <w:rFonts w:ascii="Arial" w:hAnsi="Arial" w:cs="Arial"/>
              </w:rPr>
              <w:t xml:space="preserve">. </w:t>
            </w:r>
            <w:r w:rsidR="00832E16">
              <w:rPr>
                <w:rFonts w:ascii="Arial" w:hAnsi="Arial" w:cs="Arial"/>
              </w:rPr>
              <w:t>The billing will correspond to the monthly data returns</w:t>
            </w:r>
          </w:p>
          <w:p w:rsidR="00832E16" w:rsidRDefault="00832E16" w:rsidP="00A4731D">
            <w:pPr>
              <w:spacing w:after="0" w:line="240" w:lineRule="auto"/>
              <w:jc w:val="both"/>
              <w:rPr>
                <w:rFonts w:ascii="Arial" w:hAnsi="Arial" w:cs="Arial"/>
              </w:rPr>
            </w:pPr>
          </w:p>
          <w:p w:rsidR="00740531" w:rsidRDefault="006161EB" w:rsidP="00A4731D">
            <w:pPr>
              <w:spacing w:after="0" w:line="240" w:lineRule="auto"/>
              <w:jc w:val="both"/>
              <w:rPr>
                <w:rFonts w:ascii="Arial" w:hAnsi="Arial" w:cs="Arial"/>
              </w:rPr>
            </w:pPr>
            <w:r w:rsidRPr="00A4731D">
              <w:rPr>
                <w:rFonts w:ascii="Arial" w:hAnsi="Arial" w:cs="Arial"/>
              </w:rPr>
              <w:t>P</w:t>
            </w:r>
            <w:r w:rsidR="005C08C3" w:rsidRPr="00A4731D">
              <w:rPr>
                <w:rFonts w:ascii="Arial" w:hAnsi="Arial" w:cs="Arial"/>
              </w:rPr>
              <w:t xml:space="preserve">roviders </w:t>
            </w:r>
            <w:r w:rsidRPr="00A4731D">
              <w:rPr>
                <w:rFonts w:ascii="Arial" w:hAnsi="Arial" w:cs="Arial"/>
              </w:rPr>
              <w:t xml:space="preserve">must undertake a satisfaction survey </w:t>
            </w:r>
            <w:r w:rsidR="00414C59" w:rsidRPr="00A4731D">
              <w:rPr>
                <w:rFonts w:ascii="Arial" w:hAnsi="Arial" w:cs="Arial"/>
              </w:rPr>
              <w:t>surveys at 6 monthly intervals.</w:t>
            </w:r>
          </w:p>
          <w:p w:rsidR="00832E16" w:rsidRPr="00A4731D" w:rsidRDefault="00832E16" w:rsidP="00A4731D">
            <w:pPr>
              <w:spacing w:after="0" w:line="240" w:lineRule="auto"/>
              <w:jc w:val="both"/>
              <w:rPr>
                <w:rFonts w:ascii="Arial" w:hAnsi="Arial" w:cs="Arial"/>
              </w:rPr>
            </w:pPr>
          </w:p>
          <w:p w:rsidR="00832E16" w:rsidRDefault="00BC6B16" w:rsidP="00832E16">
            <w:pPr>
              <w:spacing w:after="0" w:line="240" w:lineRule="auto"/>
              <w:jc w:val="both"/>
              <w:rPr>
                <w:rFonts w:ascii="Arial" w:hAnsi="Arial" w:cs="Arial"/>
              </w:rPr>
            </w:pPr>
            <w:r w:rsidRPr="00832E16">
              <w:rPr>
                <w:rFonts w:ascii="Arial" w:hAnsi="Arial" w:cs="Arial"/>
              </w:rPr>
              <w:t xml:space="preserve">Providers </w:t>
            </w:r>
            <w:r w:rsidR="006161EB" w:rsidRPr="00832E16">
              <w:rPr>
                <w:rFonts w:ascii="Arial" w:hAnsi="Arial" w:cs="Arial"/>
              </w:rPr>
              <w:t>will undertake or support data and financial audits as required.</w:t>
            </w:r>
            <w:r w:rsidR="00F91C7C" w:rsidRPr="00832E16">
              <w:rPr>
                <w:rFonts w:ascii="Arial" w:hAnsi="Arial" w:cs="Arial"/>
              </w:rPr>
              <w:t xml:space="preserve"> </w:t>
            </w:r>
            <w:r w:rsidR="006161EB" w:rsidRPr="00832E16">
              <w:rPr>
                <w:rFonts w:ascii="Arial" w:hAnsi="Arial" w:cs="Arial"/>
              </w:rPr>
              <w:t xml:space="preserve">When reporting progress against outcomes </w:t>
            </w:r>
          </w:p>
          <w:p w:rsidR="00832E16" w:rsidRPr="00832E16" w:rsidRDefault="00832E16" w:rsidP="00832E16">
            <w:pPr>
              <w:spacing w:after="0" w:line="240" w:lineRule="auto"/>
              <w:jc w:val="both"/>
              <w:rPr>
                <w:rFonts w:ascii="Arial" w:hAnsi="Arial" w:cs="Arial"/>
              </w:rPr>
            </w:pPr>
          </w:p>
          <w:p w:rsidR="00740531" w:rsidRDefault="006161EB" w:rsidP="00832E16">
            <w:pPr>
              <w:spacing w:after="0" w:line="240" w:lineRule="auto"/>
              <w:jc w:val="both"/>
              <w:rPr>
                <w:rFonts w:ascii="Arial" w:hAnsi="Arial" w:cs="Arial"/>
              </w:rPr>
            </w:pPr>
            <w:r w:rsidRPr="00832E16">
              <w:rPr>
                <w:rFonts w:ascii="Arial" w:hAnsi="Arial" w:cs="Arial"/>
              </w:rPr>
              <w:t>The Commissioner may wish to consider Remedial Action Plans to ensure compliance with the required threshold for certain measures if selected</w:t>
            </w:r>
            <w:r w:rsidR="00740531" w:rsidRPr="00832E16">
              <w:rPr>
                <w:rFonts w:ascii="Arial" w:hAnsi="Arial" w:cs="Arial"/>
              </w:rPr>
              <w:t>.</w:t>
            </w:r>
          </w:p>
          <w:p w:rsidR="00832E16" w:rsidRPr="00832E16" w:rsidRDefault="00832E16" w:rsidP="00832E16">
            <w:pPr>
              <w:spacing w:after="0" w:line="240" w:lineRule="auto"/>
              <w:jc w:val="both"/>
              <w:rPr>
                <w:rFonts w:ascii="Arial" w:hAnsi="Arial" w:cs="Arial"/>
              </w:rPr>
            </w:pPr>
          </w:p>
          <w:p w:rsidR="00740531" w:rsidRDefault="00135A25" w:rsidP="00832E16">
            <w:pPr>
              <w:spacing w:after="0" w:line="240" w:lineRule="auto"/>
              <w:jc w:val="both"/>
              <w:rPr>
                <w:rFonts w:ascii="Arial" w:hAnsi="Arial" w:cs="Arial"/>
              </w:rPr>
            </w:pPr>
            <w:r w:rsidRPr="00832E16">
              <w:rPr>
                <w:rFonts w:ascii="Arial" w:hAnsi="Arial" w:cs="Arial"/>
              </w:rPr>
              <w:t xml:space="preserve">A commissioner led audit/evaluation post activity may take </w:t>
            </w:r>
            <w:r w:rsidR="00761A3D" w:rsidRPr="00832E16">
              <w:rPr>
                <w:rFonts w:ascii="Arial" w:hAnsi="Arial" w:cs="Arial"/>
              </w:rPr>
              <w:t>place</w:t>
            </w:r>
            <w:r w:rsidRPr="00832E16">
              <w:rPr>
                <w:rFonts w:ascii="Arial" w:hAnsi="Arial" w:cs="Arial"/>
              </w:rPr>
              <w:t xml:space="preserve"> or Brent-wide level at any stage during the contract and within 12 months of the cessation of the contract.</w:t>
            </w:r>
          </w:p>
          <w:p w:rsidR="00832E16" w:rsidRPr="00832E16" w:rsidRDefault="00832E16" w:rsidP="00832E16">
            <w:pPr>
              <w:spacing w:after="0" w:line="240" w:lineRule="auto"/>
              <w:jc w:val="both"/>
              <w:rPr>
                <w:rFonts w:ascii="Arial" w:hAnsi="Arial" w:cs="Arial"/>
              </w:rPr>
            </w:pPr>
          </w:p>
          <w:p w:rsidR="006161EB" w:rsidRPr="00832E16" w:rsidRDefault="00136F60" w:rsidP="00832E16">
            <w:pPr>
              <w:spacing w:after="0" w:line="240" w:lineRule="auto"/>
              <w:jc w:val="both"/>
              <w:rPr>
                <w:rFonts w:ascii="Arial" w:hAnsi="Arial" w:cs="Arial"/>
              </w:rPr>
            </w:pPr>
            <w:r w:rsidRPr="00832E16">
              <w:rPr>
                <w:rFonts w:ascii="Arial" w:hAnsi="Arial" w:cs="Arial"/>
              </w:rPr>
              <w:t xml:space="preserve">This contract runs for the duration specified at the front of the document. Termination is possible through a six month written notification by either party. Termination on performance grounds may be initiated by the commissioner at </w:t>
            </w:r>
            <w:r w:rsidR="00414C59" w:rsidRPr="00832E16">
              <w:rPr>
                <w:rFonts w:ascii="Arial" w:hAnsi="Arial" w:cs="Arial"/>
              </w:rPr>
              <w:t xml:space="preserve">any </w:t>
            </w:r>
            <w:r w:rsidRPr="00832E16">
              <w:rPr>
                <w:rFonts w:ascii="Arial" w:hAnsi="Arial" w:cs="Arial"/>
              </w:rPr>
              <w:t xml:space="preserve">stage subject to an agreed recovery plan. </w:t>
            </w:r>
          </w:p>
          <w:p w:rsidR="00F66003" w:rsidRPr="00004044" w:rsidRDefault="00F66003" w:rsidP="00F66003">
            <w:pPr>
              <w:pStyle w:val="ListParagraph"/>
              <w:spacing w:after="0" w:line="240" w:lineRule="auto"/>
              <w:jc w:val="both"/>
              <w:rPr>
                <w:rFonts w:ascii="Arial" w:hAnsi="Arial" w:cs="Arial"/>
              </w:rPr>
            </w:pPr>
          </w:p>
        </w:tc>
      </w:tr>
      <w:tr w:rsidR="006161EB" w:rsidRPr="00004044" w:rsidTr="002B7B95">
        <w:tc>
          <w:tcPr>
            <w:tcW w:w="9401" w:type="dxa"/>
          </w:tcPr>
          <w:p w:rsidR="00CF4FF6" w:rsidRDefault="00CF4FF6" w:rsidP="00CE7424">
            <w:pPr>
              <w:pStyle w:val="Default"/>
              <w:jc w:val="center"/>
              <w:rPr>
                <w:sz w:val="20"/>
                <w:szCs w:val="20"/>
              </w:rPr>
            </w:pPr>
            <w:r>
              <w:rPr>
                <w:b/>
                <w:bCs/>
                <w:sz w:val="20"/>
                <w:szCs w:val="20"/>
              </w:rPr>
              <w:lastRenderedPageBreak/>
              <w:t>Location of Provider Premises</w:t>
            </w:r>
          </w:p>
          <w:p w:rsidR="006161EB" w:rsidRPr="00004044" w:rsidRDefault="006161EB" w:rsidP="00F75444">
            <w:pPr>
              <w:pStyle w:val="ListParagraph"/>
              <w:spacing w:after="0" w:line="240" w:lineRule="auto"/>
              <w:ind w:left="480"/>
              <w:jc w:val="both"/>
              <w:rPr>
                <w:rFonts w:ascii="Arial" w:hAnsi="Arial" w:cs="Arial"/>
                <w:b/>
              </w:rPr>
            </w:pPr>
          </w:p>
        </w:tc>
      </w:tr>
      <w:tr w:rsidR="00740531" w:rsidRPr="00004044" w:rsidTr="002B7B95">
        <w:tc>
          <w:tcPr>
            <w:tcW w:w="9401" w:type="dxa"/>
          </w:tcPr>
          <w:p w:rsidR="00832E16" w:rsidRDefault="00832E16" w:rsidP="00004044">
            <w:pPr>
              <w:autoSpaceDE w:val="0"/>
              <w:autoSpaceDN w:val="0"/>
              <w:adjustRightInd w:val="0"/>
              <w:spacing w:after="0" w:line="240" w:lineRule="auto"/>
              <w:jc w:val="both"/>
              <w:rPr>
                <w:rFonts w:ascii="Arial" w:hAnsi="Arial" w:cs="Arial"/>
                <w:lang w:eastAsia="en-GB"/>
              </w:rPr>
            </w:pPr>
          </w:p>
          <w:p w:rsidR="00CF4FF6" w:rsidRDefault="00CF4FF6" w:rsidP="00CF4FF6">
            <w:pPr>
              <w:pStyle w:val="Default"/>
              <w:jc w:val="both"/>
              <w:rPr>
                <w:sz w:val="22"/>
                <w:szCs w:val="22"/>
              </w:rPr>
            </w:pPr>
            <w:r w:rsidRPr="00265BF4">
              <w:rPr>
                <w:sz w:val="22"/>
                <w:szCs w:val="22"/>
              </w:rPr>
              <w:t xml:space="preserve">The Service shall be delivered from multiple locations across the </w:t>
            </w:r>
            <w:r w:rsidR="006836BA" w:rsidRPr="00265BF4">
              <w:rPr>
                <w:sz w:val="22"/>
                <w:szCs w:val="22"/>
              </w:rPr>
              <w:t xml:space="preserve">Brent </w:t>
            </w:r>
            <w:r w:rsidRPr="00265BF4">
              <w:rPr>
                <w:sz w:val="22"/>
                <w:szCs w:val="22"/>
              </w:rPr>
              <w:t xml:space="preserve">CCG area. As a minimum, the Provider shall offer clinics in premises located no more than 30 minutes travelling time from the patient’s registered GP practice. </w:t>
            </w:r>
          </w:p>
          <w:p w:rsidR="00832E16" w:rsidRPr="00265BF4" w:rsidRDefault="00832E16" w:rsidP="00CF4FF6">
            <w:pPr>
              <w:pStyle w:val="Default"/>
              <w:jc w:val="both"/>
              <w:rPr>
                <w:sz w:val="22"/>
                <w:szCs w:val="22"/>
              </w:rPr>
            </w:pPr>
          </w:p>
          <w:p w:rsidR="00CF4FF6" w:rsidRPr="00265BF4" w:rsidRDefault="00CF4FF6" w:rsidP="00CF4FF6">
            <w:pPr>
              <w:pStyle w:val="Default"/>
              <w:jc w:val="both"/>
              <w:rPr>
                <w:sz w:val="22"/>
                <w:szCs w:val="22"/>
              </w:rPr>
            </w:pPr>
            <w:r w:rsidRPr="00265BF4">
              <w:rPr>
                <w:sz w:val="22"/>
                <w:szCs w:val="22"/>
              </w:rPr>
              <w:t xml:space="preserve">The Provider shall ensure that: </w:t>
            </w:r>
          </w:p>
          <w:p w:rsidR="00F75444" w:rsidRPr="00265BF4" w:rsidRDefault="00F75444" w:rsidP="00CF4FF6">
            <w:pPr>
              <w:pStyle w:val="Default"/>
              <w:jc w:val="both"/>
              <w:rPr>
                <w:sz w:val="22"/>
                <w:szCs w:val="22"/>
              </w:rPr>
            </w:pPr>
          </w:p>
          <w:p w:rsidR="00CF4FF6" w:rsidRPr="00265BF4" w:rsidRDefault="00CF4FF6" w:rsidP="00F75444">
            <w:pPr>
              <w:pStyle w:val="Default"/>
              <w:numPr>
                <w:ilvl w:val="0"/>
                <w:numId w:val="48"/>
              </w:numPr>
              <w:jc w:val="both"/>
              <w:rPr>
                <w:sz w:val="22"/>
                <w:szCs w:val="22"/>
              </w:rPr>
            </w:pPr>
            <w:r w:rsidRPr="00265BF4">
              <w:rPr>
                <w:sz w:val="22"/>
                <w:szCs w:val="22"/>
              </w:rPr>
              <w:t xml:space="preserve">the sites have sufficient patient parking to facilitate access to the site </w:t>
            </w:r>
          </w:p>
          <w:p w:rsidR="00CF4FF6" w:rsidRPr="00265BF4" w:rsidRDefault="00CF4FF6" w:rsidP="00F75444">
            <w:pPr>
              <w:pStyle w:val="Default"/>
              <w:numPr>
                <w:ilvl w:val="0"/>
                <w:numId w:val="48"/>
              </w:numPr>
              <w:jc w:val="both"/>
              <w:rPr>
                <w:sz w:val="22"/>
                <w:szCs w:val="22"/>
              </w:rPr>
            </w:pPr>
            <w:r w:rsidRPr="00265BF4">
              <w:rPr>
                <w:sz w:val="22"/>
                <w:szCs w:val="22"/>
              </w:rPr>
              <w:t xml:space="preserve">access to the buildings and clinics is compliant with the Disability Discrimination Act (2004) </w:t>
            </w:r>
          </w:p>
          <w:p w:rsidR="00CF4FF6" w:rsidRPr="00265BF4" w:rsidRDefault="00CF4FF6" w:rsidP="00F75444">
            <w:pPr>
              <w:pStyle w:val="Default"/>
              <w:numPr>
                <w:ilvl w:val="0"/>
                <w:numId w:val="48"/>
              </w:numPr>
              <w:jc w:val="both"/>
              <w:rPr>
                <w:sz w:val="22"/>
                <w:szCs w:val="22"/>
              </w:rPr>
            </w:pPr>
            <w:r w:rsidRPr="00265BF4">
              <w:rPr>
                <w:sz w:val="22"/>
                <w:szCs w:val="22"/>
              </w:rPr>
              <w:t xml:space="preserve">the service is delivered in an area that is fit for purpose; there is access to an area suitable for the provision of group work/class work/gym work </w:t>
            </w:r>
          </w:p>
          <w:p w:rsidR="00CF4FF6" w:rsidRPr="00265BF4" w:rsidRDefault="00CF4FF6" w:rsidP="00F75444">
            <w:pPr>
              <w:pStyle w:val="Default"/>
              <w:numPr>
                <w:ilvl w:val="0"/>
                <w:numId w:val="48"/>
              </w:numPr>
              <w:jc w:val="both"/>
              <w:rPr>
                <w:sz w:val="22"/>
                <w:szCs w:val="22"/>
              </w:rPr>
            </w:pPr>
            <w:r w:rsidRPr="00265BF4">
              <w:rPr>
                <w:sz w:val="22"/>
                <w:szCs w:val="22"/>
              </w:rPr>
              <w:t xml:space="preserve">there is access to toilets /changing facilities for all patients </w:t>
            </w:r>
          </w:p>
          <w:p w:rsidR="00CF4FF6" w:rsidRPr="00265BF4" w:rsidRDefault="00CF4FF6" w:rsidP="00F75444">
            <w:pPr>
              <w:pStyle w:val="Default"/>
              <w:numPr>
                <w:ilvl w:val="0"/>
                <w:numId w:val="48"/>
              </w:numPr>
              <w:jc w:val="both"/>
              <w:rPr>
                <w:sz w:val="22"/>
                <w:szCs w:val="22"/>
              </w:rPr>
            </w:pPr>
            <w:r w:rsidRPr="00265BF4">
              <w:rPr>
                <w:sz w:val="22"/>
                <w:szCs w:val="22"/>
              </w:rPr>
              <w:t xml:space="preserve"> there is access to a private room for more confidential assessment or treatment </w:t>
            </w:r>
          </w:p>
          <w:p w:rsidR="00CF4FF6" w:rsidRPr="00265BF4" w:rsidRDefault="00CF4FF6" w:rsidP="00F75444">
            <w:pPr>
              <w:pStyle w:val="Default"/>
              <w:numPr>
                <w:ilvl w:val="0"/>
                <w:numId w:val="48"/>
              </w:numPr>
              <w:jc w:val="both"/>
              <w:rPr>
                <w:sz w:val="22"/>
                <w:szCs w:val="22"/>
              </w:rPr>
            </w:pPr>
            <w:r w:rsidRPr="00265BF4">
              <w:rPr>
                <w:sz w:val="22"/>
                <w:szCs w:val="22"/>
              </w:rPr>
              <w:t>Appropriate clinical support is in place within the site of delivery to provide emergency care if required.</w:t>
            </w:r>
          </w:p>
          <w:p w:rsidR="00CF4FF6" w:rsidRPr="00265BF4" w:rsidRDefault="00CF4FF6" w:rsidP="00004044">
            <w:pPr>
              <w:autoSpaceDE w:val="0"/>
              <w:autoSpaceDN w:val="0"/>
              <w:adjustRightInd w:val="0"/>
              <w:spacing w:after="0" w:line="240" w:lineRule="auto"/>
              <w:jc w:val="both"/>
              <w:rPr>
                <w:rFonts w:ascii="Arial" w:hAnsi="Arial" w:cs="Arial"/>
                <w:lang w:eastAsia="en-GB"/>
              </w:rPr>
            </w:pPr>
          </w:p>
          <w:p w:rsidR="00F75444" w:rsidRPr="00265BF4" w:rsidRDefault="00F75444" w:rsidP="00004044">
            <w:pPr>
              <w:autoSpaceDE w:val="0"/>
              <w:autoSpaceDN w:val="0"/>
              <w:adjustRightInd w:val="0"/>
              <w:spacing w:after="0" w:line="240" w:lineRule="auto"/>
              <w:jc w:val="both"/>
              <w:rPr>
                <w:rFonts w:ascii="Arial" w:hAnsi="Arial" w:cs="Arial"/>
                <w:lang w:eastAsia="en-GB"/>
              </w:rPr>
            </w:pPr>
          </w:p>
          <w:p w:rsidR="00F75444" w:rsidRPr="009C323A" w:rsidRDefault="00F75444" w:rsidP="00F75444">
            <w:pPr>
              <w:pStyle w:val="Default"/>
              <w:jc w:val="both"/>
              <w:rPr>
                <w:color w:val="000000" w:themeColor="text1"/>
                <w:sz w:val="22"/>
                <w:szCs w:val="22"/>
              </w:rPr>
            </w:pPr>
            <w:r w:rsidRPr="009C323A">
              <w:rPr>
                <w:color w:val="000000" w:themeColor="text1"/>
                <w:sz w:val="22"/>
                <w:szCs w:val="22"/>
              </w:rPr>
              <w:t xml:space="preserve">The service shall be available, as necessary in order to meet with the requirements of the Service Specification, with particular focus on required waiting times </w:t>
            </w:r>
          </w:p>
          <w:p w:rsidR="00F75444" w:rsidRPr="009C323A" w:rsidRDefault="00F75444" w:rsidP="00F75444">
            <w:pPr>
              <w:pStyle w:val="Default"/>
              <w:spacing w:after="200" w:line="276" w:lineRule="auto"/>
              <w:jc w:val="both"/>
              <w:rPr>
                <w:color w:val="000000" w:themeColor="text1"/>
                <w:sz w:val="22"/>
                <w:szCs w:val="22"/>
              </w:rPr>
            </w:pPr>
          </w:p>
          <w:p w:rsidR="00F3146E" w:rsidRPr="009C323A" w:rsidRDefault="00F75444" w:rsidP="006836BA">
            <w:pPr>
              <w:spacing w:after="0" w:line="240" w:lineRule="auto"/>
              <w:jc w:val="both"/>
              <w:rPr>
                <w:rFonts w:ascii="Arial" w:hAnsi="Arial" w:cs="Arial"/>
                <w:color w:val="000000" w:themeColor="text1"/>
              </w:rPr>
            </w:pPr>
            <w:r w:rsidRPr="009C323A">
              <w:rPr>
                <w:rFonts w:ascii="Arial" w:hAnsi="Arial" w:cs="Arial"/>
                <w:color w:val="000000" w:themeColor="text1"/>
              </w:rPr>
              <w:t xml:space="preserve">As a minimum, the Provider shall ensure the Service is provided, Monday to Friday during core hours (08.00 to 20.00 hrs.) with sufficient clinics to meet waiting time criteria. </w:t>
            </w:r>
          </w:p>
          <w:p w:rsidR="00F3146E" w:rsidRPr="009C323A" w:rsidRDefault="00F3146E" w:rsidP="006836BA">
            <w:pPr>
              <w:spacing w:after="0" w:line="240" w:lineRule="auto"/>
              <w:jc w:val="both"/>
              <w:rPr>
                <w:rFonts w:ascii="Arial" w:hAnsi="Arial" w:cs="Arial"/>
                <w:color w:val="000000" w:themeColor="text1"/>
              </w:rPr>
            </w:pPr>
          </w:p>
          <w:p w:rsidR="00F3146E" w:rsidRPr="009C323A" w:rsidRDefault="00F75444" w:rsidP="006836BA">
            <w:pPr>
              <w:spacing w:after="0" w:line="240" w:lineRule="auto"/>
              <w:jc w:val="both"/>
              <w:rPr>
                <w:rFonts w:ascii="Arial" w:hAnsi="Arial" w:cs="Arial"/>
                <w:color w:val="000000" w:themeColor="text1"/>
              </w:rPr>
            </w:pPr>
            <w:r w:rsidRPr="009C323A">
              <w:rPr>
                <w:rFonts w:ascii="Arial" w:hAnsi="Arial" w:cs="Arial"/>
                <w:color w:val="000000" w:themeColor="text1"/>
              </w:rPr>
              <w:t xml:space="preserve">Opening times should be flexed to meet demand and shall include some evenings. </w:t>
            </w:r>
          </w:p>
          <w:p w:rsidR="00F3146E" w:rsidRPr="009C323A" w:rsidRDefault="00F3146E" w:rsidP="006836BA">
            <w:pPr>
              <w:spacing w:after="0" w:line="240" w:lineRule="auto"/>
              <w:jc w:val="both"/>
              <w:rPr>
                <w:rFonts w:ascii="Arial" w:hAnsi="Arial" w:cs="Arial"/>
                <w:color w:val="000000" w:themeColor="text1"/>
              </w:rPr>
            </w:pPr>
          </w:p>
          <w:p w:rsidR="00740531" w:rsidRPr="009C323A" w:rsidRDefault="00F75444" w:rsidP="006836BA">
            <w:pPr>
              <w:spacing w:after="0" w:line="240" w:lineRule="auto"/>
              <w:jc w:val="both"/>
              <w:rPr>
                <w:rFonts w:ascii="Arial" w:hAnsi="Arial" w:cs="Arial"/>
                <w:color w:val="000000" w:themeColor="text1"/>
              </w:rPr>
            </w:pPr>
            <w:r w:rsidRPr="009C323A">
              <w:rPr>
                <w:rFonts w:ascii="Arial" w:hAnsi="Arial" w:cs="Arial"/>
                <w:color w:val="000000" w:themeColor="text1"/>
              </w:rPr>
              <w:t>In addition Provider needs to work towards current CCG and NHS agenda for service availability of 7 days to meet current CCG Primary Care developments</w:t>
            </w:r>
          </w:p>
          <w:p w:rsidR="00832E16" w:rsidRPr="006836BA" w:rsidRDefault="00832E16" w:rsidP="006836BA">
            <w:pPr>
              <w:spacing w:after="0" w:line="240" w:lineRule="auto"/>
              <w:jc w:val="both"/>
              <w:rPr>
                <w:rFonts w:ascii="Arial" w:hAnsi="Arial" w:cs="Arial"/>
                <w:b/>
                <w:bCs/>
                <w:lang w:eastAsia="en-GB"/>
              </w:rPr>
            </w:pPr>
          </w:p>
        </w:tc>
      </w:tr>
      <w:tr w:rsidR="00265BF4" w:rsidRPr="00004044" w:rsidTr="002B7B95">
        <w:tc>
          <w:tcPr>
            <w:tcW w:w="9401" w:type="dxa"/>
          </w:tcPr>
          <w:p w:rsidR="00265BF4" w:rsidRPr="00265BF4" w:rsidRDefault="00265BF4" w:rsidP="00265BF4">
            <w:pPr>
              <w:jc w:val="center"/>
              <w:rPr>
                <w:rFonts w:ascii="Arial" w:hAnsi="Arial" w:cs="Arial"/>
                <w:b/>
                <w:bCs/>
                <w:color w:val="FFFFFF"/>
              </w:rPr>
            </w:pPr>
            <w:r w:rsidRPr="00265BF4">
              <w:rPr>
                <w:rFonts w:ascii="Arial" w:hAnsi="Arial" w:cs="Arial"/>
                <w:b/>
              </w:rPr>
              <w:lastRenderedPageBreak/>
              <w:t xml:space="preserve">Staffing Competency </w:t>
            </w:r>
          </w:p>
        </w:tc>
      </w:tr>
      <w:tr w:rsidR="001D5EB6" w:rsidRPr="00004044" w:rsidTr="002B7B95">
        <w:tc>
          <w:tcPr>
            <w:tcW w:w="9401" w:type="dxa"/>
          </w:tcPr>
          <w:p w:rsidR="00D60B25" w:rsidRDefault="00D60B25" w:rsidP="001D5EB6">
            <w:pPr>
              <w:rPr>
                <w:rFonts w:ascii="Arial" w:hAnsi="Arial" w:cs="Arial"/>
              </w:rPr>
            </w:pPr>
          </w:p>
          <w:p w:rsidR="001D5EB6" w:rsidRPr="00265BF4" w:rsidRDefault="001D5EB6" w:rsidP="001D5EB6">
            <w:pPr>
              <w:rPr>
                <w:rFonts w:ascii="Arial" w:hAnsi="Arial" w:cs="Arial"/>
              </w:rPr>
            </w:pPr>
            <w:r w:rsidRPr="00265BF4">
              <w:rPr>
                <w:rFonts w:ascii="Arial" w:hAnsi="Arial" w:cs="Arial"/>
              </w:rPr>
              <w:t>The Service Provider must demonstrate that they have a process in place to bi-annually peer review the provision, work process or output of an individual or collective working operating within the physiotherapy service.  A report of any review that takes place should be available to the commissioners of the service and clinical governance lead.</w:t>
            </w:r>
          </w:p>
          <w:p w:rsidR="001D5EB6" w:rsidRPr="00265BF4" w:rsidRDefault="001D5EB6" w:rsidP="001D5EB6">
            <w:pPr>
              <w:rPr>
                <w:rFonts w:ascii="Arial" w:hAnsi="Arial" w:cs="Arial"/>
              </w:rPr>
            </w:pPr>
            <w:r w:rsidRPr="00265BF4">
              <w:rPr>
                <w:rFonts w:ascii="Arial" w:hAnsi="Arial" w:cs="Arial"/>
              </w:rPr>
              <w:t>The Service Provider must demonstrate the ability to extend the scope of skills and competence of GP’s and nurses with the appropriate training and education.</w:t>
            </w:r>
          </w:p>
          <w:p w:rsidR="001D5EB6" w:rsidRPr="00265BF4" w:rsidRDefault="001D5EB6" w:rsidP="00CE7424">
            <w:pPr>
              <w:rPr>
                <w:rFonts w:ascii="Arial" w:hAnsi="Arial" w:cs="Arial"/>
              </w:rPr>
            </w:pPr>
            <w:r w:rsidRPr="00265BF4">
              <w:rPr>
                <w:rFonts w:ascii="Arial" w:hAnsi="Arial" w:cs="Arial"/>
              </w:rPr>
              <w:t xml:space="preserve">The Service Provider must operate a robust and continuous approach to the improvement of its Patient Care Pathways. </w:t>
            </w:r>
          </w:p>
          <w:p w:rsidR="001D5EB6" w:rsidRDefault="001D5EB6" w:rsidP="001D5EB6">
            <w:pPr>
              <w:jc w:val="both"/>
              <w:rPr>
                <w:rFonts w:cs="Arial"/>
                <w:sz w:val="20"/>
                <w:szCs w:val="20"/>
              </w:rPr>
            </w:pPr>
            <w:r w:rsidRPr="00265BF4">
              <w:rPr>
                <w:rFonts w:ascii="Arial" w:hAnsi="Arial" w:cs="Arial"/>
              </w:rPr>
              <w:t>The Service Provider must demonstrate that they are able to diagnose, assess and treat patients with both chronic and acute musculoskeletal conditions.  To maintain clinical competency within this field, the Service Provider must ensure that every clinical member of the multi-disciplinary team registered with the Chartered Society of Physiotherapists, GMC or other appropriate professional body and reviews a minimum of 30 patients and 5 different conditions per year.</w:t>
            </w:r>
          </w:p>
        </w:tc>
      </w:tr>
      <w:tr w:rsidR="00740531" w:rsidRPr="00004044" w:rsidTr="002B7B95">
        <w:tc>
          <w:tcPr>
            <w:tcW w:w="9401" w:type="dxa"/>
          </w:tcPr>
          <w:p w:rsidR="00740531" w:rsidRPr="00CE7424" w:rsidRDefault="00740531" w:rsidP="00CE7424">
            <w:pPr>
              <w:spacing w:after="0" w:line="240" w:lineRule="auto"/>
              <w:jc w:val="center"/>
              <w:rPr>
                <w:rFonts w:ascii="Arial" w:hAnsi="Arial" w:cs="Arial"/>
                <w:b/>
                <w:bCs/>
                <w:lang w:eastAsia="en-GB"/>
              </w:rPr>
            </w:pPr>
            <w:r w:rsidRPr="00CE7424">
              <w:rPr>
                <w:rFonts w:ascii="Arial" w:hAnsi="Arial" w:cs="Arial"/>
                <w:b/>
              </w:rPr>
              <w:t>Funding</w:t>
            </w:r>
          </w:p>
        </w:tc>
      </w:tr>
      <w:tr w:rsidR="00740531" w:rsidRPr="00004044" w:rsidTr="002B7B95">
        <w:tc>
          <w:tcPr>
            <w:tcW w:w="9401" w:type="dxa"/>
          </w:tcPr>
          <w:p w:rsidR="00740531" w:rsidRDefault="00740531" w:rsidP="00CF4FF6">
            <w:pPr>
              <w:jc w:val="both"/>
              <w:rPr>
                <w:rFonts w:ascii="Arial" w:hAnsi="Arial" w:cs="Arial"/>
                <w:b/>
                <w:bCs/>
                <w:lang w:eastAsia="en-GB"/>
              </w:rPr>
            </w:pPr>
          </w:p>
          <w:p w:rsidR="005F1E8A" w:rsidRPr="005F1E8A" w:rsidRDefault="005F1E8A" w:rsidP="00CF4FF6">
            <w:pPr>
              <w:jc w:val="both"/>
              <w:rPr>
                <w:rFonts w:ascii="Arial" w:hAnsi="Arial" w:cs="Arial"/>
                <w:b/>
                <w:bCs/>
                <w:lang w:eastAsia="en-GB"/>
              </w:rPr>
            </w:pPr>
            <w:r w:rsidRPr="00CE7424">
              <w:rPr>
                <w:rFonts w:ascii="Arial" w:eastAsiaTheme="minorHAnsi" w:hAnsi="Arial" w:cs="Arial"/>
                <w:color w:val="000000" w:themeColor="text1"/>
              </w:rPr>
              <w:t>All resources, including equipment and maintenance for the delivery of the community Physiotherapy service will remain the responsibility of the service provider</w:t>
            </w:r>
          </w:p>
          <w:p w:rsidR="009D3A66" w:rsidRPr="00B94B7D" w:rsidRDefault="009D3A66" w:rsidP="00CE7424">
            <w:pPr>
              <w:pStyle w:val="MOIText"/>
              <w:spacing w:before="0" w:after="0"/>
              <w:ind w:left="0"/>
            </w:pPr>
            <w:r w:rsidRPr="00B94B7D">
              <w:t>Payment to the Provider will be monthly in arrears on production of invoices and activity/ performance information. Invoices must show the number of Initial Assessments, Follow Ups and Group sessions during the month and the following prices will apply:-</w:t>
            </w:r>
          </w:p>
          <w:p w:rsidR="005F1E8A" w:rsidRPr="005F1E8A" w:rsidRDefault="005F1E8A" w:rsidP="00CF4FF6">
            <w:pPr>
              <w:jc w:val="both"/>
              <w:rPr>
                <w:rFonts w:ascii="Arial" w:hAnsi="Arial" w:cs="Arial"/>
                <w:b/>
                <w:bCs/>
                <w:lang w:eastAsia="en-GB"/>
              </w:rPr>
            </w:pPr>
          </w:p>
          <w:tbl>
            <w:tblPr>
              <w:tblW w:w="7699" w:type="dxa"/>
              <w:tblInd w:w="98" w:type="dxa"/>
              <w:tblLook w:val="04A0" w:firstRow="1" w:lastRow="0" w:firstColumn="1" w:lastColumn="0" w:noHBand="0" w:noVBand="1"/>
            </w:tblPr>
            <w:tblGrid>
              <w:gridCol w:w="4155"/>
              <w:gridCol w:w="3544"/>
            </w:tblGrid>
            <w:tr w:rsidR="005F1E8A" w:rsidRPr="005F1E8A" w:rsidTr="00CE7424">
              <w:trPr>
                <w:trHeight w:val="300"/>
              </w:trPr>
              <w:tc>
                <w:tcPr>
                  <w:tcW w:w="4155"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5F1E8A" w:rsidRPr="00CE7424" w:rsidRDefault="005F1E8A" w:rsidP="005F1E8A">
                  <w:pPr>
                    <w:spacing w:after="0" w:line="240" w:lineRule="auto"/>
                    <w:jc w:val="both"/>
                    <w:rPr>
                      <w:rFonts w:ascii="Arial" w:eastAsia="Times New Roman" w:hAnsi="Arial" w:cs="Arial"/>
                      <w:b/>
                      <w:bCs/>
                      <w:color w:val="000000" w:themeColor="text1"/>
                      <w:lang w:eastAsia="en-GB"/>
                    </w:rPr>
                  </w:pPr>
                  <w:r w:rsidRPr="00CE7424">
                    <w:rPr>
                      <w:rFonts w:ascii="Arial" w:eastAsia="Times New Roman" w:hAnsi="Arial" w:cs="Arial"/>
                      <w:b/>
                      <w:bCs/>
                      <w:color w:val="000000" w:themeColor="text1"/>
                      <w:lang w:eastAsia="en-GB"/>
                    </w:rPr>
                    <w:t>First (</w:t>
                  </w:r>
                  <w:r w:rsidR="00761A3D" w:rsidRPr="00CE7424">
                    <w:rPr>
                      <w:rFonts w:ascii="Arial" w:eastAsia="Times New Roman" w:hAnsi="Arial" w:cs="Arial"/>
                      <w:b/>
                      <w:bCs/>
                      <w:color w:val="000000" w:themeColor="text1"/>
                      <w:lang w:eastAsia="en-GB"/>
                    </w:rPr>
                    <w:t>Assessed</w:t>
                  </w:r>
                  <w:r w:rsidRPr="00CE7424">
                    <w:rPr>
                      <w:rFonts w:ascii="Arial" w:eastAsia="Times New Roman" w:hAnsi="Arial" w:cs="Arial"/>
                      <w:b/>
                      <w:bCs/>
                      <w:color w:val="000000" w:themeColor="text1"/>
                      <w:lang w:eastAsia="en-GB"/>
                    </w:rPr>
                    <w:t xml:space="preserve"> by ESP)</w:t>
                  </w:r>
                </w:p>
              </w:tc>
              <w:tc>
                <w:tcPr>
                  <w:tcW w:w="3544"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5F1E8A" w:rsidRPr="00CE7424" w:rsidRDefault="005F1E8A" w:rsidP="005F1E8A">
                  <w:pPr>
                    <w:spacing w:after="0" w:line="240" w:lineRule="auto"/>
                    <w:jc w:val="both"/>
                    <w:rPr>
                      <w:rFonts w:ascii="Arial" w:eastAsia="Times New Roman" w:hAnsi="Arial" w:cs="Arial"/>
                      <w:b/>
                      <w:bCs/>
                      <w:color w:val="000000" w:themeColor="text1"/>
                      <w:lang w:eastAsia="en-GB"/>
                    </w:rPr>
                  </w:pPr>
                  <w:r w:rsidRPr="00CE7424">
                    <w:rPr>
                      <w:rFonts w:ascii="Arial" w:eastAsia="Times New Roman" w:hAnsi="Arial" w:cs="Arial"/>
                      <w:b/>
                      <w:bCs/>
                      <w:color w:val="000000" w:themeColor="text1"/>
                      <w:lang w:eastAsia="en-GB"/>
                    </w:rPr>
                    <w:t xml:space="preserve">Follow Up </w:t>
                  </w:r>
                </w:p>
              </w:tc>
            </w:tr>
            <w:tr w:rsidR="005F1E8A" w:rsidRPr="005F1E8A" w:rsidTr="00CE7424">
              <w:trPr>
                <w:trHeight w:val="300"/>
              </w:trPr>
              <w:tc>
                <w:tcPr>
                  <w:tcW w:w="4155" w:type="dxa"/>
                  <w:tcBorders>
                    <w:top w:val="nil"/>
                    <w:left w:val="nil"/>
                    <w:bottom w:val="single" w:sz="4" w:space="0" w:color="auto"/>
                    <w:right w:val="single" w:sz="4" w:space="0" w:color="auto"/>
                  </w:tcBorders>
                  <w:shd w:val="clear" w:color="auto" w:fill="auto"/>
                  <w:noWrap/>
                  <w:vAlign w:val="bottom"/>
                  <w:hideMark/>
                </w:tcPr>
                <w:p w:rsidR="005F1E8A" w:rsidRPr="00CE7424" w:rsidRDefault="005F1E8A" w:rsidP="005F1E8A">
                  <w:pPr>
                    <w:spacing w:after="0" w:line="240" w:lineRule="auto"/>
                    <w:jc w:val="both"/>
                    <w:rPr>
                      <w:rFonts w:ascii="Arial" w:eastAsia="Times New Roman" w:hAnsi="Arial" w:cs="Arial"/>
                      <w:b/>
                      <w:bCs/>
                      <w:color w:val="000000" w:themeColor="text1"/>
                      <w:lang w:eastAsia="en-GB"/>
                    </w:rPr>
                  </w:pPr>
                  <w:r w:rsidRPr="00CE7424">
                    <w:rPr>
                      <w:rFonts w:ascii="Arial" w:eastAsia="Times New Roman" w:hAnsi="Arial" w:cs="Arial"/>
                      <w:b/>
                      <w:bCs/>
                      <w:color w:val="000000" w:themeColor="text1"/>
                      <w:lang w:eastAsia="en-GB"/>
                    </w:rPr>
                    <w:t>£30</w:t>
                  </w:r>
                </w:p>
              </w:tc>
              <w:tc>
                <w:tcPr>
                  <w:tcW w:w="3544" w:type="dxa"/>
                  <w:tcBorders>
                    <w:top w:val="nil"/>
                    <w:left w:val="nil"/>
                    <w:bottom w:val="single" w:sz="4" w:space="0" w:color="auto"/>
                    <w:right w:val="single" w:sz="4" w:space="0" w:color="auto"/>
                  </w:tcBorders>
                  <w:shd w:val="clear" w:color="auto" w:fill="auto"/>
                  <w:noWrap/>
                  <w:vAlign w:val="bottom"/>
                  <w:hideMark/>
                </w:tcPr>
                <w:p w:rsidR="005F1E8A" w:rsidRPr="00CE7424" w:rsidRDefault="005F1E8A" w:rsidP="005F1E8A">
                  <w:pPr>
                    <w:spacing w:after="0" w:line="240" w:lineRule="auto"/>
                    <w:jc w:val="both"/>
                    <w:rPr>
                      <w:rFonts w:ascii="Arial" w:eastAsia="Times New Roman" w:hAnsi="Arial" w:cs="Arial"/>
                      <w:b/>
                      <w:bCs/>
                      <w:color w:val="000000" w:themeColor="text1"/>
                      <w:lang w:eastAsia="en-GB"/>
                    </w:rPr>
                  </w:pPr>
                  <w:r w:rsidRPr="00CE7424">
                    <w:rPr>
                      <w:rFonts w:ascii="Arial" w:eastAsia="Times New Roman" w:hAnsi="Arial" w:cs="Arial"/>
                      <w:b/>
                      <w:bCs/>
                      <w:color w:val="000000" w:themeColor="text1"/>
                      <w:lang w:eastAsia="en-GB"/>
                    </w:rPr>
                    <w:t>£25</w:t>
                  </w:r>
                </w:p>
              </w:tc>
            </w:tr>
          </w:tbl>
          <w:p w:rsidR="005F1E8A" w:rsidRDefault="005F1E8A" w:rsidP="00CF4FF6">
            <w:pPr>
              <w:jc w:val="both"/>
              <w:rPr>
                <w:rFonts w:ascii="Arial" w:hAnsi="Arial" w:cs="Arial"/>
                <w:b/>
                <w:bCs/>
                <w:lang w:eastAsia="en-GB"/>
              </w:rPr>
            </w:pPr>
          </w:p>
          <w:p w:rsidR="000A0292" w:rsidRPr="009C323A" w:rsidRDefault="000A0292" w:rsidP="00CF4FF6">
            <w:pPr>
              <w:jc w:val="both"/>
              <w:rPr>
                <w:rFonts w:ascii="Arial" w:hAnsi="Arial" w:cs="Arial"/>
                <w:bCs/>
                <w:color w:val="FF0000"/>
                <w:lang w:eastAsia="en-GB"/>
              </w:rPr>
            </w:pPr>
            <w:r w:rsidRPr="004E4B6F">
              <w:rPr>
                <w:rFonts w:ascii="Arial" w:hAnsi="Arial" w:cs="Arial"/>
                <w:bCs/>
                <w:color w:val="000000" w:themeColor="text1"/>
                <w:lang w:eastAsia="en-GB"/>
              </w:rPr>
              <w:t xml:space="preserve">Group </w:t>
            </w:r>
            <w:r w:rsidR="00AB7198" w:rsidRPr="004E4B6F">
              <w:rPr>
                <w:rFonts w:ascii="Arial" w:hAnsi="Arial" w:cs="Arial"/>
                <w:bCs/>
                <w:color w:val="000000" w:themeColor="text1"/>
                <w:lang w:eastAsia="en-GB"/>
              </w:rPr>
              <w:t>classes</w:t>
            </w:r>
            <w:r w:rsidRPr="004E4B6F">
              <w:rPr>
                <w:rFonts w:ascii="Arial" w:hAnsi="Arial" w:cs="Arial"/>
                <w:bCs/>
                <w:color w:val="000000" w:themeColor="text1"/>
                <w:lang w:eastAsia="en-GB"/>
              </w:rPr>
              <w:t xml:space="preserve"> £100 </w:t>
            </w:r>
            <w:r w:rsidR="008D04FE" w:rsidRPr="004E4B6F">
              <w:rPr>
                <w:rFonts w:ascii="Arial" w:hAnsi="Arial" w:cs="Arial"/>
                <w:bCs/>
                <w:color w:val="000000" w:themeColor="text1"/>
                <w:lang w:eastAsia="en-GB"/>
              </w:rPr>
              <w:t xml:space="preserve">per </w:t>
            </w:r>
            <w:r w:rsidR="00761A3D" w:rsidRPr="004E4B6F">
              <w:rPr>
                <w:rFonts w:ascii="Arial" w:hAnsi="Arial" w:cs="Arial"/>
                <w:bCs/>
                <w:color w:val="000000" w:themeColor="text1"/>
                <w:lang w:eastAsia="en-GB"/>
              </w:rPr>
              <w:t xml:space="preserve">class. </w:t>
            </w:r>
            <w:r w:rsidR="008D04FE" w:rsidRPr="004E4B6F">
              <w:rPr>
                <w:rFonts w:ascii="Arial" w:hAnsi="Arial" w:cs="Arial"/>
                <w:bCs/>
                <w:color w:val="000000" w:themeColor="text1"/>
                <w:lang w:eastAsia="en-GB"/>
              </w:rPr>
              <w:t xml:space="preserve">A </w:t>
            </w:r>
            <w:r w:rsidRPr="004E4B6F">
              <w:rPr>
                <w:rFonts w:ascii="Arial" w:hAnsi="Arial" w:cs="Arial"/>
                <w:bCs/>
                <w:color w:val="000000" w:themeColor="text1"/>
                <w:lang w:eastAsia="en-GB"/>
              </w:rPr>
              <w:t xml:space="preserve">minimum </w:t>
            </w:r>
            <w:r w:rsidR="00761A3D" w:rsidRPr="004E4B6F">
              <w:rPr>
                <w:rFonts w:ascii="Arial" w:hAnsi="Arial" w:cs="Arial"/>
                <w:bCs/>
                <w:color w:val="000000" w:themeColor="text1"/>
                <w:lang w:eastAsia="en-GB"/>
              </w:rPr>
              <w:t>number 7 women</w:t>
            </w:r>
            <w:r w:rsidR="008D04FE" w:rsidRPr="004E4B6F">
              <w:rPr>
                <w:rFonts w:ascii="Arial" w:hAnsi="Arial" w:cs="Arial"/>
                <w:bCs/>
                <w:color w:val="000000" w:themeColor="text1"/>
                <w:lang w:eastAsia="en-GB"/>
              </w:rPr>
              <w:t xml:space="preserve"> in the class. The class length is a minimum one hour</w:t>
            </w:r>
            <w:r w:rsidR="008D04FE" w:rsidRPr="009C323A">
              <w:rPr>
                <w:rFonts w:ascii="Arial" w:hAnsi="Arial" w:cs="Arial"/>
                <w:bCs/>
                <w:color w:val="FF0000"/>
                <w:lang w:eastAsia="en-GB"/>
              </w:rPr>
              <w:t>.</w:t>
            </w:r>
          </w:p>
          <w:p w:rsidR="000A0292" w:rsidRPr="004E4B6F" w:rsidRDefault="004E4B6F" w:rsidP="00CF4FF6">
            <w:pPr>
              <w:jc w:val="both"/>
              <w:rPr>
                <w:rFonts w:ascii="Arial" w:hAnsi="Arial" w:cs="Arial"/>
                <w:b/>
                <w:bCs/>
                <w:color w:val="000000" w:themeColor="text1"/>
                <w:lang w:eastAsia="en-GB"/>
              </w:rPr>
            </w:pPr>
            <w:r w:rsidRPr="004E4B6F">
              <w:rPr>
                <w:rFonts w:ascii="Arial" w:hAnsi="Arial" w:cs="Arial"/>
                <w:b/>
                <w:bCs/>
                <w:color w:val="000000" w:themeColor="text1"/>
                <w:lang w:eastAsia="en-GB"/>
              </w:rPr>
              <w:t xml:space="preserve">Domiciliary </w:t>
            </w:r>
            <w:r w:rsidR="003862FE">
              <w:rPr>
                <w:rFonts w:ascii="Arial" w:hAnsi="Arial" w:cs="Arial"/>
                <w:b/>
                <w:bCs/>
                <w:color w:val="000000" w:themeColor="text1"/>
                <w:lang w:eastAsia="en-GB"/>
              </w:rPr>
              <w:t>–</w:t>
            </w:r>
            <w:r w:rsidRPr="004E4B6F">
              <w:rPr>
                <w:rFonts w:ascii="Arial" w:hAnsi="Arial" w:cs="Arial"/>
                <w:b/>
                <w:bCs/>
                <w:color w:val="000000" w:themeColor="text1"/>
                <w:lang w:eastAsia="en-GB"/>
              </w:rPr>
              <w:t xml:space="preserve"> </w:t>
            </w:r>
            <w:r w:rsidR="003862FE">
              <w:rPr>
                <w:rFonts w:ascii="Arial" w:hAnsi="Arial" w:cs="Arial"/>
                <w:b/>
                <w:bCs/>
                <w:color w:val="000000" w:themeColor="text1"/>
                <w:lang w:eastAsia="en-GB"/>
              </w:rPr>
              <w:t xml:space="preserve">TBC </w:t>
            </w:r>
          </w:p>
          <w:p w:rsidR="005F1E8A" w:rsidRPr="00CE7424" w:rsidRDefault="0010198A" w:rsidP="00CF4FF6">
            <w:pPr>
              <w:jc w:val="both"/>
              <w:rPr>
                <w:rFonts w:ascii="Arial" w:eastAsiaTheme="minorEastAsia" w:hAnsi="Arial" w:cs="Arial"/>
                <w:color w:val="000000" w:themeColor="text1"/>
                <w:lang w:val="en-US" w:bidi="en-US"/>
              </w:rPr>
            </w:pPr>
            <w:r w:rsidRPr="005F1E8A">
              <w:rPr>
                <w:rFonts w:ascii="Arial" w:hAnsi="Arial" w:cs="Arial"/>
                <w:b/>
                <w:bCs/>
                <w:lang w:eastAsia="en-GB"/>
              </w:rPr>
              <w:t xml:space="preserve">There is </w:t>
            </w:r>
            <w:r w:rsidRPr="00526736">
              <w:rPr>
                <w:rFonts w:ascii="Arial" w:eastAsiaTheme="minorEastAsia" w:hAnsi="Arial" w:cs="Arial"/>
                <w:color w:val="000000" w:themeColor="text1"/>
                <w:lang w:val="en-US" w:bidi="en-US"/>
              </w:rPr>
              <w:t>no minimum commitment to any specific volume of activity or business, so payments to the provider are entirely dependent on receiving referrals via patient choice.</w:t>
            </w:r>
          </w:p>
        </w:tc>
      </w:tr>
      <w:tr w:rsidR="00740531" w:rsidRPr="00004044" w:rsidTr="002B7B95">
        <w:tc>
          <w:tcPr>
            <w:tcW w:w="9401" w:type="dxa"/>
          </w:tcPr>
          <w:p w:rsidR="00740531" w:rsidRPr="00CE7424" w:rsidRDefault="005F1E8A" w:rsidP="00CE7424">
            <w:pPr>
              <w:spacing w:after="0" w:line="240" w:lineRule="auto"/>
              <w:jc w:val="center"/>
              <w:rPr>
                <w:rFonts w:ascii="Arial" w:hAnsi="Arial" w:cs="Arial"/>
                <w:b/>
                <w:bCs/>
                <w:lang w:eastAsia="en-GB"/>
              </w:rPr>
            </w:pPr>
            <w:r>
              <w:rPr>
                <w:rFonts w:ascii="Arial" w:hAnsi="Arial" w:cs="Arial"/>
                <w:b/>
              </w:rPr>
              <w:t xml:space="preserve">Standards </w:t>
            </w:r>
          </w:p>
        </w:tc>
      </w:tr>
      <w:tr w:rsidR="00740531" w:rsidRPr="00004044" w:rsidTr="002B7B95">
        <w:tc>
          <w:tcPr>
            <w:tcW w:w="9401" w:type="dxa"/>
          </w:tcPr>
          <w:p w:rsidR="00740531" w:rsidRPr="009C323A" w:rsidRDefault="00740531" w:rsidP="00740531">
            <w:pPr>
              <w:spacing w:after="0" w:line="240" w:lineRule="auto"/>
              <w:rPr>
                <w:rFonts w:ascii="Arial" w:hAnsi="Arial" w:cs="Arial"/>
                <w:b/>
                <w:bCs/>
                <w:color w:val="000000" w:themeColor="text1"/>
                <w:lang w:eastAsia="en-GB"/>
              </w:rPr>
            </w:pPr>
          </w:p>
          <w:p w:rsidR="00CE503B" w:rsidRPr="009C323A" w:rsidRDefault="00CE503B" w:rsidP="00CE7424">
            <w:pPr>
              <w:pStyle w:val="Default"/>
              <w:rPr>
                <w:color w:val="000000" w:themeColor="text1"/>
                <w:sz w:val="18"/>
                <w:szCs w:val="18"/>
              </w:rPr>
            </w:pPr>
          </w:p>
          <w:p w:rsidR="00CE503B" w:rsidRPr="009C323A" w:rsidRDefault="00CE503B" w:rsidP="00CE7424">
            <w:pPr>
              <w:pStyle w:val="Default"/>
              <w:rPr>
                <w:color w:val="000000" w:themeColor="text1"/>
                <w:sz w:val="22"/>
                <w:szCs w:val="22"/>
              </w:rPr>
            </w:pPr>
            <w:r w:rsidRPr="009C323A">
              <w:rPr>
                <w:b/>
                <w:bCs/>
                <w:color w:val="000000" w:themeColor="text1"/>
                <w:sz w:val="22"/>
                <w:szCs w:val="22"/>
              </w:rPr>
              <w:t>Summary of all Standards the Provider shall be required to meet in full.</w:t>
            </w:r>
          </w:p>
          <w:p w:rsidR="00CE503B" w:rsidRPr="009C323A" w:rsidRDefault="00CE503B" w:rsidP="00CE7424">
            <w:pPr>
              <w:pStyle w:val="Default"/>
              <w:rPr>
                <w:color w:val="000000" w:themeColor="text1"/>
                <w:sz w:val="22"/>
                <w:szCs w:val="22"/>
              </w:rPr>
            </w:pPr>
          </w:p>
          <w:p w:rsidR="009A5857" w:rsidRPr="009C323A" w:rsidRDefault="005F1E8A" w:rsidP="00CE7424">
            <w:pPr>
              <w:pStyle w:val="Default"/>
              <w:rPr>
                <w:color w:val="000000" w:themeColor="text1"/>
                <w:sz w:val="22"/>
                <w:szCs w:val="22"/>
              </w:rPr>
            </w:pPr>
            <w:r w:rsidRPr="009C323A">
              <w:rPr>
                <w:color w:val="000000" w:themeColor="text1"/>
                <w:sz w:val="22"/>
                <w:szCs w:val="22"/>
              </w:rPr>
              <w:t xml:space="preserve">All </w:t>
            </w:r>
            <w:r w:rsidR="009A5857" w:rsidRPr="009C323A">
              <w:rPr>
                <w:color w:val="000000" w:themeColor="text1"/>
                <w:sz w:val="22"/>
                <w:szCs w:val="22"/>
              </w:rPr>
              <w:t xml:space="preserve">urgent </w:t>
            </w:r>
            <w:r w:rsidRPr="009C323A">
              <w:rPr>
                <w:color w:val="000000" w:themeColor="text1"/>
                <w:sz w:val="22"/>
                <w:szCs w:val="22"/>
              </w:rPr>
              <w:t xml:space="preserve"> patients shall be offered first appointment within</w:t>
            </w:r>
            <w:r w:rsidR="009A5857" w:rsidRPr="009C323A">
              <w:rPr>
                <w:color w:val="000000" w:themeColor="text1"/>
                <w:sz w:val="22"/>
                <w:szCs w:val="22"/>
              </w:rPr>
              <w:t xml:space="preserve"> 5 </w:t>
            </w:r>
            <w:r w:rsidRPr="009C323A">
              <w:rPr>
                <w:color w:val="000000" w:themeColor="text1"/>
                <w:sz w:val="22"/>
                <w:szCs w:val="22"/>
              </w:rPr>
              <w:t xml:space="preserve"> Working Days after receipt of referral</w:t>
            </w:r>
          </w:p>
          <w:p w:rsidR="009A5857" w:rsidRPr="009C323A" w:rsidRDefault="009A5857" w:rsidP="00CE7424">
            <w:pPr>
              <w:pStyle w:val="Default"/>
              <w:rPr>
                <w:color w:val="000000" w:themeColor="text1"/>
                <w:sz w:val="22"/>
                <w:szCs w:val="22"/>
              </w:rPr>
            </w:pPr>
          </w:p>
          <w:p w:rsidR="009A5857" w:rsidRPr="009C323A" w:rsidRDefault="009A5857" w:rsidP="009A5857">
            <w:pPr>
              <w:pStyle w:val="Default"/>
              <w:rPr>
                <w:color w:val="000000" w:themeColor="text1"/>
                <w:sz w:val="22"/>
                <w:szCs w:val="22"/>
              </w:rPr>
            </w:pPr>
            <w:r w:rsidRPr="009C323A">
              <w:rPr>
                <w:color w:val="000000" w:themeColor="text1"/>
                <w:sz w:val="22"/>
                <w:szCs w:val="22"/>
              </w:rPr>
              <w:t>All routine patients shall be offered first appointment within 10 Working Days after receipt of referral</w:t>
            </w:r>
          </w:p>
          <w:p w:rsidR="009A5857" w:rsidRPr="009C323A" w:rsidRDefault="009A5857" w:rsidP="00CE7424">
            <w:pPr>
              <w:pStyle w:val="Default"/>
              <w:rPr>
                <w:color w:val="000000" w:themeColor="text1"/>
                <w:sz w:val="22"/>
                <w:szCs w:val="22"/>
              </w:rPr>
            </w:pPr>
          </w:p>
          <w:p w:rsidR="009A5857" w:rsidRPr="009C323A" w:rsidRDefault="009A5857" w:rsidP="00CE7424">
            <w:pPr>
              <w:pStyle w:val="Default"/>
              <w:rPr>
                <w:color w:val="000000" w:themeColor="text1"/>
                <w:sz w:val="22"/>
                <w:szCs w:val="22"/>
              </w:rPr>
            </w:pPr>
          </w:p>
          <w:p w:rsidR="009A5857" w:rsidRPr="009C323A" w:rsidRDefault="009A5857" w:rsidP="00CE7424">
            <w:pPr>
              <w:pStyle w:val="Default"/>
              <w:rPr>
                <w:color w:val="000000" w:themeColor="text1"/>
                <w:sz w:val="22"/>
                <w:szCs w:val="22"/>
              </w:rPr>
            </w:pPr>
          </w:p>
          <w:p w:rsidR="009A5857" w:rsidRPr="009C323A" w:rsidRDefault="009A5857" w:rsidP="00CE7424">
            <w:pPr>
              <w:pStyle w:val="Default"/>
              <w:rPr>
                <w:color w:val="000000" w:themeColor="text1"/>
                <w:sz w:val="22"/>
                <w:szCs w:val="22"/>
              </w:rPr>
            </w:pPr>
          </w:p>
          <w:p w:rsidR="005F1E8A" w:rsidRPr="009C323A" w:rsidRDefault="005F1E8A" w:rsidP="00CE7424">
            <w:pPr>
              <w:pStyle w:val="Default"/>
              <w:rPr>
                <w:color w:val="000000" w:themeColor="text1"/>
                <w:sz w:val="22"/>
                <w:szCs w:val="22"/>
              </w:rPr>
            </w:pPr>
            <w:r w:rsidRPr="009C323A">
              <w:rPr>
                <w:color w:val="000000" w:themeColor="text1"/>
                <w:sz w:val="22"/>
                <w:szCs w:val="22"/>
              </w:rPr>
              <w:t xml:space="preserve"> </w:t>
            </w:r>
            <w:r w:rsidR="009A5857" w:rsidRPr="009C323A">
              <w:rPr>
                <w:color w:val="000000" w:themeColor="text1"/>
                <w:sz w:val="22"/>
                <w:szCs w:val="22"/>
              </w:rPr>
              <w:t xml:space="preserve">Discharge </w:t>
            </w:r>
            <w:r w:rsidRPr="009C323A">
              <w:rPr>
                <w:color w:val="000000" w:themeColor="text1"/>
                <w:sz w:val="22"/>
                <w:szCs w:val="22"/>
              </w:rPr>
              <w:t xml:space="preserve">summary letter sent to GP practice within </w:t>
            </w:r>
            <w:r w:rsidR="009A5857" w:rsidRPr="009C323A">
              <w:rPr>
                <w:color w:val="000000" w:themeColor="text1"/>
                <w:sz w:val="22"/>
                <w:szCs w:val="22"/>
              </w:rPr>
              <w:t xml:space="preserve">2 </w:t>
            </w:r>
            <w:r w:rsidRPr="009C323A">
              <w:rPr>
                <w:color w:val="000000" w:themeColor="text1"/>
                <w:sz w:val="22"/>
                <w:szCs w:val="22"/>
              </w:rPr>
              <w:t xml:space="preserve"> Working Days of discharge from service</w:t>
            </w:r>
          </w:p>
          <w:p w:rsidR="005F1E8A" w:rsidRPr="009C323A" w:rsidRDefault="005F1E8A" w:rsidP="00CE7424">
            <w:pPr>
              <w:pStyle w:val="Default"/>
              <w:rPr>
                <w:color w:val="000000" w:themeColor="text1"/>
                <w:sz w:val="22"/>
                <w:szCs w:val="22"/>
              </w:rPr>
            </w:pPr>
          </w:p>
          <w:p w:rsidR="005F1E8A" w:rsidRPr="009C323A" w:rsidRDefault="005F1E8A" w:rsidP="009C323A">
            <w:pPr>
              <w:pStyle w:val="Default"/>
              <w:rPr>
                <w:b/>
                <w:bCs/>
                <w:color w:val="000000" w:themeColor="text1"/>
              </w:rPr>
            </w:pPr>
          </w:p>
        </w:tc>
      </w:tr>
      <w:tr w:rsidR="00F059B9" w:rsidRPr="00004044" w:rsidTr="005F1E8A">
        <w:tc>
          <w:tcPr>
            <w:tcW w:w="9401" w:type="dxa"/>
          </w:tcPr>
          <w:p w:rsidR="00F059B9" w:rsidRPr="009C323A" w:rsidRDefault="00F059B9" w:rsidP="00CE7424">
            <w:pPr>
              <w:spacing w:after="0" w:line="240" w:lineRule="auto"/>
              <w:jc w:val="center"/>
              <w:rPr>
                <w:rFonts w:ascii="Arial" w:hAnsi="Arial" w:cs="Arial"/>
                <w:b/>
                <w:bCs/>
                <w:color w:val="000000" w:themeColor="text1"/>
                <w:lang w:eastAsia="en-GB"/>
              </w:rPr>
            </w:pPr>
            <w:r w:rsidRPr="009C323A">
              <w:rPr>
                <w:rFonts w:ascii="Arial" w:hAnsi="Arial" w:cs="Arial"/>
                <w:b/>
                <w:color w:val="000000" w:themeColor="text1"/>
                <w:lang w:eastAsia="en-GB"/>
              </w:rPr>
              <w:lastRenderedPageBreak/>
              <w:t>Clinically Related Outcome Survey</w:t>
            </w:r>
          </w:p>
        </w:tc>
      </w:tr>
      <w:tr w:rsidR="00F059B9" w:rsidRPr="00004044" w:rsidTr="005F1E8A">
        <w:tc>
          <w:tcPr>
            <w:tcW w:w="9401" w:type="dxa"/>
          </w:tcPr>
          <w:p w:rsidR="00F059B9" w:rsidRPr="009C323A" w:rsidRDefault="00F059B9" w:rsidP="00740531">
            <w:pPr>
              <w:spacing w:after="0" w:line="240" w:lineRule="auto"/>
              <w:rPr>
                <w:rFonts w:ascii="Arial" w:hAnsi="Arial" w:cs="Arial"/>
                <w:b/>
                <w:bCs/>
                <w:color w:val="000000" w:themeColor="text1"/>
                <w:lang w:eastAsia="en-GB"/>
              </w:rPr>
            </w:pPr>
          </w:p>
          <w:tbl>
            <w:tblPr>
              <w:tblW w:w="0" w:type="auto"/>
              <w:tblBorders>
                <w:top w:val="nil"/>
                <w:left w:val="nil"/>
                <w:bottom w:val="nil"/>
                <w:right w:val="nil"/>
              </w:tblBorders>
              <w:tblLook w:val="0000" w:firstRow="0" w:lastRow="0" w:firstColumn="0" w:lastColumn="0" w:noHBand="0" w:noVBand="0"/>
            </w:tblPr>
            <w:tblGrid>
              <w:gridCol w:w="8728"/>
            </w:tblGrid>
            <w:tr w:rsidR="00F059B9" w:rsidRPr="009C323A">
              <w:trPr>
                <w:trHeight w:val="400"/>
              </w:trPr>
              <w:tc>
                <w:tcPr>
                  <w:tcW w:w="0" w:type="auto"/>
                </w:tcPr>
                <w:p w:rsidR="00F059B9" w:rsidRPr="009C323A" w:rsidRDefault="00F059B9" w:rsidP="00CE7424">
                  <w:pPr>
                    <w:pStyle w:val="Default"/>
                    <w:rPr>
                      <w:color w:val="000000" w:themeColor="text1"/>
                      <w:sz w:val="22"/>
                      <w:szCs w:val="22"/>
                    </w:rPr>
                  </w:pPr>
                  <w:r w:rsidRPr="009C323A">
                    <w:rPr>
                      <w:color w:val="000000" w:themeColor="text1"/>
                      <w:sz w:val="22"/>
                      <w:szCs w:val="22"/>
                    </w:rPr>
                    <w:t xml:space="preserve">At the initial patient assessment, ESP to establish patient goals </w:t>
                  </w:r>
                  <w:r w:rsidR="00761A3D" w:rsidRPr="009C323A">
                    <w:rPr>
                      <w:color w:val="000000" w:themeColor="text1"/>
                      <w:sz w:val="22"/>
                      <w:szCs w:val="22"/>
                    </w:rPr>
                    <w:t>and record</w:t>
                  </w:r>
                  <w:r w:rsidRPr="009C323A">
                    <w:rPr>
                      <w:color w:val="000000" w:themeColor="text1"/>
                      <w:sz w:val="22"/>
                      <w:szCs w:val="22"/>
                    </w:rPr>
                    <w:t xml:space="preserve"> in care plan. </w:t>
                  </w:r>
                </w:p>
                <w:p w:rsidR="00F059B9" w:rsidRPr="009C323A" w:rsidRDefault="00F059B9" w:rsidP="00CE7424">
                  <w:pPr>
                    <w:pStyle w:val="Default"/>
                    <w:rPr>
                      <w:color w:val="000000" w:themeColor="text1"/>
                      <w:sz w:val="22"/>
                      <w:szCs w:val="22"/>
                    </w:rPr>
                  </w:pPr>
                </w:p>
                <w:p w:rsidR="00F059B9" w:rsidRPr="009C323A" w:rsidRDefault="00F059B9" w:rsidP="00CE7424">
                  <w:pPr>
                    <w:pStyle w:val="Default"/>
                    <w:rPr>
                      <w:color w:val="000000" w:themeColor="text1"/>
                      <w:sz w:val="22"/>
                      <w:szCs w:val="22"/>
                    </w:rPr>
                  </w:pPr>
                  <w:r w:rsidRPr="009C323A">
                    <w:rPr>
                      <w:color w:val="000000" w:themeColor="text1"/>
                      <w:sz w:val="22"/>
                      <w:szCs w:val="22"/>
                    </w:rPr>
                    <w:t>Outcomes Framework in summary</w:t>
                  </w:r>
                </w:p>
                <w:p w:rsidR="00F059B9" w:rsidRPr="009C323A" w:rsidRDefault="00F059B9" w:rsidP="00CE7424">
                  <w:pPr>
                    <w:pStyle w:val="Default"/>
                    <w:rPr>
                      <w:color w:val="000000" w:themeColor="text1"/>
                      <w:sz w:val="23"/>
                      <w:szCs w:val="23"/>
                    </w:rPr>
                  </w:pPr>
                </w:p>
                <w:p w:rsidR="00F059B9" w:rsidRPr="009C323A" w:rsidRDefault="00F059B9" w:rsidP="00CE7424">
                  <w:pPr>
                    <w:pStyle w:val="Default"/>
                    <w:rPr>
                      <w:color w:val="000000" w:themeColor="text1"/>
                      <w:sz w:val="23"/>
                      <w:szCs w:val="23"/>
                    </w:rPr>
                  </w:pPr>
                </w:p>
                <w:tbl>
                  <w:tblPr>
                    <w:tblStyle w:val="TableGrid"/>
                    <w:tblW w:w="0" w:type="auto"/>
                    <w:tblLook w:val="04A0" w:firstRow="1" w:lastRow="0" w:firstColumn="1" w:lastColumn="0" w:noHBand="0" w:noVBand="1"/>
                  </w:tblPr>
                  <w:tblGrid>
                    <w:gridCol w:w="2984"/>
                    <w:gridCol w:w="5267"/>
                  </w:tblGrid>
                  <w:tr w:rsidR="00950AF4" w:rsidRPr="009C323A" w:rsidTr="00950AF4">
                    <w:trPr>
                      <w:trHeight w:val="132"/>
                    </w:trPr>
                    <w:tc>
                      <w:tcPr>
                        <w:tcW w:w="2984" w:type="dxa"/>
                      </w:tcPr>
                      <w:p w:rsidR="00950AF4" w:rsidRPr="009C323A" w:rsidRDefault="00950AF4" w:rsidP="00F059B9">
                        <w:pPr>
                          <w:pStyle w:val="Default"/>
                          <w:rPr>
                            <w:color w:val="000000" w:themeColor="text1"/>
                          </w:rPr>
                        </w:pPr>
                        <w:r w:rsidRPr="009C323A">
                          <w:rPr>
                            <w:color w:val="000000" w:themeColor="text1"/>
                          </w:rPr>
                          <w:t>Body area</w:t>
                        </w:r>
                      </w:p>
                    </w:tc>
                    <w:tc>
                      <w:tcPr>
                        <w:tcW w:w="5267" w:type="dxa"/>
                      </w:tcPr>
                      <w:p w:rsidR="00950AF4" w:rsidRPr="009C323A" w:rsidRDefault="00950AF4" w:rsidP="00F059B9">
                        <w:pPr>
                          <w:pStyle w:val="Default"/>
                          <w:rPr>
                            <w:color w:val="000000" w:themeColor="text1"/>
                          </w:rPr>
                        </w:pPr>
                        <w:r w:rsidRPr="009C323A">
                          <w:rPr>
                            <w:color w:val="000000" w:themeColor="text1"/>
                          </w:rPr>
                          <w:t>Metric</w:t>
                        </w:r>
                      </w:p>
                    </w:tc>
                  </w:tr>
                  <w:tr w:rsidR="00950AF4" w:rsidRPr="009C323A" w:rsidTr="00950AF4">
                    <w:tc>
                      <w:tcPr>
                        <w:tcW w:w="2984" w:type="dxa"/>
                      </w:tcPr>
                      <w:p w:rsidR="00950AF4" w:rsidRPr="009C323A" w:rsidRDefault="00950AF4" w:rsidP="00F059B9">
                        <w:pPr>
                          <w:pStyle w:val="Default"/>
                          <w:rPr>
                            <w:color w:val="000000" w:themeColor="text1"/>
                          </w:rPr>
                        </w:pPr>
                        <w:r w:rsidRPr="009C323A">
                          <w:rPr>
                            <w:color w:val="000000" w:themeColor="text1"/>
                          </w:rPr>
                          <w:t xml:space="preserve"> Routine </w:t>
                        </w:r>
                      </w:p>
                    </w:tc>
                    <w:tc>
                      <w:tcPr>
                        <w:tcW w:w="5267" w:type="dxa"/>
                      </w:tcPr>
                      <w:p w:rsidR="00950AF4" w:rsidRPr="009C323A" w:rsidRDefault="00950AF4" w:rsidP="00F059B9">
                        <w:pPr>
                          <w:pStyle w:val="Default"/>
                          <w:rPr>
                            <w:color w:val="000000" w:themeColor="text1"/>
                          </w:rPr>
                        </w:pPr>
                        <w:r w:rsidRPr="009C323A">
                          <w:rPr>
                            <w:color w:val="000000" w:themeColor="text1"/>
                          </w:rPr>
                          <w:t>EQ-VAS</w:t>
                        </w:r>
                      </w:p>
                      <w:p w:rsidR="00950AF4" w:rsidRPr="009C323A" w:rsidRDefault="00950AF4" w:rsidP="00F059B9">
                        <w:pPr>
                          <w:pStyle w:val="Default"/>
                          <w:rPr>
                            <w:color w:val="000000" w:themeColor="text1"/>
                          </w:rPr>
                        </w:pPr>
                        <w:r w:rsidRPr="009C323A">
                          <w:rPr>
                            <w:color w:val="000000" w:themeColor="text1"/>
                          </w:rPr>
                          <w:t>EQ-5D</w:t>
                        </w:r>
                      </w:p>
                    </w:tc>
                  </w:tr>
                  <w:tr w:rsidR="00950AF4" w:rsidRPr="009C323A" w:rsidTr="00950AF4">
                    <w:tc>
                      <w:tcPr>
                        <w:tcW w:w="2984" w:type="dxa"/>
                      </w:tcPr>
                      <w:p w:rsidR="00950AF4" w:rsidRPr="009C323A" w:rsidRDefault="00950AF4" w:rsidP="00F059B9">
                        <w:pPr>
                          <w:pStyle w:val="Default"/>
                          <w:rPr>
                            <w:color w:val="000000" w:themeColor="text1"/>
                          </w:rPr>
                        </w:pPr>
                        <w:r w:rsidRPr="009C323A">
                          <w:rPr>
                            <w:color w:val="000000" w:themeColor="text1"/>
                          </w:rPr>
                          <w:t>Hip</w:t>
                        </w:r>
                      </w:p>
                    </w:tc>
                    <w:tc>
                      <w:tcPr>
                        <w:tcW w:w="5267" w:type="dxa"/>
                      </w:tcPr>
                      <w:p w:rsidR="00950AF4" w:rsidRPr="009C323A" w:rsidRDefault="00950AF4" w:rsidP="00F059B9">
                        <w:pPr>
                          <w:pStyle w:val="Default"/>
                          <w:rPr>
                            <w:color w:val="000000" w:themeColor="text1"/>
                          </w:rPr>
                        </w:pPr>
                        <w:r w:rsidRPr="009C323A">
                          <w:rPr>
                            <w:color w:val="000000" w:themeColor="text1"/>
                          </w:rPr>
                          <w:t>Oxford Hip Score</w:t>
                        </w:r>
                      </w:p>
                      <w:p w:rsidR="00950AF4" w:rsidRPr="009C323A" w:rsidRDefault="00950AF4" w:rsidP="00F059B9">
                        <w:pPr>
                          <w:pStyle w:val="Default"/>
                          <w:rPr>
                            <w:color w:val="000000" w:themeColor="text1"/>
                          </w:rPr>
                        </w:pPr>
                        <w:r w:rsidRPr="009C323A">
                          <w:rPr>
                            <w:color w:val="000000" w:themeColor="text1"/>
                          </w:rPr>
                          <w:t>Eq-5d</w:t>
                        </w:r>
                      </w:p>
                    </w:tc>
                  </w:tr>
                  <w:tr w:rsidR="00950AF4" w:rsidRPr="009C323A" w:rsidTr="00950AF4">
                    <w:tc>
                      <w:tcPr>
                        <w:tcW w:w="2984" w:type="dxa"/>
                      </w:tcPr>
                      <w:p w:rsidR="00950AF4" w:rsidRPr="009C323A" w:rsidRDefault="00950AF4" w:rsidP="00F059B9">
                        <w:pPr>
                          <w:pStyle w:val="Default"/>
                          <w:rPr>
                            <w:color w:val="000000" w:themeColor="text1"/>
                          </w:rPr>
                        </w:pPr>
                        <w:r w:rsidRPr="009C323A">
                          <w:rPr>
                            <w:color w:val="000000" w:themeColor="text1"/>
                          </w:rPr>
                          <w:t>Knee</w:t>
                        </w:r>
                      </w:p>
                    </w:tc>
                    <w:tc>
                      <w:tcPr>
                        <w:tcW w:w="5267" w:type="dxa"/>
                      </w:tcPr>
                      <w:p w:rsidR="00950AF4" w:rsidRPr="009C323A" w:rsidRDefault="00950AF4" w:rsidP="00F059B9">
                        <w:pPr>
                          <w:pStyle w:val="Default"/>
                          <w:rPr>
                            <w:color w:val="000000" w:themeColor="text1"/>
                          </w:rPr>
                        </w:pPr>
                        <w:r w:rsidRPr="009C323A">
                          <w:rPr>
                            <w:color w:val="000000" w:themeColor="text1"/>
                          </w:rPr>
                          <w:t xml:space="preserve">Oxford Knee Score </w:t>
                        </w:r>
                      </w:p>
                      <w:p w:rsidR="00950AF4" w:rsidRPr="009C323A" w:rsidRDefault="00950AF4" w:rsidP="00F059B9">
                        <w:pPr>
                          <w:pStyle w:val="Default"/>
                          <w:rPr>
                            <w:color w:val="000000" w:themeColor="text1"/>
                          </w:rPr>
                        </w:pPr>
                        <w:r w:rsidRPr="009C323A">
                          <w:rPr>
                            <w:color w:val="000000" w:themeColor="text1"/>
                          </w:rPr>
                          <w:t>EQ-5D</w:t>
                        </w:r>
                      </w:p>
                    </w:tc>
                  </w:tr>
                  <w:tr w:rsidR="00950AF4" w:rsidRPr="009C323A" w:rsidTr="00950AF4">
                    <w:tc>
                      <w:tcPr>
                        <w:tcW w:w="2984" w:type="dxa"/>
                      </w:tcPr>
                      <w:p w:rsidR="00950AF4" w:rsidRPr="009C323A" w:rsidRDefault="00950AF4" w:rsidP="00F059B9">
                        <w:pPr>
                          <w:pStyle w:val="Default"/>
                          <w:rPr>
                            <w:color w:val="000000" w:themeColor="text1"/>
                          </w:rPr>
                        </w:pPr>
                        <w:r w:rsidRPr="009C323A">
                          <w:rPr>
                            <w:color w:val="000000" w:themeColor="text1"/>
                          </w:rPr>
                          <w:t>Low Back</w:t>
                        </w:r>
                      </w:p>
                    </w:tc>
                    <w:tc>
                      <w:tcPr>
                        <w:tcW w:w="5267" w:type="dxa"/>
                      </w:tcPr>
                      <w:p w:rsidR="00950AF4" w:rsidRPr="009C323A" w:rsidRDefault="00950AF4" w:rsidP="00F059B9">
                        <w:pPr>
                          <w:pStyle w:val="Default"/>
                          <w:rPr>
                            <w:color w:val="000000" w:themeColor="text1"/>
                          </w:rPr>
                        </w:pPr>
                        <w:r w:rsidRPr="009C323A">
                          <w:rPr>
                            <w:color w:val="000000" w:themeColor="text1"/>
                          </w:rPr>
                          <w:t xml:space="preserve">Keele StaT back tool </w:t>
                        </w:r>
                      </w:p>
                      <w:p w:rsidR="00950AF4" w:rsidRPr="009C323A" w:rsidRDefault="00950AF4" w:rsidP="00F059B9">
                        <w:pPr>
                          <w:pStyle w:val="Default"/>
                          <w:rPr>
                            <w:color w:val="000000" w:themeColor="text1"/>
                          </w:rPr>
                        </w:pPr>
                        <w:r w:rsidRPr="009C323A">
                          <w:rPr>
                            <w:color w:val="000000" w:themeColor="text1"/>
                          </w:rPr>
                          <w:t>Oswstry Disability Index /Roland Moris</w:t>
                        </w:r>
                      </w:p>
                    </w:tc>
                  </w:tr>
                  <w:tr w:rsidR="00950AF4" w:rsidRPr="009C323A" w:rsidTr="00950AF4">
                    <w:tc>
                      <w:tcPr>
                        <w:tcW w:w="2984" w:type="dxa"/>
                      </w:tcPr>
                      <w:p w:rsidR="00950AF4" w:rsidRPr="009C323A" w:rsidRDefault="00950AF4" w:rsidP="00F059B9">
                        <w:pPr>
                          <w:pStyle w:val="Default"/>
                          <w:rPr>
                            <w:color w:val="000000" w:themeColor="text1"/>
                          </w:rPr>
                        </w:pPr>
                        <w:r w:rsidRPr="009C323A">
                          <w:rPr>
                            <w:color w:val="000000" w:themeColor="text1"/>
                          </w:rPr>
                          <w:t>Shoulder</w:t>
                        </w:r>
                      </w:p>
                    </w:tc>
                    <w:tc>
                      <w:tcPr>
                        <w:tcW w:w="5267" w:type="dxa"/>
                      </w:tcPr>
                      <w:p w:rsidR="00950AF4" w:rsidRPr="009C323A" w:rsidRDefault="00950AF4" w:rsidP="00950AF4">
                        <w:pPr>
                          <w:pStyle w:val="Default"/>
                          <w:rPr>
                            <w:color w:val="000000" w:themeColor="text1"/>
                          </w:rPr>
                        </w:pPr>
                        <w:r w:rsidRPr="009C323A">
                          <w:rPr>
                            <w:color w:val="000000" w:themeColor="text1"/>
                          </w:rPr>
                          <w:t xml:space="preserve">Oxford Shoulder </w:t>
                        </w:r>
                        <w:r w:rsidR="00FE7C2E" w:rsidRPr="009C323A">
                          <w:rPr>
                            <w:color w:val="000000" w:themeColor="text1"/>
                          </w:rPr>
                          <w:t>Questionnaire</w:t>
                        </w:r>
                        <w:r w:rsidRPr="009C323A">
                          <w:rPr>
                            <w:color w:val="000000" w:themeColor="text1"/>
                          </w:rPr>
                          <w:t xml:space="preserve"> </w:t>
                        </w:r>
                      </w:p>
                      <w:p w:rsidR="00950AF4" w:rsidRPr="009C323A" w:rsidRDefault="00950AF4" w:rsidP="00950AF4">
                        <w:pPr>
                          <w:pStyle w:val="Default"/>
                          <w:rPr>
                            <w:color w:val="000000" w:themeColor="text1"/>
                          </w:rPr>
                        </w:pPr>
                        <w:r w:rsidRPr="009C323A">
                          <w:rPr>
                            <w:color w:val="000000" w:themeColor="text1"/>
                          </w:rPr>
                          <w:t>Instability Shoulder Questionnaire ( for shoulder instability)</w:t>
                        </w:r>
                      </w:p>
                      <w:p w:rsidR="00950AF4" w:rsidRPr="009C323A" w:rsidRDefault="00950AF4" w:rsidP="00F059B9">
                        <w:pPr>
                          <w:pStyle w:val="Default"/>
                          <w:rPr>
                            <w:color w:val="000000" w:themeColor="text1"/>
                          </w:rPr>
                        </w:pPr>
                      </w:p>
                    </w:tc>
                  </w:tr>
                  <w:tr w:rsidR="00950AF4" w:rsidRPr="009C323A" w:rsidTr="00950AF4">
                    <w:tc>
                      <w:tcPr>
                        <w:tcW w:w="2984" w:type="dxa"/>
                      </w:tcPr>
                      <w:p w:rsidR="00950AF4" w:rsidRPr="009C323A" w:rsidRDefault="00950AF4" w:rsidP="00F059B9">
                        <w:pPr>
                          <w:pStyle w:val="Default"/>
                          <w:rPr>
                            <w:color w:val="000000" w:themeColor="text1"/>
                          </w:rPr>
                        </w:pPr>
                        <w:r w:rsidRPr="009C323A">
                          <w:rPr>
                            <w:color w:val="000000" w:themeColor="text1"/>
                          </w:rPr>
                          <w:t xml:space="preserve">Wrist </w:t>
                        </w:r>
                      </w:p>
                    </w:tc>
                    <w:tc>
                      <w:tcPr>
                        <w:tcW w:w="5267" w:type="dxa"/>
                      </w:tcPr>
                      <w:p w:rsidR="00950AF4" w:rsidRPr="009C323A" w:rsidRDefault="00950AF4" w:rsidP="00F059B9">
                        <w:pPr>
                          <w:pStyle w:val="Default"/>
                          <w:rPr>
                            <w:color w:val="000000" w:themeColor="text1"/>
                          </w:rPr>
                        </w:pPr>
                        <w:r w:rsidRPr="009C323A">
                          <w:rPr>
                            <w:color w:val="000000" w:themeColor="text1"/>
                          </w:rPr>
                          <w:t>Dash Function Form</w:t>
                        </w:r>
                      </w:p>
                    </w:tc>
                  </w:tr>
                  <w:tr w:rsidR="00950AF4" w:rsidRPr="009C323A" w:rsidTr="00950AF4">
                    <w:tc>
                      <w:tcPr>
                        <w:tcW w:w="2984" w:type="dxa"/>
                      </w:tcPr>
                      <w:p w:rsidR="00950AF4" w:rsidRPr="009C323A" w:rsidRDefault="00950AF4" w:rsidP="00F059B9">
                        <w:pPr>
                          <w:pStyle w:val="Default"/>
                          <w:rPr>
                            <w:color w:val="000000" w:themeColor="text1"/>
                          </w:rPr>
                        </w:pPr>
                        <w:r w:rsidRPr="009C323A">
                          <w:rPr>
                            <w:color w:val="000000" w:themeColor="text1"/>
                          </w:rPr>
                          <w:t>Foot/Ankle</w:t>
                        </w:r>
                      </w:p>
                    </w:tc>
                    <w:tc>
                      <w:tcPr>
                        <w:tcW w:w="5267" w:type="dxa"/>
                      </w:tcPr>
                      <w:p w:rsidR="00950AF4" w:rsidRPr="009C323A" w:rsidRDefault="00950AF4" w:rsidP="00F059B9">
                        <w:pPr>
                          <w:pStyle w:val="Default"/>
                          <w:rPr>
                            <w:color w:val="000000" w:themeColor="text1"/>
                          </w:rPr>
                        </w:pPr>
                        <w:r w:rsidRPr="009C323A">
                          <w:rPr>
                            <w:color w:val="000000" w:themeColor="text1"/>
                          </w:rPr>
                          <w:t>VAS Ankle</w:t>
                        </w:r>
                      </w:p>
                      <w:p w:rsidR="00950AF4" w:rsidRPr="009C323A" w:rsidRDefault="00950AF4" w:rsidP="00F059B9">
                        <w:pPr>
                          <w:pStyle w:val="Default"/>
                          <w:rPr>
                            <w:color w:val="000000" w:themeColor="text1"/>
                          </w:rPr>
                        </w:pPr>
                        <w:r w:rsidRPr="009C323A">
                          <w:rPr>
                            <w:color w:val="000000" w:themeColor="text1"/>
                          </w:rPr>
                          <w:t xml:space="preserve">Achilles Rupture </w:t>
                        </w:r>
                        <w:r w:rsidR="00FE7C2E" w:rsidRPr="009C323A">
                          <w:rPr>
                            <w:color w:val="000000" w:themeColor="text1"/>
                          </w:rPr>
                          <w:t>Questionnaire</w:t>
                        </w:r>
                      </w:p>
                    </w:tc>
                  </w:tr>
                  <w:tr w:rsidR="00950AF4" w:rsidRPr="009C323A" w:rsidTr="00950AF4">
                    <w:tc>
                      <w:tcPr>
                        <w:tcW w:w="2984" w:type="dxa"/>
                      </w:tcPr>
                      <w:p w:rsidR="00950AF4" w:rsidRPr="009C323A" w:rsidRDefault="00950AF4" w:rsidP="00F059B9">
                        <w:pPr>
                          <w:pStyle w:val="Default"/>
                          <w:rPr>
                            <w:color w:val="000000" w:themeColor="text1"/>
                          </w:rPr>
                        </w:pPr>
                        <w:r w:rsidRPr="009C323A">
                          <w:rPr>
                            <w:color w:val="000000" w:themeColor="text1"/>
                          </w:rPr>
                          <w:t xml:space="preserve">Neck </w:t>
                        </w:r>
                      </w:p>
                    </w:tc>
                    <w:tc>
                      <w:tcPr>
                        <w:tcW w:w="5267" w:type="dxa"/>
                      </w:tcPr>
                      <w:p w:rsidR="00950AF4" w:rsidRPr="009C323A" w:rsidRDefault="00950AF4" w:rsidP="00F059B9">
                        <w:pPr>
                          <w:pStyle w:val="Default"/>
                          <w:rPr>
                            <w:color w:val="000000" w:themeColor="text1"/>
                          </w:rPr>
                        </w:pPr>
                        <w:r w:rsidRPr="009C323A">
                          <w:rPr>
                            <w:color w:val="000000" w:themeColor="text1"/>
                          </w:rPr>
                          <w:t>Neck Disability</w:t>
                        </w:r>
                      </w:p>
                    </w:tc>
                  </w:tr>
                  <w:tr w:rsidR="00950AF4" w:rsidRPr="009C323A" w:rsidTr="00950AF4">
                    <w:tc>
                      <w:tcPr>
                        <w:tcW w:w="2984" w:type="dxa"/>
                      </w:tcPr>
                      <w:p w:rsidR="00950AF4" w:rsidRPr="009C323A" w:rsidRDefault="00950AF4" w:rsidP="00F059B9">
                        <w:pPr>
                          <w:pStyle w:val="Default"/>
                          <w:rPr>
                            <w:color w:val="000000" w:themeColor="text1"/>
                          </w:rPr>
                        </w:pPr>
                        <w:r w:rsidRPr="009C323A">
                          <w:rPr>
                            <w:color w:val="000000" w:themeColor="text1"/>
                          </w:rPr>
                          <w:t>Elbow</w:t>
                        </w:r>
                      </w:p>
                    </w:tc>
                    <w:tc>
                      <w:tcPr>
                        <w:tcW w:w="5267" w:type="dxa"/>
                      </w:tcPr>
                      <w:p w:rsidR="00950AF4" w:rsidRPr="009C323A" w:rsidRDefault="00950AF4" w:rsidP="00F059B9">
                        <w:pPr>
                          <w:pStyle w:val="Default"/>
                          <w:rPr>
                            <w:color w:val="000000" w:themeColor="text1"/>
                          </w:rPr>
                        </w:pPr>
                        <w:r w:rsidRPr="009C323A">
                          <w:rPr>
                            <w:color w:val="000000" w:themeColor="text1"/>
                          </w:rPr>
                          <w:t>Patient Rated tennis Elbow Evaluation</w:t>
                        </w:r>
                      </w:p>
                    </w:tc>
                  </w:tr>
                  <w:tr w:rsidR="00950AF4" w:rsidRPr="009C323A" w:rsidTr="00950AF4">
                    <w:tc>
                      <w:tcPr>
                        <w:tcW w:w="2984" w:type="dxa"/>
                      </w:tcPr>
                      <w:p w:rsidR="00950AF4" w:rsidRPr="009C323A" w:rsidRDefault="00950AF4" w:rsidP="00F059B9">
                        <w:pPr>
                          <w:pStyle w:val="Default"/>
                          <w:rPr>
                            <w:color w:val="000000" w:themeColor="text1"/>
                          </w:rPr>
                        </w:pPr>
                        <w:r w:rsidRPr="009C323A">
                          <w:rPr>
                            <w:color w:val="000000" w:themeColor="text1"/>
                          </w:rPr>
                          <w:t>Chronic pain</w:t>
                        </w:r>
                      </w:p>
                    </w:tc>
                    <w:tc>
                      <w:tcPr>
                        <w:tcW w:w="5267" w:type="dxa"/>
                      </w:tcPr>
                      <w:p w:rsidR="00950AF4" w:rsidRPr="009C323A" w:rsidRDefault="00950AF4" w:rsidP="00F059B9">
                        <w:pPr>
                          <w:pStyle w:val="Default"/>
                          <w:rPr>
                            <w:color w:val="000000" w:themeColor="text1"/>
                          </w:rPr>
                        </w:pPr>
                        <w:r w:rsidRPr="009C323A">
                          <w:rPr>
                            <w:color w:val="000000" w:themeColor="text1"/>
                          </w:rPr>
                          <w:t>LANSS Pain Score</w:t>
                        </w:r>
                      </w:p>
                    </w:tc>
                  </w:tr>
                  <w:tr w:rsidR="00950AF4" w:rsidRPr="009C323A" w:rsidTr="00950AF4">
                    <w:tc>
                      <w:tcPr>
                        <w:tcW w:w="2984" w:type="dxa"/>
                      </w:tcPr>
                      <w:p w:rsidR="00950AF4" w:rsidRPr="009C323A" w:rsidRDefault="00950AF4" w:rsidP="00F059B9">
                        <w:pPr>
                          <w:pStyle w:val="Default"/>
                          <w:rPr>
                            <w:color w:val="000000" w:themeColor="text1"/>
                          </w:rPr>
                        </w:pPr>
                        <w:r w:rsidRPr="009C323A">
                          <w:rPr>
                            <w:color w:val="000000" w:themeColor="text1"/>
                          </w:rPr>
                          <w:t>Soft Tissue knee</w:t>
                        </w:r>
                      </w:p>
                    </w:tc>
                    <w:tc>
                      <w:tcPr>
                        <w:tcW w:w="5267" w:type="dxa"/>
                      </w:tcPr>
                      <w:p w:rsidR="00950AF4" w:rsidRPr="009C323A" w:rsidRDefault="00950AF4" w:rsidP="00F059B9">
                        <w:pPr>
                          <w:pStyle w:val="Default"/>
                          <w:rPr>
                            <w:color w:val="000000" w:themeColor="text1"/>
                          </w:rPr>
                        </w:pPr>
                        <w:r w:rsidRPr="009C323A">
                          <w:rPr>
                            <w:color w:val="000000" w:themeColor="text1"/>
                          </w:rPr>
                          <w:t xml:space="preserve">Oxford Knee Score </w:t>
                        </w:r>
                      </w:p>
                    </w:tc>
                  </w:tr>
                </w:tbl>
                <w:p w:rsidR="00F059B9" w:rsidRPr="009C323A" w:rsidRDefault="00F059B9" w:rsidP="00CE7424">
                  <w:pPr>
                    <w:pStyle w:val="Default"/>
                    <w:rPr>
                      <w:color w:val="000000" w:themeColor="text1"/>
                    </w:rPr>
                  </w:pPr>
                </w:p>
              </w:tc>
            </w:tr>
          </w:tbl>
          <w:p w:rsidR="00F059B9" w:rsidRPr="009C323A" w:rsidRDefault="00F059B9" w:rsidP="00740531">
            <w:pPr>
              <w:spacing w:after="0" w:line="240" w:lineRule="auto"/>
              <w:rPr>
                <w:rFonts w:ascii="Arial" w:hAnsi="Arial" w:cs="Arial"/>
                <w:b/>
                <w:bCs/>
                <w:color w:val="000000" w:themeColor="text1"/>
                <w:lang w:eastAsia="en-GB"/>
              </w:rPr>
            </w:pPr>
          </w:p>
          <w:p w:rsidR="00F059B9" w:rsidRPr="009C323A" w:rsidRDefault="008D04FE" w:rsidP="00740531">
            <w:pPr>
              <w:spacing w:after="0" w:line="240" w:lineRule="auto"/>
              <w:rPr>
                <w:rFonts w:ascii="Arial" w:hAnsi="Arial" w:cs="Arial"/>
                <w:b/>
                <w:bCs/>
                <w:color w:val="000000" w:themeColor="text1"/>
                <w:lang w:eastAsia="en-GB"/>
              </w:rPr>
            </w:pPr>
            <w:r w:rsidRPr="009C323A">
              <w:rPr>
                <w:rFonts w:ascii="Arial" w:hAnsi="Arial" w:cs="Arial"/>
                <w:b/>
                <w:bCs/>
                <w:color w:val="000000" w:themeColor="text1"/>
                <w:lang w:eastAsia="en-GB"/>
              </w:rPr>
              <w:t xml:space="preserve"> </w:t>
            </w:r>
          </w:p>
          <w:p w:rsidR="00F059B9" w:rsidRPr="009C323A" w:rsidRDefault="00950AF4" w:rsidP="00950AF4">
            <w:pPr>
              <w:spacing w:after="0" w:line="240" w:lineRule="auto"/>
              <w:rPr>
                <w:rFonts w:ascii="Arial" w:hAnsi="Arial" w:cs="Arial"/>
                <w:b/>
                <w:bCs/>
                <w:color w:val="000000" w:themeColor="text1"/>
                <w:lang w:eastAsia="en-GB"/>
              </w:rPr>
            </w:pPr>
            <w:r w:rsidRPr="009C323A">
              <w:rPr>
                <w:color w:val="000000" w:themeColor="text1"/>
                <w:sz w:val="23"/>
                <w:szCs w:val="23"/>
              </w:rPr>
              <w:t>In future it may be necessary to upgrade/adjust outcome metrics.</w:t>
            </w:r>
          </w:p>
        </w:tc>
      </w:tr>
    </w:tbl>
    <w:p w:rsidR="004C6695" w:rsidRPr="00CE7424" w:rsidRDefault="004C6695" w:rsidP="00CE7424">
      <w:pPr>
        <w:autoSpaceDE w:val="0"/>
        <w:autoSpaceDN w:val="0"/>
        <w:adjustRightInd w:val="0"/>
        <w:spacing w:after="0" w:line="240" w:lineRule="auto"/>
        <w:rPr>
          <w:rFonts w:ascii="Arial" w:hAnsi="Arial" w:cs="Arial"/>
          <w:b/>
          <w:lang w:eastAsia="en-GB"/>
        </w:rPr>
      </w:pPr>
    </w:p>
    <w:sectPr w:rsidR="004C6695" w:rsidRPr="00CE7424" w:rsidSect="0013218B">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3B3" w:rsidRDefault="00F033B3" w:rsidP="000D5A86">
      <w:pPr>
        <w:spacing w:after="0" w:line="240" w:lineRule="auto"/>
      </w:pPr>
      <w:r>
        <w:separator/>
      </w:r>
    </w:p>
  </w:endnote>
  <w:endnote w:type="continuationSeparator" w:id="0">
    <w:p w:rsidR="00F033B3" w:rsidRDefault="00F033B3" w:rsidP="000D5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342539"/>
      <w:docPartObj>
        <w:docPartGallery w:val="Page Numbers (Bottom of Page)"/>
        <w:docPartUnique/>
      </w:docPartObj>
    </w:sdtPr>
    <w:sdtEndPr>
      <w:rPr>
        <w:noProof/>
      </w:rPr>
    </w:sdtEndPr>
    <w:sdtContent>
      <w:p w:rsidR="009A5857" w:rsidRDefault="009A5857">
        <w:pPr>
          <w:pStyle w:val="Footer"/>
          <w:jc w:val="right"/>
        </w:pPr>
        <w:r>
          <w:fldChar w:fldCharType="begin"/>
        </w:r>
        <w:r>
          <w:instrText xml:space="preserve"> PAGE   \* MERGEFORMAT </w:instrText>
        </w:r>
        <w:r>
          <w:fldChar w:fldCharType="separate"/>
        </w:r>
        <w:r w:rsidR="0043506A">
          <w:rPr>
            <w:noProof/>
          </w:rPr>
          <w:t>1</w:t>
        </w:r>
        <w:r>
          <w:rPr>
            <w:noProof/>
          </w:rPr>
          <w:fldChar w:fldCharType="end"/>
        </w:r>
      </w:p>
    </w:sdtContent>
  </w:sdt>
  <w:p w:rsidR="009A5857" w:rsidRDefault="009A58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3B3" w:rsidRDefault="00F033B3" w:rsidP="000D5A86">
      <w:pPr>
        <w:spacing w:after="0" w:line="240" w:lineRule="auto"/>
      </w:pPr>
      <w:r>
        <w:separator/>
      </w:r>
    </w:p>
  </w:footnote>
  <w:footnote w:type="continuationSeparator" w:id="0">
    <w:p w:rsidR="00F033B3" w:rsidRDefault="00F033B3" w:rsidP="000D5A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857" w:rsidRPr="006C61D6" w:rsidRDefault="00A21194">
    <w:pPr>
      <w:pStyle w:val="Header"/>
      <w:rPr>
        <w:b/>
        <w:sz w:val="28"/>
        <w:szCs w:val="28"/>
      </w:rPr>
    </w:pPr>
    <w:r>
      <w:t xml:space="preserve">Draft </w:t>
    </w:r>
    <w:sdt>
      <w:sdtPr>
        <w:id w:val="-1628302563"/>
        <w:docPartObj>
          <w:docPartGallery w:val="Watermarks"/>
          <w:docPartUnique/>
        </w:docPartObj>
      </w:sdtPr>
      <w:sdtEndPr/>
      <w:sdtContent>
        <w:r w:rsidR="0043506A">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A5857">
      <w:t xml:space="preserve"> Service Specification – template</w:t>
    </w:r>
    <w:r>
      <w:t xml:space="preserve"> December 2015</w:t>
    </w:r>
    <w:r w:rsidR="009A5857">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50FA"/>
    <w:multiLevelType w:val="hybridMultilevel"/>
    <w:tmpl w:val="8D2675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5B22411"/>
    <w:multiLevelType w:val="hybridMultilevel"/>
    <w:tmpl w:val="BB9CFDCE"/>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nsid w:val="0802695D"/>
    <w:multiLevelType w:val="hybridMultilevel"/>
    <w:tmpl w:val="4DB23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C757C4"/>
    <w:multiLevelType w:val="hybridMultilevel"/>
    <w:tmpl w:val="E40E83D4"/>
    <w:lvl w:ilvl="0" w:tplc="6BC6FEC2">
      <w:start w:val="1"/>
      <w:numFmt w:val="bullet"/>
      <w:pStyle w:val="MOIbullet"/>
      <w:lvlText w:val=""/>
      <w:lvlJc w:val="left"/>
      <w:pPr>
        <w:tabs>
          <w:tab w:val="num" w:pos="1440"/>
        </w:tabs>
        <w:ind w:left="1440" w:hanging="360"/>
      </w:pPr>
      <w:rPr>
        <w:rFonts w:ascii="Wingdings" w:hAnsi="Wingdings" w:hint="default"/>
      </w:rPr>
    </w:lvl>
    <w:lvl w:ilvl="1" w:tplc="08090003">
      <w:start w:val="1"/>
      <w:numFmt w:val="bullet"/>
      <w:lvlText w:val="o"/>
      <w:lvlJc w:val="left"/>
      <w:pPr>
        <w:tabs>
          <w:tab w:val="num" w:pos="1281"/>
        </w:tabs>
        <w:ind w:left="1281" w:hanging="360"/>
      </w:pPr>
      <w:rPr>
        <w:rFonts w:ascii="Courier New" w:hAnsi="Courier New" w:hint="default"/>
      </w:rPr>
    </w:lvl>
    <w:lvl w:ilvl="2" w:tplc="08090005" w:tentative="1">
      <w:start w:val="1"/>
      <w:numFmt w:val="bullet"/>
      <w:lvlText w:val=""/>
      <w:lvlJc w:val="left"/>
      <w:pPr>
        <w:tabs>
          <w:tab w:val="num" w:pos="2001"/>
        </w:tabs>
        <w:ind w:left="2001" w:hanging="360"/>
      </w:pPr>
      <w:rPr>
        <w:rFonts w:ascii="Wingdings" w:hAnsi="Wingdings" w:hint="default"/>
      </w:rPr>
    </w:lvl>
    <w:lvl w:ilvl="3" w:tplc="08090001" w:tentative="1">
      <w:start w:val="1"/>
      <w:numFmt w:val="bullet"/>
      <w:lvlText w:val=""/>
      <w:lvlJc w:val="left"/>
      <w:pPr>
        <w:tabs>
          <w:tab w:val="num" w:pos="2721"/>
        </w:tabs>
        <w:ind w:left="2721" w:hanging="360"/>
      </w:pPr>
      <w:rPr>
        <w:rFonts w:ascii="Symbol" w:hAnsi="Symbol" w:hint="default"/>
      </w:rPr>
    </w:lvl>
    <w:lvl w:ilvl="4" w:tplc="08090003" w:tentative="1">
      <w:start w:val="1"/>
      <w:numFmt w:val="bullet"/>
      <w:lvlText w:val="o"/>
      <w:lvlJc w:val="left"/>
      <w:pPr>
        <w:tabs>
          <w:tab w:val="num" w:pos="3441"/>
        </w:tabs>
        <w:ind w:left="3441" w:hanging="360"/>
      </w:pPr>
      <w:rPr>
        <w:rFonts w:ascii="Courier New" w:hAnsi="Courier New" w:hint="default"/>
      </w:rPr>
    </w:lvl>
    <w:lvl w:ilvl="5" w:tplc="08090005" w:tentative="1">
      <w:start w:val="1"/>
      <w:numFmt w:val="bullet"/>
      <w:lvlText w:val=""/>
      <w:lvlJc w:val="left"/>
      <w:pPr>
        <w:tabs>
          <w:tab w:val="num" w:pos="4161"/>
        </w:tabs>
        <w:ind w:left="4161" w:hanging="360"/>
      </w:pPr>
      <w:rPr>
        <w:rFonts w:ascii="Wingdings" w:hAnsi="Wingdings" w:hint="default"/>
      </w:rPr>
    </w:lvl>
    <w:lvl w:ilvl="6" w:tplc="08090001" w:tentative="1">
      <w:start w:val="1"/>
      <w:numFmt w:val="bullet"/>
      <w:lvlText w:val=""/>
      <w:lvlJc w:val="left"/>
      <w:pPr>
        <w:tabs>
          <w:tab w:val="num" w:pos="4881"/>
        </w:tabs>
        <w:ind w:left="4881" w:hanging="360"/>
      </w:pPr>
      <w:rPr>
        <w:rFonts w:ascii="Symbol" w:hAnsi="Symbol" w:hint="default"/>
      </w:rPr>
    </w:lvl>
    <w:lvl w:ilvl="7" w:tplc="08090003" w:tentative="1">
      <w:start w:val="1"/>
      <w:numFmt w:val="bullet"/>
      <w:lvlText w:val="o"/>
      <w:lvlJc w:val="left"/>
      <w:pPr>
        <w:tabs>
          <w:tab w:val="num" w:pos="5601"/>
        </w:tabs>
        <w:ind w:left="5601" w:hanging="360"/>
      </w:pPr>
      <w:rPr>
        <w:rFonts w:ascii="Courier New" w:hAnsi="Courier New" w:hint="default"/>
      </w:rPr>
    </w:lvl>
    <w:lvl w:ilvl="8" w:tplc="08090005" w:tentative="1">
      <w:start w:val="1"/>
      <w:numFmt w:val="bullet"/>
      <w:lvlText w:val=""/>
      <w:lvlJc w:val="left"/>
      <w:pPr>
        <w:tabs>
          <w:tab w:val="num" w:pos="6321"/>
        </w:tabs>
        <w:ind w:left="6321" w:hanging="360"/>
      </w:pPr>
      <w:rPr>
        <w:rFonts w:ascii="Wingdings" w:hAnsi="Wingdings" w:hint="default"/>
      </w:rPr>
    </w:lvl>
  </w:abstractNum>
  <w:abstractNum w:abstractNumId="4">
    <w:nsid w:val="09E83301"/>
    <w:multiLevelType w:val="hybridMultilevel"/>
    <w:tmpl w:val="5170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4365AA"/>
    <w:multiLevelType w:val="hybridMultilevel"/>
    <w:tmpl w:val="F2589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FF610C8"/>
    <w:multiLevelType w:val="hybridMultilevel"/>
    <w:tmpl w:val="4CB8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175785"/>
    <w:multiLevelType w:val="hybridMultilevel"/>
    <w:tmpl w:val="BAD04F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2A455FE"/>
    <w:multiLevelType w:val="hybridMultilevel"/>
    <w:tmpl w:val="DDCA18FC"/>
    <w:lvl w:ilvl="0" w:tplc="BA6E8172">
      <w:start w:val="1"/>
      <w:numFmt w:val="decimal"/>
      <w:lvlText w:val="%1."/>
      <w:lvlJc w:val="left"/>
      <w:pPr>
        <w:tabs>
          <w:tab w:val="num" w:pos="720"/>
        </w:tabs>
        <w:ind w:left="720" w:hanging="36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13292D7E"/>
    <w:multiLevelType w:val="hybridMultilevel"/>
    <w:tmpl w:val="EED64A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50E6234"/>
    <w:multiLevelType w:val="hybridMultilevel"/>
    <w:tmpl w:val="69FED6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17B6473E"/>
    <w:multiLevelType w:val="hybridMultilevel"/>
    <w:tmpl w:val="AB44BF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B73344F"/>
    <w:multiLevelType w:val="multilevel"/>
    <w:tmpl w:val="E1785B5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4.%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1BD332DD"/>
    <w:multiLevelType w:val="hybridMultilevel"/>
    <w:tmpl w:val="AB4CF668"/>
    <w:lvl w:ilvl="0" w:tplc="8338745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C220823"/>
    <w:multiLevelType w:val="hybridMultilevel"/>
    <w:tmpl w:val="9E34E0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D132777"/>
    <w:multiLevelType w:val="multilevel"/>
    <w:tmpl w:val="010468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1DA85FB7"/>
    <w:multiLevelType w:val="hybridMultilevel"/>
    <w:tmpl w:val="90105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E67149D"/>
    <w:multiLevelType w:val="multilevel"/>
    <w:tmpl w:val="F95CDB0E"/>
    <w:lvl w:ilvl="0">
      <w:start w:val="4"/>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289878DE"/>
    <w:multiLevelType w:val="hybridMultilevel"/>
    <w:tmpl w:val="3A064C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9972E9C"/>
    <w:multiLevelType w:val="hybridMultilevel"/>
    <w:tmpl w:val="AE36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FC26CEF"/>
    <w:multiLevelType w:val="hybridMultilevel"/>
    <w:tmpl w:val="D4D8D8CC"/>
    <w:lvl w:ilvl="0" w:tplc="EA928E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30C82185"/>
    <w:multiLevelType w:val="hybridMultilevel"/>
    <w:tmpl w:val="50E829AE"/>
    <w:lvl w:ilvl="0" w:tplc="08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2">
    <w:nsid w:val="30FC6320"/>
    <w:multiLevelType w:val="hybridMultilevel"/>
    <w:tmpl w:val="1E7E1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17D4C4B"/>
    <w:multiLevelType w:val="hybridMultilevel"/>
    <w:tmpl w:val="F44481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3592D5B"/>
    <w:multiLevelType w:val="hybridMultilevel"/>
    <w:tmpl w:val="90E04A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81D629D"/>
    <w:multiLevelType w:val="hybridMultilevel"/>
    <w:tmpl w:val="A59A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BE62A6D"/>
    <w:multiLevelType w:val="hybridMultilevel"/>
    <w:tmpl w:val="968A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16C0695"/>
    <w:multiLevelType w:val="multilevel"/>
    <w:tmpl w:val="6A62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B312C6"/>
    <w:multiLevelType w:val="hybridMultilevel"/>
    <w:tmpl w:val="BCF2F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2BC6B1A"/>
    <w:multiLevelType w:val="multilevel"/>
    <w:tmpl w:val="1A161772"/>
    <w:lvl w:ilvl="0">
      <w:start w:val="3"/>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nsid w:val="4D8F19A9"/>
    <w:multiLevelType w:val="hybridMultilevel"/>
    <w:tmpl w:val="39029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DBF4CB7"/>
    <w:multiLevelType w:val="hybridMultilevel"/>
    <w:tmpl w:val="8CD8D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2734B54"/>
    <w:multiLevelType w:val="hybridMultilevel"/>
    <w:tmpl w:val="332816D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nsid w:val="52CC20EB"/>
    <w:multiLevelType w:val="hybridMultilevel"/>
    <w:tmpl w:val="1074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39B2BC3"/>
    <w:multiLevelType w:val="hybridMultilevel"/>
    <w:tmpl w:val="35F089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nsid w:val="560010AB"/>
    <w:multiLevelType w:val="hybridMultilevel"/>
    <w:tmpl w:val="500C6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9B954A5"/>
    <w:multiLevelType w:val="hybridMultilevel"/>
    <w:tmpl w:val="0D5A9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A4E3D99"/>
    <w:multiLevelType w:val="multilevel"/>
    <w:tmpl w:val="AD0E781C"/>
    <w:lvl w:ilvl="0">
      <w:start w:val="4"/>
      <w:numFmt w:val="decimal"/>
      <w:lvlText w:val="%1"/>
      <w:lvlJc w:val="left"/>
      <w:pPr>
        <w:ind w:left="480" w:hanging="480"/>
      </w:pPr>
      <w:rPr>
        <w:rFonts w:hint="default"/>
      </w:rPr>
    </w:lvl>
    <w:lvl w:ilvl="1">
      <w:start w:val="1"/>
      <w:numFmt w:val="decimal"/>
      <w:lvlText w:val="%1.%2"/>
      <w:lvlJc w:val="left"/>
      <w:pPr>
        <w:ind w:left="1380" w:hanging="480"/>
      </w:pPr>
      <w:rPr>
        <w:rFonts w:hint="default"/>
      </w:rPr>
    </w:lvl>
    <w:lvl w:ilvl="2">
      <w:start w:val="5"/>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8">
    <w:nsid w:val="5CD0531E"/>
    <w:multiLevelType w:val="hybridMultilevel"/>
    <w:tmpl w:val="E6EEC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DCA5CBF"/>
    <w:multiLevelType w:val="hybridMultilevel"/>
    <w:tmpl w:val="56428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5CA4882"/>
    <w:multiLevelType w:val="hybridMultilevel"/>
    <w:tmpl w:val="9ED4D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6047589"/>
    <w:multiLevelType w:val="hybridMultilevel"/>
    <w:tmpl w:val="903AA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80D1264"/>
    <w:multiLevelType w:val="hybridMultilevel"/>
    <w:tmpl w:val="C2525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ABC714E"/>
    <w:multiLevelType w:val="hybridMultilevel"/>
    <w:tmpl w:val="F2E4D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CB402A5"/>
    <w:multiLevelType w:val="hybridMultilevel"/>
    <w:tmpl w:val="7E947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DC571AD"/>
    <w:multiLevelType w:val="hybridMultilevel"/>
    <w:tmpl w:val="91500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nsid w:val="706B761E"/>
    <w:multiLevelType w:val="hybridMultilevel"/>
    <w:tmpl w:val="4F76D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1CD19E7"/>
    <w:multiLevelType w:val="hybridMultilevel"/>
    <w:tmpl w:val="D6AE9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1D243C2"/>
    <w:multiLevelType w:val="hybridMultilevel"/>
    <w:tmpl w:val="3BD4C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1E05ED9"/>
    <w:multiLevelType w:val="hybridMultilevel"/>
    <w:tmpl w:val="E71E0B3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0">
    <w:nsid w:val="74540A37"/>
    <w:multiLevelType w:val="hybridMultilevel"/>
    <w:tmpl w:val="0750C882"/>
    <w:lvl w:ilvl="0" w:tplc="08090017">
      <w:start w:val="1"/>
      <w:numFmt w:val="lowerLetter"/>
      <w:lvlText w:val="%1)"/>
      <w:lvlJc w:val="left"/>
      <w:pPr>
        <w:tabs>
          <w:tab w:val="num" w:pos="720"/>
        </w:tabs>
        <w:ind w:left="720" w:hanging="360"/>
      </w:pPr>
    </w:lvl>
    <w:lvl w:ilvl="1" w:tplc="08090005">
      <w:start w:val="1"/>
      <w:numFmt w:val="bullet"/>
      <w:lvlText w:val=""/>
      <w:lvlJc w:val="left"/>
      <w:pPr>
        <w:tabs>
          <w:tab w:val="num" w:pos="1440"/>
        </w:tabs>
        <w:ind w:left="1440" w:hanging="360"/>
      </w:pPr>
      <w:rPr>
        <w:rFonts w:ascii="Wingdings" w:hAnsi="Wingding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nsid w:val="74AE1678"/>
    <w:multiLevelType w:val="multilevel"/>
    <w:tmpl w:val="BAAAB61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2">
    <w:nsid w:val="77E01E00"/>
    <w:multiLevelType w:val="multilevel"/>
    <w:tmpl w:val="1A161772"/>
    <w:lvl w:ilvl="0">
      <w:start w:val="3"/>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3">
    <w:nsid w:val="797313DF"/>
    <w:multiLevelType w:val="multilevel"/>
    <w:tmpl w:val="F4AC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B3B656A"/>
    <w:multiLevelType w:val="hybridMultilevel"/>
    <w:tmpl w:val="E08AA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DEF1D7F"/>
    <w:multiLevelType w:val="hybridMultilevel"/>
    <w:tmpl w:val="8E640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29"/>
  </w:num>
  <w:num w:numId="4">
    <w:abstractNumId w:val="52"/>
  </w:num>
  <w:num w:numId="5">
    <w:abstractNumId w:val="8"/>
  </w:num>
  <w:num w:numId="6">
    <w:abstractNumId w:val="32"/>
  </w:num>
  <w:num w:numId="7">
    <w:abstractNumId w:val="0"/>
  </w:num>
  <w:num w:numId="8">
    <w:abstractNumId w:val="5"/>
  </w:num>
  <w:num w:numId="9">
    <w:abstractNumId w:val="11"/>
  </w:num>
  <w:num w:numId="10">
    <w:abstractNumId w:val="18"/>
  </w:num>
  <w:num w:numId="11">
    <w:abstractNumId w:val="49"/>
  </w:num>
  <w:num w:numId="12">
    <w:abstractNumId w:val="10"/>
  </w:num>
  <w:num w:numId="13">
    <w:abstractNumId w:val="50"/>
  </w:num>
  <w:num w:numId="14">
    <w:abstractNumId w:val="17"/>
  </w:num>
  <w:num w:numId="15">
    <w:abstractNumId w:val="37"/>
  </w:num>
  <w:num w:numId="16">
    <w:abstractNumId w:val="12"/>
  </w:num>
  <w:num w:numId="17">
    <w:abstractNumId w:val="15"/>
  </w:num>
  <w:num w:numId="18">
    <w:abstractNumId w:val="36"/>
  </w:num>
  <w:num w:numId="19">
    <w:abstractNumId w:val="30"/>
  </w:num>
  <w:num w:numId="20">
    <w:abstractNumId w:val="19"/>
  </w:num>
  <w:num w:numId="21">
    <w:abstractNumId w:val="20"/>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6"/>
  </w:num>
  <w:num w:numId="25">
    <w:abstractNumId w:val="26"/>
  </w:num>
  <w:num w:numId="26">
    <w:abstractNumId w:val="55"/>
  </w:num>
  <w:num w:numId="27">
    <w:abstractNumId w:val="22"/>
  </w:num>
  <w:num w:numId="28">
    <w:abstractNumId w:val="41"/>
  </w:num>
  <w:num w:numId="29">
    <w:abstractNumId w:val="48"/>
  </w:num>
  <w:num w:numId="30">
    <w:abstractNumId w:val="38"/>
  </w:num>
  <w:num w:numId="31">
    <w:abstractNumId w:val="35"/>
  </w:num>
  <w:num w:numId="32">
    <w:abstractNumId w:val="3"/>
  </w:num>
  <w:num w:numId="33">
    <w:abstractNumId w:val="53"/>
  </w:num>
  <w:num w:numId="34">
    <w:abstractNumId w:val="27"/>
  </w:num>
  <w:num w:numId="35">
    <w:abstractNumId w:val="28"/>
  </w:num>
  <w:num w:numId="36">
    <w:abstractNumId w:val="23"/>
  </w:num>
  <w:num w:numId="37">
    <w:abstractNumId w:val="46"/>
  </w:num>
  <w:num w:numId="38">
    <w:abstractNumId w:val="6"/>
  </w:num>
  <w:num w:numId="39">
    <w:abstractNumId w:val="40"/>
  </w:num>
  <w:num w:numId="40">
    <w:abstractNumId w:val="39"/>
  </w:num>
  <w:num w:numId="41">
    <w:abstractNumId w:val="24"/>
  </w:num>
  <w:num w:numId="42">
    <w:abstractNumId w:val="1"/>
  </w:num>
  <w:num w:numId="43">
    <w:abstractNumId w:val="14"/>
  </w:num>
  <w:num w:numId="44">
    <w:abstractNumId w:val="2"/>
  </w:num>
  <w:num w:numId="45">
    <w:abstractNumId w:val="42"/>
  </w:num>
  <w:num w:numId="46">
    <w:abstractNumId w:val="44"/>
  </w:num>
  <w:num w:numId="47">
    <w:abstractNumId w:val="33"/>
  </w:num>
  <w:num w:numId="48">
    <w:abstractNumId w:val="13"/>
  </w:num>
  <w:num w:numId="49">
    <w:abstractNumId w:val="25"/>
  </w:num>
  <w:num w:numId="50">
    <w:abstractNumId w:val="45"/>
  </w:num>
  <w:num w:numId="51">
    <w:abstractNumId w:val="7"/>
  </w:num>
  <w:num w:numId="52">
    <w:abstractNumId w:val="54"/>
  </w:num>
  <w:num w:numId="53">
    <w:abstractNumId w:val="43"/>
  </w:num>
  <w:num w:numId="54">
    <w:abstractNumId w:val="4"/>
  </w:num>
  <w:num w:numId="55">
    <w:abstractNumId w:val="31"/>
  </w:num>
  <w:num w:numId="56">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A86"/>
    <w:rsid w:val="00004044"/>
    <w:rsid w:val="00005226"/>
    <w:rsid w:val="00022589"/>
    <w:rsid w:val="00036E66"/>
    <w:rsid w:val="0004399C"/>
    <w:rsid w:val="00056825"/>
    <w:rsid w:val="0006137E"/>
    <w:rsid w:val="000669BB"/>
    <w:rsid w:val="00076CA0"/>
    <w:rsid w:val="00091147"/>
    <w:rsid w:val="000A0292"/>
    <w:rsid w:val="000A0F7D"/>
    <w:rsid w:val="000A442A"/>
    <w:rsid w:val="000A794F"/>
    <w:rsid w:val="000D5A86"/>
    <w:rsid w:val="000E2177"/>
    <w:rsid w:val="0010198A"/>
    <w:rsid w:val="00110D84"/>
    <w:rsid w:val="00122E1B"/>
    <w:rsid w:val="0013218B"/>
    <w:rsid w:val="0013282B"/>
    <w:rsid w:val="00135A25"/>
    <w:rsid w:val="00136F60"/>
    <w:rsid w:val="00142FB5"/>
    <w:rsid w:val="00150503"/>
    <w:rsid w:val="00153A09"/>
    <w:rsid w:val="00165AE3"/>
    <w:rsid w:val="00172974"/>
    <w:rsid w:val="0018010C"/>
    <w:rsid w:val="001A6EB0"/>
    <w:rsid w:val="001D5EB6"/>
    <w:rsid w:val="002132D1"/>
    <w:rsid w:val="002244B7"/>
    <w:rsid w:val="00224CFA"/>
    <w:rsid w:val="00235BDE"/>
    <w:rsid w:val="00241383"/>
    <w:rsid w:val="00247629"/>
    <w:rsid w:val="00247F2E"/>
    <w:rsid w:val="00265BF4"/>
    <w:rsid w:val="00270733"/>
    <w:rsid w:val="002769AD"/>
    <w:rsid w:val="0029394B"/>
    <w:rsid w:val="00296FFD"/>
    <w:rsid w:val="002A759B"/>
    <w:rsid w:val="002B57E0"/>
    <w:rsid w:val="002B5DF0"/>
    <w:rsid w:val="002B7B95"/>
    <w:rsid w:val="002C4593"/>
    <w:rsid w:val="002D64ED"/>
    <w:rsid w:val="002F141E"/>
    <w:rsid w:val="002F2AB4"/>
    <w:rsid w:val="002F7A66"/>
    <w:rsid w:val="003018B6"/>
    <w:rsid w:val="00311B56"/>
    <w:rsid w:val="00312132"/>
    <w:rsid w:val="0031373E"/>
    <w:rsid w:val="003227CE"/>
    <w:rsid w:val="00337C7B"/>
    <w:rsid w:val="003862FE"/>
    <w:rsid w:val="003868C7"/>
    <w:rsid w:val="00395B8A"/>
    <w:rsid w:val="003A4850"/>
    <w:rsid w:val="003A5E66"/>
    <w:rsid w:val="003B1186"/>
    <w:rsid w:val="003C2A66"/>
    <w:rsid w:val="003C3E49"/>
    <w:rsid w:val="003D6B4D"/>
    <w:rsid w:val="0040634C"/>
    <w:rsid w:val="00412498"/>
    <w:rsid w:val="00414C59"/>
    <w:rsid w:val="00421065"/>
    <w:rsid w:val="00425A03"/>
    <w:rsid w:val="004263DC"/>
    <w:rsid w:val="004301A2"/>
    <w:rsid w:val="00433507"/>
    <w:rsid w:val="0043506A"/>
    <w:rsid w:val="004427C3"/>
    <w:rsid w:val="004651A2"/>
    <w:rsid w:val="00470441"/>
    <w:rsid w:val="00485152"/>
    <w:rsid w:val="004B0236"/>
    <w:rsid w:val="004B6460"/>
    <w:rsid w:val="004B757C"/>
    <w:rsid w:val="004C6695"/>
    <w:rsid w:val="004E4B6F"/>
    <w:rsid w:val="004F778F"/>
    <w:rsid w:val="00503464"/>
    <w:rsid w:val="005462BF"/>
    <w:rsid w:val="005547FE"/>
    <w:rsid w:val="0056444D"/>
    <w:rsid w:val="00565694"/>
    <w:rsid w:val="00567295"/>
    <w:rsid w:val="005B01CD"/>
    <w:rsid w:val="005C08C3"/>
    <w:rsid w:val="005D3435"/>
    <w:rsid w:val="005D4A02"/>
    <w:rsid w:val="005E79B6"/>
    <w:rsid w:val="005E7B8E"/>
    <w:rsid w:val="005F1D2C"/>
    <w:rsid w:val="005F1E8A"/>
    <w:rsid w:val="006055DA"/>
    <w:rsid w:val="00610564"/>
    <w:rsid w:val="00610C19"/>
    <w:rsid w:val="006137D7"/>
    <w:rsid w:val="0061422D"/>
    <w:rsid w:val="006161EB"/>
    <w:rsid w:val="00616B0A"/>
    <w:rsid w:val="00674745"/>
    <w:rsid w:val="006836BA"/>
    <w:rsid w:val="006904A2"/>
    <w:rsid w:val="00695486"/>
    <w:rsid w:val="006A4F04"/>
    <w:rsid w:val="006B2BD6"/>
    <w:rsid w:val="006C61D6"/>
    <w:rsid w:val="006E2F97"/>
    <w:rsid w:val="006E4819"/>
    <w:rsid w:val="006E4C43"/>
    <w:rsid w:val="006F4A33"/>
    <w:rsid w:val="007004B3"/>
    <w:rsid w:val="007151F7"/>
    <w:rsid w:val="007215A3"/>
    <w:rsid w:val="00736928"/>
    <w:rsid w:val="00740531"/>
    <w:rsid w:val="0075259F"/>
    <w:rsid w:val="00761A3D"/>
    <w:rsid w:val="007638A5"/>
    <w:rsid w:val="00792E4B"/>
    <w:rsid w:val="007972ED"/>
    <w:rsid w:val="007A2B2B"/>
    <w:rsid w:val="007B29F1"/>
    <w:rsid w:val="007B4F92"/>
    <w:rsid w:val="007C5594"/>
    <w:rsid w:val="007D73F2"/>
    <w:rsid w:val="007F30D5"/>
    <w:rsid w:val="007F5021"/>
    <w:rsid w:val="007F7B83"/>
    <w:rsid w:val="007F7CD2"/>
    <w:rsid w:val="00802EBE"/>
    <w:rsid w:val="008207E0"/>
    <w:rsid w:val="00832E16"/>
    <w:rsid w:val="00836246"/>
    <w:rsid w:val="00853CFA"/>
    <w:rsid w:val="00890382"/>
    <w:rsid w:val="008A2FDB"/>
    <w:rsid w:val="008B4242"/>
    <w:rsid w:val="008B76E4"/>
    <w:rsid w:val="008D04FE"/>
    <w:rsid w:val="008E264D"/>
    <w:rsid w:val="008F73B3"/>
    <w:rsid w:val="0090221E"/>
    <w:rsid w:val="009426DF"/>
    <w:rsid w:val="00950AF4"/>
    <w:rsid w:val="00961056"/>
    <w:rsid w:val="00963190"/>
    <w:rsid w:val="0097437A"/>
    <w:rsid w:val="009750F0"/>
    <w:rsid w:val="00990B36"/>
    <w:rsid w:val="009A5857"/>
    <w:rsid w:val="009B243E"/>
    <w:rsid w:val="009C323A"/>
    <w:rsid w:val="009C3803"/>
    <w:rsid w:val="009D1324"/>
    <w:rsid w:val="009D3A66"/>
    <w:rsid w:val="009E0E44"/>
    <w:rsid w:val="009E13A0"/>
    <w:rsid w:val="009E32AF"/>
    <w:rsid w:val="009E7C32"/>
    <w:rsid w:val="009F77B0"/>
    <w:rsid w:val="00A036CD"/>
    <w:rsid w:val="00A1494C"/>
    <w:rsid w:val="00A21194"/>
    <w:rsid w:val="00A35712"/>
    <w:rsid w:val="00A4731D"/>
    <w:rsid w:val="00A47507"/>
    <w:rsid w:val="00A5346B"/>
    <w:rsid w:val="00A650E3"/>
    <w:rsid w:val="00A824E9"/>
    <w:rsid w:val="00A91A90"/>
    <w:rsid w:val="00A933F4"/>
    <w:rsid w:val="00AB7198"/>
    <w:rsid w:val="00AE1C47"/>
    <w:rsid w:val="00AE623F"/>
    <w:rsid w:val="00AF2B29"/>
    <w:rsid w:val="00B01356"/>
    <w:rsid w:val="00B03782"/>
    <w:rsid w:val="00B0573F"/>
    <w:rsid w:val="00B11554"/>
    <w:rsid w:val="00B2584E"/>
    <w:rsid w:val="00B25AF8"/>
    <w:rsid w:val="00B26B96"/>
    <w:rsid w:val="00B57ECF"/>
    <w:rsid w:val="00B81BB9"/>
    <w:rsid w:val="00B850DA"/>
    <w:rsid w:val="00BB510F"/>
    <w:rsid w:val="00BC6B16"/>
    <w:rsid w:val="00BD076E"/>
    <w:rsid w:val="00BD74B5"/>
    <w:rsid w:val="00BE1F4A"/>
    <w:rsid w:val="00C00340"/>
    <w:rsid w:val="00C01164"/>
    <w:rsid w:val="00C0463B"/>
    <w:rsid w:val="00C170EE"/>
    <w:rsid w:val="00C205D6"/>
    <w:rsid w:val="00C20B28"/>
    <w:rsid w:val="00C22602"/>
    <w:rsid w:val="00C429C6"/>
    <w:rsid w:val="00C7184D"/>
    <w:rsid w:val="00C8635F"/>
    <w:rsid w:val="00C919FF"/>
    <w:rsid w:val="00CB1A9E"/>
    <w:rsid w:val="00CC7F48"/>
    <w:rsid w:val="00CD47DB"/>
    <w:rsid w:val="00CD7D6C"/>
    <w:rsid w:val="00CE503B"/>
    <w:rsid w:val="00CE7424"/>
    <w:rsid w:val="00CF3A21"/>
    <w:rsid w:val="00CF4FF6"/>
    <w:rsid w:val="00D001F2"/>
    <w:rsid w:val="00D03181"/>
    <w:rsid w:val="00D15167"/>
    <w:rsid w:val="00D42CF9"/>
    <w:rsid w:val="00D60B25"/>
    <w:rsid w:val="00D65487"/>
    <w:rsid w:val="00D90637"/>
    <w:rsid w:val="00D925D4"/>
    <w:rsid w:val="00DA70DE"/>
    <w:rsid w:val="00DB5C33"/>
    <w:rsid w:val="00DE3675"/>
    <w:rsid w:val="00E02DDB"/>
    <w:rsid w:val="00E17895"/>
    <w:rsid w:val="00E22FC4"/>
    <w:rsid w:val="00E32822"/>
    <w:rsid w:val="00E347F1"/>
    <w:rsid w:val="00E42B2E"/>
    <w:rsid w:val="00E432EB"/>
    <w:rsid w:val="00E442AA"/>
    <w:rsid w:val="00E44D04"/>
    <w:rsid w:val="00E50591"/>
    <w:rsid w:val="00E5645F"/>
    <w:rsid w:val="00E57791"/>
    <w:rsid w:val="00E736A1"/>
    <w:rsid w:val="00E77524"/>
    <w:rsid w:val="00E80916"/>
    <w:rsid w:val="00E958A3"/>
    <w:rsid w:val="00EC142B"/>
    <w:rsid w:val="00EC6C1A"/>
    <w:rsid w:val="00EE0CBF"/>
    <w:rsid w:val="00EE2245"/>
    <w:rsid w:val="00EE3C1A"/>
    <w:rsid w:val="00EF396E"/>
    <w:rsid w:val="00EF7DC5"/>
    <w:rsid w:val="00F0056C"/>
    <w:rsid w:val="00F033B3"/>
    <w:rsid w:val="00F05579"/>
    <w:rsid w:val="00F059B9"/>
    <w:rsid w:val="00F13E58"/>
    <w:rsid w:val="00F23E60"/>
    <w:rsid w:val="00F3146E"/>
    <w:rsid w:val="00F474BE"/>
    <w:rsid w:val="00F561FF"/>
    <w:rsid w:val="00F56D1C"/>
    <w:rsid w:val="00F66003"/>
    <w:rsid w:val="00F75444"/>
    <w:rsid w:val="00F91C7C"/>
    <w:rsid w:val="00FB5F84"/>
    <w:rsid w:val="00FE3FB7"/>
    <w:rsid w:val="00FE7C2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2D1"/>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5A8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D5A86"/>
    <w:rPr>
      <w:rFonts w:cs="Times New Roman"/>
    </w:rPr>
  </w:style>
  <w:style w:type="paragraph" w:styleId="Footer">
    <w:name w:val="footer"/>
    <w:basedOn w:val="Normal"/>
    <w:link w:val="FooterChar"/>
    <w:uiPriority w:val="99"/>
    <w:rsid w:val="000D5A8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D5A86"/>
    <w:rPr>
      <w:rFonts w:cs="Times New Roman"/>
    </w:rPr>
  </w:style>
  <w:style w:type="table" w:styleId="TableGrid">
    <w:name w:val="Table Grid"/>
    <w:basedOn w:val="TableNormal"/>
    <w:uiPriority w:val="99"/>
    <w:rsid w:val="000D5A8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A86"/>
    <w:pPr>
      <w:ind w:left="720"/>
      <w:contextualSpacing/>
    </w:pPr>
  </w:style>
  <w:style w:type="paragraph" w:styleId="CommentText">
    <w:name w:val="annotation text"/>
    <w:basedOn w:val="Normal"/>
    <w:link w:val="CommentTextChar"/>
    <w:uiPriority w:val="99"/>
    <w:unhideWhenUsed/>
    <w:rsid w:val="00695486"/>
    <w:pPr>
      <w:spacing w:line="240" w:lineRule="auto"/>
    </w:pPr>
    <w:rPr>
      <w:sz w:val="20"/>
      <w:szCs w:val="20"/>
    </w:rPr>
  </w:style>
  <w:style w:type="character" w:customStyle="1" w:styleId="CommentTextChar">
    <w:name w:val="Comment Text Char"/>
    <w:basedOn w:val="DefaultParagraphFont"/>
    <w:link w:val="CommentText"/>
    <w:uiPriority w:val="99"/>
    <w:rsid w:val="00695486"/>
    <w:rPr>
      <w:sz w:val="20"/>
      <w:szCs w:val="20"/>
      <w:lang w:eastAsia="en-US"/>
    </w:rPr>
  </w:style>
  <w:style w:type="paragraph" w:styleId="BalloonText">
    <w:name w:val="Balloon Text"/>
    <w:basedOn w:val="Normal"/>
    <w:link w:val="BalloonTextChar"/>
    <w:uiPriority w:val="99"/>
    <w:semiHidden/>
    <w:unhideWhenUsed/>
    <w:rsid w:val="00963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190"/>
    <w:rPr>
      <w:rFonts w:ascii="Tahoma" w:hAnsi="Tahoma" w:cs="Tahoma"/>
      <w:sz w:val="16"/>
      <w:szCs w:val="16"/>
      <w:lang w:eastAsia="en-US"/>
    </w:rPr>
  </w:style>
  <w:style w:type="character" w:styleId="CommentReference">
    <w:name w:val="annotation reference"/>
    <w:basedOn w:val="DefaultParagraphFont"/>
    <w:uiPriority w:val="99"/>
    <w:semiHidden/>
    <w:unhideWhenUsed/>
    <w:rsid w:val="00E958A3"/>
    <w:rPr>
      <w:sz w:val="16"/>
      <w:szCs w:val="16"/>
    </w:rPr>
  </w:style>
  <w:style w:type="paragraph" w:customStyle="1" w:styleId="Default">
    <w:name w:val="Default"/>
    <w:rsid w:val="004F778F"/>
    <w:pPr>
      <w:autoSpaceDE w:val="0"/>
      <w:autoSpaceDN w:val="0"/>
      <w:adjustRightInd w:val="0"/>
    </w:pPr>
    <w:rPr>
      <w:rFonts w:ascii="Arial" w:hAnsi="Arial" w:cs="Arial"/>
      <w:color w:val="000000"/>
      <w:sz w:val="24"/>
      <w:szCs w:val="24"/>
    </w:rPr>
  </w:style>
  <w:style w:type="paragraph" w:customStyle="1" w:styleId="MOIbullet">
    <w:name w:val="MOI bullet"/>
    <w:basedOn w:val="Normal"/>
    <w:rsid w:val="00616B0A"/>
    <w:pPr>
      <w:numPr>
        <w:numId w:val="32"/>
      </w:numPr>
      <w:spacing w:after="0" w:line="240" w:lineRule="auto"/>
      <w:jc w:val="both"/>
    </w:pPr>
    <w:rPr>
      <w:rFonts w:eastAsia="Arial" w:cs="Calibri"/>
      <w:lang w:eastAsia="en-GB"/>
    </w:rPr>
  </w:style>
  <w:style w:type="character" w:styleId="Hyperlink">
    <w:name w:val="Hyperlink"/>
    <w:basedOn w:val="DefaultParagraphFont"/>
    <w:uiPriority w:val="99"/>
    <w:unhideWhenUsed/>
    <w:rsid w:val="006137D7"/>
    <w:rPr>
      <w:color w:val="0000FF" w:themeColor="hyperlink"/>
      <w:u w:val="single"/>
    </w:rPr>
  </w:style>
  <w:style w:type="paragraph" w:customStyle="1" w:styleId="MOIText">
    <w:name w:val="MOI Text"/>
    <w:basedOn w:val="Normal"/>
    <w:rsid w:val="009D3A66"/>
    <w:pPr>
      <w:spacing w:before="60" w:after="60" w:line="240" w:lineRule="auto"/>
      <w:ind w:left="720"/>
      <w:jc w:val="both"/>
    </w:pPr>
    <w:rPr>
      <w:rFonts w:ascii="Arial" w:eastAsia="Times New Roman" w:hAnsi="Arial" w:cs="Arial"/>
      <w:lang w:eastAsia="en-GB"/>
    </w:rPr>
  </w:style>
  <w:style w:type="paragraph" w:customStyle="1" w:styleId="1">
    <w:name w:val="1"/>
    <w:basedOn w:val="Normal"/>
    <w:rsid w:val="009D3A66"/>
    <w:pPr>
      <w:spacing w:after="120" w:line="240" w:lineRule="exact"/>
    </w:pPr>
    <w:rPr>
      <w:rFonts w:ascii="Verdana" w:eastAsia="Times New Roman"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2D1"/>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5A8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D5A86"/>
    <w:rPr>
      <w:rFonts w:cs="Times New Roman"/>
    </w:rPr>
  </w:style>
  <w:style w:type="paragraph" w:styleId="Footer">
    <w:name w:val="footer"/>
    <w:basedOn w:val="Normal"/>
    <w:link w:val="FooterChar"/>
    <w:uiPriority w:val="99"/>
    <w:rsid w:val="000D5A8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D5A86"/>
    <w:rPr>
      <w:rFonts w:cs="Times New Roman"/>
    </w:rPr>
  </w:style>
  <w:style w:type="table" w:styleId="TableGrid">
    <w:name w:val="Table Grid"/>
    <w:basedOn w:val="TableNormal"/>
    <w:uiPriority w:val="99"/>
    <w:rsid w:val="000D5A8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A86"/>
    <w:pPr>
      <w:ind w:left="720"/>
      <w:contextualSpacing/>
    </w:pPr>
  </w:style>
  <w:style w:type="paragraph" w:styleId="CommentText">
    <w:name w:val="annotation text"/>
    <w:basedOn w:val="Normal"/>
    <w:link w:val="CommentTextChar"/>
    <w:uiPriority w:val="99"/>
    <w:unhideWhenUsed/>
    <w:rsid w:val="00695486"/>
    <w:pPr>
      <w:spacing w:line="240" w:lineRule="auto"/>
    </w:pPr>
    <w:rPr>
      <w:sz w:val="20"/>
      <w:szCs w:val="20"/>
    </w:rPr>
  </w:style>
  <w:style w:type="character" w:customStyle="1" w:styleId="CommentTextChar">
    <w:name w:val="Comment Text Char"/>
    <w:basedOn w:val="DefaultParagraphFont"/>
    <w:link w:val="CommentText"/>
    <w:uiPriority w:val="99"/>
    <w:rsid w:val="00695486"/>
    <w:rPr>
      <w:sz w:val="20"/>
      <w:szCs w:val="20"/>
      <w:lang w:eastAsia="en-US"/>
    </w:rPr>
  </w:style>
  <w:style w:type="paragraph" w:styleId="BalloonText">
    <w:name w:val="Balloon Text"/>
    <w:basedOn w:val="Normal"/>
    <w:link w:val="BalloonTextChar"/>
    <w:uiPriority w:val="99"/>
    <w:semiHidden/>
    <w:unhideWhenUsed/>
    <w:rsid w:val="00963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190"/>
    <w:rPr>
      <w:rFonts w:ascii="Tahoma" w:hAnsi="Tahoma" w:cs="Tahoma"/>
      <w:sz w:val="16"/>
      <w:szCs w:val="16"/>
      <w:lang w:eastAsia="en-US"/>
    </w:rPr>
  </w:style>
  <w:style w:type="character" w:styleId="CommentReference">
    <w:name w:val="annotation reference"/>
    <w:basedOn w:val="DefaultParagraphFont"/>
    <w:uiPriority w:val="99"/>
    <w:semiHidden/>
    <w:unhideWhenUsed/>
    <w:rsid w:val="00E958A3"/>
    <w:rPr>
      <w:sz w:val="16"/>
      <w:szCs w:val="16"/>
    </w:rPr>
  </w:style>
  <w:style w:type="paragraph" w:customStyle="1" w:styleId="Default">
    <w:name w:val="Default"/>
    <w:rsid w:val="004F778F"/>
    <w:pPr>
      <w:autoSpaceDE w:val="0"/>
      <w:autoSpaceDN w:val="0"/>
      <w:adjustRightInd w:val="0"/>
    </w:pPr>
    <w:rPr>
      <w:rFonts w:ascii="Arial" w:hAnsi="Arial" w:cs="Arial"/>
      <w:color w:val="000000"/>
      <w:sz w:val="24"/>
      <w:szCs w:val="24"/>
    </w:rPr>
  </w:style>
  <w:style w:type="paragraph" w:customStyle="1" w:styleId="MOIbullet">
    <w:name w:val="MOI bullet"/>
    <w:basedOn w:val="Normal"/>
    <w:rsid w:val="00616B0A"/>
    <w:pPr>
      <w:numPr>
        <w:numId w:val="32"/>
      </w:numPr>
      <w:spacing w:after="0" w:line="240" w:lineRule="auto"/>
      <w:jc w:val="both"/>
    </w:pPr>
    <w:rPr>
      <w:rFonts w:eastAsia="Arial" w:cs="Calibri"/>
      <w:lang w:eastAsia="en-GB"/>
    </w:rPr>
  </w:style>
  <w:style w:type="character" w:styleId="Hyperlink">
    <w:name w:val="Hyperlink"/>
    <w:basedOn w:val="DefaultParagraphFont"/>
    <w:uiPriority w:val="99"/>
    <w:unhideWhenUsed/>
    <w:rsid w:val="006137D7"/>
    <w:rPr>
      <w:color w:val="0000FF" w:themeColor="hyperlink"/>
      <w:u w:val="single"/>
    </w:rPr>
  </w:style>
  <w:style w:type="paragraph" w:customStyle="1" w:styleId="MOIText">
    <w:name w:val="MOI Text"/>
    <w:basedOn w:val="Normal"/>
    <w:rsid w:val="009D3A66"/>
    <w:pPr>
      <w:spacing w:before="60" w:after="60" w:line="240" w:lineRule="auto"/>
      <w:ind w:left="720"/>
      <w:jc w:val="both"/>
    </w:pPr>
    <w:rPr>
      <w:rFonts w:ascii="Arial" w:eastAsia="Times New Roman" w:hAnsi="Arial" w:cs="Arial"/>
      <w:lang w:eastAsia="en-GB"/>
    </w:rPr>
  </w:style>
  <w:style w:type="paragraph" w:customStyle="1" w:styleId="1">
    <w:name w:val="1"/>
    <w:basedOn w:val="Normal"/>
    <w:rsid w:val="009D3A66"/>
    <w:pPr>
      <w:spacing w:after="120" w:line="240" w:lineRule="exact"/>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05500">
      <w:bodyDiv w:val="1"/>
      <w:marLeft w:val="0"/>
      <w:marRight w:val="0"/>
      <w:marTop w:val="0"/>
      <w:marBottom w:val="0"/>
      <w:divBdr>
        <w:top w:val="none" w:sz="0" w:space="0" w:color="auto"/>
        <w:left w:val="none" w:sz="0" w:space="0" w:color="auto"/>
        <w:bottom w:val="none" w:sz="0" w:space="0" w:color="auto"/>
        <w:right w:val="none" w:sz="0" w:space="0" w:color="auto"/>
      </w:divBdr>
    </w:div>
    <w:div w:id="266043105">
      <w:bodyDiv w:val="1"/>
      <w:marLeft w:val="0"/>
      <w:marRight w:val="0"/>
      <w:marTop w:val="0"/>
      <w:marBottom w:val="0"/>
      <w:divBdr>
        <w:top w:val="none" w:sz="0" w:space="0" w:color="auto"/>
        <w:left w:val="none" w:sz="0" w:space="0" w:color="auto"/>
        <w:bottom w:val="none" w:sz="0" w:space="0" w:color="auto"/>
        <w:right w:val="none" w:sz="0" w:space="0" w:color="auto"/>
      </w:divBdr>
    </w:div>
    <w:div w:id="356658778">
      <w:bodyDiv w:val="1"/>
      <w:marLeft w:val="0"/>
      <w:marRight w:val="0"/>
      <w:marTop w:val="0"/>
      <w:marBottom w:val="0"/>
      <w:divBdr>
        <w:top w:val="none" w:sz="0" w:space="0" w:color="auto"/>
        <w:left w:val="none" w:sz="0" w:space="0" w:color="auto"/>
        <w:bottom w:val="none" w:sz="0" w:space="0" w:color="auto"/>
        <w:right w:val="none" w:sz="0" w:space="0" w:color="auto"/>
      </w:divBdr>
      <w:divsChild>
        <w:div w:id="1944146763">
          <w:marLeft w:val="0"/>
          <w:marRight w:val="0"/>
          <w:marTop w:val="0"/>
          <w:marBottom w:val="0"/>
          <w:divBdr>
            <w:top w:val="none" w:sz="0" w:space="0" w:color="auto"/>
            <w:left w:val="none" w:sz="0" w:space="0" w:color="auto"/>
            <w:bottom w:val="none" w:sz="0" w:space="0" w:color="auto"/>
            <w:right w:val="none" w:sz="0" w:space="0" w:color="auto"/>
          </w:divBdr>
          <w:divsChild>
            <w:div w:id="17964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9235">
      <w:bodyDiv w:val="1"/>
      <w:marLeft w:val="0"/>
      <w:marRight w:val="0"/>
      <w:marTop w:val="0"/>
      <w:marBottom w:val="0"/>
      <w:divBdr>
        <w:top w:val="none" w:sz="0" w:space="0" w:color="auto"/>
        <w:left w:val="none" w:sz="0" w:space="0" w:color="auto"/>
        <w:bottom w:val="none" w:sz="0" w:space="0" w:color="auto"/>
        <w:right w:val="none" w:sz="0" w:space="0" w:color="auto"/>
      </w:divBdr>
    </w:div>
    <w:div w:id="585962733">
      <w:bodyDiv w:val="1"/>
      <w:marLeft w:val="0"/>
      <w:marRight w:val="0"/>
      <w:marTop w:val="0"/>
      <w:marBottom w:val="0"/>
      <w:divBdr>
        <w:top w:val="none" w:sz="0" w:space="0" w:color="auto"/>
        <w:left w:val="none" w:sz="0" w:space="0" w:color="auto"/>
        <w:bottom w:val="none" w:sz="0" w:space="0" w:color="auto"/>
        <w:right w:val="none" w:sz="0" w:space="0" w:color="auto"/>
      </w:divBdr>
      <w:divsChild>
        <w:div w:id="2082559937">
          <w:marLeft w:val="0"/>
          <w:marRight w:val="0"/>
          <w:marTop w:val="0"/>
          <w:marBottom w:val="0"/>
          <w:divBdr>
            <w:top w:val="none" w:sz="0" w:space="0" w:color="auto"/>
            <w:left w:val="none" w:sz="0" w:space="0" w:color="auto"/>
            <w:bottom w:val="none" w:sz="0" w:space="0" w:color="auto"/>
            <w:right w:val="none" w:sz="0" w:space="0" w:color="auto"/>
          </w:divBdr>
          <w:divsChild>
            <w:div w:id="56715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92858">
      <w:bodyDiv w:val="1"/>
      <w:marLeft w:val="0"/>
      <w:marRight w:val="0"/>
      <w:marTop w:val="0"/>
      <w:marBottom w:val="0"/>
      <w:divBdr>
        <w:top w:val="none" w:sz="0" w:space="0" w:color="auto"/>
        <w:left w:val="none" w:sz="0" w:space="0" w:color="auto"/>
        <w:bottom w:val="none" w:sz="0" w:space="0" w:color="auto"/>
        <w:right w:val="none" w:sz="0" w:space="0" w:color="auto"/>
      </w:divBdr>
    </w:div>
    <w:div w:id="1046567826">
      <w:bodyDiv w:val="1"/>
      <w:marLeft w:val="0"/>
      <w:marRight w:val="0"/>
      <w:marTop w:val="0"/>
      <w:marBottom w:val="0"/>
      <w:divBdr>
        <w:top w:val="none" w:sz="0" w:space="0" w:color="auto"/>
        <w:left w:val="none" w:sz="0" w:space="0" w:color="auto"/>
        <w:bottom w:val="none" w:sz="0" w:space="0" w:color="auto"/>
        <w:right w:val="none" w:sz="0" w:space="0" w:color="auto"/>
      </w:divBdr>
    </w:div>
    <w:div w:id="110738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qip.org.uk/assets/ppe/case-studeis-and-templates/qualityofhealthpriniciple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athways.nice.org.uk/pathways/musculoskeletal-condi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p.org.uk/professional-union/professionalism/csp-expectations-members/professional-rule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hpc-uk.org/assets/documents/10000DBCStandards_of_Proficiency_Physiotherapists.pdf" TargetMode="External"/><Relationship Id="rId4" Type="http://schemas.microsoft.com/office/2007/relationships/stylesWithEffects" Target="stylesWithEffects.xml"/><Relationship Id="rId9" Type="http://schemas.openxmlformats.org/officeDocument/2006/relationships/hyperlink" Target="http://www.thephysiotherapysite.co.uk/physiotherapy/physiotherapists/articles/40/assessing-red-flags" TargetMode="External"/><Relationship Id="rId14" Type="http://schemas.openxmlformats.org/officeDocument/2006/relationships/hyperlink" Target="http://www.ic.nhs.uk/datas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6E894-33B5-4CB2-BA97-8BB355D69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5723</Words>
  <Characters>34240</Characters>
  <Application>Microsoft Office Word</Application>
  <DocSecurity>4</DocSecurity>
  <Lines>285</Lines>
  <Paragraphs>79</Paragraphs>
  <ScaleCrop>false</ScaleCrop>
  <HeadingPairs>
    <vt:vector size="2" baseType="variant">
      <vt:variant>
        <vt:lpstr>Title</vt:lpstr>
      </vt:variant>
      <vt:variant>
        <vt:i4>1</vt:i4>
      </vt:variant>
    </vt:vector>
  </HeadingPairs>
  <TitlesOfParts>
    <vt:vector size="1" baseType="lpstr">
      <vt:lpstr>Schedule 2 – The Services</vt:lpstr>
    </vt:vector>
  </TitlesOfParts>
  <Company>BRENTNHS</Company>
  <LinksUpToDate>false</LinksUpToDate>
  <CharactersWithSpaces>39884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2 – The Services</dc:title>
  <dc:creator>Sean Barnett</dc:creator>
  <cp:lastModifiedBy>Ekkehard Kugler</cp:lastModifiedBy>
  <cp:revision>2</cp:revision>
  <cp:lastPrinted>2015-02-18T09:53:00Z</cp:lastPrinted>
  <dcterms:created xsi:type="dcterms:W3CDTF">2016-01-08T15:02:00Z</dcterms:created>
  <dcterms:modified xsi:type="dcterms:W3CDTF">2016-01-08T15:02:00Z</dcterms:modified>
</cp:coreProperties>
</file>