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4DE4" w14:textId="5FBB6F29" w:rsidR="00A52B6D" w:rsidRPr="000F5C3A" w:rsidRDefault="00A52B6D" w:rsidP="00E564E8">
      <w:pPr>
        <w:widowControl w:val="0"/>
        <w:autoSpaceDE w:val="0"/>
        <w:autoSpaceDN w:val="0"/>
        <w:adjustRightInd w:val="0"/>
        <w:spacing w:after="0" w:line="240" w:lineRule="auto"/>
        <w:rPr>
          <w:rFonts w:ascii="Arial" w:hAnsi="Arial" w:cs="Arial"/>
          <w:b/>
          <w:bCs/>
          <w:color w:val="000000"/>
        </w:rPr>
      </w:pPr>
      <w:bookmarkStart w:id="0" w:name="_Toc501022446_1_5"/>
      <w:r w:rsidRPr="000F5C3A">
        <w:rPr>
          <w:rFonts w:ascii="Arial" w:hAnsi="Arial" w:cs="Arial"/>
          <w:b/>
          <w:bCs/>
          <w:color w:val="000000"/>
        </w:rPr>
        <w:t>DNO</w:t>
      </w:r>
      <w:r w:rsidR="0078760C" w:rsidRPr="000F5C3A">
        <w:rPr>
          <w:rFonts w:ascii="Arial" w:hAnsi="Arial" w:cs="Arial"/>
          <w:b/>
          <w:bCs/>
          <w:color w:val="000000"/>
        </w:rPr>
        <w:t>/2</w:t>
      </w:r>
      <w:r w:rsidR="004E4F84">
        <w:rPr>
          <w:rFonts w:ascii="Arial" w:hAnsi="Arial" w:cs="Arial"/>
          <w:b/>
          <w:bCs/>
          <w:color w:val="000000"/>
        </w:rPr>
        <w:t>28</w:t>
      </w:r>
      <w:r w:rsidR="0078760C" w:rsidRPr="000F5C3A">
        <w:rPr>
          <w:rFonts w:ascii="Arial" w:hAnsi="Arial" w:cs="Arial"/>
          <w:b/>
          <w:bCs/>
          <w:color w:val="000000"/>
        </w:rPr>
        <w:t xml:space="preserve"> </w:t>
      </w:r>
      <w:r w:rsidRPr="000F5C3A">
        <w:rPr>
          <w:rFonts w:ascii="Arial" w:hAnsi="Arial" w:cs="Arial"/>
          <w:b/>
          <w:bCs/>
          <w:color w:val="000000"/>
        </w:rPr>
        <w:t xml:space="preserve">– </w:t>
      </w:r>
      <w:proofErr w:type="spellStart"/>
      <w:r w:rsidR="004E4F84">
        <w:rPr>
          <w:rFonts w:ascii="Arial" w:hAnsi="Arial" w:cs="Arial"/>
          <w:b/>
          <w:bCs/>
          <w:color w:val="000000"/>
        </w:rPr>
        <w:t>MoE</w:t>
      </w:r>
      <w:proofErr w:type="spellEnd"/>
      <w:r w:rsidR="004E4F84">
        <w:rPr>
          <w:rFonts w:ascii="Arial" w:hAnsi="Arial" w:cs="Arial"/>
          <w:b/>
          <w:bCs/>
          <w:color w:val="000000"/>
        </w:rPr>
        <w:t xml:space="preserve"> Training Rig</w:t>
      </w:r>
      <w:r w:rsidR="000F5C3A" w:rsidRPr="000F5C3A">
        <w:rPr>
          <w:rFonts w:ascii="Arial" w:hAnsi="Arial" w:cs="Arial"/>
          <w:b/>
          <w:bCs/>
          <w:color w:val="000000"/>
        </w:rPr>
        <w:tab/>
      </w:r>
      <w:r w:rsidR="000F5C3A" w:rsidRPr="000F5C3A">
        <w:rPr>
          <w:rFonts w:ascii="Arial" w:hAnsi="Arial" w:cs="Arial"/>
          <w:b/>
          <w:bCs/>
          <w:color w:val="000000"/>
        </w:rPr>
        <w:tab/>
      </w:r>
      <w:r w:rsidR="000F5C3A" w:rsidRPr="000F5C3A">
        <w:rPr>
          <w:rFonts w:ascii="Arial" w:hAnsi="Arial" w:cs="Arial"/>
          <w:b/>
          <w:bCs/>
          <w:color w:val="000000"/>
        </w:rPr>
        <w:tab/>
      </w:r>
      <w:r w:rsidR="000F5C3A" w:rsidRPr="000F5C3A">
        <w:rPr>
          <w:rFonts w:ascii="Arial" w:hAnsi="Arial" w:cs="Arial"/>
          <w:b/>
          <w:bCs/>
          <w:color w:val="000000"/>
        </w:rPr>
        <w:tab/>
      </w:r>
      <w:r w:rsidR="000F5C3A" w:rsidRPr="000F5C3A">
        <w:rPr>
          <w:rFonts w:ascii="Arial" w:hAnsi="Arial" w:cs="Arial"/>
          <w:b/>
          <w:bCs/>
          <w:color w:val="000000"/>
        </w:rPr>
        <w:tab/>
      </w:r>
    </w:p>
    <w:p w14:paraId="5D0B73C4" w14:textId="392E0E3D" w:rsidR="000F5C3A" w:rsidRPr="000F5C3A" w:rsidRDefault="000F5C3A" w:rsidP="000F5C3A">
      <w:pPr>
        <w:widowControl w:val="0"/>
        <w:autoSpaceDE w:val="0"/>
        <w:autoSpaceDN w:val="0"/>
        <w:adjustRightInd w:val="0"/>
        <w:spacing w:after="0" w:line="240" w:lineRule="auto"/>
        <w:jc w:val="right"/>
        <w:rPr>
          <w:rFonts w:ascii="Arial" w:hAnsi="Arial" w:cs="Arial"/>
          <w:b/>
          <w:bCs/>
          <w:color w:val="000000"/>
        </w:rPr>
      </w:pPr>
      <w:r w:rsidRPr="000F5C3A">
        <w:rPr>
          <w:rFonts w:ascii="Arial" w:hAnsi="Arial" w:cs="Arial"/>
          <w:b/>
          <w:bCs/>
          <w:color w:val="000000"/>
        </w:rPr>
        <w:tab/>
        <w:t>A</w:t>
      </w:r>
      <w:r w:rsidR="00A67325">
        <w:rPr>
          <w:rFonts w:ascii="Arial" w:hAnsi="Arial" w:cs="Arial"/>
          <w:b/>
          <w:bCs/>
          <w:color w:val="000000"/>
        </w:rPr>
        <w:t xml:space="preserve">nnex </w:t>
      </w:r>
      <w:r w:rsidR="003D6A71">
        <w:rPr>
          <w:rFonts w:ascii="Arial" w:hAnsi="Arial" w:cs="Arial"/>
          <w:b/>
          <w:bCs/>
          <w:color w:val="000000"/>
        </w:rPr>
        <w:t>C</w:t>
      </w:r>
      <w:r w:rsidRPr="000F5C3A">
        <w:rPr>
          <w:rFonts w:ascii="Arial" w:hAnsi="Arial" w:cs="Arial"/>
          <w:b/>
          <w:bCs/>
          <w:color w:val="000000"/>
        </w:rPr>
        <w:t xml:space="preserve"> to D</w:t>
      </w:r>
      <w:r w:rsidR="00C41EBA">
        <w:rPr>
          <w:rFonts w:ascii="Arial" w:hAnsi="Arial" w:cs="Arial"/>
          <w:b/>
          <w:bCs/>
          <w:color w:val="000000"/>
        </w:rPr>
        <w:t>EF</w:t>
      </w:r>
      <w:r w:rsidRPr="000F5C3A">
        <w:rPr>
          <w:rFonts w:ascii="Arial" w:hAnsi="Arial" w:cs="Arial"/>
          <w:b/>
          <w:bCs/>
          <w:color w:val="000000"/>
        </w:rPr>
        <w:t>F</w:t>
      </w:r>
      <w:r w:rsidR="00C41EBA">
        <w:rPr>
          <w:rFonts w:ascii="Arial" w:hAnsi="Arial" w:cs="Arial"/>
          <w:b/>
          <w:bCs/>
          <w:color w:val="000000"/>
        </w:rPr>
        <w:t xml:space="preserve">ORM </w:t>
      </w:r>
      <w:r w:rsidRPr="000F5C3A">
        <w:rPr>
          <w:rFonts w:ascii="Arial" w:hAnsi="Arial" w:cs="Arial"/>
          <w:b/>
          <w:bCs/>
          <w:color w:val="000000"/>
        </w:rPr>
        <w:t>47</w:t>
      </w:r>
    </w:p>
    <w:p w14:paraId="53D16E90" w14:textId="77777777" w:rsidR="00A52B6D" w:rsidRPr="000F5C3A" w:rsidRDefault="00A52B6D" w:rsidP="00A52B6D">
      <w:pPr>
        <w:widowControl w:val="0"/>
        <w:autoSpaceDE w:val="0"/>
        <w:autoSpaceDN w:val="0"/>
        <w:adjustRightInd w:val="0"/>
        <w:spacing w:after="0" w:line="240" w:lineRule="auto"/>
        <w:ind w:left="120"/>
        <w:rPr>
          <w:rFonts w:ascii="Arial" w:hAnsi="Arial" w:cs="Arial"/>
          <w:b/>
          <w:bCs/>
          <w:color w:val="000000"/>
        </w:rPr>
      </w:pPr>
    </w:p>
    <w:p w14:paraId="6B5212BC" w14:textId="02F0546D" w:rsidR="00A52B6D" w:rsidRPr="00604025" w:rsidRDefault="00A52B6D" w:rsidP="000D44E8">
      <w:pPr>
        <w:widowControl w:val="0"/>
        <w:autoSpaceDE w:val="0"/>
        <w:autoSpaceDN w:val="0"/>
        <w:adjustRightInd w:val="0"/>
        <w:spacing w:after="0" w:line="240" w:lineRule="auto"/>
        <w:jc w:val="center"/>
        <w:rPr>
          <w:rFonts w:ascii="Arial" w:hAnsi="Arial" w:cs="Arial"/>
          <w:color w:val="000000"/>
          <w:u w:val="single"/>
        </w:rPr>
      </w:pPr>
      <w:r w:rsidRPr="00604025">
        <w:rPr>
          <w:rFonts w:ascii="Arial" w:hAnsi="Arial" w:cs="Arial"/>
          <w:b/>
          <w:bCs/>
          <w:color w:val="000000"/>
          <w:u w:val="single"/>
        </w:rPr>
        <w:t>Tender Evaluation</w:t>
      </w:r>
      <w:bookmarkEnd w:id="0"/>
      <w:r w:rsidR="000D44E8" w:rsidRPr="00604025">
        <w:rPr>
          <w:rFonts w:ascii="Arial" w:hAnsi="Arial" w:cs="Arial"/>
          <w:b/>
          <w:bCs/>
          <w:color w:val="000000"/>
          <w:u w:val="single"/>
        </w:rPr>
        <w:t xml:space="preserve"> Methodology </w:t>
      </w:r>
    </w:p>
    <w:p w14:paraId="65AEBA43" w14:textId="2D96B49C" w:rsidR="00A52B6D" w:rsidRPr="000F5C3A" w:rsidRDefault="00A52B6D" w:rsidP="00162491">
      <w:pPr>
        <w:widowControl w:val="0"/>
        <w:autoSpaceDE w:val="0"/>
        <w:autoSpaceDN w:val="0"/>
        <w:adjustRightInd w:val="0"/>
        <w:spacing w:before="120" w:after="180" w:line="360" w:lineRule="auto"/>
        <w:rPr>
          <w:rFonts w:ascii="Arial" w:hAnsi="Arial" w:cs="Arial"/>
          <w:b/>
          <w:bCs/>
        </w:rPr>
      </w:pPr>
      <w:r w:rsidRPr="000F5C3A">
        <w:rPr>
          <w:rFonts w:ascii="Arial" w:hAnsi="Arial" w:cs="Arial"/>
          <w:b/>
          <w:bCs/>
        </w:rPr>
        <w:t xml:space="preserve">Introduction </w:t>
      </w:r>
    </w:p>
    <w:p w14:paraId="08A45643" w14:textId="0E8854FC" w:rsidR="00A52B6D" w:rsidRPr="00162491" w:rsidRDefault="00A52B6D" w:rsidP="00162491">
      <w:pPr>
        <w:pStyle w:val="ListParagraph"/>
        <w:widowControl w:val="0"/>
        <w:numPr>
          <w:ilvl w:val="0"/>
          <w:numId w:val="6"/>
        </w:numPr>
        <w:autoSpaceDE w:val="0"/>
        <w:autoSpaceDN w:val="0"/>
        <w:adjustRightInd w:val="0"/>
        <w:spacing w:before="120" w:after="180" w:line="360" w:lineRule="auto"/>
        <w:rPr>
          <w:rFonts w:ascii="Arial" w:hAnsi="Arial" w:cs="Arial"/>
          <w:sz w:val="24"/>
          <w:szCs w:val="24"/>
        </w:rPr>
      </w:pPr>
      <w:r w:rsidRPr="00162491">
        <w:rPr>
          <w:rFonts w:ascii="Arial" w:hAnsi="Arial" w:cs="Arial"/>
          <w:color w:val="000000"/>
        </w:rPr>
        <w:t xml:space="preserve">This </w:t>
      </w:r>
      <w:r w:rsidR="000F5C3A" w:rsidRPr="00162491">
        <w:rPr>
          <w:rFonts w:ascii="Arial" w:hAnsi="Arial" w:cs="Arial"/>
          <w:color w:val="000000"/>
        </w:rPr>
        <w:t>document</w:t>
      </w:r>
      <w:r w:rsidRPr="00162491">
        <w:rPr>
          <w:rFonts w:ascii="Arial" w:hAnsi="Arial" w:cs="Arial"/>
          <w:color w:val="000000"/>
        </w:rPr>
        <w:t xml:space="preserve"> details </w:t>
      </w:r>
      <w:r w:rsidR="00E564E8" w:rsidRPr="00162491">
        <w:rPr>
          <w:rFonts w:ascii="Arial" w:hAnsi="Arial" w:cs="Arial"/>
          <w:color w:val="000000"/>
        </w:rPr>
        <w:t xml:space="preserve">the process and criteria that the Authority will use to evaluate the </w:t>
      </w:r>
      <w:r w:rsidR="004E4F84">
        <w:rPr>
          <w:rFonts w:ascii="Arial" w:hAnsi="Arial" w:cs="Arial"/>
          <w:color w:val="000000"/>
        </w:rPr>
        <w:t>Method of Entry (</w:t>
      </w:r>
      <w:proofErr w:type="spellStart"/>
      <w:r w:rsidR="004E4F84">
        <w:rPr>
          <w:rFonts w:ascii="Arial" w:hAnsi="Arial" w:cs="Arial"/>
          <w:color w:val="000000"/>
        </w:rPr>
        <w:t>MoE</w:t>
      </w:r>
      <w:proofErr w:type="spellEnd"/>
      <w:r w:rsidR="004E4F84">
        <w:rPr>
          <w:rFonts w:ascii="Arial" w:hAnsi="Arial" w:cs="Arial"/>
          <w:color w:val="000000"/>
        </w:rPr>
        <w:t>) training rig</w:t>
      </w:r>
      <w:r w:rsidR="0089317A">
        <w:rPr>
          <w:rFonts w:ascii="Arial" w:hAnsi="Arial" w:cs="Arial"/>
          <w:color w:val="000000"/>
        </w:rPr>
        <w:t xml:space="preserve"> tender</w:t>
      </w:r>
      <w:r w:rsidR="00E564E8" w:rsidRPr="00162491">
        <w:rPr>
          <w:rFonts w:ascii="Arial" w:hAnsi="Arial" w:cs="Arial"/>
          <w:color w:val="000000"/>
        </w:rPr>
        <w:t xml:space="preserve">. </w:t>
      </w:r>
    </w:p>
    <w:p w14:paraId="70EF0987" w14:textId="77777777" w:rsidR="00162491" w:rsidRDefault="00A52B6D" w:rsidP="00162491">
      <w:pPr>
        <w:pStyle w:val="ListParagraph"/>
        <w:widowControl w:val="0"/>
        <w:numPr>
          <w:ilvl w:val="0"/>
          <w:numId w:val="6"/>
        </w:numPr>
        <w:autoSpaceDE w:val="0"/>
        <w:autoSpaceDN w:val="0"/>
        <w:adjustRightInd w:val="0"/>
        <w:spacing w:before="120" w:after="180" w:line="360" w:lineRule="auto"/>
        <w:rPr>
          <w:rFonts w:ascii="Arial" w:hAnsi="Arial" w:cs="Arial"/>
          <w:color w:val="000000"/>
        </w:rPr>
      </w:pPr>
      <w:r w:rsidRPr="00162491">
        <w:rPr>
          <w:rFonts w:ascii="Arial" w:hAnsi="Arial" w:cs="Arial"/>
          <w:color w:val="000000"/>
        </w:rPr>
        <w:t>Negotiations do not apply to this tender process.</w:t>
      </w:r>
    </w:p>
    <w:p w14:paraId="74D0527E" w14:textId="1B5BE4E9" w:rsidR="00162491" w:rsidRDefault="00A52B6D" w:rsidP="00162491">
      <w:pPr>
        <w:pStyle w:val="ListParagraph"/>
        <w:widowControl w:val="0"/>
        <w:numPr>
          <w:ilvl w:val="0"/>
          <w:numId w:val="6"/>
        </w:numPr>
        <w:autoSpaceDE w:val="0"/>
        <w:autoSpaceDN w:val="0"/>
        <w:adjustRightInd w:val="0"/>
        <w:spacing w:before="120" w:after="180" w:line="360" w:lineRule="auto"/>
        <w:rPr>
          <w:rFonts w:ascii="Arial" w:hAnsi="Arial" w:cs="Arial"/>
          <w:color w:val="000000"/>
        </w:rPr>
      </w:pPr>
      <w:r w:rsidRPr="00162491">
        <w:rPr>
          <w:rFonts w:ascii="Arial" w:hAnsi="Arial" w:cs="Arial"/>
          <w:color w:val="000000"/>
        </w:rPr>
        <w:t xml:space="preserve">The Tender evaluation will be conducted using the Most Economically Advantageous Tender (MEAT) calculation which is detailed in </w:t>
      </w:r>
      <w:r w:rsidR="00D02E9F" w:rsidRPr="00AE47FD">
        <w:rPr>
          <w:rFonts w:ascii="Arial" w:hAnsi="Arial" w:cs="Arial"/>
          <w:color w:val="000000"/>
        </w:rPr>
        <w:t>Para</w:t>
      </w:r>
      <w:r w:rsidR="00131551">
        <w:rPr>
          <w:rFonts w:ascii="Arial" w:hAnsi="Arial" w:cs="Arial"/>
          <w:color w:val="000000"/>
        </w:rPr>
        <w:t xml:space="preserve">graph </w:t>
      </w:r>
      <w:r w:rsidR="00482441">
        <w:rPr>
          <w:rFonts w:ascii="Arial" w:hAnsi="Arial" w:cs="Arial"/>
          <w:color w:val="000000"/>
        </w:rPr>
        <w:t>29</w:t>
      </w:r>
      <w:r w:rsidR="00131551">
        <w:rPr>
          <w:rFonts w:ascii="Arial" w:hAnsi="Arial" w:cs="Arial"/>
          <w:color w:val="000000"/>
        </w:rPr>
        <w:t xml:space="preserve"> within</w:t>
      </w:r>
      <w:r w:rsidR="00D02E9F" w:rsidRPr="00162491">
        <w:rPr>
          <w:rFonts w:ascii="Arial" w:hAnsi="Arial" w:cs="Arial"/>
          <w:color w:val="000000"/>
        </w:rPr>
        <w:t xml:space="preserve"> this document.</w:t>
      </w:r>
      <w:r w:rsidRPr="00162491">
        <w:rPr>
          <w:rFonts w:ascii="Arial" w:hAnsi="Arial" w:cs="Arial"/>
          <w:color w:val="000000"/>
        </w:rPr>
        <w:t xml:space="preserve"> The Evaluation Criteria are detailed in </w:t>
      </w:r>
      <w:r w:rsidR="00C41EBA">
        <w:rPr>
          <w:rFonts w:ascii="Arial" w:hAnsi="Arial" w:cs="Arial"/>
          <w:color w:val="000000"/>
        </w:rPr>
        <w:t xml:space="preserve">Annex </w:t>
      </w:r>
      <w:r w:rsidR="005C112D">
        <w:rPr>
          <w:rFonts w:ascii="Arial" w:hAnsi="Arial" w:cs="Arial"/>
          <w:color w:val="000000"/>
        </w:rPr>
        <w:t>B</w:t>
      </w:r>
      <w:r w:rsidR="00D06995">
        <w:rPr>
          <w:rFonts w:ascii="Arial" w:hAnsi="Arial" w:cs="Arial"/>
          <w:color w:val="000000"/>
        </w:rPr>
        <w:t xml:space="preserve"> </w:t>
      </w:r>
      <w:r w:rsidRPr="00162491">
        <w:rPr>
          <w:rFonts w:ascii="Arial" w:hAnsi="Arial" w:cs="Arial"/>
          <w:color w:val="000000"/>
        </w:rPr>
        <w:t>to th</w:t>
      </w:r>
      <w:r w:rsidR="00AE47FD">
        <w:rPr>
          <w:rFonts w:ascii="Arial" w:hAnsi="Arial" w:cs="Arial"/>
          <w:color w:val="000000"/>
        </w:rPr>
        <w:t>e</w:t>
      </w:r>
      <w:r w:rsidRPr="00162491">
        <w:rPr>
          <w:rFonts w:ascii="Arial" w:hAnsi="Arial" w:cs="Arial"/>
          <w:color w:val="000000"/>
        </w:rPr>
        <w:t xml:space="preserve"> DEFFORM 47 and will be available via the Defence Sourcing Portal (DSP).</w:t>
      </w:r>
    </w:p>
    <w:p w14:paraId="317821BA" w14:textId="28139DE5" w:rsidR="00162491" w:rsidRPr="00162491" w:rsidRDefault="00A52B6D" w:rsidP="00162491">
      <w:pPr>
        <w:pStyle w:val="ListParagraph"/>
        <w:widowControl w:val="0"/>
        <w:numPr>
          <w:ilvl w:val="0"/>
          <w:numId w:val="6"/>
        </w:numPr>
        <w:autoSpaceDE w:val="0"/>
        <w:autoSpaceDN w:val="0"/>
        <w:adjustRightInd w:val="0"/>
        <w:spacing w:before="120" w:after="180" w:line="360" w:lineRule="auto"/>
        <w:rPr>
          <w:rFonts w:ascii="Arial" w:hAnsi="Arial" w:cs="Arial"/>
          <w:color w:val="000000"/>
        </w:rPr>
      </w:pPr>
      <w:r w:rsidRPr="00162491">
        <w:rPr>
          <w:rFonts w:ascii="Arial" w:hAnsi="Arial" w:cs="Arial"/>
          <w:color w:val="000000" w:themeColor="text1"/>
        </w:rPr>
        <w:t>The MEAT will be determined by calculating a Tender Score for each Tender using the Value for Money Index method.</w:t>
      </w:r>
      <w:r w:rsidR="00D02E9F" w:rsidRPr="00162491">
        <w:rPr>
          <w:rFonts w:ascii="Arial" w:hAnsi="Arial" w:cs="Arial"/>
          <w:color w:val="000000" w:themeColor="text1"/>
        </w:rPr>
        <w:t xml:space="preserve"> In this method, the Tender Score is calculated by dividing the non-cost score by the Tender Price. The aim of this method is to maximise the capability that is delivered by each £ of tender cost.</w:t>
      </w:r>
      <w:r w:rsidRPr="00162491">
        <w:rPr>
          <w:rFonts w:ascii="Arial" w:hAnsi="Arial" w:cs="Arial"/>
          <w:color w:val="000000" w:themeColor="text1"/>
        </w:rPr>
        <w:t xml:space="preserve"> </w:t>
      </w:r>
      <w:r w:rsidR="005C32D9" w:rsidRPr="00162491">
        <w:rPr>
          <w:rFonts w:ascii="Arial" w:hAnsi="Arial" w:cs="Arial"/>
          <w:color w:val="000000" w:themeColor="text1"/>
        </w:rPr>
        <w:t>The Tenderer that achieve</w:t>
      </w:r>
      <w:r w:rsidR="00FD2212" w:rsidRPr="00162491">
        <w:rPr>
          <w:rFonts w:ascii="Arial" w:hAnsi="Arial" w:cs="Arial"/>
          <w:color w:val="000000" w:themeColor="text1"/>
        </w:rPr>
        <w:t>s</w:t>
      </w:r>
      <w:r w:rsidR="005C32D9" w:rsidRPr="00162491">
        <w:rPr>
          <w:rFonts w:ascii="Arial" w:hAnsi="Arial" w:cs="Arial"/>
          <w:color w:val="000000" w:themeColor="text1"/>
        </w:rPr>
        <w:t xml:space="preserve"> the highest Tender Score will be the winning Tenderer and the MEAT. </w:t>
      </w:r>
    </w:p>
    <w:p w14:paraId="6E1B0E50" w14:textId="49F51BA9" w:rsidR="005C32D9" w:rsidRPr="000F5C3A" w:rsidRDefault="005C32D9" w:rsidP="00162491">
      <w:pPr>
        <w:widowControl w:val="0"/>
        <w:autoSpaceDE w:val="0"/>
        <w:autoSpaceDN w:val="0"/>
        <w:adjustRightInd w:val="0"/>
        <w:spacing w:before="120" w:after="180" w:line="360" w:lineRule="auto"/>
        <w:rPr>
          <w:rFonts w:ascii="Arial" w:hAnsi="Arial" w:cs="Arial"/>
          <w:b/>
          <w:bCs/>
          <w:color w:val="000000"/>
        </w:rPr>
      </w:pPr>
      <w:r w:rsidRPr="000F5C3A">
        <w:rPr>
          <w:rFonts w:ascii="Arial" w:hAnsi="Arial" w:cs="Arial"/>
          <w:b/>
          <w:bCs/>
          <w:color w:val="000000"/>
        </w:rPr>
        <w:t xml:space="preserve">Outline of the Tender Evaluation Process </w:t>
      </w:r>
    </w:p>
    <w:p w14:paraId="7A59400B" w14:textId="0D2184DA" w:rsidR="00345354" w:rsidRDefault="00A52B6D" w:rsidP="00162491">
      <w:pPr>
        <w:pStyle w:val="ListParagraph"/>
        <w:widowControl w:val="0"/>
        <w:numPr>
          <w:ilvl w:val="0"/>
          <w:numId w:val="6"/>
        </w:numPr>
        <w:autoSpaceDE w:val="0"/>
        <w:autoSpaceDN w:val="0"/>
        <w:adjustRightInd w:val="0"/>
        <w:spacing w:before="120" w:after="180" w:line="360" w:lineRule="auto"/>
        <w:rPr>
          <w:rFonts w:ascii="Arial" w:hAnsi="Arial" w:cs="Arial"/>
          <w:color w:val="000000"/>
        </w:rPr>
      </w:pPr>
      <w:r w:rsidRPr="00162491">
        <w:rPr>
          <w:rFonts w:ascii="Arial" w:hAnsi="Arial" w:cs="Arial"/>
          <w:color w:val="000000"/>
        </w:rPr>
        <w:t>There are three stages to the evaluation. Table 1 below demonstrates these stages and the order of the evaluation</w:t>
      </w:r>
      <w:r w:rsidR="005C32D9" w:rsidRPr="00162491">
        <w:rPr>
          <w:rFonts w:ascii="Arial" w:hAnsi="Arial" w:cs="Arial"/>
          <w:color w:val="000000"/>
        </w:rPr>
        <w:t>.</w:t>
      </w:r>
    </w:p>
    <w:p w14:paraId="45815B6E" w14:textId="04E0EC46" w:rsidR="00D87396" w:rsidRPr="00D87396" w:rsidRDefault="00D87396" w:rsidP="00D87396">
      <w:pPr>
        <w:widowControl w:val="0"/>
        <w:autoSpaceDE w:val="0"/>
        <w:autoSpaceDN w:val="0"/>
        <w:adjustRightInd w:val="0"/>
        <w:spacing w:before="120" w:after="180" w:line="360" w:lineRule="auto"/>
        <w:rPr>
          <w:rFonts w:ascii="Arial" w:hAnsi="Arial" w:cs="Arial"/>
          <w:b/>
          <w:bCs/>
          <w:color w:val="000000"/>
        </w:rPr>
      </w:pPr>
      <w:r>
        <w:rPr>
          <w:rFonts w:ascii="Arial" w:hAnsi="Arial" w:cs="Arial"/>
          <w:b/>
          <w:bCs/>
          <w:color w:val="000000"/>
        </w:rPr>
        <w:t>Table 1</w:t>
      </w:r>
    </w:p>
    <w:tbl>
      <w:tblPr>
        <w:tblpPr w:leftFromText="180" w:rightFromText="180" w:bottomFromText="160" w:vertAnchor="text" w:horzAnchor="margin" w:tblpY="6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513"/>
      </w:tblGrid>
      <w:tr w:rsidR="00A52B6D" w:rsidRPr="000F5C3A" w14:paraId="7374D747" w14:textId="77777777" w:rsidTr="00EC70B5">
        <w:trPr>
          <w:trHeight w:val="261"/>
        </w:trPr>
        <w:tc>
          <w:tcPr>
            <w:tcW w:w="1413" w:type="dxa"/>
            <w:shd w:val="clear" w:color="auto" w:fill="F7CAAC" w:themeFill="accent2" w:themeFillTint="66"/>
            <w:vAlign w:val="center"/>
            <w:hideMark/>
          </w:tcPr>
          <w:p w14:paraId="324E7D3F" w14:textId="12463508" w:rsidR="00A52B6D" w:rsidRPr="000F5C3A" w:rsidRDefault="00A52B6D" w:rsidP="00162491">
            <w:pPr>
              <w:pStyle w:val="NoSpacing"/>
              <w:spacing w:line="360" w:lineRule="auto"/>
              <w:jc w:val="center"/>
              <w:rPr>
                <w:rFonts w:ascii="Arial" w:hAnsi="Arial" w:cs="Arial"/>
                <w:b/>
              </w:rPr>
            </w:pPr>
          </w:p>
        </w:tc>
        <w:tc>
          <w:tcPr>
            <w:tcW w:w="7513" w:type="dxa"/>
            <w:shd w:val="clear" w:color="auto" w:fill="F7CAAC" w:themeFill="accent2" w:themeFillTint="66"/>
            <w:vAlign w:val="center"/>
            <w:hideMark/>
          </w:tcPr>
          <w:p w14:paraId="0827A1BF" w14:textId="2D71CCBA" w:rsidR="00A52B6D" w:rsidRPr="000F5C3A" w:rsidRDefault="00A52B6D" w:rsidP="00162491">
            <w:pPr>
              <w:pStyle w:val="NoSpacing"/>
              <w:spacing w:line="360" w:lineRule="auto"/>
              <w:jc w:val="center"/>
              <w:rPr>
                <w:rFonts w:ascii="Arial" w:hAnsi="Arial" w:cs="Arial"/>
                <w:b/>
              </w:rPr>
            </w:pPr>
            <w:r w:rsidRPr="000F5C3A">
              <w:rPr>
                <w:rFonts w:ascii="Arial" w:hAnsi="Arial" w:cs="Arial"/>
                <w:b/>
              </w:rPr>
              <w:t>Description</w:t>
            </w:r>
          </w:p>
        </w:tc>
      </w:tr>
      <w:tr w:rsidR="009A507F" w:rsidRPr="000F5C3A" w14:paraId="3242EF28" w14:textId="77777777" w:rsidTr="00C41EBA">
        <w:trPr>
          <w:trHeight w:val="261"/>
        </w:trPr>
        <w:tc>
          <w:tcPr>
            <w:tcW w:w="1413" w:type="dxa"/>
            <w:shd w:val="clear" w:color="auto" w:fill="auto"/>
            <w:vAlign w:val="center"/>
          </w:tcPr>
          <w:p w14:paraId="222562D8" w14:textId="538719C5" w:rsidR="009A507F" w:rsidRPr="000F5C3A" w:rsidRDefault="009A507F" w:rsidP="00162491">
            <w:pPr>
              <w:pStyle w:val="NoSpacing"/>
              <w:spacing w:line="360" w:lineRule="auto"/>
              <w:jc w:val="center"/>
              <w:rPr>
                <w:rFonts w:ascii="Arial" w:hAnsi="Arial" w:cs="Arial"/>
                <w:b/>
              </w:rPr>
            </w:pPr>
            <w:r>
              <w:rPr>
                <w:rFonts w:ascii="Arial" w:hAnsi="Arial" w:cs="Arial"/>
                <w:szCs w:val="18"/>
              </w:rPr>
              <w:t>Stage 1</w:t>
            </w:r>
          </w:p>
        </w:tc>
        <w:tc>
          <w:tcPr>
            <w:tcW w:w="7513" w:type="dxa"/>
            <w:shd w:val="clear" w:color="auto" w:fill="auto"/>
            <w:vAlign w:val="center"/>
          </w:tcPr>
          <w:p w14:paraId="0F4DAF18" w14:textId="3121DCE2" w:rsidR="009A507F" w:rsidRPr="000F5C3A" w:rsidRDefault="009A507F" w:rsidP="00162491">
            <w:pPr>
              <w:pStyle w:val="NoSpacing"/>
              <w:spacing w:line="360" w:lineRule="auto"/>
              <w:jc w:val="center"/>
              <w:rPr>
                <w:rFonts w:ascii="Arial" w:hAnsi="Arial" w:cs="Arial"/>
                <w:b/>
              </w:rPr>
            </w:pPr>
            <w:r>
              <w:rPr>
                <w:rFonts w:ascii="Arial" w:hAnsi="Arial" w:cs="Arial"/>
                <w:szCs w:val="20"/>
              </w:rPr>
              <w:t>Su</w:t>
            </w:r>
            <w:r w:rsidR="008E1A1A">
              <w:rPr>
                <w:rFonts w:ascii="Arial" w:hAnsi="Arial" w:cs="Arial"/>
                <w:szCs w:val="20"/>
              </w:rPr>
              <w:t>itability</w:t>
            </w:r>
            <w:r>
              <w:rPr>
                <w:rFonts w:ascii="Arial" w:hAnsi="Arial" w:cs="Arial"/>
                <w:szCs w:val="20"/>
              </w:rPr>
              <w:t xml:space="preserve"> Assessment Questions (SAQ) Eligibility </w:t>
            </w:r>
          </w:p>
        </w:tc>
      </w:tr>
      <w:tr w:rsidR="009A507F" w:rsidRPr="000F5C3A" w14:paraId="4F86D6DC" w14:textId="77777777" w:rsidTr="00C41EBA">
        <w:trPr>
          <w:trHeight w:val="136"/>
        </w:trPr>
        <w:tc>
          <w:tcPr>
            <w:tcW w:w="1413" w:type="dxa"/>
            <w:shd w:val="clear" w:color="auto" w:fill="auto"/>
            <w:vAlign w:val="center"/>
            <w:hideMark/>
          </w:tcPr>
          <w:p w14:paraId="6473B627" w14:textId="44C9386D" w:rsidR="009A507F" w:rsidRPr="000F5C3A" w:rsidRDefault="009A507F" w:rsidP="00162491">
            <w:pPr>
              <w:pStyle w:val="NoSpacing"/>
              <w:spacing w:line="360" w:lineRule="auto"/>
              <w:jc w:val="center"/>
              <w:rPr>
                <w:rFonts w:ascii="Arial" w:hAnsi="Arial" w:cs="Arial"/>
                <w:szCs w:val="18"/>
              </w:rPr>
            </w:pPr>
            <w:r w:rsidRPr="000F5C3A">
              <w:rPr>
                <w:rFonts w:ascii="Arial" w:hAnsi="Arial" w:cs="Arial"/>
                <w:szCs w:val="18"/>
              </w:rPr>
              <w:t xml:space="preserve">Stage </w:t>
            </w:r>
            <w:r w:rsidR="00B00CFF">
              <w:rPr>
                <w:rFonts w:ascii="Arial" w:hAnsi="Arial" w:cs="Arial"/>
                <w:szCs w:val="18"/>
              </w:rPr>
              <w:t>2</w:t>
            </w:r>
          </w:p>
        </w:tc>
        <w:tc>
          <w:tcPr>
            <w:tcW w:w="7513" w:type="dxa"/>
            <w:shd w:val="clear" w:color="auto" w:fill="auto"/>
            <w:vAlign w:val="center"/>
            <w:hideMark/>
          </w:tcPr>
          <w:p w14:paraId="461FDDA5" w14:textId="7DBC8B9F" w:rsidR="009A507F" w:rsidRPr="000F5C3A" w:rsidRDefault="00125611" w:rsidP="00162491">
            <w:pPr>
              <w:pStyle w:val="NoSpacing"/>
              <w:spacing w:line="360" w:lineRule="auto"/>
              <w:jc w:val="center"/>
              <w:rPr>
                <w:rFonts w:ascii="Arial" w:hAnsi="Arial" w:cs="Arial"/>
                <w:szCs w:val="20"/>
              </w:rPr>
            </w:pPr>
            <w:r>
              <w:rPr>
                <w:rFonts w:ascii="Arial" w:hAnsi="Arial" w:cs="Arial"/>
                <w:szCs w:val="20"/>
              </w:rPr>
              <w:t xml:space="preserve">Commercial Compliance </w:t>
            </w:r>
            <w:r w:rsidR="00022F07">
              <w:rPr>
                <w:rFonts w:ascii="Arial" w:hAnsi="Arial" w:cs="Arial"/>
                <w:szCs w:val="20"/>
              </w:rPr>
              <w:t>Evaluation (Pass/Fail)</w:t>
            </w:r>
          </w:p>
        </w:tc>
      </w:tr>
      <w:tr w:rsidR="009A507F" w:rsidRPr="000F5C3A" w14:paraId="14970B7E" w14:textId="77777777" w:rsidTr="00D70AF6">
        <w:trPr>
          <w:trHeight w:val="296"/>
        </w:trPr>
        <w:tc>
          <w:tcPr>
            <w:tcW w:w="1413" w:type="dxa"/>
            <w:vAlign w:val="center"/>
            <w:hideMark/>
          </w:tcPr>
          <w:p w14:paraId="02EDA08D" w14:textId="4A8AF719" w:rsidR="009A507F" w:rsidRPr="000F5C3A" w:rsidRDefault="009A507F" w:rsidP="00162491">
            <w:pPr>
              <w:pStyle w:val="NoSpacing"/>
              <w:spacing w:line="360" w:lineRule="auto"/>
              <w:jc w:val="center"/>
              <w:rPr>
                <w:rFonts w:ascii="Arial" w:hAnsi="Arial" w:cs="Arial"/>
                <w:szCs w:val="18"/>
              </w:rPr>
            </w:pPr>
            <w:r w:rsidRPr="000F5C3A">
              <w:rPr>
                <w:rFonts w:ascii="Arial" w:hAnsi="Arial" w:cs="Arial"/>
                <w:szCs w:val="18"/>
              </w:rPr>
              <w:t xml:space="preserve">Stage </w:t>
            </w:r>
            <w:r w:rsidR="00B00CFF">
              <w:rPr>
                <w:rFonts w:ascii="Arial" w:hAnsi="Arial" w:cs="Arial"/>
                <w:szCs w:val="18"/>
              </w:rPr>
              <w:t>3</w:t>
            </w:r>
          </w:p>
        </w:tc>
        <w:tc>
          <w:tcPr>
            <w:tcW w:w="7513" w:type="dxa"/>
            <w:vAlign w:val="center"/>
            <w:hideMark/>
          </w:tcPr>
          <w:p w14:paraId="7134E08A" w14:textId="3F5DB4D5" w:rsidR="009A507F" w:rsidRPr="000F5C3A" w:rsidRDefault="009A507F" w:rsidP="00162491">
            <w:pPr>
              <w:pStyle w:val="NoSpacing"/>
              <w:spacing w:line="360" w:lineRule="auto"/>
              <w:jc w:val="center"/>
              <w:rPr>
                <w:rFonts w:ascii="Arial" w:hAnsi="Arial" w:cs="Arial"/>
                <w:szCs w:val="20"/>
              </w:rPr>
            </w:pPr>
            <w:r>
              <w:rPr>
                <w:rFonts w:ascii="Arial" w:hAnsi="Arial" w:cs="Arial"/>
                <w:szCs w:val="20"/>
              </w:rPr>
              <w:t xml:space="preserve">Technical Evaluation </w:t>
            </w:r>
            <w:r w:rsidR="00B433D8">
              <w:rPr>
                <w:rFonts w:ascii="Arial" w:hAnsi="Arial" w:cs="Arial"/>
                <w:szCs w:val="20"/>
              </w:rPr>
              <w:t>(Weighted Scores)</w:t>
            </w:r>
          </w:p>
        </w:tc>
      </w:tr>
      <w:tr w:rsidR="009A507F" w:rsidRPr="000F5C3A" w14:paraId="5A52C802" w14:textId="77777777" w:rsidTr="00D70AF6">
        <w:trPr>
          <w:trHeight w:val="390"/>
        </w:trPr>
        <w:tc>
          <w:tcPr>
            <w:tcW w:w="1413" w:type="dxa"/>
            <w:vAlign w:val="center"/>
            <w:hideMark/>
          </w:tcPr>
          <w:p w14:paraId="01A0A6D6" w14:textId="3E4D2E68" w:rsidR="009A507F" w:rsidRPr="000F5C3A" w:rsidRDefault="009A507F" w:rsidP="00162491">
            <w:pPr>
              <w:pStyle w:val="NoSpacing"/>
              <w:spacing w:line="360" w:lineRule="auto"/>
              <w:jc w:val="center"/>
              <w:rPr>
                <w:rFonts w:ascii="Arial" w:hAnsi="Arial" w:cs="Arial"/>
                <w:szCs w:val="18"/>
              </w:rPr>
            </w:pPr>
            <w:r w:rsidRPr="000F5C3A">
              <w:rPr>
                <w:rFonts w:ascii="Arial" w:hAnsi="Arial" w:cs="Arial"/>
                <w:szCs w:val="18"/>
              </w:rPr>
              <w:t xml:space="preserve">Stage </w:t>
            </w:r>
            <w:r w:rsidR="00B00CFF">
              <w:rPr>
                <w:rFonts w:ascii="Arial" w:hAnsi="Arial" w:cs="Arial"/>
                <w:szCs w:val="18"/>
              </w:rPr>
              <w:t>4</w:t>
            </w:r>
          </w:p>
        </w:tc>
        <w:tc>
          <w:tcPr>
            <w:tcW w:w="7513" w:type="dxa"/>
            <w:vAlign w:val="center"/>
            <w:hideMark/>
          </w:tcPr>
          <w:p w14:paraId="0B2D0CDA" w14:textId="72FF7D30" w:rsidR="009A507F" w:rsidRPr="000F5C3A" w:rsidRDefault="007557EE" w:rsidP="00162491">
            <w:pPr>
              <w:pStyle w:val="NoSpacing"/>
              <w:spacing w:line="360" w:lineRule="auto"/>
              <w:jc w:val="center"/>
              <w:rPr>
                <w:rFonts w:ascii="Arial" w:hAnsi="Arial" w:cs="Arial"/>
                <w:szCs w:val="20"/>
              </w:rPr>
            </w:pPr>
            <w:r>
              <w:rPr>
                <w:rFonts w:ascii="Arial" w:hAnsi="Arial" w:cs="Arial"/>
                <w:szCs w:val="20"/>
              </w:rPr>
              <w:t xml:space="preserve">Determination </w:t>
            </w:r>
            <w:r w:rsidR="009A507F" w:rsidRPr="000F5C3A">
              <w:rPr>
                <w:rFonts w:ascii="Arial" w:hAnsi="Arial" w:cs="Arial"/>
                <w:szCs w:val="20"/>
              </w:rPr>
              <w:t>of Price (Including MEAT evaluation)</w:t>
            </w:r>
          </w:p>
        </w:tc>
      </w:tr>
    </w:tbl>
    <w:p w14:paraId="19FFF5C2" w14:textId="77777777" w:rsidR="000B58D8" w:rsidRPr="000F5C3A" w:rsidRDefault="000B58D8" w:rsidP="00162491">
      <w:pPr>
        <w:autoSpaceDE w:val="0"/>
        <w:autoSpaceDN w:val="0"/>
        <w:adjustRightInd w:val="0"/>
        <w:spacing w:after="0" w:line="360" w:lineRule="auto"/>
        <w:rPr>
          <w:rFonts w:ascii="Arial" w:hAnsi="Arial" w:cs="Arial"/>
        </w:rPr>
      </w:pPr>
    </w:p>
    <w:p w14:paraId="0B83D32B" w14:textId="77777777" w:rsidR="000B58D8" w:rsidRPr="000F5C3A" w:rsidRDefault="000B58D8" w:rsidP="00162491">
      <w:pPr>
        <w:autoSpaceDE w:val="0"/>
        <w:autoSpaceDN w:val="0"/>
        <w:adjustRightInd w:val="0"/>
        <w:spacing w:after="0" w:line="360" w:lineRule="auto"/>
        <w:rPr>
          <w:rFonts w:ascii="Arial" w:hAnsi="Arial" w:cs="Arial"/>
          <w:b/>
          <w:bCs/>
        </w:rPr>
      </w:pPr>
      <w:r w:rsidRPr="000F5C3A">
        <w:rPr>
          <w:rFonts w:ascii="Arial" w:hAnsi="Arial" w:cs="Arial"/>
          <w:b/>
          <w:bCs/>
        </w:rPr>
        <w:t xml:space="preserve">Evaluation Teams and Governance </w:t>
      </w:r>
    </w:p>
    <w:p w14:paraId="5B48DB3B" w14:textId="77777777" w:rsidR="000B58D8" w:rsidRPr="000F5C3A" w:rsidRDefault="000B58D8" w:rsidP="00162491">
      <w:pPr>
        <w:autoSpaceDE w:val="0"/>
        <w:autoSpaceDN w:val="0"/>
        <w:adjustRightInd w:val="0"/>
        <w:spacing w:after="0" w:line="360" w:lineRule="auto"/>
        <w:rPr>
          <w:rFonts w:ascii="Arial" w:hAnsi="Arial" w:cs="Arial"/>
        </w:rPr>
      </w:pPr>
    </w:p>
    <w:p w14:paraId="150F52A2" w14:textId="65CC7D8B" w:rsidR="000B58D8" w:rsidRPr="00162491" w:rsidRDefault="000B58D8" w:rsidP="00162491">
      <w:pPr>
        <w:pStyle w:val="ListParagraph"/>
        <w:numPr>
          <w:ilvl w:val="0"/>
          <w:numId w:val="6"/>
        </w:numPr>
        <w:autoSpaceDE w:val="0"/>
        <w:autoSpaceDN w:val="0"/>
        <w:adjustRightInd w:val="0"/>
        <w:spacing w:after="0" w:line="360" w:lineRule="auto"/>
        <w:rPr>
          <w:rFonts w:ascii="Arial" w:hAnsi="Arial" w:cs="Arial"/>
        </w:rPr>
      </w:pPr>
      <w:r w:rsidRPr="00162491">
        <w:rPr>
          <w:rFonts w:ascii="Arial" w:hAnsi="Arial" w:cs="Arial"/>
        </w:rPr>
        <w:t>The Tender Evaluation process will be overseen by the Tender Assessment Panel (TAP). The purpose of the TAP is to ensure that the evaluation process set out in this evaluation methodology has been followed and to endorse the outcome of the evaluation.</w:t>
      </w:r>
    </w:p>
    <w:p w14:paraId="1A8BDAAF" w14:textId="77777777" w:rsidR="00162491" w:rsidRDefault="00162491" w:rsidP="00162491">
      <w:pPr>
        <w:autoSpaceDE w:val="0"/>
        <w:autoSpaceDN w:val="0"/>
        <w:adjustRightInd w:val="0"/>
        <w:spacing w:after="0" w:line="360" w:lineRule="auto"/>
        <w:rPr>
          <w:rFonts w:ascii="Arial" w:hAnsi="Arial" w:cs="Arial"/>
        </w:rPr>
      </w:pPr>
    </w:p>
    <w:p w14:paraId="609E5644" w14:textId="4709763B" w:rsidR="0091326F" w:rsidRPr="00162491" w:rsidRDefault="000B58D8" w:rsidP="00162491">
      <w:pPr>
        <w:pStyle w:val="ListParagraph"/>
        <w:numPr>
          <w:ilvl w:val="0"/>
          <w:numId w:val="6"/>
        </w:numPr>
        <w:autoSpaceDE w:val="0"/>
        <w:autoSpaceDN w:val="0"/>
        <w:adjustRightInd w:val="0"/>
        <w:spacing w:after="0" w:line="360" w:lineRule="auto"/>
        <w:rPr>
          <w:rFonts w:ascii="Arial" w:hAnsi="Arial" w:cs="Arial"/>
        </w:rPr>
      </w:pPr>
      <w:r w:rsidRPr="00162491">
        <w:rPr>
          <w:rFonts w:ascii="Arial" w:hAnsi="Arial" w:cs="Arial"/>
        </w:rPr>
        <w:lastRenderedPageBreak/>
        <w:t xml:space="preserve">The Authority has appointed teams of assessors, who are professionals or subject matter experts (SMEs) in their respective fields, to undertake the commercial and technical evaluations. If substitutions become necessary, staff with equivalent experience and skills will be used.  </w:t>
      </w:r>
    </w:p>
    <w:p w14:paraId="231EFBB9" w14:textId="49048829" w:rsidR="008E1A1A" w:rsidRDefault="008E1A1A" w:rsidP="00162491">
      <w:pPr>
        <w:widowControl w:val="0"/>
        <w:autoSpaceDE w:val="0"/>
        <w:autoSpaceDN w:val="0"/>
        <w:adjustRightInd w:val="0"/>
        <w:spacing w:before="120" w:after="180" w:line="360" w:lineRule="auto"/>
        <w:rPr>
          <w:rFonts w:ascii="Arial" w:hAnsi="Arial" w:cs="Arial"/>
          <w:b/>
          <w:bCs/>
          <w:color w:val="000000"/>
        </w:rPr>
      </w:pPr>
      <w:r>
        <w:rPr>
          <w:rFonts w:ascii="Arial" w:hAnsi="Arial" w:cs="Arial"/>
          <w:b/>
          <w:bCs/>
          <w:color w:val="000000"/>
        </w:rPr>
        <w:t xml:space="preserve">Stage 1 Suitability Assessment Question (SAQ) </w:t>
      </w:r>
      <w:r w:rsidR="00D359ED">
        <w:rPr>
          <w:rFonts w:ascii="Arial" w:hAnsi="Arial" w:cs="Arial"/>
          <w:b/>
          <w:bCs/>
          <w:color w:val="000000"/>
        </w:rPr>
        <w:t xml:space="preserve">Eligibility </w:t>
      </w:r>
    </w:p>
    <w:p w14:paraId="60ED2D54" w14:textId="7FE8D7D9" w:rsidR="005E3F87" w:rsidRPr="00162491" w:rsidRDefault="00D359ED" w:rsidP="00162491">
      <w:pPr>
        <w:pStyle w:val="ListParagraph"/>
        <w:widowControl w:val="0"/>
        <w:numPr>
          <w:ilvl w:val="0"/>
          <w:numId w:val="6"/>
        </w:numPr>
        <w:autoSpaceDE w:val="0"/>
        <w:autoSpaceDN w:val="0"/>
        <w:adjustRightInd w:val="0"/>
        <w:spacing w:before="120" w:after="180" w:line="360" w:lineRule="auto"/>
        <w:rPr>
          <w:rFonts w:ascii="Arial" w:hAnsi="Arial" w:cs="Arial"/>
          <w:color w:val="000000"/>
        </w:rPr>
      </w:pPr>
      <w:r w:rsidRPr="00162491">
        <w:rPr>
          <w:rFonts w:ascii="Arial" w:hAnsi="Arial" w:cs="Arial"/>
          <w:color w:val="000000"/>
        </w:rPr>
        <w:t xml:space="preserve">The </w:t>
      </w:r>
      <w:r w:rsidR="00921308" w:rsidRPr="00162491">
        <w:rPr>
          <w:rFonts w:ascii="Arial" w:hAnsi="Arial" w:cs="Arial"/>
          <w:color w:val="000000"/>
        </w:rPr>
        <w:t>Authority will assess the</w:t>
      </w:r>
      <w:r w:rsidR="002E7213" w:rsidRPr="00162491">
        <w:rPr>
          <w:rFonts w:ascii="Arial" w:hAnsi="Arial" w:cs="Arial"/>
          <w:color w:val="000000"/>
        </w:rPr>
        <w:t xml:space="preserve"> Tenderer’s response to</w:t>
      </w:r>
      <w:r w:rsidRPr="00162491">
        <w:rPr>
          <w:rFonts w:ascii="Arial" w:hAnsi="Arial" w:cs="Arial"/>
          <w:color w:val="000000"/>
        </w:rPr>
        <w:t xml:space="preserve"> Suitability Assessment Questions (SAQ) </w:t>
      </w:r>
      <w:r w:rsidR="004A37CD" w:rsidRPr="00162491">
        <w:rPr>
          <w:rFonts w:ascii="Arial" w:hAnsi="Arial" w:cs="Arial"/>
          <w:color w:val="000000"/>
        </w:rPr>
        <w:t xml:space="preserve">prior to reviewing the Tender bid. </w:t>
      </w:r>
      <w:r w:rsidR="00C15E1F" w:rsidRPr="00162491">
        <w:rPr>
          <w:rFonts w:ascii="Arial" w:hAnsi="Arial" w:cs="Arial"/>
          <w:color w:val="000000"/>
        </w:rPr>
        <w:t xml:space="preserve"> </w:t>
      </w:r>
    </w:p>
    <w:p w14:paraId="478F723C" w14:textId="77777777" w:rsidR="002F2A7D" w:rsidRDefault="002E7213" w:rsidP="002F2A7D">
      <w:pPr>
        <w:pStyle w:val="ListParagraph"/>
        <w:numPr>
          <w:ilvl w:val="0"/>
          <w:numId w:val="6"/>
        </w:numPr>
        <w:spacing w:line="360" w:lineRule="auto"/>
        <w:rPr>
          <w:rFonts w:ascii="Arial" w:hAnsi="Arial" w:cs="Arial"/>
        </w:rPr>
      </w:pPr>
      <w:r w:rsidRPr="00162491">
        <w:rPr>
          <w:rFonts w:ascii="Arial" w:hAnsi="Arial" w:cs="Arial"/>
        </w:rPr>
        <w:t>This stage will be evaluated on a PASS/FAIL basis</w:t>
      </w:r>
      <w:r w:rsidR="00E04A60">
        <w:rPr>
          <w:rFonts w:ascii="Arial" w:hAnsi="Arial" w:cs="Arial"/>
        </w:rPr>
        <w:t>.</w:t>
      </w:r>
    </w:p>
    <w:p w14:paraId="1A50267D" w14:textId="6CD1CC17" w:rsidR="006165B2" w:rsidRPr="002F2A7D" w:rsidRDefault="00236C12" w:rsidP="002F2A7D">
      <w:pPr>
        <w:pStyle w:val="ListParagraph"/>
        <w:widowControl w:val="0"/>
        <w:numPr>
          <w:ilvl w:val="0"/>
          <w:numId w:val="6"/>
        </w:numPr>
        <w:autoSpaceDE w:val="0"/>
        <w:autoSpaceDN w:val="0"/>
        <w:adjustRightInd w:val="0"/>
        <w:spacing w:before="120" w:after="180" w:line="360" w:lineRule="auto"/>
        <w:rPr>
          <w:rFonts w:ascii="Arial" w:hAnsi="Arial" w:cs="Arial"/>
          <w:color w:val="000000"/>
        </w:rPr>
      </w:pPr>
      <w:r w:rsidRPr="002F2A7D">
        <w:rPr>
          <w:rFonts w:ascii="Arial" w:hAnsi="Arial" w:cs="Arial"/>
          <w:color w:val="000000"/>
        </w:rPr>
        <w:t>If</w:t>
      </w:r>
      <w:r w:rsidR="006165B2" w:rsidRPr="002F2A7D">
        <w:rPr>
          <w:rFonts w:ascii="Arial" w:hAnsi="Arial" w:cs="Arial"/>
          <w:color w:val="000000"/>
        </w:rPr>
        <w:t xml:space="preserve"> the Tender </w:t>
      </w:r>
      <w:r w:rsidR="00154358" w:rsidRPr="002F2A7D">
        <w:rPr>
          <w:rFonts w:ascii="Arial" w:hAnsi="Arial" w:cs="Arial"/>
          <w:color w:val="000000"/>
        </w:rPr>
        <w:t xml:space="preserve">achieves a </w:t>
      </w:r>
      <w:r w:rsidR="00C70EBE" w:rsidRPr="002F2A7D">
        <w:rPr>
          <w:rFonts w:ascii="Arial" w:hAnsi="Arial" w:cs="Arial"/>
          <w:color w:val="000000"/>
        </w:rPr>
        <w:t xml:space="preserve">FAIL, the </w:t>
      </w:r>
      <w:r w:rsidR="00151A4F" w:rsidRPr="002F2A7D">
        <w:rPr>
          <w:rFonts w:ascii="Arial" w:hAnsi="Arial" w:cs="Arial"/>
          <w:color w:val="000000"/>
        </w:rPr>
        <w:t xml:space="preserve">Tenderer will be discounted from the competition and their bid will not be evaluated.  </w:t>
      </w:r>
    </w:p>
    <w:p w14:paraId="57F117D4" w14:textId="58108372" w:rsidR="009D6816" w:rsidRPr="002F2A7D" w:rsidRDefault="009D6816" w:rsidP="002F2A7D">
      <w:pPr>
        <w:pStyle w:val="ListParagraph"/>
        <w:widowControl w:val="0"/>
        <w:numPr>
          <w:ilvl w:val="0"/>
          <w:numId w:val="6"/>
        </w:numPr>
        <w:autoSpaceDE w:val="0"/>
        <w:autoSpaceDN w:val="0"/>
        <w:adjustRightInd w:val="0"/>
        <w:spacing w:before="120" w:after="180" w:line="360" w:lineRule="auto"/>
        <w:rPr>
          <w:rFonts w:ascii="Arial" w:hAnsi="Arial" w:cs="Arial"/>
          <w:color w:val="000000"/>
        </w:rPr>
      </w:pPr>
      <w:r>
        <w:rPr>
          <w:rFonts w:ascii="Arial" w:hAnsi="Arial" w:cs="Arial"/>
          <w:color w:val="000000"/>
        </w:rPr>
        <w:t xml:space="preserve">Tenderers that </w:t>
      </w:r>
      <w:r w:rsidR="00C41EBA">
        <w:rPr>
          <w:rFonts w:ascii="Arial" w:hAnsi="Arial" w:cs="Arial"/>
          <w:color w:val="000000"/>
        </w:rPr>
        <w:t>PASS</w:t>
      </w:r>
      <w:r>
        <w:rPr>
          <w:rFonts w:ascii="Arial" w:hAnsi="Arial" w:cs="Arial"/>
          <w:color w:val="000000"/>
        </w:rPr>
        <w:t xml:space="preserve"> Stage 1 will</w:t>
      </w:r>
      <w:r w:rsidR="00DA13A7">
        <w:rPr>
          <w:rFonts w:ascii="Arial" w:hAnsi="Arial" w:cs="Arial"/>
          <w:color w:val="000000"/>
        </w:rPr>
        <w:t xml:space="preserve"> progress to Stage 2 which is evaluation of the Tender</w:t>
      </w:r>
      <w:r>
        <w:rPr>
          <w:rFonts w:ascii="Arial" w:hAnsi="Arial" w:cs="Arial"/>
          <w:color w:val="000000"/>
        </w:rPr>
        <w:t>.</w:t>
      </w:r>
    </w:p>
    <w:p w14:paraId="1BC89247" w14:textId="2705A22D" w:rsidR="00B00CFF" w:rsidRPr="00B00CFF" w:rsidRDefault="00B00CFF" w:rsidP="00B00CFF">
      <w:pPr>
        <w:spacing w:line="360" w:lineRule="auto"/>
        <w:rPr>
          <w:rFonts w:ascii="Arial" w:hAnsi="Arial" w:cs="Arial"/>
          <w:b/>
          <w:bCs/>
        </w:rPr>
      </w:pPr>
      <w:r w:rsidRPr="00B00CFF">
        <w:rPr>
          <w:rFonts w:ascii="Arial" w:hAnsi="Arial" w:cs="Arial"/>
          <w:b/>
          <w:bCs/>
        </w:rPr>
        <w:t>Stage 2</w:t>
      </w:r>
      <w:r w:rsidR="009D6816">
        <w:rPr>
          <w:rFonts w:ascii="Arial" w:hAnsi="Arial" w:cs="Arial"/>
          <w:b/>
          <w:bCs/>
        </w:rPr>
        <w:t xml:space="preserve"> </w:t>
      </w:r>
      <w:r w:rsidRPr="00B00CFF">
        <w:rPr>
          <w:rFonts w:ascii="Arial" w:hAnsi="Arial" w:cs="Arial"/>
          <w:b/>
          <w:bCs/>
        </w:rPr>
        <w:t xml:space="preserve">Commercial Compliance Evaluation </w:t>
      </w:r>
    </w:p>
    <w:p w14:paraId="454595A0" w14:textId="05EF6077" w:rsidR="00853BA8" w:rsidRDefault="00CF4603" w:rsidP="00CF4603">
      <w:pPr>
        <w:pStyle w:val="ListParagraph"/>
        <w:numPr>
          <w:ilvl w:val="0"/>
          <w:numId w:val="6"/>
        </w:numPr>
        <w:spacing w:line="360" w:lineRule="auto"/>
        <w:rPr>
          <w:rFonts w:ascii="Arial" w:hAnsi="Arial" w:cs="Arial"/>
        </w:rPr>
      </w:pPr>
      <w:r>
        <w:rPr>
          <w:rFonts w:ascii="Arial" w:hAnsi="Arial" w:cs="Arial"/>
        </w:rPr>
        <w:t xml:space="preserve"> </w:t>
      </w:r>
      <w:r w:rsidR="0092199C">
        <w:rPr>
          <w:rFonts w:ascii="Arial" w:hAnsi="Arial" w:cs="Arial"/>
        </w:rPr>
        <w:t xml:space="preserve">The Commercial Evaluation checks that the Tender is complete in accordance </w:t>
      </w:r>
      <w:r w:rsidR="004C60CC">
        <w:rPr>
          <w:rFonts w:ascii="Arial" w:hAnsi="Arial" w:cs="Arial"/>
        </w:rPr>
        <w:t>with the tendering instructions containe</w:t>
      </w:r>
      <w:r w:rsidR="003D5E83">
        <w:rPr>
          <w:rFonts w:ascii="Arial" w:hAnsi="Arial" w:cs="Arial"/>
        </w:rPr>
        <w:t>d in the DEFFORM 47</w:t>
      </w:r>
      <w:r w:rsidR="00106311">
        <w:rPr>
          <w:rFonts w:ascii="Arial" w:hAnsi="Arial" w:cs="Arial"/>
        </w:rPr>
        <w:t>,</w:t>
      </w:r>
      <w:r w:rsidR="003D5E83">
        <w:rPr>
          <w:rFonts w:ascii="Arial" w:hAnsi="Arial" w:cs="Arial"/>
        </w:rPr>
        <w:t xml:space="preserve"> and subject to further evaluation</w:t>
      </w:r>
      <w:r w:rsidR="00B750FC">
        <w:rPr>
          <w:rFonts w:ascii="Arial" w:hAnsi="Arial" w:cs="Arial"/>
        </w:rPr>
        <w:t xml:space="preserve">, it could form the basis of the Contract. </w:t>
      </w:r>
    </w:p>
    <w:p w14:paraId="609D5978" w14:textId="46E0DCDB" w:rsidR="00B00CFF" w:rsidRDefault="00B750FC" w:rsidP="00CF4603">
      <w:pPr>
        <w:pStyle w:val="ListParagraph"/>
        <w:numPr>
          <w:ilvl w:val="0"/>
          <w:numId w:val="6"/>
        </w:numPr>
        <w:spacing w:line="360" w:lineRule="auto"/>
        <w:rPr>
          <w:rFonts w:ascii="Arial" w:hAnsi="Arial" w:cs="Arial"/>
        </w:rPr>
      </w:pPr>
      <w:r>
        <w:rPr>
          <w:rFonts w:ascii="Arial" w:hAnsi="Arial" w:cs="Arial"/>
        </w:rPr>
        <w:t>The</w:t>
      </w:r>
      <w:r w:rsidR="00853BA8">
        <w:rPr>
          <w:rFonts w:ascii="Arial" w:hAnsi="Arial" w:cs="Arial"/>
        </w:rPr>
        <w:t xml:space="preserve"> </w:t>
      </w:r>
      <w:r w:rsidR="00823B8C">
        <w:rPr>
          <w:rFonts w:ascii="Arial" w:hAnsi="Arial" w:cs="Arial"/>
        </w:rPr>
        <w:t xml:space="preserve">evaluator will assess the questions below as part of the Commercial </w:t>
      </w:r>
      <w:r w:rsidR="00864B4E">
        <w:rPr>
          <w:rFonts w:ascii="Arial" w:hAnsi="Arial" w:cs="Arial"/>
        </w:rPr>
        <w:t>Evaluation</w:t>
      </w:r>
      <w:r w:rsidR="00F37522">
        <w:rPr>
          <w:rFonts w:ascii="Arial" w:hAnsi="Arial" w:cs="Arial"/>
        </w:rPr>
        <w:t xml:space="preserve">. </w:t>
      </w:r>
      <w:r w:rsidR="000D1D80">
        <w:rPr>
          <w:rFonts w:ascii="Arial" w:hAnsi="Arial" w:cs="Arial"/>
        </w:rPr>
        <w:t xml:space="preserve">Permitted </w:t>
      </w:r>
      <w:r w:rsidR="00F46C1B">
        <w:rPr>
          <w:rFonts w:ascii="Arial" w:hAnsi="Arial" w:cs="Arial"/>
        </w:rPr>
        <w:t>answers</w:t>
      </w:r>
      <w:r w:rsidR="000D1D80">
        <w:rPr>
          <w:rFonts w:ascii="Arial" w:hAnsi="Arial" w:cs="Arial"/>
        </w:rPr>
        <w:t xml:space="preserve"> </w:t>
      </w:r>
      <w:r w:rsidR="00C639E5">
        <w:rPr>
          <w:rFonts w:ascii="Arial" w:hAnsi="Arial" w:cs="Arial"/>
        </w:rPr>
        <w:t xml:space="preserve">to each question are ‘YES’ or ‘NO’. </w:t>
      </w:r>
    </w:p>
    <w:p w14:paraId="6A85ED43" w14:textId="40287E30" w:rsidR="006F0476" w:rsidRPr="006E1E38" w:rsidRDefault="006C573C" w:rsidP="00352D5C">
      <w:pPr>
        <w:pStyle w:val="ListParagraph"/>
        <w:widowControl w:val="0"/>
        <w:numPr>
          <w:ilvl w:val="1"/>
          <w:numId w:val="6"/>
        </w:numPr>
        <w:autoSpaceDE w:val="0"/>
        <w:autoSpaceDN w:val="0"/>
        <w:adjustRightInd w:val="0"/>
        <w:spacing w:before="120" w:after="180" w:line="360" w:lineRule="auto"/>
        <w:rPr>
          <w:rFonts w:ascii="Arial" w:hAnsi="Arial" w:cs="Arial"/>
          <w:b/>
          <w:bCs/>
          <w:color w:val="000000"/>
        </w:rPr>
      </w:pPr>
      <w:r>
        <w:rPr>
          <w:rFonts w:ascii="Arial" w:hAnsi="Arial" w:cs="Arial"/>
          <w:color w:val="000000"/>
        </w:rPr>
        <w:t xml:space="preserve">Has the Tenderer </w:t>
      </w:r>
      <w:r w:rsidR="00E12FFA">
        <w:rPr>
          <w:rFonts w:ascii="Arial" w:hAnsi="Arial" w:cs="Arial"/>
          <w:color w:val="000000"/>
        </w:rPr>
        <w:t xml:space="preserve">provided </w:t>
      </w:r>
      <w:r w:rsidR="006B33D7">
        <w:rPr>
          <w:rFonts w:ascii="Arial" w:hAnsi="Arial" w:cs="Arial"/>
          <w:color w:val="000000"/>
        </w:rPr>
        <w:t xml:space="preserve">and completed </w:t>
      </w:r>
      <w:r w:rsidR="00E12FFA">
        <w:rPr>
          <w:rFonts w:ascii="Arial" w:hAnsi="Arial" w:cs="Arial"/>
          <w:color w:val="000000"/>
        </w:rPr>
        <w:t>all documents requeste</w:t>
      </w:r>
      <w:r w:rsidR="006B33D7">
        <w:rPr>
          <w:rFonts w:ascii="Arial" w:hAnsi="Arial" w:cs="Arial"/>
          <w:color w:val="000000"/>
        </w:rPr>
        <w:t>d?</w:t>
      </w:r>
    </w:p>
    <w:p w14:paraId="610C455D" w14:textId="7F1FBC8E" w:rsidR="006E1E38" w:rsidRPr="00BD5358" w:rsidRDefault="00B04AB6" w:rsidP="00352D5C">
      <w:pPr>
        <w:pStyle w:val="ListParagraph"/>
        <w:widowControl w:val="0"/>
        <w:numPr>
          <w:ilvl w:val="1"/>
          <w:numId w:val="6"/>
        </w:numPr>
        <w:autoSpaceDE w:val="0"/>
        <w:autoSpaceDN w:val="0"/>
        <w:adjustRightInd w:val="0"/>
        <w:spacing w:before="120" w:after="180" w:line="360" w:lineRule="auto"/>
        <w:rPr>
          <w:rFonts w:ascii="Arial" w:hAnsi="Arial" w:cs="Arial"/>
          <w:b/>
          <w:bCs/>
          <w:color w:val="000000"/>
        </w:rPr>
      </w:pPr>
      <w:r>
        <w:rPr>
          <w:rFonts w:ascii="Arial" w:hAnsi="Arial" w:cs="Arial"/>
          <w:color w:val="000000"/>
        </w:rPr>
        <w:t>Does the Tenderer confirm</w:t>
      </w:r>
      <w:r w:rsidR="008B1C3F">
        <w:rPr>
          <w:rFonts w:ascii="Arial" w:hAnsi="Arial" w:cs="Arial"/>
          <w:color w:val="000000"/>
        </w:rPr>
        <w:t xml:space="preserve"> full compliance</w:t>
      </w:r>
      <w:r w:rsidR="00FD3855">
        <w:rPr>
          <w:rFonts w:ascii="Arial" w:hAnsi="Arial" w:cs="Arial"/>
          <w:color w:val="000000"/>
        </w:rPr>
        <w:t xml:space="preserve"> to all Terms and Conditions associated with the Contract?</w:t>
      </w:r>
    </w:p>
    <w:p w14:paraId="4BDB0A54" w14:textId="77777777" w:rsidR="00BD5358" w:rsidRPr="00FD3855" w:rsidRDefault="00BD5358" w:rsidP="00BD5358">
      <w:pPr>
        <w:pStyle w:val="ListParagraph"/>
        <w:widowControl w:val="0"/>
        <w:autoSpaceDE w:val="0"/>
        <w:autoSpaceDN w:val="0"/>
        <w:adjustRightInd w:val="0"/>
        <w:spacing w:before="120" w:after="180" w:line="360" w:lineRule="auto"/>
        <w:ind w:left="1080"/>
        <w:rPr>
          <w:rFonts w:ascii="Arial" w:hAnsi="Arial" w:cs="Arial"/>
          <w:b/>
          <w:bCs/>
          <w:color w:val="000000"/>
        </w:rPr>
      </w:pPr>
    </w:p>
    <w:p w14:paraId="54E5901C" w14:textId="4D59C5A9" w:rsidR="00FD3855" w:rsidRPr="00CA489B" w:rsidRDefault="00FD3855" w:rsidP="00FD3855">
      <w:pPr>
        <w:pStyle w:val="ListParagraph"/>
        <w:widowControl w:val="0"/>
        <w:numPr>
          <w:ilvl w:val="0"/>
          <w:numId w:val="6"/>
        </w:numPr>
        <w:autoSpaceDE w:val="0"/>
        <w:autoSpaceDN w:val="0"/>
        <w:adjustRightInd w:val="0"/>
        <w:spacing w:before="120" w:after="180" w:line="360" w:lineRule="auto"/>
        <w:rPr>
          <w:rFonts w:ascii="Arial" w:hAnsi="Arial" w:cs="Arial"/>
          <w:b/>
          <w:bCs/>
          <w:color w:val="000000"/>
        </w:rPr>
      </w:pPr>
      <w:r>
        <w:rPr>
          <w:rFonts w:ascii="Arial" w:hAnsi="Arial" w:cs="Arial"/>
          <w:color w:val="000000"/>
        </w:rPr>
        <w:t xml:space="preserve">The Commercial </w:t>
      </w:r>
      <w:r w:rsidR="008B1C3F">
        <w:rPr>
          <w:rFonts w:ascii="Arial" w:hAnsi="Arial" w:cs="Arial"/>
          <w:color w:val="000000"/>
        </w:rPr>
        <w:t xml:space="preserve">Compliance </w:t>
      </w:r>
      <w:r>
        <w:rPr>
          <w:rFonts w:ascii="Arial" w:hAnsi="Arial" w:cs="Arial"/>
          <w:color w:val="000000"/>
        </w:rPr>
        <w:t>Evaluation will be completed on a PASS/FAIL basis using the following definitions</w:t>
      </w:r>
      <w:r w:rsidR="00CA489B">
        <w:rPr>
          <w:rFonts w:ascii="Arial" w:hAnsi="Arial" w:cs="Arial"/>
          <w:color w:val="000000"/>
        </w:rPr>
        <w:t xml:space="preserve">: </w:t>
      </w:r>
    </w:p>
    <w:p w14:paraId="0D80C5E6" w14:textId="77777777" w:rsidR="00A86A82" w:rsidRDefault="00CA489B" w:rsidP="00A86A82">
      <w:pPr>
        <w:widowControl w:val="0"/>
        <w:autoSpaceDE w:val="0"/>
        <w:autoSpaceDN w:val="0"/>
        <w:adjustRightInd w:val="0"/>
        <w:spacing w:before="120" w:after="180" w:line="360" w:lineRule="auto"/>
        <w:ind w:left="720"/>
        <w:rPr>
          <w:rFonts w:ascii="Arial" w:hAnsi="Arial" w:cs="Arial"/>
          <w:b/>
          <w:bCs/>
          <w:color w:val="000000"/>
        </w:rPr>
      </w:pPr>
      <w:r>
        <w:rPr>
          <w:rFonts w:ascii="Arial" w:hAnsi="Arial" w:cs="Arial"/>
          <w:b/>
          <w:bCs/>
          <w:color w:val="000000"/>
        </w:rPr>
        <w:t xml:space="preserve">PASS - </w:t>
      </w:r>
      <w:r w:rsidR="00A86A82" w:rsidRPr="00F7293D">
        <w:rPr>
          <w:rFonts w:ascii="Arial" w:hAnsi="Arial" w:cs="Arial"/>
          <w:color w:val="000000"/>
        </w:rPr>
        <w:t>The evaluation response to all the above questions is “</w:t>
      </w:r>
      <w:proofErr w:type="gramStart"/>
      <w:r w:rsidR="00A86A82" w:rsidRPr="00F7293D">
        <w:rPr>
          <w:rFonts w:ascii="Arial" w:hAnsi="Arial" w:cs="Arial"/>
          <w:color w:val="000000"/>
        </w:rPr>
        <w:t>YES”</w:t>
      </w:r>
      <w:proofErr w:type="gramEnd"/>
    </w:p>
    <w:p w14:paraId="15DB0733" w14:textId="60869B0E" w:rsidR="00CA489B" w:rsidRDefault="00A86A82" w:rsidP="00A86A82">
      <w:pPr>
        <w:widowControl w:val="0"/>
        <w:autoSpaceDE w:val="0"/>
        <w:autoSpaceDN w:val="0"/>
        <w:adjustRightInd w:val="0"/>
        <w:spacing w:before="120" w:after="180" w:line="360" w:lineRule="auto"/>
        <w:ind w:left="720"/>
        <w:rPr>
          <w:rFonts w:ascii="Arial" w:hAnsi="Arial" w:cs="Arial"/>
          <w:color w:val="000000"/>
        </w:rPr>
      </w:pPr>
      <w:r w:rsidRPr="00A86A82">
        <w:rPr>
          <w:rFonts w:ascii="Arial" w:hAnsi="Arial" w:cs="Arial"/>
          <w:b/>
          <w:bCs/>
          <w:color w:val="000000"/>
        </w:rPr>
        <w:t>FAIL -</w:t>
      </w:r>
      <w:r>
        <w:rPr>
          <w:rFonts w:ascii="Arial" w:hAnsi="Arial" w:cs="Arial"/>
          <w:b/>
          <w:bCs/>
          <w:color w:val="000000"/>
        </w:rPr>
        <w:t xml:space="preserve"> </w:t>
      </w:r>
      <w:r w:rsidRPr="00F7293D">
        <w:rPr>
          <w:rFonts w:ascii="Arial" w:hAnsi="Arial" w:cs="Arial"/>
          <w:color w:val="000000"/>
        </w:rPr>
        <w:t>The evaluation response to one or more of the above questions is “NO”</w:t>
      </w:r>
    </w:p>
    <w:p w14:paraId="3AB1D913" w14:textId="6297F11E" w:rsidR="0012684B" w:rsidRPr="0012684B" w:rsidRDefault="0012684B" w:rsidP="0012684B">
      <w:pPr>
        <w:pStyle w:val="ListParagraph"/>
        <w:widowControl w:val="0"/>
        <w:numPr>
          <w:ilvl w:val="0"/>
          <w:numId w:val="6"/>
        </w:numPr>
        <w:autoSpaceDE w:val="0"/>
        <w:autoSpaceDN w:val="0"/>
        <w:adjustRightInd w:val="0"/>
        <w:spacing w:before="120" w:after="180" w:line="360" w:lineRule="auto"/>
        <w:rPr>
          <w:rFonts w:ascii="Arial" w:hAnsi="Arial" w:cs="Arial"/>
          <w:color w:val="000000"/>
        </w:rPr>
      </w:pPr>
      <w:r>
        <w:rPr>
          <w:rFonts w:ascii="Arial" w:hAnsi="Arial" w:cs="Arial"/>
          <w:color w:val="000000"/>
        </w:rPr>
        <w:t xml:space="preserve"> </w:t>
      </w:r>
      <w:r w:rsidR="000E1448">
        <w:rPr>
          <w:rFonts w:ascii="Arial" w:hAnsi="Arial" w:cs="Arial"/>
          <w:color w:val="000000"/>
        </w:rPr>
        <w:t>Only those that achieve a PASS at Stage 2 wi</w:t>
      </w:r>
      <w:r w:rsidR="00BD5358">
        <w:rPr>
          <w:rFonts w:ascii="Arial" w:hAnsi="Arial" w:cs="Arial"/>
          <w:color w:val="000000"/>
        </w:rPr>
        <w:t xml:space="preserve">ll qualify for Stage 3. Tenderers that </w:t>
      </w:r>
      <w:r w:rsidR="00DA3603">
        <w:rPr>
          <w:rFonts w:ascii="Arial" w:hAnsi="Arial" w:cs="Arial"/>
          <w:color w:val="000000"/>
        </w:rPr>
        <w:t xml:space="preserve">obtain a FAIL at </w:t>
      </w:r>
      <w:r w:rsidR="00BD5358">
        <w:rPr>
          <w:rFonts w:ascii="Arial" w:hAnsi="Arial" w:cs="Arial"/>
          <w:color w:val="000000"/>
        </w:rPr>
        <w:t xml:space="preserve">Stage 2 will be excluded from further consideration in the evaluation process. </w:t>
      </w:r>
    </w:p>
    <w:p w14:paraId="5DC274AD" w14:textId="6839D433" w:rsidR="00530E19" w:rsidRPr="000F5C3A" w:rsidRDefault="00530E19" w:rsidP="00162491">
      <w:pPr>
        <w:spacing w:line="360" w:lineRule="auto"/>
        <w:rPr>
          <w:rFonts w:ascii="Arial" w:hAnsi="Arial" w:cs="Arial"/>
          <w:b/>
          <w:bCs/>
        </w:rPr>
      </w:pPr>
      <w:r w:rsidRPr="000F5C3A">
        <w:rPr>
          <w:rFonts w:ascii="Arial" w:hAnsi="Arial" w:cs="Arial"/>
          <w:b/>
          <w:bCs/>
        </w:rPr>
        <w:t xml:space="preserve">Stage </w:t>
      </w:r>
      <w:r w:rsidR="009D6816">
        <w:rPr>
          <w:rFonts w:ascii="Arial" w:hAnsi="Arial" w:cs="Arial"/>
          <w:b/>
          <w:bCs/>
        </w:rPr>
        <w:t>3</w:t>
      </w:r>
      <w:r w:rsidRPr="000F5C3A">
        <w:rPr>
          <w:rFonts w:ascii="Arial" w:hAnsi="Arial" w:cs="Arial"/>
          <w:b/>
          <w:bCs/>
        </w:rPr>
        <w:t xml:space="preserve"> </w:t>
      </w:r>
      <w:r>
        <w:rPr>
          <w:rFonts w:ascii="Arial" w:hAnsi="Arial" w:cs="Arial"/>
          <w:b/>
          <w:bCs/>
        </w:rPr>
        <w:t>Technical Evaluation</w:t>
      </w:r>
      <w:r w:rsidRPr="000F5C3A">
        <w:rPr>
          <w:rFonts w:ascii="Arial" w:hAnsi="Arial" w:cs="Arial"/>
          <w:b/>
          <w:bCs/>
        </w:rPr>
        <w:t xml:space="preserve"> </w:t>
      </w:r>
    </w:p>
    <w:p w14:paraId="0802E84B" w14:textId="39DF6B15" w:rsidR="00530E19" w:rsidRPr="000F5C3A" w:rsidRDefault="00FA1A8B" w:rsidP="00162491">
      <w:pPr>
        <w:pStyle w:val="NoSpacing"/>
        <w:numPr>
          <w:ilvl w:val="0"/>
          <w:numId w:val="6"/>
        </w:numPr>
        <w:spacing w:line="360" w:lineRule="auto"/>
        <w:rPr>
          <w:rFonts w:ascii="Arial" w:hAnsi="Arial" w:cs="Arial"/>
        </w:rPr>
      </w:pPr>
      <w:r>
        <w:rPr>
          <w:rFonts w:ascii="Arial" w:hAnsi="Arial" w:cs="Arial"/>
        </w:rPr>
        <w:t>The Technical evaluation</w:t>
      </w:r>
      <w:r w:rsidR="00530E19" w:rsidRPr="000F5C3A">
        <w:rPr>
          <w:rFonts w:ascii="Arial" w:hAnsi="Arial" w:cs="Arial"/>
        </w:rPr>
        <w:t xml:space="preserve"> is a scored assessment of the evidence provided in the Tenders</w:t>
      </w:r>
      <w:r w:rsidR="00003853">
        <w:rPr>
          <w:rFonts w:ascii="Arial" w:hAnsi="Arial" w:cs="Arial"/>
        </w:rPr>
        <w:t xml:space="preserve">. The aim is </w:t>
      </w:r>
      <w:r w:rsidR="00A27E45">
        <w:rPr>
          <w:rFonts w:ascii="Arial" w:hAnsi="Arial" w:cs="Arial"/>
        </w:rPr>
        <w:t>to</w:t>
      </w:r>
      <w:r w:rsidR="00530E19" w:rsidRPr="000F5C3A">
        <w:rPr>
          <w:rFonts w:ascii="Arial" w:hAnsi="Arial" w:cs="Arial"/>
        </w:rPr>
        <w:t xml:space="preserve"> establis</w:t>
      </w:r>
      <w:r w:rsidR="00003853">
        <w:rPr>
          <w:rFonts w:ascii="Arial" w:hAnsi="Arial" w:cs="Arial"/>
        </w:rPr>
        <w:t>h</w:t>
      </w:r>
      <w:r w:rsidR="00530E19" w:rsidRPr="000F5C3A">
        <w:rPr>
          <w:rFonts w:ascii="Arial" w:hAnsi="Arial" w:cs="Arial"/>
        </w:rPr>
        <w:t xml:space="preserve"> a non-cost score to be used in calculating the Tender Score to determine the MEAT. </w:t>
      </w:r>
    </w:p>
    <w:p w14:paraId="40D6FCBD" w14:textId="77777777" w:rsidR="00162491" w:rsidRDefault="00162491" w:rsidP="00162491">
      <w:pPr>
        <w:pStyle w:val="NoSpacing"/>
        <w:spacing w:line="360" w:lineRule="auto"/>
        <w:rPr>
          <w:rFonts w:ascii="Arial" w:hAnsi="Arial" w:cs="Arial"/>
        </w:rPr>
      </w:pPr>
    </w:p>
    <w:p w14:paraId="07E58490" w14:textId="02ED82DA" w:rsidR="00530E19" w:rsidRPr="000F5C3A" w:rsidRDefault="00530E19" w:rsidP="00162491">
      <w:pPr>
        <w:pStyle w:val="NoSpacing"/>
        <w:numPr>
          <w:ilvl w:val="0"/>
          <w:numId w:val="6"/>
        </w:numPr>
        <w:spacing w:line="360" w:lineRule="auto"/>
        <w:rPr>
          <w:rFonts w:ascii="Arial" w:hAnsi="Arial" w:cs="Arial"/>
        </w:rPr>
      </w:pPr>
      <w:r w:rsidRPr="000F5C3A">
        <w:rPr>
          <w:rFonts w:ascii="Arial" w:hAnsi="Arial" w:cs="Arial"/>
        </w:rPr>
        <w:lastRenderedPageBreak/>
        <w:t>The Tenders that have not been discounted from the competition (see Stage 1</w:t>
      </w:r>
      <w:r w:rsidR="00E87A78">
        <w:rPr>
          <w:rFonts w:ascii="Arial" w:hAnsi="Arial" w:cs="Arial"/>
        </w:rPr>
        <w:t xml:space="preserve"> and Stage 2</w:t>
      </w:r>
      <w:r w:rsidRPr="000F5C3A">
        <w:rPr>
          <w:rFonts w:ascii="Arial" w:hAnsi="Arial" w:cs="Arial"/>
        </w:rPr>
        <w:t xml:space="preserve">) will be evaluated </w:t>
      </w:r>
      <w:r>
        <w:rPr>
          <w:rFonts w:ascii="Arial" w:hAnsi="Arial" w:cs="Arial"/>
        </w:rPr>
        <w:t>in the Technical Evaluation.</w:t>
      </w:r>
      <w:r w:rsidRPr="000F5C3A">
        <w:rPr>
          <w:rFonts w:ascii="Arial" w:hAnsi="Arial" w:cs="Arial"/>
        </w:rPr>
        <w:t xml:space="preserve"> </w:t>
      </w:r>
    </w:p>
    <w:p w14:paraId="0B1B4AA1" w14:textId="77777777" w:rsidR="00530E19" w:rsidRPr="000F5C3A" w:rsidRDefault="00530E19" w:rsidP="00162491">
      <w:pPr>
        <w:pStyle w:val="NoSpacing"/>
        <w:spacing w:line="360" w:lineRule="auto"/>
        <w:rPr>
          <w:rFonts w:ascii="Arial" w:hAnsi="Arial" w:cs="Arial"/>
        </w:rPr>
      </w:pPr>
    </w:p>
    <w:p w14:paraId="310AAC73" w14:textId="7A13F74D" w:rsidR="00530E19" w:rsidRPr="000F5C3A" w:rsidRDefault="00094B34" w:rsidP="00162491">
      <w:pPr>
        <w:pStyle w:val="NoSpacing"/>
        <w:numPr>
          <w:ilvl w:val="0"/>
          <w:numId w:val="6"/>
        </w:numPr>
        <w:spacing w:line="360" w:lineRule="auto"/>
        <w:rPr>
          <w:rFonts w:ascii="Arial" w:hAnsi="Arial" w:cs="Arial"/>
        </w:rPr>
      </w:pPr>
      <w:r>
        <w:rPr>
          <w:rFonts w:ascii="Arial" w:hAnsi="Arial" w:cs="Arial"/>
        </w:rPr>
        <w:t>A</w:t>
      </w:r>
      <w:r w:rsidR="00530E19" w:rsidRPr="000F5C3A">
        <w:rPr>
          <w:rFonts w:ascii="Arial" w:hAnsi="Arial" w:cs="Arial"/>
        </w:rPr>
        <w:t>dditional information or prior knowledge that is not contained within the Tender will</w:t>
      </w:r>
      <w:r>
        <w:rPr>
          <w:rFonts w:ascii="Arial" w:hAnsi="Arial" w:cs="Arial"/>
        </w:rPr>
        <w:t xml:space="preserve"> not</w:t>
      </w:r>
      <w:r w:rsidR="00530E19" w:rsidRPr="000F5C3A">
        <w:rPr>
          <w:rFonts w:ascii="Arial" w:hAnsi="Arial" w:cs="Arial"/>
        </w:rPr>
        <w:t xml:space="preserve"> be used in the </w:t>
      </w:r>
      <w:r>
        <w:rPr>
          <w:rFonts w:ascii="Arial" w:hAnsi="Arial" w:cs="Arial"/>
        </w:rPr>
        <w:t>Technical E</w:t>
      </w:r>
      <w:r w:rsidR="00530E19" w:rsidRPr="000F5C3A">
        <w:rPr>
          <w:rFonts w:ascii="Arial" w:hAnsi="Arial" w:cs="Arial"/>
        </w:rPr>
        <w:t xml:space="preserve">valuation. </w:t>
      </w:r>
    </w:p>
    <w:p w14:paraId="018686D5" w14:textId="77777777" w:rsidR="00530E19" w:rsidRPr="000F5C3A" w:rsidRDefault="00530E19" w:rsidP="00162491">
      <w:pPr>
        <w:pStyle w:val="NoSpacing"/>
        <w:spacing w:line="360" w:lineRule="auto"/>
        <w:rPr>
          <w:rFonts w:ascii="Arial" w:hAnsi="Arial" w:cs="Arial"/>
        </w:rPr>
      </w:pPr>
    </w:p>
    <w:p w14:paraId="20EF3EB2" w14:textId="7933384A" w:rsidR="00530E19" w:rsidRPr="000F5C3A" w:rsidRDefault="00530E19" w:rsidP="00162491">
      <w:pPr>
        <w:pStyle w:val="NoSpacing"/>
        <w:numPr>
          <w:ilvl w:val="0"/>
          <w:numId w:val="6"/>
        </w:numPr>
        <w:spacing w:line="360" w:lineRule="auto"/>
        <w:rPr>
          <w:rFonts w:ascii="Arial" w:hAnsi="Arial" w:cs="Arial"/>
        </w:rPr>
      </w:pPr>
      <w:r w:rsidRPr="000F5C3A">
        <w:rPr>
          <w:rFonts w:ascii="Arial" w:hAnsi="Arial" w:cs="Arial"/>
        </w:rPr>
        <w:t xml:space="preserve">Criteria will be used to assess the merit of the Tenderer’s proposals and their ability to deliver the proposed requirement against the criteria listed below. The ITT Evaluation Criteria descriptions and allocated weightings that underpin the evaluation model are listed in Table 2 below. The evaluation criteria for each question </w:t>
      </w:r>
      <w:proofErr w:type="gramStart"/>
      <w:r w:rsidRPr="000F5C3A">
        <w:rPr>
          <w:rFonts w:ascii="Arial" w:hAnsi="Arial" w:cs="Arial"/>
        </w:rPr>
        <w:t>is</w:t>
      </w:r>
      <w:proofErr w:type="gramEnd"/>
      <w:r w:rsidRPr="000F5C3A">
        <w:rPr>
          <w:rFonts w:ascii="Arial" w:hAnsi="Arial" w:cs="Arial"/>
        </w:rPr>
        <w:t xml:space="preserve"> detailed </w:t>
      </w:r>
      <w:r w:rsidR="003362FE">
        <w:rPr>
          <w:rFonts w:ascii="Arial" w:hAnsi="Arial" w:cs="Arial"/>
        </w:rPr>
        <w:t>in</w:t>
      </w:r>
      <w:r w:rsidRPr="000F5C3A">
        <w:rPr>
          <w:rFonts w:ascii="Arial" w:hAnsi="Arial" w:cs="Arial"/>
        </w:rPr>
        <w:t xml:space="preserve"> A</w:t>
      </w:r>
      <w:r w:rsidR="00FF1B21">
        <w:rPr>
          <w:rFonts w:ascii="Arial" w:hAnsi="Arial" w:cs="Arial"/>
        </w:rPr>
        <w:t>nnex</w:t>
      </w:r>
      <w:r w:rsidRPr="000F5C3A">
        <w:rPr>
          <w:rFonts w:ascii="Arial" w:hAnsi="Arial" w:cs="Arial"/>
        </w:rPr>
        <w:t xml:space="preserve"> </w:t>
      </w:r>
      <w:r w:rsidR="00FF1B21">
        <w:rPr>
          <w:rFonts w:ascii="Arial" w:hAnsi="Arial" w:cs="Arial"/>
        </w:rPr>
        <w:t>B</w:t>
      </w:r>
      <w:r w:rsidRPr="000F5C3A">
        <w:rPr>
          <w:rFonts w:ascii="Arial" w:hAnsi="Arial" w:cs="Arial"/>
        </w:rPr>
        <w:t xml:space="preserve"> to this DEFFORM 47 and will be made available in the DSP. </w:t>
      </w:r>
    </w:p>
    <w:p w14:paraId="1544F7AD" w14:textId="77777777" w:rsidR="00530E19" w:rsidRPr="000F5C3A" w:rsidRDefault="00530E19" w:rsidP="00162491">
      <w:pPr>
        <w:pStyle w:val="NoSpacing"/>
        <w:spacing w:line="360" w:lineRule="auto"/>
        <w:rPr>
          <w:rFonts w:ascii="Arial" w:hAnsi="Arial" w:cs="Arial"/>
        </w:rPr>
      </w:pPr>
    </w:p>
    <w:p w14:paraId="11DE71FE" w14:textId="5DA8DA75" w:rsidR="00530E19" w:rsidRDefault="00530E19" w:rsidP="00162491">
      <w:pPr>
        <w:pStyle w:val="NoSpacing"/>
        <w:numPr>
          <w:ilvl w:val="0"/>
          <w:numId w:val="6"/>
        </w:numPr>
        <w:spacing w:line="360" w:lineRule="auto"/>
        <w:rPr>
          <w:rFonts w:ascii="Arial" w:hAnsi="Arial" w:cs="Arial"/>
        </w:rPr>
      </w:pPr>
      <w:r w:rsidRPr="000F5C3A">
        <w:rPr>
          <w:rFonts w:ascii="Arial" w:hAnsi="Arial" w:cs="Arial"/>
        </w:rPr>
        <w:t>Table</w:t>
      </w:r>
      <w:r w:rsidR="000A7ADC">
        <w:rPr>
          <w:rFonts w:ascii="Arial" w:hAnsi="Arial" w:cs="Arial"/>
        </w:rPr>
        <w:t xml:space="preserve"> 2</w:t>
      </w:r>
      <w:r w:rsidRPr="000F5C3A">
        <w:rPr>
          <w:rFonts w:ascii="Arial" w:hAnsi="Arial" w:cs="Arial"/>
        </w:rPr>
        <w:t xml:space="preserve">details the questions that will be asked in the ITN Evaluation Criteria document and their associated weightings. </w:t>
      </w:r>
      <w:r w:rsidR="001B5634">
        <w:rPr>
          <w:rFonts w:ascii="Arial" w:hAnsi="Arial" w:cs="Arial"/>
        </w:rPr>
        <w:t xml:space="preserve">The weighting represents the maximum </w:t>
      </w:r>
      <w:r w:rsidR="00CC0825">
        <w:rPr>
          <w:rFonts w:ascii="Arial" w:hAnsi="Arial" w:cs="Arial"/>
        </w:rPr>
        <w:t xml:space="preserve">proportion of the total </w:t>
      </w:r>
      <w:r w:rsidR="001B5634">
        <w:rPr>
          <w:rFonts w:ascii="Arial" w:hAnsi="Arial" w:cs="Arial"/>
        </w:rPr>
        <w:t>non-cost score that can be allocated to each question.</w:t>
      </w:r>
    </w:p>
    <w:p w14:paraId="1DC7D9B5" w14:textId="77777777" w:rsidR="00530E19" w:rsidRDefault="00530E19" w:rsidP="00162491">
      <w:pPr>
        <w:pStyle w:val="NoSpacing"/>
        <w:spacing w:line="360" w:lineRule="auto"/>
        <w:rPr>
          <w:rFonts w:ascii="Arial" w:hAnsi="Arial" w:cs="Arial"/>
        </w:rPr>
      </w:pPr>
    </w:p>
    <w:p w14:paraId="16F7A7F8" w14:textId="77777777" w:rsidR="00530E19" w:rsidRPr="00530E19" w:rsidRDefault="00530E19" w:rsidP="00162491">
      <w:pPr>
        <w:pStyle w:val="NoSpacing"/>
        <w:spacing w:line="360" w:lineRule="auto"/>
        <w:rPr>
          <w:rFonts w:ascii="Arial" w:hAnsi="Arial" w:cs="Arial"/>
          <w:b/>
          <w:bCs/>
        </w:rPr>
      </w:pPr>
      <w:r w:rsidRPr="00530E19">
        <w:rPr>
          <w:rFonts w:ascii="Arial" w:hAnsi="Arial" w:cs="Arial"/>
          <w:b/>
          <w:bCs/>
        </w:rPr>
        <w:t xml:space="preserve">Table 2 </w:t>
      </w:r>
    </w:p>
    <w:tbl>
      <w:tblPr>
        <w:tblpPr w:leftFromText="180" w:rightFromText="180" w:bottomFromText="160" w:vertAnchor="text" w:horzAnchor="margin" w:tblpY="-49"/>
        <w:tblW w:w="8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4"/>
        <w:gridCol w:w="1855"/>
      </w:tblGrid>
      <w:tr w:rsidR="00783215" w:rsidRPr="000F5C3A" w14:paraId="7AB923D3" w14:textId="77777777" w:rsidTr="00783215">
        <w:trPr>
          <w:trHeight w:val="261"/>
        </w:trPr>
        <w:tc>
          <w:tcPr>
            <w:tcW w:w="6414" w:type="dxa"/>
            <w:shd w:val="clear" w:color="auto" w:fill="F7CAAC" w:themeFill="accent2" w:themeFillTint="66"/>
            <w:vAlign w:val="center"/>
            <w:hideMark/>
          </w:tcPr>
          <w:p w14:paraId="690A7854" w14:textId="77777777" w:rsidR="00783215" w:rsidRPr="000F5C3A" w:rsidRDefault="00783215" w:rsidP="00783215">
            <w:pPr>
              <w:pStyle w:val="NoSpacing"/>
              <w:spacing w:line="360" w:lineRule="auto"/>
              <w:jc w:val="center"/>
              <w:rPr>
                <w:rFonts w:ascii="Arial" w:hAnsi="Arial" w:cs="Arial"/>
                <w:b/>
              </w:rPr>
            </w:pPr>
            <w:r w:rsidRPr="000F5C3A">
              <w:rPr>
                <w:rFonts w:ascii="Arial" w:hAnsi="Arial" w:cs="Arial"/>
                <w:b/>
              </w:rPr>
              <w:t xml:space="preserve">Question </w:t>
            </w:r>
          </w:p>
        </w:tc>
        <w:tc>
          <w:tcPr>
            <w:tcW w:w="1855" w:type="dxa"/>
            <w:shd w:val="clear" w:color="auto" w:fill="F7CAAC" w:themeFill="accent2" w:themeFillTint="66"/>
          </w:tcPr>
          <w:p w14:paraId="51B72953" w14:textId="77777777" w:rsidR="00783215" w:rsidRPr="000F5C3A" w:rsidRDefault="00783215" w:rsidP="00783215">
            <w:pPr>
              <w:pStyle w:val="NoSpacing"/>
              <w:spacing w:line="360" w:lineRule="auto"/>
              <w:jc w:val="center"/>
              <w:rPr>
                <w:rFonts w:ascii="Arial" w:hAnsi="Arial" w:cs="Arial"/>
                <w:b/>
              </w:rPr>
            </w:pPr>
            <w:r>
              <w:rPr>
                <w:rFonts w:ascii="Arial" w:hAnsi="Arial" w:cs="Arial"/>
                <w:b/>
              </w:rPr>
              <w:t xml:space="preserve">Non-Cost </w:t>
            </w:r>
            <w:r w:rsidRPr="000F5C3A">
              <w:rPr>
                <w:rFonts w:ascii="Arial" w:hAnsi="Arial" w:cs="Arial"/>
                <w:b/>
              </w:rPr>
              <w:t>Weighting (%)</w:t>
            </w:r>
          </w:p>
        </w:tc>
      </w:tr>
      <w:tr w:rsidR="00783215" w:rsidRPr="000F5C3A" w14:paraId="2073C839" w14:textId="77777777" w:rsidTr="00783215">
        <w:trPr>
          <w:trHeight w:val="296"/>
        </w:trPr>
        <w:tc>
          <w:tcPr>
            <w:tcW w:w="6414" w:type="dxa"/>
            <w:vAlign w:val="center"/>
          </w:tcPr>
          <w:p w14:paraId="2BA04B37" w14:textId="77777777" w:rsidR="00783215" w:rsidRDefault="00783215" w:rsidP="00783215">
            <w:pPr>
              <w:pStyle w:val="NoSpacing"/>
              <w:numPr>
                <w:ilvl w:val="0"/>
                <w:numId w:val="23"/>
              </w:numPr>
              <w:spacing w:line="360" w:lineRule="auto"/>
              <w:rPr>
                <w:rFonts w:ascii="Arial" w:hAnsi="Arial" w:cs="Arial"/>
                <w:szCs w:val="20"/>
              </w:rPr>
            </w:pPr>
            <w:r>
              <w:rPr>
                <w:rFonts w:ascii="Arial" w:hAnsi="Arial" w:cs="Arial"/>
                <w:szCs w:val="20"/>
              </w:rPr>
              <w:t>Subject Matter Expertise and Previous Experience</w:t>
            </w:r>
          </w:p>
        </w:tc>
        <w:tc>
          <w:tcPr>
            <w:tcW w:w="1855" w:type="dxa"/>
          </w:tcPr>
          <w:p w14:paraId="3F7256AC" w14:textId="77777777" w:rsidR="00783215" w:rsidRDefault="00783215" w:rsidP="00783215">
            <w:pPr>
              <w:pStyle w:val="NoSpacing"/>
              <w:spacing w:line="360" w:lineRule="auto"/>
              <w:jc w:val="center"/>
              <w:rPr>
                <w:rFonts w:ascii="Arial" w:hAnsi="Arial" w:cs="Arial"/>
                <w:szCs w:val="20"/>
              </w:rPr>
            </w:pPr>
            <w:r>
              <w:rPr>
                <w:rFonts w:ascii="Arial" w:hAnsi="Arial" w:cs="Arial"/>
                <w:szCs w:val="20"/>
              </w:rPr>
              <w:t>15</w:t>
            </w:r>
          </w:p>
        </w:tc>
      </w:tr>
      <w:tr w:rsidR="00783215" w:rsidRPr="000F5C3A" w14:paraId="5399FF67" w14:textId="77777777" w:rsidTr="00783215">
        <w:trPr>
          <w:trHeight w:val="296"/>
        </w:trPr>
        <w:tc>
          <w:tcPr>
            <w:tcW w:w="6414" w:type="dxa"/>
            <w:vAlign w:val="center"/>
          </w:tcPr>
          <w:p w14:paraId="14D4EDFA" w14:textId="77777777" w:rsidR="00783215" w:rsidRPr="000F5C3A" w:rsidRDefault="00783215" w:rsidP="00783215">
            <w:pPr>
              <w:pStyle w:val="NoSpacing"/>
              <w:numPr>
                <w:ilvl w:val="0"/>
                <w:numId w:val="23"/>
              </w:numPr>
              <w:spacing w:line="360" w:lineRule="auto"/>
              <w:rPr>
                <w:rFonts w:ascii="Arial" w:hAnsi="Arial" w:cs="Arial"/>
                <w:szCs w:val="20"/>
              </w:rPr>
            </w:pPr>
            <w:r>
              <w:rPr>
                <w:rFonts w:ascii="Arial" w:hAnsi="Arial" w:cs="Arial"/>
                <w:szCs w:val="20"/>
              </w:rPr>
              <w:t>Design and Build of the Rig</w:t>
            </w:r>
          </w:p>
        </w:tc>
        <w:tc>
          <w:tcPr>
            <w:tcW w:w="1855" w:type="dxa"/>
          </w:tcPr>
          <w:p w14:paraId="47BA5D4C" w14:textId="77777777" w:rsidR="00783215" w:rsidRPr="00C41EBA" w:rsidRDefault="00783215" w:rsidP="00783215">
            <w:pPr>
              <w:pStyle w:val="NoSpacing"/>
              <w:spacing w:line="360" w:lineRule="auto"/>
              <w:jc w:val="center"/>
              <w:rPr>
                <w:rFonts w:ascii="Arial" w:hAnsi="Arial" w:cs="Arial"/>
                <w:szCs w:val="20"/>
              </w:rPr>
            </w:pPr>
            <w:r>
              <w:rPr>
                <w:rFonts w:ascii="Arial" w:hAnsi="Arial" w:cs="Arial"/>
                <w:szCs w:val="20"/>
              </w:rPr>
              <w:t>10</w:t>
            </w:r>
          </w:p>
        </w:tc>
      </w:tr>
      <w:tr w:rsidR="00783215" w:rsidRPr="000F5C3A" w14:paraId="4BFCC0C9" w14:textId="77777777" w:rsidTr="00783215">
        <w:trPr>
          <w:trHeight w:val="390"/>
        </w:trPr>
        <w:tc>
          <w:tcPr>
            <w:tcW w:w="6414" w:type="dxa"/>
            <w:vAlign w:val="center"/>
          </w:tcPr>
          <w:p w14:paraId="55E8079B" w14:textId="31D19804" w:rsidR="00783215" w:rsidRPr="000F5C3A" w:rsidRDefault="00BE7009" w:rsidP="00783215">
            <w:pPr>
              <w:pStyle w:val="NoSpacing"/>
              <w:numPr>
                <w:ilvl w:val="0"/>
                <w:numId w:val="23"/>
              </w:numPr>
              <w:spacing w:line="360" w:lineRule="auto"/>
              <w:rPr>
                <w:rFonts w:ascii="Arial" w:hAnsi="Arial" w:cs="Arial"/>
                <w:szCs w:val="20"/>
              </w:rPr>
            </w:pPr>
            <w:r>
              <w:rPr>
                <w:rFonts w:ascii="Arial" w:hAnsi="Arial" w:cs="Arial"/>
                <w:szCs w:val="20"/>
              </w:rPr>
              <w:t xml:space="preserve">Annual Servicing, </w:t>
            </w:r>
            <w:r w:rsidR="00783215">
              <w:rPr>
                <w:rFonts w:ascii="Arial" w:hAnsi="Arial" w:cs="Arial"/>
                <w:szCs w:val="20"/>
              </w:rPr>
              <w:t xml:space="preserve">Minor Repairs and </w:t>
            </w:r>
            <w:r>
              <w:rPr>
                <w:rFonts w:ascii="Arial" w:hAnsi="Arial" w:cs="Arial"/>
                <w:szCs w:val="20"/>
              </w:rPr>
              <w:t>Ad hoc repairs</w:t>
            </w:r>
          </w:p>
        </w:tc>
        <w:tc>
          <w:tcPr>
            <w:tcW w:w="1855" w:type="dxa"/>
          </w:tcPr>
          <w:p w14:paraId="4178A272" w14:textId="77777777" w:rsidR="00783215" w:rsidRPr="00C41EBA" w:rsidRDefault="00783215" w:rsidP="00783215">
            <w:pPr>
              <w:pStyle w:val="NoSpacing"/>
              <w:spacing w:line="360" w:lineRule="auto"/>
              <w:jc w:val="center"/>
              <w:rPr>
                <w:rFonts w:ascii="Arial" w:hAnsi="Arial" w:cs="Arial"/>
                <w:szCs w:val="20"/>
              </w:rPr>
            </w:pPr>
            <w:r>
              <w:rPr>
                <w:rFonts w:ascii="Arial" w:hAnsi="Arial" w:cs="Arial"/>
                <w:szCs w:val="20"/>
              </w:rPr>
              <w:t>25</w:t>
            </w:r>
          </w:p>
        </w:tc>
      </w:tr>
      <w:tr w:rsidR="00783215" w:rsidRPr="000F5C3A" w14:paraId="473B8AF5" w14:textId="77777777" w:rsidTr="00783215">
        <w:trPr>
          <w:trHeight w:val="474"/>
        </w:trPr>
        <w:tc>
          <w:tcPr>
            <w:tcW w:w="6414" w:type="dxa"/>
            <w:vAlign w:val="center"/>
          </w:tcPr>
          <w:p w14:paraId="3A7CC2E6" w14:textId="77777777" w:rsidR="00783215" w:rsidRPr="000F5C3A" w:rsidRDefault="00783215" w:rsidP="00783215">
            <w:pPr>
              <w:pStyle w:val="NoSpacing"/>
              <w:numPr>
                <w:ilvl w:val="0"/>
                <w:numId w:val="23"/>
              </w:numPr>
              <w:spacing w:line="360" w:lineRule="auto"/>
              <w:rPr>
                <w:rFonts w:ascii="Arial" w:hAnsi="Arial" w:cs="Arial"/>
                <w:szCs w:val="20"/>
              </w:rPr>
            </w:pPr>
            <w:r>
              <w:rPr>
                <w:rFonts w:ascii="Arial" w:hAnsi="Arial" w:cs="Arial"/>
                <w:szCs w:val="20"/>
              </w:rPr>
              <w:t>Risk Mitigation</w:t>
            </w:r>
          </w:p>
        </w:tc>
        <w:tc>
          <w:tcPr>
            <w:tcW w:w="1855" w:type="dxa"/>
          </w:tcPr>
          <w:p w14:paraId="5F4DD043" w14:textId="77777777" w:rsidR="00783215" w:rsidRPr="00C41EBA" w:rsidRDefault="00783215" w:rsidP="00783215">
            <w:pPr>
              <w:pStyle w:val="NoSpacing"/>
              <w:spacing w:line="360" w:lineRule="auto"/>
              <w:jc w:val="center"/>
              <w:rPr>
                <w:rFonts w:ascii="Arial" w:hAnsi="Arial" w:cs="Arial"/>
                <w:szCs w:val="20"/>
              </w:rPr>
            </w:pPr>
            <w:r>
              <w:rPr>
                <w:rFonts w:ascii="Arial" w:hAnsi="Arial" w:cs="Arial"/>
                <w:szCs w:val="20"/>
              </w:rPr>
              <w:t>15</w:t>
            </w:r>
          </w:p>
        </w:tc>
      </w:tr>
      <w:tr w:rsidR="00783215" w:rsidRPr="000F5C3A" w14:paraId="01A3AE25" w14:textId="77777777" w:rsidTr="00783215">
        <w:trPr>
          <w:trHeight w:val="390"/>
        </w:trPr>
        <w:tc>
          <w:tcPr>
            <w:tcW w:w="6414" w:type="dxa"/>
            <w:vAlign w:val="center"/>
          </w:tcPr>
          <w:p w14:paraId="524EB311" w14:textId="77777777" w:rsidR="00783215" w:rsidRDefault="00783215" w:rsidP="00783215">
            <w:pPr>
              <w:pStyle w:val="NoSpacing"/>
              <w:numPr>
                <w:ilvl w:val="0"/>
                <w:numId w:val="23"/>
              </w:numPr>
              <w:spacing w:line="360" w:lineRule="auto"/>
              <w:rPr>
                <w:rFonts w:ascii="Arial" w:hAnsi="Arial" w:cs="Arial"/>
                <w:szCs w:val="20"/>
              </w:rPr>
            </w:pPr>
            <w:r>
              <w:rPr>
                <w:rFonts w:ascii="Arial" w:hAnsi="Arial" w:cs="Arial"/>
                <w:szCs w:val="20"/>
              </w:rPr>
              <w:t>Delivery Team</w:t>
            </w:r>
          </w:p>
        </w:tc>
        <w:tc>
          <w:tcPr>
            <w:tcW w:w="1855" w:type="dxa"/>
          </w:tcPr>
          <w:p w14:paraId="303879C1" w14:textId="77777777" w:rsidR="00783215" w:rsidRPr="00C41EBA" w:rsidRDefault="00783215" w:rsidP="00783215">
            <w:pPr>
              <w:pStyle w:val="NoSpacing"/>
              <w:spacing w:line="360" w:lineRule="auto"/>
              <w:jc w:val="center"/>
              <w:rPr>
                <w:rFonts w:ascii="Arial" w:hAnsi="Arial" w:cs="Arial"/>
                <w:szCs w:val="20"/>
              </w:rPr>
            </w:pPr>
            <w:r>
              <w:rPr>
                <w:rFonts w:ascii="Arial" w:hAnsi="Arial" w:cs="Arial"/>
                <w:szCs w:val="20"/>
              </w:rPr>
              <w:t>15</w:t>
            </w:r>
          </w:p>
        </w:tc>
      </w:tr>
      <w:tr w:rsidR="00783215" w:rsidRPr="000F5C3A" w14:paraId="1B90FB3C" w14:textId="77777777" w:rsidTr="00783215">
        <w:trPr>
          <w:trHeight w:val="390"/>
        </w:trPr>
        <w:tc>
          <w:tcPr>
            <w:tcW w:w="6414" w:type="dxa"/>
            <w:vAlign w:val="center"/>
          </w:tcPr>
          <w:p w14:paraId="7F5C6A6C" w14:textId="77777777" w:rsidR="00783215" w:rsidRPr="000F5C3A" w:rsidRDefault="00783215" w:rsidP="00783215">
            <w:pPr>
              <w:pStyle w:val="NoSpacing"/>
              <w:numPr>
                <w:ilvl w:val="0"/>
                <w:numId w:val="23"/>
              </w:numPr>
              <w:spacing w:line="360" w:lineRule="auto"/>
              <w:rPr>
                <w:rFonts w:ascii="Arial" w:hAnsi="Arial" w:cs="Arial"/>
                <w:szCs w:val="20"/>
              </w:rPr>
            </w:pPr>
            <w:r>
              <w:rPr>
                <w:rFonts w:ascii="Arial" w:hAnsi="Arial" w:cs="Arial"/>
                <w:szCs w:val="20"/>
              </w:rPr>
              <w:t>Continuous Improvement</w:t>
            </w:r>
          </w:p>
        </w:tc>
        <w:tc>
          <w:tcPr>
            <w:tcW w:w="1855" w:type="dxa"/>
          </w:tcPr>
          <w:p w14:paraId="176BBF27" w14:textId="77777777" w:rsidR="00783215" w:rsidRPr="00C41EBA" w:rsidRDefault="00783215" w:rsidP="00783215">
            <w:pPr>
              <w:pStyle w:val="NoSpacing"/>
              <w:spacing w:line="360" w:lineRule="auto"/>
              <w:jc w:val="center"/>
              <w:rPr>
                <w:rFonts w:ascii="Arial" w:hAnsi="Arial" w:cs="Arial"/>
                <w:szCs w:val="20"/>
              </w:rPr>
            </w:pPr>
            <w:r>
              <w:rPr>
                <w:rFonts w:ascii="Arial" w:hAnsi="Arial" w:cs="Arial"/>
                <w:szCs w:val="20"/>
              </w:rPr>
              <w:t>10</w:t>
            </w:r>
          </w:p>
        </w:tc>
      </w:tr>
      <w:tr w:rsidR="00783215" w:rsidRPr="000F5C3A" w14:paraId="32866EE4" w14:textId="77777777" w:rsidTr="00783215">
        <w:trPr>
          <w:trHeight w:val="390"/>
        </w:trPr>
        <w:tc>
          <w:tcPr>
            <w:tcW w:w="6414" w:type="dxa"/>
            <w:vAlign w:val="center"/>
          </w:tcPr>
          <w:p w14:paraId="2402EBE3" w14:textId="77777777" w:rsidR="00783215" w:rsidRPr="00732ACD" w:rsidRDefault="00783215" w:rsidP="00783215">
            <w:pPr>
              <w:pStyle w:val="NoSpacing"/>
              <w:numPr>
                <w:ilvl w:val="0"/>
                <w:numId w:val="23"/>
              </w:numPr>
              <w:spacing w:line="360" w:lineRule="auto"/>
              <w:rPr>
                <w:rFonts w:ascii="Arial" w:hAnsi="Arial" w:cs="Arial"/>
                <w:szCs w:val="20"/>
              </w:rPr>
            </w:pPr>
            <w:r>
              <w:rPr>
                <w:rFonts w:ascii="Arial" w:hAnsi="Arial" w:cs="Arial"/>
                <w:szCs w:val="20"/>
              </w:rPr>
              <w:t>Social Value</w:t>
            </w:r>
          </w:p>
        </w:tc>
        <w:tc>
          <w:tcPr>
            <w:tcW w:w="1855" w:type="dxa"/>
          </w:tcPr>
          <w:p w14:paraId="1F203B0F" w14:textId="77777777" w:rsidR="00783215" w:rsidRPr="00162491" w:rsidRDefault="00783215" w:rsidP="00783215">
            <w:pPr>
              <w:pStyle w:val="NoSpacing"/>
              <w:spacing w:line="360" w:lineRule="auto"/>
              <w:jc w:val="center"/>
              <w:rPr>
                <w:rFonts w:ascii="Arial" w:hAnsi="Arial" w:cs="Arial"/>
                <w:szCs w:val="20"/>
                <w:highlight w:val="yellow"/>
              </w:rPr>
            </w:pPr>
            <w:r w:rsidRPr="00732ACD">
              <w:rPr>
                <w:rFonts w:ascii="Arial" w:hAnsi="Arial" w:cs="Arial"/>
                <w:szCs w:val="20"/>
              </w:rPr>
              <w:t>10</w:t>
            </w:r>
          </w:p>
        </w:tc>
      </w:tr>
      <w:tr w:rsidR="00783215" w:rsidRPr="000F5C3A" w14:paraId="5C37804E" w14:textId="77777777" w:rsidTr="00783215">
        <w:trPr>
          <w:trHeight w:val="390"/>
        </w:trPr>
        <w:tc>
          <w:tcPr>
            <w:tcW w:w="6414" w:type="dxa"/>
            <w:vAlign w:val="center"/>
          </w:tcPr>
          <w:p w14:paraId="6A58DC65" w14:textId="77777777" w:rsidR="00783215" w:rsidRPr="000F5C3A" w:rsidRDefault="00783215" w:rsidP="00783215">
            <w:pPr>
              <w:pStyle w:val="NoSpacing"/>
              <w:spacing w:line="360" w:lineRule="auto"/>
              <w:rPr>
                <w:rFonts w:ascii="Arial" w:hAnsi="Arial" w:cs="Arial"/>
                <w:b/>
                <w:bCs/>
                <w:szCs w:val="20"/>
              </w:rPr>
            </w:pPr>
            <w:r w:rsidRPr="000F5C3A">
              <w:rPr>
                <w:rFonts w:ascii="Arial" w:hAnsi="Arial" w:cs="Arial"/>
                <w:b/>
                <w:bCs/>
                <w:szCs w:val="20"/>
              </w:rPr>
              <w:t>Total</w:t>
            </w:r>
          </w:p>
        </w:tc>
        <w:tc>
          <w:tcPr>
            <w:tcW w:w="1855" w:type="dxa"/>
          </w:tcPr>
          <w:p w14:paraId="6E0BF80A" w14:textId="77777777" w:rsidR="00783215" w:rsidRPr="00162491" w:rsidRDefault="00783215" w:rsidP="00783215">
            <w:pPr>
              <w:pStyle w:val="NoSpacing"/>
              <w:spacing w:line="360" w:lineRule="auto"/>
              <w:jc w:val="center"/>
              <w:rPr>
                <w:rFonts w:ascii="Arial" w:hAnsi="Arial" w:cs="Arial"/>
                <w:szCs w:val="20"/>
                <w:highlight w:val="yellow"/>
              </w:rPr>
            </w:pPr>
            <w:r w:rsidRPr="00F0224F">
              <w:rPr>
                <w:rFonts w:ascii="Arial" w:hAnsi="Arial" w:cs="Arial"/>
                <w:szCs w:val="20"/>
              </w:rPr>
              <w:t>100</w:t>
            </w:r>
          </w:p>
        </w:tc>
      </w:tr>
    </w:tbl>
    <w:p w14:paraId="423D3D9B" w14:textId="77777777" w:rsidR="00530E19" w:rsidRPr="000F5C3A" w:rsidRDefault="00530E19" w:rsidP="00162491">
      <w:pPr>
        <w:spacing w:line="360" w:lineRule="auto"/>
        <w:rPr>
          <w:rFonts w:ascii="Arial" w:hAnsi="Arial" w:cs="Arial"/>
        </w:rPr>
      </w:pPr>
    </w:p>
    <w:p w14:paraId="4D31D273" w14:textId="020585FA" w:rsidR="00CE0715" w:rsidRPr="00CC0825" w:rsidRDefault="00530E19" w:rsidP="00CC0825">
      <w:pPr>
        <w:pStyle w:val="ListParagraph"/>
        <w:numPr>
          <w:ilvl w:val="0"/>
          <w:numId w:val="6"/>
        </w:numPr>
        <w:spacing w:line="360" w:lineRule="auto"/>
        <w:ind w:left="357" w:hanging="357"/>
        <w:contextualSpacing w:val="0"/>
        <w:rPr>
          <w:rFonts w:ascii="Arial" w:hAnsi="Arial" w:cs="Arial"/>
        </w:rPr>
      </w:pPr>
      <w:r w:rsidRPr="00162491">
        <w:rPr>
          <w:rFonts w:ascii="Arial" w:hAnsi="Arial" w:cs="Arial"/>
        </w:rPr>
        <w:t xml:space="preserve">The objective of </w:t>
      </w:r>
      <w:r w:rsidR="000C1551">
        <w:rPr>
          <w:rFonts w:ascii="Arial" w:hAnsi="Arial" w:cs="Arial"/>
        </w:rPr>
        <w:t>the Technical Evaluation</w:t>
      </w:r>
      <w:r w:rsidRPr="00162491">
        <w:rPr>
          <w:rFonts w:ascii="Arial" w:hAnsi="Arial" w:cs="Arial"/>
        </w:rPr>
        <w:t xml:space="preserve"> is to understand the Tenderer’s capability to deliver the requirements of the contract </w:t>
      </w:r>
      <w:r w:rsidR="00CB5B38">
        <w:rPr>
          <w:rFonts w:ascii="Arial" w:hAnsi="Arial" w:cs="Arial"/>
        </w:rPr>
        <w:t>as</w:t>
      </w:r>
      <w:r w:rsidRPr="00162491">
        <w:rPr>
          <w:rFonts w:ascii="Arial" w:hAnsi="Arial" w:cs="Arial"/>
        </w:rPr>
        <w:t xml:space="preserve"> identified within the </w:t>
      </w:r>
      <w:r w:rsidR="00CB5B38">
        <w:rPr>
          <w:rFonts w:ascii="Arial" w:hAnsi="Arial" w:cs="Arial"/>
        </w:rPr>
        <w:t xml:space="preserve">User Defined </w:t>
      </w:r>
      <w:r w:rsidR="00E526CB">
        <w:rPr>
          <w:rFonts w:ascii="Arial" w:hAnsi="Arial" w:cs="Arial"/>
        </w:rPr>
        <w:t>Requirements.</w:t>
      </w:r>
    </w:p>
    <w:p w14:paraId="3BD68F8D" w14:textId="7B8DA495" w:rsidR="00530E19" w:rsidRDefault="00530E19" w:rsidP="00162491">
      <w:pPr>
        <w:pStyle w:val="ListParagraph"/>
        <w:numPr>
          <w:ilvl w:val="0"/>
          <w:numId w:val="6"/>
        </w:numPr>
        <w:spacing w:line="360" w:lineRule="auto"/>
        <w:rPr>
          <w:rFonts w:ascii="Arial" w:hAnsi="Arial" w:cs="Arial"/>
        </w:rPr>
      </w:pPr>
      <w:r w:rsidRPr="00162491">
        <w:rPr>
          <w:rFonts w:ascii="Arial" w:hAnsi="Arial" w:cs="Arial"/>
        </w:rPr>
        <w:t xml:space="preserve">Table </w:t>
      </w:r>
      <w:r w:rsidR="00F438BF">
        <w:rPr>
          <w:rFonts w:ascii="Arial" w:hAnsi="Arial" w:cs="Arial"/>
        </w:rPr>
        <w:t>3</w:t>
      </w:r>
      <w:r w:rsidRPr="00162491">
        <w:rPr>
          <w:rFonts w:ascii="Arial" w:hAnsi="Arial" w:cs="Arial"/>
        </w:rPr>
        <w:t xml:space="preserve"> below details the confidence characteristics used to evaluate Questions 1-6 of A</w:t>
      </w:r>
      <w:r w:rsidR="00C41EBA">
        <w:rPr>
          <w:rFonts w:ascii="Arial" w:hAnsi="Arial" w:cs="Arial"/>
        </w:rPr>
        <w:t>nnex</w:t>
      </w:r>
      <w:r w:rsidRPr="00162491">
        <w:rPr>
          <w:rFonts w:ascii="Arial" w:hAnsi="Arial" w:cs="Arial"/>
        </w:rPr>
        <w:t xml:space="preserve"> </w:t>
      </w:r>
      <w:r w:rsidR="00CC0825">
        <w:rPr>
          <w:rFonts w:ascii="Arial" w:hAnsi="Arial" w:cs="Arial"/>
        </w:rPr>
        <w:t>B</w:t>
      </w:r>
      <w:r w:rsidRPr="00162491">
        <w:rPr>
          <w:rFonts w:ascii="Arial" w:hAnsi="Arial" w:cs="Arial"/>
        </w:rPr>
        <w:t xml:space="preserve"> to the DEFFORM 47 </w:t>
      </w:r>
      <w:r w:rsidR="001B5F7B">
        <w:rPr>
          <w:rFonts w:ascii="Arial" w:hAnsi="Arial" w:cs="Arial"/>
        </w:rPr>
        <w:t>during the Technical Evaluation</w:t>
      </w:r>
      <w:r w:rsidRPr="00162491">
        <w:rPr>
          <w:rFonts w:ascii="Arial" w:hAnsi="Arial" w:cs="Arial"/>
        </w:rPr>
        <w:t>. For each question, Tenderer’s will be given a confidence characteristic score based on the evidence provided within the response of either 0,</w:t>
      </w:r>
      <w:r w:rsidR="0063675C">
        <w:rPr>
          <w:rFonts w:ascii="Arial" w:hAnsi="Arial" w:cs="Arial"/>
        </w:rPr>
        <w:t xml:space="preserve"> </w:t>
      </w:r>
      <w:r w:rsidRPr="00162491">
        <w:rPr>
          <w:rFonts w:ascii="Arial" w:hAnsi="Arial" w:cs="Arial"/>
        </w:rPr>
        <w:t>25,</w:t>
      </w:r>
      <w:r w:rsidR="0063675C">
        <w:rPr>
          <w:rFonts w:ascii="Arial" w:hAnsi="Arial" w:cs="Arial"/>
        </w:rPr>
        <w:t xml:space="preserve"> </w:t>
      </w:r>
      <w:r w:rsidRPr="00162491">
        <w:rPr>
          <w:rFonts w:ascii="Arial" w:hAnsi="Arial" w:cs="Arial"/>
        </w:rPr>
        <w:t>50,</w:t>
      </w:r>
      <w:r w:rsidR="0063675C">
        <w:rPr>
          <w:rFonts w:ascii="Arial" w:hAnsi="Arial" w:cs="Arial"/>
        </w:rPr>
        <w:t xml:space="preserve"> </w:t>
      </w:r>
      <w:r w:rsidRPr="00162491">
        <w:rPr>
          <w:rFonts w:ascii="Arial" w:hAnsi="Arial" w:cs="Arial"/>
        </w:rPr>
        <w:t>75 or 100 marks. The total ma</w:t>
      </w:r>
      <w:r w:rsidR="002172E5">
        <w:rPr>
          <w:rFonts w:ascii="Arial" w:hAnsi="Arial" w:cs="Arial"/>
        </w:rPr>
        <w:t>rk</w:t>
      </w:r>
      <w:r w:rsidRPr="00162491">
        <w:rPr>
          <w:rFonts w:ascii="Arial" w:hAnsi="Arial" w:cs="Arial"/>
        </w:rPr>
        <w:t xml:space="preserve"> </w:t>
      </w:r>
      <w:r w:rsidR="002172E5">
        <w:rPr>
          <w:rFonts w:ascii="Arial" w:hAnsi="Arial" w:cs="Arial"/>
        </w:rPr>
        <w:t xml:space="preserve">that can </w:t>
      </w:r>
      <w:r w:rsidRPr="00162491">
        <w:rPr>
          <w:rFonts w:ascii="Arial" w:hAnsi="Arial" w:cs="Arial"/>
        </w:rPr>
        <w:lastRenderedPageBreak/>
        <w:t xml:space="preserve">be achieved per question is 100. </w:t>
      </w:r>
      <w:r w:rsidRPr="00636472">
        <w:rPr>
          <w:rFonts w:ascii="Arial" w:hAnsi="Arial" w:cs="Arial"/>
        </w:rPr>
        <w:t xml:space="preserve">These confidence characteristics can also be found in the Evaluation Criteria at </w:t>
      </w:r>
      <w:r w:rsidRPr="00A926E2">
        <w:rPr>
          <w:rFonts w:ascii="Arial" w:hAnsi="Arial" w:cs="Arial"/>
        </w:rPr>
        <w:t>A</w:t>
      </w:r>
      <w:r w:rsidR="00636472" w:rsidRPr="00A926E2">
        <w:rPr>
          <w:rFonts w:ascii="Arial" w:hAnsi="Arial" w:cs="Arial"/>
        </w:rPr>
        <w:t xml:space="preserve">nnex </w:t>
      </w:r>
      <w:r w:rsidR="00A926E2">
        <w:rPr>
          <w:rFonts w:ascii="Arial" w:hAnsi="Arial" w:cs="Arial"/>
        </w:rPr>
        <w:t>B</w:t>
      </w:r>
      <w:r w:rsidR="00636472">
        <w:rPr>
          <w:rFonts w:ascii="Arial" w:hAnsi="Arial" w:cs="Arial"/>
        </w:rPr>
        <w:t xml:space="preserve"> </w:t>
      </w:r>
      <w:r w:rsidRPr="00636472">
        <w:rPr>
          <w:rFonts w:ascii="Arial" w:hAnsi="Arial" w:cs="Arial"/>
        </w:rPr>
        <w:t>to the DEFFORM 47.</w:t>
      </w:r>
    </w:p>
    <w:p w14:paraId="4C3657AB" w14:textId="77777777" w:rsidR="0093458F" w:rsidRDefault="0093458F" w:rsidP="0093458F">
      <w:pPr>
        <w:pStyle w:val="ListParagraph"/>
        <w:spacing w:line="360" w:lineRule="auto"/>
        <w:ind w:left="360"/>
        <w:rPr>
          <w:rFonts w:ascii="Arial" w:hAnsi="Arial" w:cs="Arial"/>
        </w:rPr>
      </w:pPr>
    </w:p>
    <w:p w14:paraId="5C9C57F1" w14:textId="25E64D06" w:rsidR="000E2B5F" w:rsidRPr="00987301" w:rsidRDefault="000E2B5F" w:rsidP="000E2B5F">
      <w:pPr>
        <w:pStyle w:val="ListParagraph"/>
        <w:numPr>
          <w:ilvl w:val="0"/>
          <w:numId w:val="6"/>
        </w:numPr>
        <w:spacing w:line="360" w:lineRule="auto"/>
        <w:rPr>
          <w:rFonts w:ascii="Arial" w:hAnsi="Arial" w:cs="Arial"/>
        </w:rPr>
      </w:pPr>
      <w:r>
        <w:rPr>
          <w:rFonts w:ascii="Arial" w:hAnsi="Arial" w:cs="Arial"/>
        </w:rPr>
        <w:t xml:space="preserve">Tenderers must achieve a minimum of </w:t>
      </w:r>
      <w:r w:rsidRPr="00AC0E54">
        <w:rPr>
          <w:rFonts w:ascii="Arial" w:hAnsi="Arial" w:cs="Arial"/>
        </w:rPr>
        <w:t>25</w:t>
      </w:r>
      <w:r>
        <w:rPr>
          <w:rFonts w:ascii="Arial" w:hAnsi="Arial" w:cs="Arial"/>
        </w:rPr>
        <w:t xml:space="preserve"> in each question </w:t>
      </w:r>
      <w:r w:rsidR="00D05B23">
        <w:rPr>
          <w:rFonts w:ascii="Arial" w:hAnsi="Arial" w:cs="Arial"/>
        </w:rPr>
        <w:t xml:space="preserve">across Stage 3 </w:t>
      </w:r>
      <w:r>
        <w:rPr>
          <w:rFonts w:ascii="Arial" w:hAnsi="Arial" w:cs="Arial"/>
        </w:rPr>
        <w:t>to remain in the competition.</w:t>
      </w:r>
      <w:r w:rsidR="00B55FA1">
        <w:rPr>
          <w:rFonts w:ascii="Arial" w:hAnsi="Arial" w:cs="Arial"/>
        </w:rPr>
        <w:t xml:space="preserve"> If a question is scored lower than 25</w:t>
      </w:r>
      <w:r w:rsidR="00A62C0C">
        <w:rPr>
          <w:rFonts w:ascii="Arial" w:hAnsi="Arial" w:cs="Arial"/>
        </w:rPr>
        <w:t>, it will be deemed an unacceptable response and tender will be</w:t>
      </w:r>
      <w:r w:rsidR="00F438BF">
        <w:rPr>
          <w:rFonts w:ascii="Arial" w:hAnsi="Arial" w:cs="Arial"/>
        </w:rPr>
        <w:t xml:space="preserve"> classed as non-compliant. No further evaluation will be performed on this tender.</w:t>
      </w:r>
    </w:p>
    <w:p w14:paraId="7DDC5897" w14:textId="370E5D7A" w:rsidR="00530E19" w:rsidRPr="000F5C3A" w:rsidRDefault="00530E19" w:rsidP="00162491">
      <w:pPr>
        <w:spacing w:line="360" w:lineRule="auto"/>
        <w:rPr>
          <w:rFonts w:ascii="Arial" w:hAnsi="Arial" w:cs="Arial"/>
          <w:b/>
          <w:bCs/>
        </w:rPr>
      </w:pPr>
      <w:r w:rsidRPr="000F5C3A">
        <w:rPr>
          <w:rFonts w:ascii="Arial" w:hAnsi="Arial" w:cs="Arial"/>
          <w:b/>
          <w:bCs/>
        </w:rPr>
        <w:t xml:space="preserve">Table </w:t>
      </w:r>
      <w:r w:rsidR="00F438BF">
        <w:rPr>
          <w:rFonts w:ascii="Arial" w:hAnsi="Arial" w:cs="Arial"/>
          <w:b/>
          <w:bCs/>
        </w:rPr>
        <w:t>3</w:t>
      </w:r>
      <w:r w:rsidRPr="000F5C3A">
        <w:rPr>
          <w:rFonts w:ascii="Arial" w:hAnsi="Arial" w:cs="Arial"/>
          <w:b/>
          <w:bCs/>
        </w:rPr>
        <w:t xml:space="preserve">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1113"/>
        <w:gridCol w:w="5895"/>
      </w:tblGrid>
      <w:tr w:rsidR="00530E19" w:rsidRPr="00CC72A1" w14:paraId="040B57CF" w14:textId="77777777" w:rsidTr="00EC70B5">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093FA187"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b/>
                <w:bCs/>
              </w:rPr>
              <w:t>Confidence Characteristic</w:t>
            </w:r>
            <w:r w:rsidRPr="00CC72A1">
              <w:rPr>
                <w:rFonts w:ascii="Arial" w:eastAsia="Times New Roman" w:hAnsi="Arial" w:cs="Arial"/>
              </w:rPr>
              <w:t> </w:t>
            </w:r>
          </w:p>
        </w:tc>
        <w:tc>
          <w:tcPr>
            <w:tcW w:w="1113"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9247781" w14:textId="77777777" w:rsidR="00530E19" w:rsidRPr="00CC72A1" w:rsidRDefault="00530E19" w:rsidP="00162491">
            <w:pPr>
              <w:spacing w:after="0" w:line="360" w:lineRule="auto"/>
              <w:jc w:val="center"/>
              <w:textAlignment w:val="baseline"/>
              <w:rPr>
                <w:rFonts w:ascii="Segoe UI" w:eastAsia="Times New Roman" w:hAnsi="Segoe UI" w:cs="Segoe UI"/>
                <w:sz w:val="18"/>
                <w:szCs w:val="18"/>
              </w:rPr>
            </w:pPr>
            <w:r w:rsidRPr="00CC72A1">
              <w:rPr>
                <w:rFonts w:ascii="Arial" w:eastAsia="Times New Roman" w:hAnsi="Arial" w:cs="Arial"/>
                <w:b/>
                <w:bCs/>
              </w:rPr>
              <w:t>Score</w:t>
            </w:r>
            <w:r>
              <w:rPr>
                <w:rFonts w:ascii="Arial" w:eastAsia="Times New Roman" w:hAnsi="Arial" w:cs="Arial"/>
                <w:b/>
                <w:bCs/>
              </w:rPr>
              <w:t xml:space="preserve"> %</w:t>
            </w:r>
          </w:p>
        </w:tc>
        <w:tc>
          <w:tcPr>
            <w:tcW w:w="589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37098A4C"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b/>
                <w:bCs/>
              </w:rPr>
              <w:t>Criteria </w:t>
            </w:r>
            <w:r w:rsidRPr="00CC72A1">
              <w:rPr>
                <w:rFonts w:ascii="Arial" w:eastAsia="Times New Roman" w:hAnsi="Arial" w:cs="Arial"/>
              </w:rPr>
              <w:t> </w:t>
            </w:r>
          </w:p>
        </w:tc>
      </w:tr>
      <w:tr w:rsidR="00530E19" w:rsidRPr="00CC72A1" w14:paraId="5B840E80" w14:textId="77777777" w:rsidTr="00352D5C">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42345DA4"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b/>
                <w:bCs/>
              </w:rPr>
              <w:t>No Confidence </w:t>
            </w:r>
            <w:r w:rsidRPr="00CC72A1">
              <w:rPr>
                <w:rFonts w:ascii="Arial" w:eastAsia="Times New Roman" w:hAnsi="Arial" w:cs="Arial"/>
              </w:rPr>
              <w:t> </w:t>
            </w:r>
          </w:p>
          <w:p w14:paraId="6DF93451"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14:paraId="0C58FC2B" w14:textId="77777777" w:rsidR="00530E19" w:rsidRPr="00CC72A1" w:rsidRDefault="00530E19" w:rsidP="00162491">
            <w:pPr>
              <w:spacing w:after="0" w:line="360" w:lineRule="auto"/>
              <w:jc w:val="center"/>
              <w:textAlignment w:val="baseline"/>
              <w:rPr>
                <w:rFonts w:ascii="Segoe UI" w:eastAsia="Times New Roman" w:hAnsi="Segoe UI" w:cs="Segoe UI"/>
                <w:sz w:val="18"/>
                <w:szCs w:val="18"/>
              </w:rPr>
            </w:pPr>
            <w:r w:rsidRPr="00CC72A1">
              <w:rPr>
                <w:rFonts w:ascii="Arial" w:eastAsia="Times New Roman" w:hAnsi="Arial" w:cs="Arial"/>
              </w:rPr>
              <w:t>0</w:t>
            </w:r>
            <w:r>
              <w:rPr>
                <w:rFonts w:ascii="Arial" w:eastAsia="Times New Roman" w:hAnsi="Arial" w:cs="Arial"/>
              </w:rPr>
              <w:t>%</w:t>
            </w:r>
            <w:r w:rsidRPr="00CC72A1">
              <w:rPr>
                <w:rFonts w:ascii="Arial" w:eastAsia="Times New Roman" w:hAnsi="Arial" w:cs="Arial"/>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4CCEB119"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No response provided or the response failed to provide confidence that the proposal will meet the requirements.  An unacceptable response that will deem the entire bid as non-compliant. </w:t>
            </w:r>
          </w:p>
          <w:p w14:paraId="306CDDC1"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w:t>
            </w:r>
          </w:p>
        </w:tc>
      </w:tr>
      <w:tr w:rsidR="00530E19" w:rsidRPr="00CC72A1" w14:paraId="6B51D57F" w14:textId="77777777" w:rsidTr="00352D5C">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742D3916"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b/>
                <w:bCs/>
              </w:rPr>
              <w:t>Low confidence</w:t>
            </w:r>
            <w:r w:rsidRPr="00CC72A1">
              <w:rPr>
                <w:rFonts w:ascii="Arial" w:eastAsia="Times New Roman" w:hAnsi="Arial" w:cs="Arial"/>
              </w:rPr>
              <w:t>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14:paraId="05F3F31D" w14:textId="77777777" w:rsidR="00530E19" w:rsidRPr="00CC72A1" w:rsidRDefault="00530E19" w:rsidP="00162491">
            <w:pPr>
              <w:spacing w:after="0" w:line="360" w:lineRule="auto"/>
              <w:jc w:val="center"/>
              <w:textAlignment w:val="baseline"/>
              <w:rPr>
                <w:rFonts w:ascii="Segoe UI" w:eastAsia="Times New Roman" w:hAnsi="Segoe UI" w:cs="Segoe UI"/>
                <w:sz w:val="18"/>
                <w:szCs w:val="18"/>
              </w:rPr>
            </w:pPr>
            <w:r w:rsidRPr="00CC72A1">
              <w:rPr>
                <w:rFonts w:ascii="Arial" w:eastAsia="Times New Roman" w:hAnsi="Arial" w:cs="Arial"/>
              </w:rPr>
              <w:t>25</w:t>
            </w:r>
            <w:r>
              <w:rPr>
                <w:rFonts w:ascii="Arial" w:eastAsia="Times New Roman" w:hAnsi="Arial" w:cs="Arial"/>
              </w:rPr>
              <w:t>%</w:t>
            </w:r>
            <w:r w:rsidRPr="00CC72A1">
              <w:rPr>
                <w:rFonts w:ascii="Arial" w:eastAsia="Times New Roman" w:hAnsi="Arial" w:cs="Arial"/>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AC24539" w14:textId="63720853"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xml:space="preserve">A poor response with reservations that only partially meets the requirement and gives concern in </w:t>
            </w:r>
            <w:r w:rsidR="0005384D" w:rsidRPr="00CC72A1">
              <w:rPr>
                <w:rFonts w:ascii="Arial" w:eastAsia="Times New Roman" w:hAnsi="Arial" w:cs="Arial"/>
              </w:rPr>
              <w:t>several</w:t>
            </w:r>
            <w:r w:rsidRPr="00CC72A1">
              <w:rPr>
                <w:rFonts w:ascii="Arial" w:eastAsia="Times New Roman" w:hAnsi="Arial" w:cs="Arial"/>
              </w:rPr>
              <w:t xml:space="preserve"> significant areas</w:t>
            </w:r>
            <w:r>
              <w:rPr>
                <w:rFonts w:ascii="Arial" w:eastAsia="Times New Roman" w:hAnsi="Arial" w:cs="Arial"/>
              </w:rPr>
              <w:t xml:space="preserve">. </w:t>
            </w:r>
            <w:r w:rsidRPr="00CC72A1">
              <w:rPr>
                <w:rFonts w:ascii="Arial" w:eastAsia="Times New Roman" w:hAnsi="Arial" w:cs="Arial"/>
              </w:rPr>
              <w:t>The response lacks convincing detail/evidence to instil confidence in the Tenderer’s ability to deliver the requirement.  </w:t>
            </w:r>
          </w:p>
          <w:p w14:paraId="09E68390"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w:t>
            </w:r>
          </w:p>
        </w:tc>
      </w:tr>
      <w:tr w:rsidR="00530E19" w:rsidRPr="00CC72A1" w14:paraId="51FC858F" w14:textId="77777777" w:rsidTr="00352D5C">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3D784D17"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b/>
                <w:bCs/>
              </w:rPr>
              <w:t xml:space="preserve">Moderate Confidence </w:t>
            </w:r>
            <w:r w:rsidRPr="00CC72A1">
              <w:rPr>
                <w:rFonts w:ascii="Arial" w:eastAsia="Times New Roman" w:hAnsi="Arial" w:cs="Arial"/>
              </w:rPr>
              <w:t> </w:t>
            </w:r>
          </w:p>
          <w:p w14:paraId="4B32512F"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14:paraId="64614C24" w14:textId="77777777" w:rsidR="00530E19" w:rsidRPr="00CC72A1" w:rsidRDefault="00530E19" w:rsidP="00162491">
            <w:pPr>
              <w:spacing w:after="0" w:line="360" w:lineRule="auto"/>
              <w:jc w:val="center"/>
              <w:textAlignment w:val="baseline"/>
              <w:rPr>
                <w:rFonts w:ascii="Segoe UI" w:eastAsia="Times New Roman" w:hAnsi="Segoe UI" w:cs="Segoe UI"/>
                <w:sz w:val="18"/>
                <w:szCs w:val="18"/>
              </w:rPr>
            </w:pPr>
            <w:r w:rsidRPr="00CC72A1">
              <w:rPr>
                <w:rFonts w:ascii="Arial" w:eastAsia="Times New Roman" w:hAnsi="Arial" w:cs="Arial"/>
              </w:rPr>
              <w:t>50</w:t>
            </w:r>
            <w:r>
              <w:rPr>
                <w:rFonts w:ascii="Arial" w:eastAsia="Times New Roman" w:hAnsi="Arial" w:cs="Arial"/>
              </w:rPr>
              <w:t>%</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3B2F9A4"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xml:space="preserve">A response which broadly meets the requirements but </w:t>
            </w:r>
            <w:r>
              <w:rPr>
                <w:rFonts w:ascii="Arial" w:eastAsia="Times New Roman" w:hAnsi="Arial" w:cs="Arial"/>
              </w:rPr>
              <w:t>raised concerns in some areas. There was a la</w:t>
            </w:r>
            <w:r w:rsidRPr="00CC72A1">
              <w:rPr>
                <w:rFonts w:ascii="Arial" w:eastAsia="Times New Roman" w:hAnsi="Arial" w:cs="Arial"/>
              </w:rPr>
              <w:t>ck sufficient evidence or detail to warrant a higher mark and to instil greater confidence in the Tenderer’s ability to deliver the requirement. </w:t>
            </w:r>
            <w:r>
              <w:rPr>
                <w:rFonts w:ascii="Arial" w:eastAsia="Times New Roman" w:hAnsi="Arial" w:cs="Arial"/>
              </w:rPr>
              <w:t xml:space="preserve"> </w:t>
            </w:r>
          </w:p>
          <w:p w14:paraId="041FC606"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w:t>
            </w:r>
          </w:p>
        </w:tc>
      </w:tr>
      <w:tr w:rsidR="00530E19" w:rsidRPr="00CC72A1" w14:paraId="3FB7C37A" w14:textId="77777777" w:rsidTr="00352D5C">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5F9C8D53"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b/>
                <w:bCs/>
              </w:rPr>
              <w:t>Good Confidence</w:t>
            </w:r>
            <w:r w:rsidRPr="00CC72A1">
              <w:rPr>
                <w:rFonts w:ascii="Arial" w:eastAsia="Times New Roman" w:hAnsi="Arial" w:cs="Arial"/>
              </w:rPr>
              <w:t>  </w:t>
            </w:r>
          </w:p>
          <w:p w14:paraId="13E682D8"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14:paraId="0D365C35" w14:textId="77777777" w:rsidR="00530E19" w:rsidRPr="00CC72A1" w:rsidRDefault="00530E19" w:rsidP="00162491">
            <w:pPr>
              <w:spacing w:after="0" w:line="360" w:lineRule="auto"/>
              <w:jc w:val="center"/>
              <w:textAlignment w:val="baseline"/>
              <w:rPr>
                <w:rFonts w:ascii="Segoe UI" w:eastAsia="Times New Roman" w:hAnsi="Segoe UI" w:cs="Segoe UI"/>
                <w:sz w:val="18"/>
                <w:szCs w:val="18"/>
              </w:rPr>
            </w:pPr>
            <w:r w:rsidRPr="00CC72A1">
              <w:rPr>
                <w:rFonts w:ascii="Arial" w:eastAsia="Times New Roman" w:hAnsi="Arial" w:cs="Arial"/>
              </w:rPr>
              <w:t>75</w:t>
            </w:r>
            <w:r>
              <w:rPr>
                <w:rFonts w:ascii="Arial" w:eastAsia="Times New Roman" w:hAnsi="Arial" w:cs="Arial"/>
              </w:rPr>
              <w:t>%</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97C1885"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A response that meets the requirement with supporting evidence/detail provided. There are no significant areas of concern and sufficient competence is demonstrated through the relevant evidence. </w:t>
            </w:r>
          </w:p>
          <w:p w14:paraId="28C59A28"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w:t>
            </w:r>
          </w:p>
        </w:tc>
      </w:tr>
      <w:tr w:rsidR="00530E19" w:rsidRPr="00CC72A1" w14:paraId="3854F359" w14:textId="77777777" w:rsidTr="00352D5C">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07D2FC16"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b/>
                <w:bCs/>
              </w:rPr>
              <w:t>High Confidence</w:t>
            </w:r>
            <w:r w:rsidRPr="00CC72A1">
              <w:rPr>
                <w:rFonts w:ascii="Arial" w:eastAsia="Times New Roman" w:hAnsi="Arial" w:cs="Arial"/>
              </w:rPr>
              <w:t>  </w:t>
            </w:r>
          </w:p>
          <w:p w14:paraId="441D8686"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w:t>
            </w:r>
          </w:p>
        </w:tc>
        <w:tc>
          <w:tcPr>
            <w:tcW w:w="1113" w:type="dxa"/>
            <w:tcBorders>
              <w:top w:val="single" w:sz="6" w:space="0" w:color="auto"/>
              <w:left w:val="single" w:sz="6" w:space="0" w:color="auto"/>
              <w:bottom w:val="single" w:sz="6" w:space="0" w:color="auto"/>
              <w:right w:val="single" w:sz="6" w:space="0" w:color="auto"/>
            </w:tcBorders>
            <w:shd w:val="clear" w:color="auto" w:fill="auto"/>
            <w:hideMark/>
          </w:tcPr>
          <w:p w14:paraId="3BBE94CD" w14:textId="77777777" w:rsidR="00530E19" w:rsidRPr="00CC72A1" w:rsidRDefault="00530E19" w:rsidP="00162491">
            <w:pPr>
              <w:spacing w:after="0" w:line="360" w:lineRule="auto"/>
              <w:jc w:val="center"/>
              <w:textAlignment w:val="baseline"/>
              <w:rPr>
                <w:rFonts w:ascii="Segoe UI" w:eastAsia="Times New Roman" w:hAnsi="Segoe UI" w:cs="Segoe UI"/>
                <w:sz w:val="18"/>
                <w:szCs w:val="18"/>
              </w:rPr>
            </w:pPr>
            <w:r w:rsidRPr="00CC72A1">
              <w:rPr>
                <w:rFonts w:ascii="Arial" w:eastAsia="Times New Roman" w:hAnsi="Arial" w:cs="Arial"/>
              </w:rPr>
              <w:t>100</w:t>
            </w:r>
            <w:r>
              <w:rPr>
                <w:rFonts w:ascii="Arial" w:eastAsia="Times New Roman" w:hAnsi="Arial" w:cs="Arial"/>
              </w:rPr>
              <w:t>%</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95F5950"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xml:space="preserve">An excellent comprehensive response that meets the requirements which included detailed supporting evidence and no weaknesses were highlighted resulting in a high </w:t>
            </w:r>
            <w:r w:rsidRPr="00CC72A1">
              <w:rPr>
                <w:rFonts w:ascii="Arial" w:eastAsia="Times New Roman" w:hAnsi="Arial" w:cs="Arial"/>
              </w:rPr>
              <w:lastRenderedPageBreak/>
              <w:t>level of confidence. The response leaves no doubt as to the capability and commitment to deliver what is required.  </w:t>
            </w:r>
          </w:p>
          <w:p w14:paraId="79F2078F"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w:t>
            </w:r>
          </w:p>
          <w:p w14:paraId="5518ED50" w14:textId="77777777" w:rsidR="00530E19" w:rsidRPr="00CC72A1" w:rsidRDefault="00530E19" w:rsidP="00162491">
            <w:pPr>
              <w:spacing w:after="0" w:line="360" w:lineRule="auto"/>
              <w:textAlignment w:val="baseline"/>
              <w:rPr>
                <w:rFonts w:ascii="Segoe UI" w:eastAsia="Times New Roman" w:hAnsi="Segoe UI" w:cs="Segoe UI"/>
                <w:sz w:val="18"/>
                <w:szCs w:val="18"/>
              </w:rPr>
            </w:pPr>
            <w:r w:rsidRPr="00CC72A1">
              <w:rPr>
                <w:rFonts w:ascii="Arial" w:eastAsia="Times New Roman" w:hAnsi="Arial" w:cs="Arial"/>
              </w:rPr>
              <w:t> </w:t>
            </w:r>
          </w:p>
        </w:tc>
      </w:tr>
    </w:tbl>
    <w:p w14:paraId="2E087CA4" w14:textId="77777777" w:rsidR="00530E19" w:rsidRDefault="00530E19" w:rsidP="00162491">
      <w:pPr>
        <w:autoSpaceDE w:val="0"/>
        <w:autoSpaceDN w:val="0"/>
        <w:adjustRightInd w:val="0"/>
        <w:spacing w:after="0" w:line="360" w:lineRule="auto"/>
        <w:rPr>
          <w:rFonts w:ascii="Arial" w:hAnsi="Arial" w:cs="Arial"/>
        </w:rPr>
      </w:pPr>
    </w:p>
    <w:p w14:paraId="16A27B38" w14:textId="77777777" w:rsidR="00530E19" w:rsidRDefault="00530E19" w:rsidP="00162491">
      <w:pPr>
        <w:autoSpaceDE w:val="0"/>
        <w:autoSpaceDN w:val="0"/>
        <w:adjustRightInd w:val="0"/>
        <w:spacing w:after="0" w:line="360" w:lineRule="auto"/>
        <w:rPr>
          <w:rFonts w:ascii="Arial" w:hAnsi="Arial" w:cs="Arial"/>
          <w:b/>
          <w:bCs/>
        </w:rPr>
      </w:pPr>
      <w:r w:rsidRPr="002939D6">
        <w:rPr>
          <w:rFonts w:ascii="Arial" w:hAnsi="Arial" w:cs="Arial"/>
          <w:b/>
          <w:bCs/>
        </w:rPr>
        <w:t>Application of</w:t>
      </w:r>
      <w:r>
        <w:rPr>
          <w:rFonts w:ascii="Arial" w:hAnsi="Arial" w:cs="Arial"/>
          <w:b/>
          <w:bCs/>
        </w:rPr>
        <w:t xml:space="preserve"> We</w:t>
      </w:r>
      <w:r w:rsidRPr="002939D6">
        <w:rPr>
          <w:rFonts w:ascii="Arial" w:hAnsi="Arial" w:cs="Arial"/>
          <w:b/>
          <w:bCs/>
        </w:rPr>
        <w:t xml:space="preserve">ighting for </w:t>
      </w:r>
      <w:r>
        <w:rPr>
          <w:rFonts w:ascii="Arial" w:hAnsi="Arial" w:cs="Arial"/>
          <w:b/>
          <w:bCs/>
        </w:rPr>
        <w:t xml:space="preserve">Technical Evaluation  </w:t>
      </w:r>
    </w:p>
    <w:p w14:paraId="725DCC70" w14:textId="77777777" w:rsidR="00530E19" w:rsidRDefault="00530E19" w:rsidP="00162491">
      <w:pPr>
        <w:autoSpaceDE w:val="0"/>
        <w:autoSpaceDN w:val="0"/>
        <w:adjustRightInd w:val="0"/>
        <w:spacing w:after="0" w:line="360" w:lineRule="auto"/>
        <w:rPr>
          <w:rFonts w:ascii="Arial" w:hAnsi="Arial" w:cs="Arial"/>
          <w:b/>
          <w:bCs/>
        </w:rPr>
      </w:pPr>
    </w:p>
    <w:p w14:paraId="1378CE44" w14:textId="6E422F1E" w:rsidR="00530E19" w:rsidRPr="00162491" w:rsidRDefault="004A3C1C" w:rsidP="00162491">
      <w:pPr>
        <w:pStyle w:val="ListParagraph"/>
        <w:numPr>
          <w:ilvl w:val="0"/>
          <w:numId w:val="6"/>
        </w:numPr>
        <w:autoSpaceDE w:val="0"/>
        <w:autoSpaceDN w:val="0"/>
        <w:adjustRightInd w:val="0"/>
        <w:spacing w:after="0" w:line="360" w:lineRule="auto"/>
        <w:rPr>
          <w:rFonts w:ascii="Arial" w:hAnsi="Arial" w:cs="Arial"/>
        </w:rPr>
      </w:pPr>
      <w:r>
        <w:rPr>
          <w:rFonts w:ascii="Arial" w:hAnsi="Arial" w:cs="Arial"/>
        </w:rPr>
        <w:t>The</w:t>
      </w:r>
      <w:r w:rsidR="00530E19" w:rsidRPr="00162491">
        <w:rPr>
          <w:rFonts w:ascii="Arial" w:hAnsi="Arial" w:cs="Arial"/>
        </w:rPr>
        <w:t xml:space="preserve"> evaluated score</w:t>
      </w:r>
      <w:r>
        <w:rPr>
          <w:rFonts w:ascii="Arial" w:hAnsi="Arial" w:cs="Arial"/>
        </w:rPr>
        <w:t xml:space="preserve"> derived from the Confidence Characteristic</w:t>
      </w:r>
      <w:r w:rsidR="00530E19" w:rsidRPr="00162491">
        <w:rPr>
          <w:rFonts w:ascii="Arial" w:hAnsi="Arial" w:cs="Arial"/>
        </w:rPr>
        <w:t xml:space="preserve"> is divided by the maximum score available</w:t>
      </w:r>
      <w:r w:rsidR="00845C9B">
        <w:rPr>
          <w:rFonts w:ascii="Arial" w:hAnsi="Arial" w:cs="Arial"/>
        </w:rPr>
        <w:t>. This is</w:t>
      </w:r>
      <w:r w:rsidR="00530E19" w:rsidRPr="00162491">
        <w:rPr>
          <w:rFonts w:ascii="Arial" w:hAnsi="Arial" w:cs="Arial"/>
        </w:rPr>
        <w:t xml:space="preserve"> then multiplied by the applicable </w:t>
      </w:r>
      <w:proofErr w:type="spellStart"/>
      <w:r w:rsidR="00530E19" w:rsidRPr="00162491">
        <w:rPr>
          <w:rFonts w:ascii="Arial" w:hAnsi="Arial" w:cs="Arial"/>
        </w:rPr>
        <w:t>weighting</w:t>
      </w:r>
      <w:proofErr w:type="spellEnd"/>
      <w:r w:rsidR="00530E19" w:rsidRPr="00162491">
        <w:rPr>
          <w:rFonts w:ascii="Arial" w:hAnsi="Arial" w:cs="Arial"/>
        </w:rPr>
        <w:t xml:space="preserve"> for that question.</w:t>
      </w:r>
    </w:p>
    <w:p w14:paraId="1C8DB7A2" w14:textId="77777777" w:rsidR="00530E19" w:rsidRDefault="00530E19" w:rsidP="00162491">
      <w:pPr>
        <w:autoSpaceDE w:val="0"/>
        <w:autoSpaceDN w:val="0"/>
        <w:adjustRightInd w:val="0"/>
        <w:spacing w:after="0" w:line="360" w:lineRule="auto"/>
        <w:rPr>
          <w:rFonts w:ascii="Arial" w:hAnsi="Arial" w:cs="Arial"/>
        </w:rPr>
      </w:pPr>
    </w:p>
    <w:p w14:paraId="03CA8CC9" w14:textId="74DCAFD4" w:rsidR="00530E19" w:rsidRPr="00162491" w:rsidRDefault="00530E19" w:rsidP="00162491">
      <w:pPr>
        <w:pStyle w:val="ListParagraph"/>
        <w:numPr>
          <w:ilvl w:val="0"/>
          <w:numId w:val="6"/>
        </w:numPr>
        <w:autoSpaceDE w:val="0"/>
        <w:autoSpaceDN w:val="0"/>
        <w:adjustRightInd w:val="0"/>
        <w:spacing w:after="0" w:line="360" w:lineRule="auto"/>
        <w:rPr>
          <w:rFonts w:ascii="Arial" w:hAnsi="Arial" w:cs="Arial"/>
        </w:rPr>
      </w:pPr>
      <w:r w:rsidRPr="00162491">
        <w:rPr>
          <w:rFonts w:ascii="Arial" w:hAnsi="Arial" w:cs="Arial"/>
        </w:rPr>
        <w:t>The total evaluated non-cost score will be the sum of evaluated scores for all questions (1-</w:t>
      </w:r>
      <w:r w:rsidR="0012069E">
        <w:rPr>
          <w:rFonts w:ascii="Arial" w:hAnsi="Arial" w:cs="Arial"/>
        </w:rPr>
        <w:t>6</w:t>
      </w:r>
      <w:r w:rsidRPr="00162491">
        <w:rPr>
          <w:rFonts w:ascii="Arial" w:hAnsi="Arial" w:cs="Arial"/>
        </w:rPr>
        <w:t xml:space="preserve">). </w:t>
      </w:r>
    </w:p>
    <w:p w14:paraId="76946FFE" w14:textId="77777777" w:rsidR="00530E19" w:rsidRDefault="00530E19" w:rsidP="00162491">
      <w:pPr>
        <w:autoSpaceDE w:val="0"/>
        <w:autoSpaceDN w:val="0"/>
        <w:adjustRightInd w:val="0"/>
        <w:spacing w:after="0" w:line="360" w:lineRule="auto"/>
        <w:rPr>
          <w:rFonts w:ascii="Arial" w:hAnsi="Arial" w:cs="Arial"/>
        </w:rPr>
      </w:pPr>
    </w:p>
    <w:p w14:paraId="0C87A0B6" w14:textId="1CF60781" w:rsidR="00530E19" w:rsidRPr="00162491" w:rsidRDefault="00530E19" w:rsidP="00162491">
      <w:pPr>
        <w:pStyle w:val="ListParagraph"/>
        <w:numPr>
          <w:ilvl w:val="0"/>
          <w:numId w:val="6"/>
        </w:numPr>
        <w:autoSpaceDE w:val="0"/>
        <w:autoSpaceDN w:val="0"/>
        <w:adjustRightInd w:val="0"/>
        <w:spacing w:after="0" w:line="360" w:lineRule="auto"/>
        <w:rPr>
          <w:rFonts w:ascii="Arial" w:hAnsi="Arial" w:cs="Arial"/>
        </w:rPr>
      </w:pPr>
      <w:r w:rsidRPr="00162491">
        <w:rPr>
          <w:rFonts w:ascii="Arial" w:hAnsi="Arial" w:cs="Arial"/>
        </w:rPr>
        <w:t>The following</w:t>
      </w:r>
      <w:r w:rsidR="00845C9B">
        <w:rPr>
          <w:rFonts w:ascii="Arial" w:hAnsi="Arial" w:cs="Arial"/>
        </w:rPr>
        <w:t xml:space="preserve"> Table 4</w:t>
      </w:r>
      <w:r w:rsidRPr="00162491">
        <w:rPr>
          <w:rFonts w:ascii="Arial" w:hAnsi="Arial" w:cs="Arial"/>
        </w:rPr>
        <w:t xml:space="preserve"> is an example of how the weightings would apply:  </w:t>
      </w:r>
    </w:p>
    <w:p w14:paraId="4A2D279B" w14:textId="77777777" w:rsidR="00530E19" w:rsidRDefault="00530E19" w:rsidP="00162491">
      <w:pPr>
        <w:autoSpaceDE w:val="0"/>
        <w:autoSpaceDN w:val="0"/>
        <w:adjustRightInd w:val="0"/>
        <w:spacing w:after="0" w:line="360" w:lineRule="auto"/>
        <w:rPr>
          <w:rFonts w:ascii="Arial" w:hAnsi="Arial" w:cs="Arial"/>
        </w:rPr>
      </w:pPr>
    </w:p>
    <w:p w14:paraId="415535B5" w14:textId="2F09429D" w:rsidR="00530E19" w:rsidRPr="00530E19" w:rsidRDefault="00845C9B" w:rsidP="00162491">
      <w:pPr>
        <w:autoSpaceDE w:val="0"/>
        <w:autoSpaceDN w:val="0"/>
        <w:adjustRightInd w:val="0"/>
        <w:spacing w:after="0" w:line="360" w:lineRule="auto"/>
        <w:rPr>
          <w:rFonts w:ascii="Arial" w:hAnsi="Arial" w:cs="Arial"/>
          <w:b/>
          <w:bCs/>
        </w:rPr>
      </w:pPr>
      <w:r>
        <w:rPr>
          <w:rFonts w:ascii="Arial" w:hAnsi="Arial" w:cs="Arial"/>
          <w:b/>
          <w:bCs/>
        </w:rPr>
        <w:t xml:space="preserve">Table 4: </w:t>
      </w:r>
      <w:r w:rsidR="00530E19" w:rsidRPr="00530E19">
        <w:rPr>
          <w:rFonts w:ascii="Arial" w:hAnsi="Arial" w:cs="Arial"/>
          <w:b/>
          <w:bCs/>
        </w:rPr>
        <w:t xml:space="preserve">Example </w:t>
      </w:r>
      <w:r w:rsidR="00592652">
        <w:rPr>
          <w:rFonts w:ascii="Arial" w:hAnsi="Arial" w:cs="Arial"/>
          <w:b/>
          <w:bCs/>
        </w:rPr>
        <w:t xml:space="preserve">– Noting that the values and applicable weightings </w:t>
      </w:r>
      <w:r w:rsidR="003A67DE">
        <w:rPr>
          <w:rFonts w:ascii="Arial" w:hAnsi="Arial" w:cs="Arial"/>
          <w:b/>
          <w:bCs/>
        </w:rPr>
        <w:t>used in this example are illustrative and must not be taken as an indication of expected functionality. Please refer to the Evaluation Criteria (</w:t>
      </w:r>
      <w:r w:rsidR="00C41EBA">
        <w:rPr>
          <w:rFonts w:ascii="Arial" w:hAnsi="Arial" w:cs="Arial"/>
          <w:b/>
          <w:bCs/>
        </w:rPr>
        <w:t xml:space="preserve">Annex </w:t>
      </w:r>
      <w:r w:rsidR="00465E45">
        <w:rPr>
          <w:rFonts w:ascii="Arial" w:hAnsi="Arial" w:cs="Arial"/>
          <w:b/>
          <w:bCs/>
        </w:rPr>
        <w:t>B</w:t>
      </w:r>
      <w:r w:rsidR="003A67DE">
        <w:rPr>
          <w:rFonts w:ascii="Arial" w:hAnsi="Arial" w:cs="Arial"/>
          <w:b/>
          <w:bCs/>
        </w:rPr>
        <w:t xml:space="preserve">) for the </w:t>
      </w:r>
      <w:r w:rsidR="004C78F9">
        <w:rPr>
          <w:rFonts w:ascii="Arial" w:hAnsi="Arial" w:cs="Arial"/>
          <w:b/>
          <w:bCs/>
        </w:rPr>
        <w:t>breakdown of weighting per question.</w:t>
      </w:r>
    </w:p>
    <w:p w14:paraId="7CFA36C5" w14:textId="77777777" w:rsidR="00530E19" w:rsidRPr="00DC352A" w:rsidRDefault="00530E19" w:rsidP="00162491">
      <w:pPr>
        <w:autoSpaceDE w:val="0"/>
        <w:autoSpaceDN w:val="0"/>
        <w:adjustRightInd w:val="0"/>
        <w:spacing w:after="0" w:line="360" w:lineRule="auto"/>
        <w:rPr>
          <w:rFonts w:ascii="Arial" w:hAnsi="Arial" w:cs="Arial"/>
        </w:rPr>
      </w:pPr>
    </w:p>
    <w:tbl>
      <w:tblPr>
        <w:tblStyle w:val="TableGrid"/>
        <w:tblW w:w="0" w:type="auto"/>
        <w:tblLook w:val="04A0" w:firstRow="1" w:lastRow="0" w:firstColumn="1" w:lastColumn="0" w:noHBand="0" w:noVBand="1"/>
      </w:tblPr>
      <w:tblGrid>
        <w:gridCol w:w="1466"/>
        <w:gridCol w:w="1298"/>
        <w:gridCol w:w="1509"/>
        <w:gridCol w:w="1534"/>
        <w:gridCol w:w="1573"/>
        <w:gridCol w:w="1636"/>
      </w:tblGrid>
      <w:tr w:rsidR="00E23CEE" w14:paraId="516B541C" w14:textId="77777777" w:rsidTr="00A96FB4">
        <w:tc>
          <w:tcPr>
            <w:tcW w:w="1466" w:type="dxa"/>
          </w:tcPr>
          <w:p w14:paraId="2614117D" w14:textId="77777777" w:rsidR="00530E19" w:rsidRPr="00DC352A" w:rsidRDefault="00530E19" w:rsidP="00162491">
            <w:pPr>
              <w:autoSpaceDE w:val="0"/>
              <w:autoSpaceDN w:val="0"/>
              <w:adjustRightInd w:val="0"/>
              <w:spacing w:line="360" w:lineRule="auto"/>
              <w:rPr>
                <w:rFonts w:ascii="Arial" w:hAnsi="Arial" w:cs="Arial"/>
                <w:b/>
                <w:bCs/>
              </w:rPr>
            </w:pPr>
            <w:r w:rsidRPr="00DC352A">
              <w:rPr>
                <w:rFonts w:ascii="Arial" w:hAnsi="Arial" w:cs="Arial"/>
                <w:b/>
                <w:bCs/>
              </w:rPr>
              <w:t>Question</w:t>
            </w:r>
          </w:p>
        </w:tc>
        <w:tc>
          <w:tcPr>
            <w:tcW w:w="1298" w:type="dxa"/>
          </w:tcPr>
          <w:p w14:paraId="6AEFADDE" w14:textId="77777777" w:rsidR="00530E19" w:rsidRPr="00DC352A" w:rsidRDefault="00530E19" w:rsidP="00162491">
            <w:pPr>
              <w:autoSpaceDE w:val="0"/>
              <w:autoSpaceDN w:val="0"/>
              <w:adjustRightInd w:val="0"/>
              <w:spacing w:line="360" w:lineRule="auto"/>
              <w:rPr>
                <w:rFonts w:ascii="Arial" w:hAnsi="Arial" w:cs="Arial"/>
                <w:b/>
                <w:bCs/>
              </w:rPr>
            </w:pPr>
            <w:r w:rsidRPr="00DC352A">
              <w:rPr>
                <w:rFonts w:ascii="Arial" w:hAnsi="Arial" w:cs="Arial"/>
                <w:b/>
                <w:bCs/>
              </w:rPr>
              <w:t>Max Score</w:t>
            </w:r>
          </w:p>
        </w:tc>
        <w:tc>
          <w:tcPr>
            <w:tcW w:w="1509" w:type="dxa"/>
          </w:tcPr>
          <w:p w14:paraId="07EE061A" w14:textId="77777777" w:rsidR="00530E19" w:rsidRPr="00DC352A" w:rsidRDefault="00530E19" w:rsidP="00162491">
            <w:pPr>
              <w:autoSpaceDE w:val="0"/>
              <w:autoSpaceDN w:val="0"/>
              <w:adjustRightInd w:val="0"/>
              <w:spacing w:line="360" w:lineRule="auto"/>
              <w:rPr>
                <w:rFonts w:ascii="Arial" w:hAnsi="Arial" w:cs="Arial"/>
                <w:b/>
                <w:bCs/>
              </w:rPr>
            </w:pPr>
            <w:r w:rsidRPr="00DC352A">
              <w:rPr>
                <w:rFonts w:ascii="Arial" w:hAnsi="Arial" w:cs="Arial"/>
                <w:b/>
                <w:bCs/>
              </w:rPr>
              <w:t>Evaluated Score</w:t>
            </w:r>
          </w:p>
        </w:tc>
        <w:tc>
          <w:tcPr>
            <w:tcW w:w="1534" w:type="dxa"/>
          </w:tcPr>
          <w:p w14:paraId="516CCF03" w14:textId="63F0AE06" w:rsidR="00530E19" w:rsidRPr="00DC352A" w:rsidRDefault="00CB1C71" w:rsidP="00162491">
            <w:pPr>
              <w:autoSpaceDE w:val="0"/>
              <w:autoSpaceDN w:val="0"/>
              <w:adjustRightInd w:val="0"/>
              <w:spacing w:line="360" w:lineRule="auto"/>
              <w:rPr>
                <w:rFonts w:ascii="Arial" w:hAnsi="Arial" w:cs="Arial"/>
                <w:b/>
                <w:bCs/>
              </w:rPr>
            </w:pPr>
            <w:r>
              <w:rPr>
                <w:rFonts w:ascii="Arial" w:hAnsi="Arial" w:cs="Arial"/>
                <w:b/>
                <w:bCs/>
              </w:rPr>
              <w:t xml:space="preserve">Question </w:t>
            </w:r>
            <w:r w:rsidR="00530E19" w:rsidRPr="00DC352A">
              <w:rPr>
                <w:rFonts w:ascii="Arial" w:hAnsi="Arial" w:cs="Arial"/>
                <w:b/>
                <w:bCs/>
              </w:rPr>
              <w:t>Weighting</w:t>
            </w:r>
            <w:r w:rsidR="00BD3EA3">
              <w:rPr>
                <w:rFonts w:ascii="Arial" w:hAnsi="Arial" w:cs="Arial"/>
                <w:b/>
                <w:bCs/>
              </w:rPr>
              <w:t xml:space="preserve"> (%)</w:t>
            </w:r>
          </w:p>
        </w:tc>
        <w:tc>
          <w:tcPr>
            <w:tcW w:w="1573" w:type="dxa"/>
          </w:tcPr>
          <w:p w14:paraId="564E8F70" w14:textId="2BC694E4" w:rsidR="00530E19" w:rsidRPr="00DC352A" w:rsidRDefault="00CB1C71" w:rsidP="00162491">
            <w:pPr>
              <w:autoSpaceDE w:val="0"/>
              <w:autoSpaceDN w:val="0"/>
              <w:adjustRightInd w:val="0"/>
              <w:spacing w:line="360" w:lineRule="auto"/>
              <w:rPr>
                <w:rFonts w:ascii="Arial" w:hAnsi="Arial" w:cs="Arial"/>
                <w:b/>
                <w:bCs/>
              </w:rPr>
            </w:pPr>
            <w:r>
              <w:rPr>
                <w:rFonts w:ascii="Arial" w:hAnsi="Arial" w:cs="Arial"/>
                <w:b/>
                <w:bCs/>
              </w:rPr>
              <w:t xml:space="preserve">Scoring </w:t>
            </w:r>
            <w:r w:rsidR="00530E19" w:rsidRPr="00DC352A">
              <w:rPr>
                <w:rFonts w:ascii="Arial" w:hAnsi="Arial" w:cs="Arial"/>
                <w:b/>
                <w:bCs/>
              </w:rPr>
              <w:t>Calculation</w:t>
            </w:r>
          </w:p>
        </w:tc>
        <w:tc>
          <w:tcPr>
            <w:tcW w:w="1636" w:type="dxa"/>
          </w:tcPr>
          <w:p w14:paraId="1EE1A45D" w14:textId="0E3E42D3" w:rsidR="00530E19" w:rsidRPr="00DC352A" w:rsidRDefault="00530E19" w:rsidP="00162491">
            <w:pPr>
              <w:autoSpaceDE w:val="0"/>
              <w:autoSpaceDN w:val="0"/>
              <w:adjustRightInd w:val="0"/>
              <w:spacing w:line="360" w:lineRule="auto"/>
              <w:rPr>
                <w:rFonts w:ascii="Arial" w:hAnsi="Arial" w:cs="Arial"/>
                <w:b/>
                <w:bCs/>
              </w:rPr>
            </w:pPr>
            <w:r w:rsidRPr="00DC352A">
              <w:rPr>
                <w:rFonts w:ascii="Arial" w:hAnsi="Arial" w:cs="Arial"/>
                <w:b/>
                <w:bCs/>
              </w:rPr>
              <w:t>Score (contribution to total non-cost score</w:t>
            </w:r>
            <w:r w:rsidR="00774086">
              <w:rPr>
                <w:rFonts w:ascii="Arial" w:hAnsi="Arial" w:cs="Arial"/>
                <w:b/>
                <w:bCs/>
              </w:rPr>
              <w:t xml:space="preserve"> rounded to 1 decimal place</w:t>
            </w:r>
            <w:r w:rsidRPr="00DC352A">
              <w:rPr>
                <w:rFonts w:ascii="Arial" w:hAnsi="Arial" w:cs="Arial"/>
                <w:b/>
                <w:bCs/>
              </w:rPr>
              <w:t>)</w:t>
            </w:r>
          </w:p>
        </w:tc>
      </w:tr>
      <w:tr w:rsidR="00E23CEE" w14:paraId="5CDC7272" w14:textId="77777777" w:rsidTr="00A96FB4">
        <w:tc>
          <w:tcPr>
            <w:tcW w:w="1466" w:type="dxa"/>
          </w:tcPr>
          <w:p w14:paraId="1D868539" w14:textId="62CC8F81" w:rsidR="00530E19" w:rsidRPr="00F84CDC" w:rsidRDefault="00E23CEE" w:rsidP="00162491">
            <w:pPr>
              <w:autoSpaceDE w:val="0"/>
              <w:autoSpaceDN w:val="0"/>
              <w:adjustRightInd w:val="0"/>
              <w:spacing w:line="360" w:lineRule="auto"/>
              <w:rPr>
                <w:rFonts w:ascii="Arial" w:hAnsi="Arial" w:cs="Arial"/>
              </w:rPr>
            </w:pPr>
            <w:r>
              <w:rPr>
                <w:rFonts w:ascii="Arial" w:hAnsi="Arial" w:cs="Arial"/>
              </w:rPr>
              <w:t xml:space="preserve">Q1 </w:t>
            </w:r>
          </w:p>
        </w:tc>
        <w:tc>
          <w:tcPr>
            <w:tcW w:w="1298" w:type="dxa"/>
          </w:tcPr>
          <w:p w14:paraId="4CB1A762" w14:textId="77777777" w:rsidR="00530E19" w:rsidRPr="00F84CDC" w:rsidRDefault="00530E19" w:rsidP="00162491">
            <w:pPr>
              <w:autoSpaceDE w:val="0"/>
              <w:autoSpaceDN w:val="0"/>
              <w:adjustRightInd w:val="0"/>
              <w:spacing w:line="360" w:lineRule="auto"/>
              <w:rPr>
                <w:rFonts w:ascii="Arial" w:hAnsi="Arial" w:cs="Arial"/>
              </w:rPr>
            </w:pPr>
            <w:r>
              <w:rPr>
                <w:rFonts w:ascii="Arial" w:hAnsi="Arial" w:cs="Arial"/>
              </w:rPr>
              <w:t>100</w:t>
            </w:r>
          </w:p>
        </w:tc>
        <w:tc>
          <w:tcPr>
            <w:tcW w:w="1509" w:type="dxa"/>
          </w:tcPr>
          <w:p w14:paraId="566F45F9" w14:textId="77777777" w:rsidR="00530E19" w:rsidRPr="00F84CDC" w:rsidRDefault="00530E19" w:rsidP="00162491">
            <w:pPr>
              <w:autoSpaceDE w:val="0"/>
              <w:autoSpaceDN w:val="0"/>
              <w:adjustRightInd w:val="0"/>
              <w:spacing w:line="360" w:lineRule="auto"/>
              <w:rPr>
                <w:rFonts w:ascii="Arial" w:hAnsi="Arial" w:cs="Arial"/>
              </w:rPr>
            </w:pPr>
            <w:r>
              <w:rPr>
                <w:rFonts w:ascii="Arial" w:hAnsi="Arial" w:cs="Arial"/>
              </w:rPr>
              <w:t>50</w:t>
            </w:r>
          </w:p>
        </w:tc>
        <w:tc>
          <w:tcPr>
            <w:tcW w:w="1534" w:type="dxa"/>
          </w:tcPr>
          <w:p w14:paraId="05DC4677" w14:textId="530780BA" w:rsidR="00530E19" w:rsidRPr="007C7794" w:rsidRDefault="005B36F6" w:rsidP="00162491">
            <w:pPr>
              <w:autoSpaceDE w:val="0"/>
              <w:autoSpaceDN w:val="0"/>
              <w:adjustRightInd w:val="0"/>
              <w:spacing w:line="360" w:lineRule="auto"/>
              <w:rPr>
                <w:rFonts w:ascii="Arial" w:hAnsi="Arial" w:cs="Arial"/>
              </w:rPr>
            </w:pPr>
            <w:r>
              <w:rPr>
                <w:rFonts w:ascii="Arial" w:hAnsi="Arial" w:cs="Arial"/>
              </w:rPr>
              <w:t>15</w:t>
            </w:r>
          </w:p>
        </w:tc>
        <w:tc>
          <w:tcPr>
            <w:tcW w:w="1573" w:type="dxa"/>
          </w:tcPr>
          <w:p w14:paraId="6E87F102" w14:textId="7C690B9A" w:rsidR="00530E19" w:rsidRPr="007C7794" w:rsidRDefault="00530E19" w:rsidP="00162491">
            <w:pPr>
              <w:autoSpaceDE w:val="0"/>
              <w:autoSpaceDN w:val="0"/>
              <w:adjustRightInd w:val="0"/>
              <w:spacing w:line="360" w:lineRule="auto"/>
              <w:rPr>
                <w:rFonts w:ascii="Arial" w:hAnsi="Arial" w:cs="Arial"/>
              </w:rPr>
            </w:pPr>
            <w:r w:rsidRPr="007C7794">
              <w:rPr>
                <w:rFonts w:ascii="Arial" w:hAnsi="Arial" w:cs="Arial"/>
              </w:rPr>
              <w:t>(50/</w:t>
            </w:r>
            <w:proofErr w:type="gramStart"/>
            <w:r w:rsidRPr="007C7794">
              <w:rPr>
                <w:rFonts w:ascii="Arial" w:hAnsi="Arial" w:cs="Arial"/>
              </w:rPr>
              <w:t>100)x</w:t>
            </w:r>
            <w:proofErr w:type="gramEnd"/>
            <w:r w:rsidRPr="007C7794">
              <w:rPr>
                <w:rFonts w:ascii="Arial" w:hAnsi="Arial" w:cs="Arial"/>
              </w:rPr>
              <w:t xml:space="preserve"> </w:t>
            </w:r>
            <w:r w:rsidR="005B36F6">
              <w:rPr>
                <w:rFonts w:ascii="Arial" w:hAnsi="Arial" w:cs="Arial"/>
              </w:rPr>
              <w:t>15</w:t>
            </w:r>
          </w:p>
        </w:tc>
        <w:tc>
          <w:tcPr>
            <w:tcW w:w="1636" w:type="dxa"/>
          </w:tcPr>
          <w:p w14:paraId="7035D940" w14:textId="687BEF83" w:rsidR="00530E19" w:rsidRPr="008F2E42" w:rsidRDefault="00BD61F8" w:rsidP="00E00290">
            <w:pPr>
              <w:autoSpaceDE w:val="0"/>
              <w:autoSpaceDN w:val="0"/>
              <w:adjustRightInd w:val="0"/>
              <w:spacing w:line="360" w:lineRule="auto"/>
              <w:jc w:val="center"/>
              <w:rPr>
                <w:rFonts w:ascii="Arial" w:hAnsi="Arial" w:cs="Arial"/>
              </w:rPr>
            </w:pPr>
            <w:r>
              <w:rPr>
                <w:rFonts w:ascii="Arial" w:hAnsi="Arial" w:cs="Arial"/>
              </w:rPr>
              <w:t>7.</w:t>
            </w:r>
            <w:r w:rsidR="001E1514">
              <w:rPr>
                <w:rFonts w:ascii="Arial" w:hAnsi="Arial" w:cs="Arial"/>
              </w:rPr>
              <w:t>5</w:t>
            </w:r>
          </w:p>
        </w:tc>
      </w:tr>
      <w:tr w:rsidR="00E23CEE" w14:paraId="3B77A8ED" w14:textId="77777777" w:rsidTr="00A96FB4">
        <w:tc>
          <w:tcPr>
            <w:tcW w:w="1466" w:type="dxa"/>
          </w:tcPr>
          <w:p w14:paraId="101F658B" w14:textId="3329B9E0" w:rsidR="00530E19" w:rsidRDefault="00E23CEE" w:rsidP="00162491">
            <w:pPr>
              <w:autoSpaceDE w:val="0"/>
              <w:autoSpaceDN w:val="0"/>
              <w:adjustRightInd w:val="0"/>
              <w:spacing w:line="360" w:lineRule="auto"/>
              <w:rPr>
                <w:rFonts w:ascii="Arial" w:hAnsi="Arial" w:cs="Arial"/>
              </w:rPr>
            </w:pPr>
            <w:r>
              <w:rPr>
                <w:rFonts w:ascii="Arial" w:hAnsi="Arial" w:cs="Arial"/>
              </w:rPr>
              <w:t xml:space="preserve">Q2 </w:t>
            </w:r>
          </w:p>
        </w:tc>
        <w:tc>
          <w:tcPr>
            <w:tcW w:w="1298" w:type="dxa"/>
          </w:tcPr>
          <w:p w14:paraId="1F874F14" w14:textId="77777777" w:rsidR="00530E19" w:rsidRDefault="00530E19" w:rsidP="00162491">
            <w:pPr>
              <w:autoSpaceDE w:val="0"/>
              <w:autoSpaceDN w:val="0"/>
              <w:adjustRightInd w:val="0"/>
              <w:spacing w:line="360" w:lineRule="auto"/>
              <w:rPr>
                <w:rFonts w:ascii="Arial" w:hAnsi="Arial" w:cs="Arial"/>
              </w:rPr>
            </w:pPr>
            <w:r>
              <w:rPr>
                <w:rFonts w:ascii="Arial" w:hAnsi="Arial" w:cs="Arial"/>
              </w:rPr>
              <w:t>100</w:t>
            </w:r>
          </w:p>
        </w:tc>
        <w:tc>
          <w:tcPr>
            <w:tcW w:w="1509" w:type="dxa"/>
          </w:tcPr>
          <w:p w14:paraId="24F173FB" w14:textId="77777777" w:rsidR="00530E19" w:rsidRDefault="00530E19" w:rsidP="00162491">
            <w:pPr>
              <w:autoSpaceDE w:val="0"/>
              <w:autoSpaceDN w:val="0"/>
              <w:adjustRightInd w:val="0"/>
              <w:spacing w:line="360" w:lineRule="auto"/>
              <w:rPr>
                <w:rFonts w:ascii="Arial" w:hAnsi="Arial" w:cs="Arial"/>
              </w:rPr>
            </w:pPr>
            <w:r>
              <w:rPr>
                <w:rFonts w:ascii="Arial" w:hAnsi="Arial" w:cs="Arial"/>
              </w:rPr>
              <w:t>75</w:t>
            </w:r>
          </w:p>
        </w:tc>
        <w:tc>
          <w:tcPr>
            <w:tcW w:w="1534" w:type="dxa"/>
          </w:tcPr>
          <w:p w14:paraId="5DFB231F" w14:textId="3F4B3C9C" w:rsidR="00530E19" w:rsidRDefault="005B36F6" w:rsidP="00162491">
            <w:pPr>
              <w:autoSpaceDE w:val="0"/>
              <w:autoSpaceDN w:val="0"/>
              <w:adjustRightInd w:val="0"/>
              <w:spacing w:line="360" w:lineRule="auto"/>
              <w:rPr>
                <w:rFonts w:ascii="Arial" w:hAnsi="Arial" w:cs="Arial"/>
              </w:rPr>
            </w:pPr>
            <w:r>
              <w:rPr>
                <w:rFonts w:ascii="Arial" w:hAnsi="Arial" w:cs="Arial"/>
              </w:rPr>
              <w:t>10</w:t>
            </w:r>
          </w:p>
        </w:tc>
        <w:tc>
          <w:tcPr>
            <w:tcW w:w="1573" w:type="dxa"/>
          </w:tcPr>
          <w:p w14:paraId="067F4C49" w14:textId="64EEFAB8" w:rsidR="00530E19" w:rsidRDefault="00530E19" w:rsidP="00162491">
            <w:pPr>
              <w:autoSpaceDE w:val="0"/>
              <w:autoSpaceDN w:val="0"/>
              <w:adjustRightInd w:val="0"/>
              <w:spacing w:line="360" w:lineRule="auto"/>
              <w:rPr>
                <w:rFonts w:ascii="Arial" w:hAnsi="Arial" w:cs="Arial"/>
              </w:rPr>
            </w:pPr>
            <w:r>
              <w:rPr>
                <w:rFonts w:ascii="Arial" w:hAnsi="Arial" w:cs="Arial"/>
              </w:rPr>
              <w:t xml:space="preserve">(75/100) x </w:t>
            </w:r>
            <w:r w:rsidR="005B36F6">
              <w:rPr>
                <w:rFonts w:ascii="Arial" w:hAnsi="Arial" w:cs="Arial"/>
              </w:rPr>
              <w:t>10</w:t>
            </w:r>
          </w:p>
        </w:tc>
        <w:tc>
          <w:tcPr>
            <w:tcW w:w="1636" w:type="dxa"/>
          </w:tcPr>
          <w:p w14:paraId="5C9E2ED6" w14:textId="1BD84254" w:rsidR="00530E19" w:rsidRDefault="00BD61F8" w:rsidP="00E00290">
            <w:pPr>
              <w:autoSpaceDE w:val="0"/>
              <w:autoSpaceDN w:val="0"/>
              <w:adjustRightInd w:val="0"/>
              <w:spacing w:line="360" w:lineRule="auto"/>
              <w:jc w:val="center"/>
              <w:rPr>
                <w:rFonts w:ascii="Arial" w:hAnsi="Arial" w:cs="Arial"/>
              </w:rPr>
            </w:pPr>
            <w:r>
              <w:rPr>
                <w:rFonts w:ascii="Arial" w:hAnsi="Arial" w:cs="Arial"/>
              </w:rPr>
              <w:t>7.</w:t>
            </w:r>
            <w:r w:rsidR="005E694C">
              <w:rPr>
                <w:rFonts w:ascii="Arial" w:hAnsi="Arial" w:cs="Arial"/>
              </w:rPr>
              <w:t>5</w:t>
            </w:r>
          </w:p>
        </w:tc>
      </w:tr>
      <w:tr w:rsidR="00E23CEE" w14:paraId="0FBE7377" w14:textId="77777777" w:rsidTr="00A96FB4">
        <w:tc>
          <w:tcPr>
            <w:tcW w:w="1466" w:type="dxa"/>
          </w:tcPr>
          <w:p w14:paraId="78985620" w14:textId="2B45E332" w:rsidR="00530E19" w:rsidRDefault="00E23CEE" w:rsidP="00162491">
            <w:pPr>
              <w:autoSpaceDE w:val="0"/>
              <w:autoSpaceDN w:val="0"/>
              <w:adjustRightInd w:val="0"/>
              <w:spacing w:line="360" w:lineRule="auto"/>
              <w:rPr>
                <w:rFonts w:ascii="Arial" w:hAnsi="Arial" w:cs="Arial"/>
              </w:rPr>
            </w:pPr>
            <w:r>
              <w:rPr>
                <w:rFonts w:ascii="Arial" w:hAnsi="Arial" w:cs="Arial"/>
              </w:rPr>
              <w:t xml:space="preserve">Q3 </w:t>
            </w:r>
          </w:p>
        </w:tc>
        <w:tc>
          <w:tcPr>
            <w:tcW w:w="1298" w:type="dxa"/>
          </w:tcPr>
          <w:p w14:paraId="072CF527" w14:textId="77777777" w:rsidR="00530E19" w:rsidRDefault="00530E19" w:rsidP="00162491">
            <w:pPr>
              <w:autoSpaceDE w:val="0"/>
              <w:autoSpaceDN w:val="0"/>
              <w:adjustRightInd w:val="0"/>
              <w:spacing w:line="360" w:lineRule="auto"/>
              <w:rPr>
                <w:rFonts w:ascii="Arial" w:hAnsi="Arial" w:cs="Arial"/>
              </w:rPr>
            </w:pPr>
            <w:r>
              <w:rPr>
                <w:rFonts w:ascii="Arial" w:hAnsi="Arial" w:cs="Arial"/>
              </w:rPr>
              <w:t>100</w:t>
            </w:r>
          </w:p>
        </w:tc>
        <w:tc>
          <w:tcPr>
            <w:tcW w:w="1509" w:type="dxa"/>
          </w:tcPr>
          <w:p w14:paraId="62C57F74" w14:textId="77777777" w:rsidR="00530E19" w:rsidRDefault="00530E19" w:rsidP="00162491">
            <w:pPr>
              <w:autoSpaceDE w:val="0"/>
              <w:autoSpaceDN w:val="0"/>
              <w:adjustRightInd w:val="0"/>
              <w:spacing w:line="360" w:lineRule="auto"/>
              <w:rPr>
                <w:rFonts w:ascii="Arial" w:hAnsi="Arial" w:cs="Arial"/>
              </w:rPr>
            </w:pPr>
            <w:r>
              <w:rPr>
                <w:rFonts w:ascii="Arial" w:hAnsi="Arial" w:cs="Arial"/>
              </w:rPr>
              <w:t>50</w:t>
            </w:r>
          </w:p>
        </w:tc>
        <w:tc>
          <w:tcPr>
            <w:tcW w:w="1534" w:type="dxa"/>
          </w:tcPr>
          <w:p w14:paraId="4DB77E60" w14:textId="584C6C62" w:rsidR="00530E19" w:rsidRDefault="005B36F6" w:rsidP="00162491">
            <w:pPr>
              <w:autoSpaceDE w:val="0"/>
              <w:autoSpaceDN w:val="0"/>
              <w:adjustRightInd w:val="0"/>
              <w:spacing w:line="360" w:lineRule="auto"/>
              <w:rPr>
                <w:rFonts w:ascii="Arial" w:hAnsi="Arial" w:cs="Arial"/>
              </w:rPr>
            </w:pPr>
            <w:r>
              <w:rPr>
                <w:rFonts w:ascii="Arial" w:hAnsi="Arial" w:cs="Arial"/>
              </w:rPr>
              <w:t>25</w:t>
            </w:r>
          </w:p>
        </w:tc>
        <w:tc>
          <w:tcPr>
            <w:tcW w:w="1573" w:type="dxa"/>
          </w:tcPr>
          <w:p w14:paraId="1377FEAC" w14:textId="3F1554B6" w:rsidR="00530E19" w:rsidRDefault="00530E19" w:rsidP="00162491">
            <w:pPr>
              <w:autoSpaceDE w:val="0"/>
              <w:autoSpaceDN w:val="0"/>
              <w:adjustRightInd w:val="0"/>
              <w:spacing w:line="360" w:lineRule="auto"/>
              <w:rPr>
                <w:rFonts w:ascii="Arial" w:hAnsi="Arial" w:cs="Arial"/>
              </w:rPr>
            </w:pPr>
            <w:r>
              <w:rPr>
                <w:rFonts w:ascii="Arial" w:hAnsi="Arial" w:cs="Arial"/>
              </w:rPr>
              <w:t xml:space="preserve">(50/100) x </w:t>
            </w:r>
            <w:r w:rsidR="005B36F6">
              <w:rPr>
                <w:rFonts w:ascii="Arial" w:hAnsi="Arial" w:cs="Arial"/>
              </w:rPr>
              <w:t>25</w:t>
            </w:r>
          </w:p>
        </w:tc>
        <w:tc>
          <w:tcPr>
            <w:tcW w:w="1636" w:type="dxa"/>
          </w:tcPr>
          <w:p w14:paraId="7D71BF22" w14:textId="7E5FF538" w:rsidR="00530E19" w:rsidRDefault="005E694C" w:rsidP="00E00290">
            <w:pPr>
              <w:autoSpaceDE w:val="0"/>
              <w:autoSpaceDN w:val="0"/>
              <w:adjustRightInd w:val="0"/>
              <w:spacing w:line="360" w:lineRule="auto"/>
              <w:jc w:val="center"/>
              <w:rPr>
                <w:rFonts w:ascii="Arial" w:hAnsi="Arial" w:cs="Arial"/>
              </w:rPr>
            </w:pPr>
            <w:r>
              <w:rPr>
                <w:rFonts w:ascii="Arial" w:hAnsi="Arial" w:cs="Arial"/>
              </w:rPr>
              <w:t>12</w:t>
            </w:r>
            <w:r w:rsidR="00BD61F8">
              <w:rPr>
                <w:rFonts w:ascii="Arial" w:hAnsi="Arial" w:cs="Arial"/>
              </w:rPr>
              <w:t>.</w:t>
            </w:r>
            <w:r>
              <w:rPr>
                <w:rFonts w:ascii="Arial" w:hAnsi="Arial" w:cs="Arial"/>
              </w:rPr>
              <w:t>5</w:t>
            </w:r>
          </w:p>
        </w:tc>
      </w:tr>
      <w:tr w:rsidR="00E23CEE" w14:paraId="4228EE84" w14:textId="77777777" w:rsidTr="00A96FB4">
        <w:tc>
          <w:tcPr>
            <w:tcW w:w="1466" w:type="dxa"/>
          </w:tcPr>
          <w:p w14:paraId="1860564D" w14:textId="3A4CB198" w:rsidR="00530E19" w:rsidRDefault="00E23CEE" w:rsidP="00162491">
            <w:pPr>
              <w:autoSpaceDE w:val="0"/>
              <w:autoSpaceDN w:val="0"/>
              <w:adjustRightInd w:val="0"/>
              <w:spacing w:line="360" w:lineRule="auto"/>
              <w:rPr>
                <w:rFonts w:ascii="Arial" w:hAnsi="Arial" w:cs="Arial"/>
              </w:rPr>
            </w:pPr>
            <w:r>
              <w:rPr>
                <w:rFonts w:ascii="Arial" w:hAnsi="Arial" w:cs="Arial"/>
              </w:rPr>
              <w:t xml:space="preserve">Q4 </w:t>
            </w:r>
          </w:p>
        </w:tc>
        <w:tc>
          <w:tcPr>
            <w:tcW w:w="1298" w:type="dxa"/>
          </w:tcPr>
          <w:p w14:paraId="42DB990C" w14:textId="77777777" w:rsidR="00530E19" w:rsidRDefault="00530E19" w:rsidP="00162491">
            <w:pPr>
              <w:autoSpaceDE w:val="0"/>
              <w:autoSpaceDN w:val="0"/>
              <w:adjustRightInd w:val="0"/>
              <w:spacing w:line="360" w:lineRule="auto"/>
              <w:rPr>
                <w:rFonts w:ascii="Arial" w:hAnsi="Arial" w:cs="Arial"/>
              </w:rPr>
            </w:pPr>
            <w:r>
              <w:rPr>
                <w:rFonts w:ascii="Arial" w:hAnsi="Arial" w:cs="Arial"/>
              </w:rPr>
              <w:t>100</w:t>
            </w:r>
          </w:p>
        </w:tc>
        <w:tc>
          <w:tcPr>
            <w:tcW w:w="1509" w:type="dxa"/>
          </w:tcPr>
          <w:p w14:paraId="7D8B295D" w14:textId="305FAB3A" w:rsidR="00530E19" w:rsidRDefault="00055CFA" w:rsidP="00162491">
            <w:pPr>
              <w:autoSpaceDE w:val="0"/>
              <w:autoSpaceDN w:val="0"/>
              <w:adjustRightInd w:val="0"/>
              <w:spacing w:line="360" w:lineRule="auto"/>
              <w:rPr>
                <w:rFonts w:ascii="Arial" w:hAnsi="Arial" w:cs="Arial"/>
              </w:rPr>
            </w:pPr>
            <w:r>
              <w:rPr>
                <w:rFonts w:ascii="Arial" w:hAnsi="Arial" w:cs="Arial"/>
              </w:rPr>
              <w:t>75</w:t>
            </w:r>
          </w:p>
        </w:tc>
        <w:tc>
          <w:tcPr>
            <w:tcW w:w="1534" w:type="dxa"/>
          </w:tcPr>
          <w:p w14:paraId="5EBEC3FA" w14:textId="5F7EC2B8" w:rsidR="00530E19" w:rsidRDefault="005B36F6" w:rsidP="00162491">
            <w:pPr>
              <w:autoSpaceDE w:val="0"/>
              <w:autoSpaceDN w:val="0"/>
              <w:adjustRightInd w:val="0"/>
              <w:spacing w:line="360" w:lineRule="auto"/>
              <w:rPr>
                <w:rFonts w:ascii="Arial" w:hAnsi="Arial" w:cs="Arial"/>
              </w:rPr>
            </w:pPr>
            <w:r>
              <w:rPr>
                <w:rFonts w:ascii="Arial" w:hAnsi="Arial" w:cs="Arial"/>
              </w:rPr>
              <w:t>15</w:t>
            </w:r>
          </w:p>
        </w:tc>
        <w:tc>
          <w:tcPr>
            <w:tcW w:w="1573" w:type="dxa"/>
          </w:tcPr>
          <w:p w14:paraId="57713CF0" w14:textId="527148A1" w:rsidR="00530E19" w:rsidRDefault="00530E19" w:rsidP="00162491">
            <w:pPr>
              <w:autoSpaceDE w:val="0"/>
              <w:autoSpaceDN w:val="0"/>
              <w:adjustRightInd w:val="0"/>
              <w:spacing w:line="360" w:lineRule="auto"/>
              <w:rPr>
                <w:rFonts w:ascii="Arial" w:hAnsi="Arial" w:cs="Arial"/>
              </w:rPr>
            </w:pPr>
            <w:r>
              <w:rPr>
                <w:rFonts w:ascii="Arial" w:hAnsi="Arial" w:cs="Arial"/>
              </w:rPr>
              <w:t>(</w:t>
            </w:r>
            <w:r w:rsidR="00055CFA">
              <w:rPr>
                <w:rFonts w:ascii="Arial" w:hAnsi="Arial" w:cs="Arial"/>
              </w:rPr>
              <w:t>75</w:t>
            </w:r>
            <w:r>
              <w:rPr>
                <w:rFonts w:ascii="Arial" w:hAnsi="Arial" w:cs="Arial"/>
              </w:rPr>
              <w:t xml:space="preserve">/100) x </w:t>
            </w:r>
            <w:r w:rsidR="005B36F6">
              <w:rPr>
                <w:rFonts w:ascii="Arial" w:hAnsi="Arial" w:cs="Arial"/>
              </w:rPr>
              <w:t>15</w:t>
            </w:r>
          </w:p>
        </w:tc>
        <w:tc>
          <w:tcPr>
            <w:tcW w:w="1636" w:type="dxa"/>
          </w:tcPr>
          <w:p w14:paraId="2E3BAB57" w14:textId="769404BE" w:rsidR="00530E19" w:rsidRDefault="00C32E89" w:rsidP="00E00290">
            <w:pPr>
              <w:autoSpaceDE w:val="0"/>
              <w:autoSpaceDN w:val="0"/>
              <w:adjustRightInd w:val="0"/>
              <w:spacing w:line="360" w:lineRule="auto"/>
              <w:jc w:val="center"/>
              <w:rPr>
                <w:rFonts w:ascii="Arial" w:hAnsi="Arial" w:cs="Arial"/>
              </w:rPr>
            </w:pPr>
            <w:r>
              <w:rPr>
                <w:rFonts w:ascii="Arial" w:hAnsi="Arial" w:cs="Arial"/>
              </w:rPr>
              <w:t>11.3</w:t>
            </w:r>
          </w:p>
        </w:tc>
      </w:tr>
      <w:tr w:rsidR="00E23CEE" w14:paraId="6BC4E136" w14:textId="77777777" w:rsidTr="00A96FB4">
        <w:tc>
          <w:tcPr>
            <w:tcW w:w="1466" w:type="dxa"/>
          </w:tcPr>
          <w:p w14:paraId="3753037D" w14:textId="4716371A" w:rsidR="00530E19" w:rsidRDefault="00E23CEE" w:rsidP="00162491">
            <w:pPr>
              <w:autoSpaceDE w:val="0"/>
              <w:autoSpaceDN w:val="0"/>
              <w:adjustRightInd w:val="0"/>
              <w:spacing w:line="360" w:lineRule="auto"/>
              <w:rPr>
                <w:rFonts w:ascii="Arial" w:hAnsi="Arial" w:cs="Arial"/>
              </w:rPr>
            </w:pPr>
            <w:r>
              <w:rPr>
                <w:rFonts w:ascii="Arial" w:hAnsi="Arial" w:cs="Arial"/>
              </w:rPr>
              <w:t xml:space="preserve">Q5 </w:t>
            </w:r>
          </w:p>
        </w:tc>
        <w:tc>
          <w:tcPr>
            <w:tcW w:w="1298" w:type="dxa"/>
          </w:tcPr>
          <w:p w14:paraId="06B99B78" w14:textId="77777777" w:rsidR="00530E19" w:rsidRDefault="00530E19" w:rsidP="00162491">
            <w:pPr>
              <w:autoSpaceDE w:val="0"/>
              <w:autoSpaceDN w:val="0"/>
              <w:adjustRightInd w:val="0"/>
              <w:spacing w:line="360" w:lineRule="auto"/>
              <w:rPr>
                <w:rFonts w:ascii="Arial" w:hAnsi="Arial" w:cs="Arial"/>
              </w:rPr>
            </w:pPr>
            <w:r>
              <w:rPr>
                <w:rFonts w:ascii="Arial" w:hAnsi="Arial" w:cs="Arial"/>
              </w:rPr>
              <w:t>100</w:t>
            </w:r>
          </w:p>
        </w:tc>
        <w:tc>
          <w:tcPr>
            <w:tcW w:w="1509" w:type="dxa"/>
          </w:tcPr>
          <w:p w14:paraId="198E01E5" w14:textId="77777777" w:rsidR="00530E19" w:rsidRDefault="00530E19" w:rsidP="00162491">
            <w:pPr>
              <w:autoSpaceDE w:val="0"/>
              <w:autoSpaceDN w:val="0"/>
              <w:adjustRightInd w:val="0"/>
              <w:spacing w:line="360" w:lineRule="auto"/>
              <w:rPr>
                <w:rFonts w:ascii="Arial" w:hAnsi="Arial" w:cs="Arial"/>
              </w:rPr>
            </w:pPr>
            <w:r>
              <w:rPr>
                <w:rFonts w:ascii="Arial" w:hAnsi="Arial" w:cs="Arial"/>
              </w:rPr>
              <w:t xml:space="preserve">75 </w:t>
            </w:r>
          </w:p>
        </w:tc>
        <w:tc>
          <w:tcPr>
            <w:tcW w:w="1534" w:type="dxa"/>
          </w:tcPr>
          <w:p w14:paraId="77EB639D" w14:textId="49A6B654" w:rsidR="00530E19" w:rsidRDefault="005B36F6" w:rsidP="00162491">
            <w:pPr>
              <w:autoSpaceDE w:val="0"/>
              <w:autoSpaceDN w:val="0"/>
              <w:adjustRightInd w:val="0"/>
              <w:spacing w:line="360" w:lineRule="auto"/>
              <w:rPr>
                <w:rFonts w:ascii="Arial" w:hAnsi="Arial" w:cs="Arial"/>
              </w:rPr>
            </w:pPr>
            <w:r>
              <w:rPr>
                <w:rFonts w:ascii="Arial" w:hAnsi="Arial" w:cs="Arial"/>
              </w:rPr>
              <w:t>15</w:t>
            </w:r>
          </w:p>
        </w:tc>
        <w:tc>
          <w:tcPr>
            <w:tcW w:w="1573" w:type="dxa"/>
          </w:tcPr>
          <w:p w14:paraId="1C596B6F" w14:textId="2786EA28" w:rsidR="00530E19" w:rsidRDefault="00530E19" w:rsidP="00162491">
            <w:pPr>
              <w:autoSpaceDE w:val="0"/>
              <w:autoSpaceDN w:val="0"/>
              <w:adjustRightInd w:val="0"/>
              <w:spacing w:line="360" w:lineRule="auto"/>
              <w:rPr>
                <w:rFonts w:ascii="Arial" w:hAnsi="Arial" w:cs="Arial"/>
              </w:rPr>
            </w:pPr>
            <w:r>
              <w:rPr>
                <w:rFonts w:ascii="Arial" w:hAnsi="Arial" w:cs="Arial"/>
              </w:rPr>
              <w:t xml:space="preserve">(75/100) x </w:t>
            </w:r>
            <w:r w:rsidR="005B36F6">
              <w:rPr>
                <w:rFonts w:ascii="Arial" w:hAnsi="Arial" w:cs="Arial"/>
              </w:rPr>
              <w:t>15</w:t>
            </w:r>
          </w:p>
        </w:tc>
        <w:tc>
          <w:tcPr>
            <w:tcW w:w="1636" w:type="dxa"/>
          </w:tcPr>
          <w:p w14:paraId="2D7B3C4B" w14:textId="33CAFE82" w:rsidR="00530E19" w:rsidRDefault="005B2EF6" w:rsidP="00E00290">
            <w:pPr>
              <w:autoSpaceDE w:val="0"/>
              <w:autoSpaceDN w:val="0"/>
              <w:adjustRightInd w:val="0"/>
              <w:spacing w:line="360" w:lineRule="auto"/>
              <w:jc w:val="center"/>
              <w:rPr>
                <w:rFonts w:ascii="Arial" w:hAnsi="Arial" w:cs="Arial"/>
              </w:rPr>
            </w:pPr>
            <w:r>
              <w:rPr>
                <w:rFonts w:ascii="Arial" w:hAnsi="Arial" w:cs="Arial"/>
              </w:rPr>
              <w:t>11</w:t>
            </w:r>
            <w:r w:rsidR="00BD61F8">
              <w:rPr>
                <w:rFonts w:ascii="Arial" w:hAnsi="Arial" w:cs="Arial"/>
              </w:rPr>
              <w:t>.</w:t>
            </w:r>
            <w:r>
              <w:rPr>
                <w:rFonts w:ascii="Arial" w:hAnsi="Arial" w:cs="Arial"/>
              </w:rPr>
              <w:t>3</w:t>
            </w:r>
          </w:p>
        </w:tc>
      </w:tr>
      <w:tr w:rsidR="00E23CEE" w14:paraId="7EA9CF68" w14:textId="77777777" w:rsidTr="00A96FB4">
        <w:tc>
          <w:tcPr>
            <w:tcW w:w="1466" w:type="dxa"/>
          </w:tcPr>
          <w:p w14:paraId="7B00B7E5" w14:textId="75368195" w:rsidR="00530E19" w:rsidRPr="004A0F54" w:rsidRDefault="00A96FB4" w:rsidP="00162491">
            <w:pPr>
              <w:autoSpaceDE w:val="0"/>
              <w:autoSpaceDN w:val="0"/>
              <w:adjustRightInd w:val="0"/>
              <w:spacing w:line="360" w:lineRule="auto"/>
              <w:rPr>
                <w:rFonts w:ascii="Arial" w:hAnsi="Arial" w:cs="Arial"/>
              </w:rPr>
            </w:pPr>
            <w:r w:rsidRPr="004A0F54">
              <w:rPr>
                <w:rFonts w:ascii="Arial" w:hAnsi="Arial" w:cs="Arial"/>
              </w:rPr>
              <w:t xml:space="preserve">Q6 </w:t>
            </w:r>
          </w:p>
        </w:tc>
        <w:tc>
          <w:tcPr>
            <w:tcW w:w="1298" w:type="dxa"/>
          </w:tcPr>
          <w:p w14:paraId="659BBFF4" w14:textId="77777777" w:rsidR="00530E19" w:rsidRPr="004A0F54" w:rsidRDefault="00530E19" w:rsidP="00162491">
            <w:pPr>
              <w:autoSpaceDE w:val="0"/>
              <w:autoSpaceDN w:val="0"/>
              <w:adjustRightInd w:val="0"/>
              <w:spacing w:line="360" w:lineRule="auto"/>
              <w:rPr>
                <w:rFonts w:ascii="Arial" w:hAnsi="Arial" w:cs="Arial"/>
              </w:rPr>
            </w:pPr>
            <w:r w:rsidRPr="004A0F54">
              <w:rPr>
                <w:rFonts w:ascii="Arial" w:hAnsi="Arial" w:cs="Arial"/>
              </w:rPr>
              <w:t>100</w:t>
            </w:r>
          </w:p>
        </w:tc>
        <w:tc>
          <w:tcPr>
            <w:tcW w:w="1509" w:type="dxa"/>
          </w:tcPr>
          <w:p w14:paraId="231FE5E9" w14:textId="77777777" w:rsidR="00530E19" w:rsidRPr="004A0F54" w:rsidRDefault="00530E19" w:rsidP="00162491">
            <w:pPr>
              <w:autoSpaceDE w:val="0"/>
              <w:autoSpaceDN w:val="0"/>
              <w:adjustRightInd w:val="0"/>
              <w:spacing w:line="360" w:lineRule="auto"/>
              <w:rPr>
                <w:rFonts w:ascii="Arial" w:hAnsi="Arial" w:cs="Arial"/>
              </w:rPr>
            </w:pPr>
            <w:r w:rsidRPr="004A0F54">
              <w:rPr>
                <w:rFonts w:ascii="Arial" w:hAnsi="Arial" w:cs="Arial"/>
              </w:rPr>
              <w:t>75</w:t>
            </w:r>
          </w:p>
        </w:tc>
        <w:tc>
          <w:tcPr>
            <w:tcW w:w="1534" w:type="dxa"/>
          </w:tcPr>
          <w:p w14:paraId="19C3CF33" w14:textId="6C240BC3" w:rsidR="00530E19" w:rsidRPr="004A0F54" w:rsidRDefault="005B36F6" w:rsidP="00162491">
            <w:pPr>
              <w:autoSpaceDE w:val="0"/>
              <w:autoSpaceDN w:val="0"/>
              <w:adjustRightInd w:val="0"/>
              <w:spacing w:line="360" w:lineRule="auto"/>
              <w:rPr>
                <w:rFonts w:ascii="Arial" w:hAnsi="Arial" w:cs="Arial"/>
              </w:rPr>
            </w:pPr>
            <w:r>
              <w:rPr>
                <w:rFonts w:ascii="Arial" w:hAnsi="Arial" w:cs="Arial"/>
              </w:rPr>
              <w:t>10</w:t>
            </w:r>
          </w:p>
        </w:tc>
        <w:tc>
          <w:tcPr>
            <w:tcW w:w="1573" w:type="dxa"/>
          </w:tcPr>
          <w:p w14:paraId="07F089CF" w14:textId="7DD1C131" w:rsidR="00530E19" w:rsidRPr="004A0F54" w:rsidRDefault="00530E19" w:rsidP="00162491">
            <w:pPr>
              <w:autoSpaceDE w:val="0"/>
              <w:autoSpaceDN w:val="0"/>
              <w:adjustRightInd w:val="0"/>
              <w:spacing w:line="360" w:lineRule="auto"/>
              <w:rPr>
                <w:rFonts w:ascii="Arial" w:hAnsi="Arial" w:cs="Arial"/>
              </w:rPr>
            </w:pPr>
            <w:r w:rsidRPr="004A0F54">
              <w:rPr>
                <w:rFonts w:ascii="Arial" w:hAnsi="Arial" w:cs="Arial"/>
              </w:rPr>
              <w:t xml:space="preserve">(75/100) x </w:t>
            </w:r>
            <w:r w:rsidR="005B36F6">
              <w:rPr>
                <w:rFonts w:ascii="Arial" w:hAnsi="Arial" w:cs="Arial"/>
              </w:rPr>
              <w:t>10</w:t>
            </w:r>
          </w:p>
        </w:tc>
        <w:tc>
          <w:tcPr>
            <w:tcW w:w="1636" w:type="dxa"/>
          </w:tcPr>
          <w:p w14:paraId="31E3791B" w14:textId="532F6320" w:rsidR="00530E19" w:rsidRPr="004A0F54" w:rsidRDefault="005B2EF6" w:rsidP="00E00290">
            <w:pPr>
              <w:autoSpaceDE w:val="0"/>
              <w:autoSpaceDN w:val="0"/>
              <w:adjustRightInd w:val="0"/>
              <w:spacing w:line="360" w:lineRule="auto"/>
              <w:jc w:val="center"/>
              <w:rPr>
                <w:rFonts w:ascii="Arial" w:hAnsi="Arial" w:cs="Arial"/>
              </w:rPr>
            </w:pPr>
            <w:r>
              <w:rPr>
                <w:rFonts w:ascii="Arial" w:hAnsi="Arial" w:cs="Arial"/>
              </w:rPr>
              <w:t>7</w:t>
            </w:r>
            <w:r w:rsidR="00E00290">
              <w:rPr>
                <w:rFonts w:ascii="Arial" w:hAnsi="Arial" w:cs="Arial"/>
              </w:rPr>
              <w:t>.</w:t>
            </w:r>
            <w:r>
              <w:rPr>
                <w:rFonts w:ascii="Arial" w:hAnsi="Arial" w:cs="Arial"/>
              </w:rPr>
              <w:t>5</w:t>
            </w:r>
          </w:p>
        </w:tc>
      </w:tr>
      <w:tr w:rsidR="0031114D" w14:paraId="24FBD661" w14:textId="77777777" w:rsidTr="00A96FB4">
        <w:tc>
          <w:tcPr>
            <w:tcW w:w="1466" w:type="dxa"/>
          </w:tcPr>
          <w:p w14:paraId="63894F08" w14:textId="2525F12C" w:rsidR="0031114D" w:rsidRPr="004A0F54" w:rsidRDefault="0031114D" w:rsidP="00162491">
            <w:pPr>
              <w:autoSpaceDE w:val="0"/>
              <w:autoSpaceDN w:val="0"/>
              <w:adjustRightInd w:val="0"/>
              <w:spacing w:line="360" w:lineRule="auto"/>
              <w:rPr>
                <w:rFonts w:ascii="Arial" w:hAnsi="Arial" w:cs="Arial"/>
              </w:rPr>
            </w:pPr>
            <w:r>
              <w:rPr>
                <w:rFonts w:ascii="Arial" w:hAnsi="Arial" w:cs="Arial"/>
              </w:rPr>
              <w:t>Q7</w:t>
            </w:r>
          </w:p>
        </w:tc>
        <w:tc>
          <w:tcPr>
            <w:tcW w:w="1298" w:type="dxa"/>
          </w:tcPr>
          <w:p w14:paraId="25A9D5DA" w14:textId="7DEBBDB0" w:rsidR="0031114D" w:rsidRPr="004A0F54" w:rsidRDefault="0031114D" w:rsidP="00162491">
            <w:pPr>
              <w:autoSpaceDE w:val="0"/>
              <w:autoSpaceDN w:val="0"/>
              <w:adjustRightInd w:val="0"/>
              <w:spacing w:line="360" w:lineRule="auto"/>
              <w:rPr>
                <w:rFonts w:ascii="Arial" w:hAnsi="Arial" w:cs="Arial"/>
              </w:rPr>
            </w:pPr>
            <w:r>
              <w:rPr>
                <w:rFonts w:ascii="Arial" w:hAnsi="Arial" w:cs="Arial"/>
              </w:rPr>
              <w:t>100</w:t>
            </w:r>
          </w:p>
        </w:tc>
        <w:tc>
          <w:tcPr>
            <w:tcW w:w="1509" w:type="dxa"/>
          </w:tcPr>
          <w:p w14:paraId="7F7DCDE7" w14:textId="72ED6BA2" w:rsidR="0031114D" w:rsidRPr="004A0F54" w:rsidRDefault="00055CFA" w:rsidP="00162491">
            <w:pPr>
              <w:autoSpaceDE w:val="0"/>
              <w:autoSpaceDN w:val="0"/>
              <w:adjustRightInd w:val="0"/>
              <w:spacing w:line="360" w:lineRule="auto"/>
              <w:rPr>
                <w:rFonts w:ascii="Arial" w:hAnsi="Arial" w:cs="Arial"/>
              </w:rPr>
            </w:pPr>
            <w:r>
              <w:rPr>
                <w:rFonts w:ascii="Arial" w:hAnsi="Arial" w:cs="Arial"/>
              </w:rPr>
              <w:t>50</w:t>
            </w:r>
          </w:p>
        </w:tc>
        <w:tc>
          <w:tcPr>
            <w:tcW w:w="1534" w:type="dxa"/>
          </w:tcPr>
          <w:p w14:paraId="18512296" w14:textId="22AEC425" w:rsidR="0031114D" w:rsidRPr="004A0F54" w:rsidRDefault="000F35C5" w:rsidP="00162491">
            <w:pPr>
              <w:autoSpaceDE w:val="0"/>
              <w:autoSpaceDN w:val="0"/>
              <w:adjustRightInd w:val="0"/>
              <w:spacing w:line="360" w:lineRule="auto"/>
              <w:rPr>
                <w:rFonts w:ascii="Arial" w:hAnsi="Arial" w:cs="Arial"/>
              </w:rPr>
            </w:pPr>
            <w:r>
              <w:rPr>
                <w:rFonts w:ascii="Arial" w:hAnsi="Arial" w:cs="Arial"/>
              </w:rPr>
              <w:t>10</w:t>
            </w:r>
          </w:p>
        </w:tc>
        <w:tc>
          <w:tcPr>
            <w:tcW w:w="1573" w:type="dxa"/>
          </w:tcPr>
          <w:p w14:paraId="7BA89E25" w14:textId="5A0A3324" w:rsidR="0031114D" w:rsidRPr="004A0F54" w:rsidRDefault="005B36F6" w:rsidP="00162491">
            <w:pPr>
              <w:autoSpaceDE w:val="0"/>
              <w:autoSpaceDN w:val="0"/>
              <w:adjustRightInd w:val="0"/>
              <w:spacing w:line="360" w:lineRule="auto"/>
              <w:rPr>
                <w:rFonts w:ascii="Arial" w:hAnsi="Arial" w:cs="Arial"/>
              </w:rPr>
            </w:pPr>
            <w:r>
              <w:rPr>
                <w:rFonts w:ascii="Arial" w:hAnsi="Arial" w:cs="Arial"/>
              </w:rPr>
              <w:t>(</w:t>
            </w:r>
            <w:r w:rsidR="00055CFA">
              <w:rPr>
                <w:rFonts w:ascii="Arial" w:hAnsi="Arial" w:cs="Arial"/>
              </w:rPr>
              <w:t>5</w:t>
            </w:r>
            <w:r>
              <w:rPr>
                <w:rFonts w:ascii="Arial" w:hAnsi="Arial" w:cs="Arial"/>
              </w:rPr>
              <w:t>0/100) x 10</w:t>
            </w:r>
          </w:p>
        </w:tc>
        <w:tc>
          <w:tcPr>
            <w:tcW w:w="1636" w:type="dxa"/>
          </w:tcPr>
          <w:p w14:paraId="0EC7E07D" w14:textId="5458D6ED" w:rsidR="0031114D" w:rsidRPr="004A0F54" w:rsidRDefault="00C32E89" w:rsidP="00E00290">
            <w:pPr>
              <w:autoSpaceDE w:val="0"/>
              <w:autoSpaceDN w:val="0"/>
              <w:adjustRightInd w:val="0"/>
              <w:spacing w:line="360" w:lineRule="auto"/>
              <w:jc w:val="center"/>
              <w:rPr>
                <w:rFonts w:ascii="Arial" w:hAnsi="Arial" w:cs="Arial"/>
              </w:rPr>
            </w:pPr>
            <w:r>
              <w:rPr>
                <w:rFonts w:ascii="Arial" w:hAnsi="Arial" w:cs="Arial"/>
              </w:rPr>
              <w:t>5</w:t>
            </w:r>
            <w:r w:rsidR="00E00290">
              <w:rPr>
                <w:rFonts w:ascii="Arial" w:hAnsi="Arial" w:cs="Arial"/>
              </w:rPr>
              <w:t>.</w:t>
            </w:r>
            <w:r w:rsidR="006807CF">
              <w:rPr>
                <w:rFonts w:ascii="Arial" w:hAnsi="Arial" w:cs="Arial"/>
              </w:rPr>
              <w:t>0</w:t>
            </w:r>
          </w:p>
        </w:tc>
      </w:tr>
      <w:tr w:rsidR="00E23CEE" w14:paraId="1FC4E645" w14:textId="77777777" w:rsidTr="00A96FB4">
        <w:tc>
          <w:tcPr>
            <w:tcW w:w="4273" w:type="dxa"/>
            <w:gridSpan w:val="3"/>
          </w:tcPr>
          <w:p w14:paraId="2B9D396C" w14:textId="77777777" w:rsidR="00530E19" w:rsidRPr="00044FB7" w:rsidRDefault="00530E19" w:rsidP="00162491">
            <w:pPr>
              <w:autoSpaceDE w:val="0"/>
              <w:autoSpaceDN w:val="0"/>
              <w:adjustRightInd w:val="0"/>
              <w:spacing w:line="360" w:lineRule="auto"/>
              <w:rPr>
                <w:rFonts w:ascii="Arial" w:hAnsi="Arial" w:cs="Arial"/>
                <w:b/>
                <w:bCs/>
              </w:rPr>
            </w:pPr>
            <w:r w:rsidRPr="00044FB7">
              <w:rPr>
                <w:rFonts w:ascii="Arial" w:hAnsi="Arial" w:cs="Arial"/>
                <w:b/>
                <w:bCs/>
              </w:rPr>
              <w:t xml:space="preserve">Total Weighting </w:t>
            </w:r>
          </w:p>
        </w:tc>
        <w:tc>
          <w:tcPr>
            <w:tcW w:w="1534" w:type="dxa"/>
          </w:tcPr>
          <w:p w14:paraId="49B0AAF7" w14:textId="7C1070E1" w:rsidR="00530E19" w:rsidRDefault="00530E19" w:rsidP="00162491">
            <w:pPr>
              <w:autoSpaceDE w:val="0"/>
              <w:autoSpaceDN w:val="0"/>
              <w:adjustRightInd w:val="0"/>
              <w:spacing w:line="360" w:lineRule="auto"/>
              <w:rPr>
                <w:rFonts w:ascii="Arial" w:hAnsi="Arial" w:cs="Arial"/>
              </w:rPr>
            </w:pPr>
            <w:r>
              <w:rPr>
                <w:rFonts w:ascii="Arial" w:hAnsi="Arial" w:cs="Arial"/>
              </w:rPr>
              <w:t>100</w:t>
            </w:r>
          </w:p>
        </w:tc>
        <w:tc>
          <w:tcPr>
            <w:tcW w:w="1573" w:type="dxa"/>
          </w:tcPr>
          <w:p w14:paraId="199BB18E" w14:textId="4006E798" w:rsidR="00530E19" w:rsidRPr="00044FB7" w:rsidRDefault="00530E19" w:rsidP="00162491">
            <w:pPr>
              <w:autoSpaceDE w:val="0"/>
              <w:autoSpaceDN w:val="0"/>
              <w:adjustRightInd w:val="0"/>
              <w:spacing w:line="360" w:lineRule="auto"/>
              <w:rPr>
                <w:rFonts w:ascii="Arial" w:hAnsi="Arial" w:cs="Arial"/>
                <w:b/>
                <w:bCs/>
              </w:rPr>
            </w:pPr>
            <w:r w:rsidRPr="00044FB7">
              <w:rPr>
                <w:rFonts w:ascii="Arial" w:hAnsi="Arial" w:cs="Arial"/>
                <w:b/>
                <w:bCs/>
              </w:rPr>
              <w:t xml:space="preserve">Total score </w:t>
            </w:r>
          </w:p>
        </w:tc>
        <w:tc>
          <w:tcPr>
            <w:tcW w:w="1636" w:type="dxa"/>
          </w:tcPr>
          <w:p w14:paraId="04F756AD" w14:textId="6F3A1CAF" w:rsidR="00530E19" w:rsidRPr="00044FB7" w:rsidRDefault="00E3244D" w:rsidP="00162491">
            <w:pPr>
              <w:autoSpaceDE w:val="0"/>
              <w:autoSpaceDN w:val="0"/>
              <w:adjustRightInd w:val="0"/>
              <w:spacing w:line="360" w:lineRule="auto"/>
              <w:rPr>
                <w:rFonts w:ascii="Arial" w:hAnsi="Arial" w:cs="Arial"/>
                <w:b/>
                <w:bCs/>
              </w:rPr>
            </w:pPr>
            <w:r>
              <w:rPr>
                <w:rFonts w:ascii="Arial" w:hAnsi="Arial" w:cs="Arial"/>
                <w:b/>
                <w:bCs/>
              </w:rPr>
              <w:t>6</w:t>
            </w:r>
            <w:r w:rsidR="00BD3EA3">
              <w:rPr>
                <w:rFonts w:ascii="Arial" w:hAnsi="Arial" w:cs="Arial"/>
                <w:b/>
                <w:bCs/>
              </w:rPr>
              <w:t>2.6</w:t>
            </w:r>
          </w:p>
        </w:tc>
      </w:tr>
    </w:tbl>
    <w:p w14:paraId="145DC3A5" w14:textId="5B76FC47" w:rsidR="00530E19" w:rsidRDefault="00530E19" w:rsidP="00162491">
      <w:pPr>
        <w:autoSpaceDE w:val="0"/>
        <w:autoSpaceDN w:val="0"/>
        <w:adjustRightInd w:val="0"/>
        <w:spacing w:after="0" w:line="360" w:lineRule="auto"/>
        <w:rPr>
          <w:rFonts w:ascii="Arial" w:hAnsi="Arial" w:cs="Arial"/>
        </w:rPr>
      </w:pPr>
    </w:p>
    <w:p w14:paraId="479F3B74" w14:textId="67E4CF37" w:rsidR="00530E19" w:rsidRDefault="00530E19" w:rsidP="00162491">
      <w:pPr>
        <w:autoSpaceDE w:val="0"/>
        <w:autoSpaceDN w:val="0"/>
        <w:adjustRightInd w:val="0"/>
        <w:spacing w:after="0" w:line="360" w:lineRule="auto"/>
        <w:rPr>
          <w:rFonts w:ascii="Arial" w:hAnsi="Arial" w:cs="Arial"/>
        </w:rPr>
      </w:pPr>
      <w:r>
        <w:rPr>
          <w:rFonts w:ascii="Arial" w:hAnsi="Arial" w:cs="Arial"/>
        </w:rPr>
        <w:t xml:space="preserve">As per the example above, the total </w:t>
      </w:r>
      <w:r w:rsidR="00374C60">
        <w:rPr>
          <w:rFonts w:ascii="Arial" w:hAnsi="Arial" w:cs="Arial"/>
        </w:rPr>
        <w:t>non-cost</w:t>
      </w:r>
      <w:r>
        <w:rPr>
          <w:rFonts w:ascii="Arial" w:hAnsi="Arial" w:cs="Arial"/>
        </w:rPr>
        <w:t xml:space="preserve"> score for the Technical Evaluation would be </w:t>
      </w:r>
      <w:r w:rsidR="00A10380">
        <w:rPr>
          <w:rFonts w:ascii="Arial" w:hAnsi="Arial" w:cs="Arial"/>
        </w:rPr>
        <w:t>6</w:t>
      </w:r>
      <w:r w:rsidR="00BD3EA3">
        <w:rPr>
          <w:rFonts w:ascii="Arial" w:hAnsi="Arial" w:cs="Arial"/>
        </w:rPr>
        <w:t>2.6</w:t>
      </w:r>
      <w:r>
        <w:rPr>
          <w:rFonts w:ascii="Arial" w:hAnsi="Arial" w:cs="Arial"/>
        </w:rPr>
        <w:t>out of a maximum of 10</w:t>
      </w:r>
      <w:r w:rsidR="00A74A5C">
        <w:rPr>
          <w:rFonts w:ascii="Arial" w:hAnsi="Arial" w:cs="Arial"/>
        </w:rPr>
        <w:t>0.</w:t>
      </w:r>
      <w:r>
        <w:rPr>
          <w:rFonts w:ascii="Arial" w:hAnsi="Arial" w:cs="Arial"/>
        </w:rPr>
        <w:t xml:space="preserve"> </w:t>
      </w:r>
    </w:p>
    <w:p w14:paraId="7C3B0AF1" w14:textId="77777777" w:rsidR="00530E19" w:rsidRPr="005D5F07" w:rsidRDefault="00530E19" w:rsidP="00162491">
      <w:pPr>
        <w:autoSpaceDE w:val="0"/>
        <w:autoSpaceDN w:val="0"/>
        <w:adjustRightInd w:val="0"/>
        <w:spacing w:after="0" w:line="360" w:lineRule="auto"/>
        <w:rPr>
          <w:rFonts w:ascii="Arial" w:hAnsi="Arial" w:cs="Arial"/>
        </w:rPr>
      </w:pPr>
    </w:p>
    <w:p w14:paraId="34596B2A" w14:textId="6C1279B4" w:rsidR="00453599" w:rsidRPr="00530E19" w:rsidRDefault="00453599" w:rsidP="00162491">
      <w:pPr>
        <w:autoSpaceDE w:val="0"/>
        <w:autoSpaceDN w:val="0"/>
        <w:adjustRightInd w:val="0"/>
        <w:spacing w:after="0" w:line="360" w:lineRule="auto"/>
        <w:rPr>
          <w:rFonts w:ascii="Arial" w:hAnsi="Arial" w:cs="Arial"/>
        </w:rPr>
      </w:pPr>
      <w:r w:rsidRPr="000F5C3A">
        <w:rPr>
          <w:rFonts w:ascii="Arial" w:hAnsi="Arial" w:cs="Arial"/>
          <w:b/>
          <w:bCs/>
        </w:rPr>
        <w:t xml:space="preserve">Stage </w:t>
      </w:r>
      <w:r w:rsidR="00AD4FC2">
        <w:rPr>
          <w:rFonts w:ascii="Arial" w:hAnsi="Arial" w:cs="Arial"/>
          <w:b/>
          <w:bCs/>
        </w:rPr>
        <w:t>4</w:t>
      </w:r>
      <w:r w:rsidRPr="000F5C3A">
        <w:rPr>
          <w:rFonts w:ascii="Arial" w:hAnsi="Arial" w:cs="Arial"/>
          <w:b/>
          <w:bCs/>
        </w:rPr>
        <w:t xml:space="preserve"> – </w:t>
      </w:r>
      <w:r w:rsidR="007557EE">
        <w:rPr>
          <w:rFonts w:ascii="Arial" w:hAnsi="Arial" w:cs="Arial"/>
          <w:b/>
          <w:bCs/>
        </w:rPr>
        <w:t>Determination</w:t>
      </w:r>
      <w:r w:rsidRPr="000F5C3A">
        <w:rPr>
          <w:rFonts w:ascii="Arial" w:hAnsi="Arial" w:cs="Arial"/>
          <w:b/>
          <w:bCs/>
        </w:rPr>
        <w:t xml:space="preserve"> of Price </w:t>
      </w:r>
    </w:p>
    <w:p w14:paraId="6B89E28C" w14:textId="77777777" w:rsidR="00453599" w:rsidRPr="000F5C3A" w:rsidRDefault="00453599" w:rsidP="00162491">
      <w:pPr>
        <w:autoSpaceDE w:val="0"/>
        <w:autoSpaceDN w:val="0"/>
        <w:adjustRightInd w:val="0"/>
        <w:spacing w:after="0" w:line="360" w:lineRule="auto"/>
        <w:rPr>
          <w:rFonts w:ascii="Arial" w:hAnsi="Arial" w:cs="Arial"/>
          <w:b/>
          <w:bCs/>
        </w:rPr>
      </w:pPr>
    </w:p>
    <w:p w14:paraId="58F9ED40" w14:textId="546EC955" w:rsidR="00453599" w:rsidRDefault="00453599" w:rsidP="00162491">
      <w:pPr>
        <w:pStyle w:val="ListParagraph"/>
        <w:numPr>
          <w:ilvl w:val="0"/>
          <w:numId w:val="6"/>
        </w:numPr>
        <w:autoSpaceDE w:val="0"/>
        <w:autoSpaceDN w:val="0"/>
        <w:adjustRightInd w:val="0"/>
        <w:spacing w:after="0" w:line="360" w:lineRule="auto"/>
        <w:rPr>
          <w:rFonts w:ascii="Arial" w:hAnsi="Arial" w:cs="Arial"/>
        </w:rPr>
      </w:pPr>
      <w:r w:rsidRPr="00162491">
        <w:rPr>
          <w:rFonts w:ascii="Arial" w:hAnsi="Arial" w:cs="Arial"/>
        </w:rPr>
        <w:t xml:space="preserve">Tenderers will be required to complete the DEFFORM 47 Annex A (Offer) with their Tender price. </w:t>
      </w:r>
    </w:p>
    <w:p w14:paraId="1D2522FE" w14:textId="77777777" w:rsidR="00C64ABF" w:rsidRDefault="00C64ABF" w:rsidP="00C64ABF">
      <w:pPr>
        <w:pStyle w:val="ListParagraph"/>
        <w:autoSpaceDE w:val="0"/>
        <w:autoSpaceDN w:val="0"/>
        <w:adjustRightInd w:val="0"/>
        <w:spacing w:after="0" w:line="360" w:lineRule="auto"/>
        <w:ind w:left="360"/>
        <w:rPr>
          <w:rFonts w:ascii="Arial" w:hAnsi="Arial" w:cs="Arial"/>
        </w:rPr>
      </w:pPr>
    </w:p>
    <w:p w14:paraId="7CB02648" w14:textId="122918A3" w:rsidR="00D72BE2" w:rsidRPr="00001FBB" w:rsidRDefault="00EC697B" w:rsidP="00001FBB">
      <w:pPr>
        <w:pStyle w:val="ListParagraph"/>
        <w:numPr>
          <w:ilvl w:val="0"/>
          <w:numId w:val="6"/>
        </w:numPr>
        <w:autoSpaceDE w:val="0"/>
        <w:autoSpaceDN w:val="0"/>
        <w:adjustRightInd w:val="0"/>
        <w:spacing w:after="0" w:line="360" w:lineRule="auto"/>
        <w:rPr>
          <w:rFonts w:ascii="Arial" w:hAnsi="Arial" w:cs="Arial"/>
        </w:rPr>
      </w:pPr>
      <w:r>
        <w:rPr>
          <w:rFonts w:ascii="Arial" w:hAnsi="Arial" w:cs="Arial"/>
        </w:rPr>
        <w:t>Tenderers</w:t>
      </w:r>
      <w:r w:rsidR="00BF025A">
        <w:rPr>
          <w:rFonts w:ascii="Arial" w:hAnsi="Arial" w:cs="Arial"/>
        </w:rPr>
        <w:t xml:space="preserve"> will complete the </w:t>
      </w:r>
      <w:r w:rsidR="003A21DF">
        <w:rPr>
          <w:rFonts w:ascii="Arial" w:hAnsi="Arial" w:cs="Arial"/>
        </w:rPr>
        <w:t>Schedule of Requirements included within the tender documentation</w:t>
      </w:r>
      <w:r w:rsidR="007E13B1">
        <w:rPr>
          <w:rFonts w:ascii="Arial" w:hAnsi="Arial" w:cs="Arial"/>
        </w:rPr>
        <w:t xml:space="preserve"> which will </w:t>
      </w:r>
      <w:r w:rsidR="00816FA2">
        <w:rPr>
          <w:rFonts w:ascii="Arial" w:hAnsi="Arial" w:cs="Arial"/>
        </w:rPr>
        <w:t xml:space="preserve">be used to </w:t>
      </w:r>
      <w:r w:rsidR="00863C27">
        <w:rPr>
          <w:rFonts w:ascii="Arial" w:hAnsi="Arial" w:cs="Arial"/>
        </w:rPr>
        <w:t xml:space="preserve">determine the total firm </w:t>
      </w:r>
      <w:r w:rsidR="007E13B1">
        <w:rPr>
          <w:rFonts w:ascii="Arial" w:hAnsi="Arial" w:cs="Arial"/>
        </w:rPr>
        <w:t>price</w:t>
      </w:r>
      <w:r w:rsidR="00273F38">
        <w:rPr>
          <w:rFonts w:ascii="Arial" w:hAnsi="Arial" w:cs="Arial"/>
        </w:rPr>
        <w:t>.</w:t>
      </w:r>
      <w:r w:rsidR="007E13B1">
        <w:rPr>
          <w:rFonts w:ascii="Arial" w:hAnsi="Arial" w:cs="Arial"/>
        </w:rPr>
        <w:t xml:space="preserve"> </w:t>
      </w:r>
      <w:r w:rsidR="005F2331">
        <w:rPr>
          <w:rFonts w:ascii="Arial" w:hAnsi="Arial" w:cs="Arial"/>
        </w:rPr>
        <w:t xml:space="preserve">The total firm price </w:t>
      </w:r>
      <w:r w:rsidR="00AD1705">
        <w:rPr>
          <w:rFonts w:ascii="Arial" w:hAnsi="Arial" w:cs="Arial"/>
        </w:rPr>
        <w:t xml:space="preserve">will be used for the </w:t>
      </w:r>
      <w:r w:rsidR="00863C27">
        <w:rPr>
          <w:rFonts w:ascii="Arial" w:hAnsi="Arial" w:cs="Arial"/>
        </w:rPr>
        <w:t>MEAT calculation.</w:t>
      </w:r>
      <w:r w:rsidR="008B5338">
        <w:rPr>
          <w:rFonts w:ascii="Arial" w:hAnsi="Arial" w:cs="Arial"/>
        </w:rPr>
        <w:t xml:space="preserve"> </w:t>
      </w:r>
    </w:p>
    <w:p w14:paraId="5B486C31" w14:textId="77777777" w:rsidR="007557EE" w:rsidRDefault="007557EE" w:rsidP="007557EE">
      <w:pPr>
        <w:autoSpaceDE w:val="0"/>
        <w:autoSpaceDN w:val="0"/>
        <w:adjustRightInd w:val="0"/>
        <w:spacing w:after="0" w:line="360" w:lineRule="auto"/>
        <w:rPr>
          <w:rFonts w:ascii="Arial" w:hAnsi="Arial" w:cs="Arial"/>
        </w:rPr>
      </w:pPr>
    </w:p>
    <w:p w14:paraId="6611EE6A" w14:textId="53494BE9" w:rsidR="007557EE" w:rsidRPr="00632BCD" w:rsidRDefault="00BF33F6" w:rsidP="00632BCD">
      <w:pPr>
        <w:autoSpaceDE w:val="0"/>
        <w:autoSpaceDN w:val="0"/>
        <w:adjustRightInd w:val="0"/>
        <w:spacing w:after="0" w:line="360" w:lineRule="auto"/>
        <w:rPr>
          <w:rFonts w:ascii="Arial" w:hAnsi="Arial" w:cs="Arial"/>
          <w:b/>
          <w:bCs/>
        </w:rPr>
      </w:pPr>
      <w:r w:rsidRPr="007557EE">
        <w:rPr>
          <w:rFonts w:ascii="Arial" w:hAnsi="Arial" w:cs="Arial"/>
          <w:b/>
          <w:bCs/>
        </w:rPr>
        <w:t>M</w:t>
      </w:r>
      <w:r w:rsidR="007557EE" w:rsidRPr="007557EE">
        <w:rPr>
          <w:rFonts w:ascii="Arial" w:hAnsi="Arial" w:cs="Arial"/>
          <w:b/>
          <w:bCs/>
        </w:rPr>
        <w:t xml:space="preserve">EAT Calculation </w:t>
      </w:r>
    </w:p>
    <w:p w14:paraId="31C4D545" w14:textId="67368B4F" w:rsidR="003F64D6" w:rsidRPr="000F5C3A" w:rsidRDefault="003F64D6" w:rsidP="00162491">
      <w:pPr>
        <w:autoSpaceDE w:val="0"/>
        <w:autoSpaceDN w:val="0"/>
        <w:adjustRightInd w:val="0"/>
        <w:spacing w:after="0" w:line="360" w:lineRule="auto"/>
        <w:rPr>
          <w:rFonts w:ascii="Arial" w:hAnsi="Arial" w:cs="Arial"/>
        </w:rPr>
      </w:pPr>
    </w:p>
    <w:p w14:paraId="328B4E56" w14:textId="6BD65E01" w:rsidR="003F64D6" w:rsidRPr="00162491" w:rsidRDefault="003F64D6" w:rsidP="00162491">
      <w:pPr>
        <w:pStyle w:val="ListParagraph"/>
        <w:numPr>
          <w:ilvl w:val="0"/>
          <w:numId w:val="6"/>
        </w:numPr>
        <w:autoSpaceDE w:val="0"/>
        <w:autoSpaceDN w:val="0"/>
        <w:adjustRightInd w:val="0"/>
        <w:spacing w:after="0" w:line="360" w:lineRule="auto"/>
        <w:rPr>
          <w:rFonts w:ascii="Arial" w:hAnsi="Arial" w:cs="Arial"/>
        </w:rPr>
      </w:pPr>
      <w:r w:rsidRPr="00162491">
        <w:rPr>
          <w:rFonts w:ascii="Arial" w:hAnsi="Arial" w:cs="Arial"/>
        </w:rPr>
        <w:t>The Tenderer</w:t>
      </w:r>
      <w:r w:rsidR="00E65EFD" w:rsidRPr="00162491">
        <w:rPr>
          <w:rFonts w:ascii="Arial" w:hAnsi="Arial" w:cs="Arial"/>
        </w:rPr>
        <w:t>s</w:t>
      </w:r>
      <w:r w:rsidRPr="00162491">
        <w:rPr>
          <w:rFonts w:ascii="Arial" w:hAnsi="Arial" w:cs="Arial"/>
        </w:rPr>
        <w:t xml:space="preserve"> </w:t>
      </w:r>
      <w:r w:rsidR="00C648F1">
        <w:rPr>
          <w:rFonts w:ascii="Arial" w:hAnsi="Arial" w:cs="Arial"/>
        </w:rPr>
        <w:t>overa</w:t>
      </w:r>
      <w:r w:rsidR="007A5C7B">
        <w:rPr>
          <w:rFonts w:ascii="Arial" w:hAnsi="Arial" w:cs="Arial"/>
        </w:rPr>
        <w:t>ll score</w:t>
      </w:r>
      <w:r w:rsidRPr="00162491">
        <w:rPr>
          <w:rFonts w:ascii="Arial" w:hAnsi="Arial" w:cs="Arial"/>
        </w:rPr>
        <w:t xml:space="preserve"> calculated by dividing the total non-cost score as determined in Stage 2 (</w:t>
      </w:r>
      <w:r w:rsidR="005969AD" w:rsidRPr="00162491">
        <w:rPr>
          <w:rFonts w:ascii="Arial" w:hAnsi="Arial" w:cs="Arial"/>
        </w:rPr>
        <w:t>Technical Evaluation</w:t>
      </w:r>
      <w:r w:rsidRPr="00162491">
        <w:rPr>
          <w:rFonts w:ascii="Arial" w:hAnsi="Arial" w:cs="Arial"/>
        </w:rPr>
        <w:t xml:space="preserve">) by the </w:t>
      </w:r>
      <w:r w:rsidR="009F2706">
        <w:rPr>
          <w:rFonts w:ascii="Arial" w:hAnsi="Arial" w:cs="Arial"/>
        </w:rPr>
        <w:t xml:space="preserve">firm </w:t>
      </w:r>
      <w:r w:rsidRPr="00162491">
        <w:rPr>
          <w:rFonts w:ascii="Arial" w:hAnsi="Arial" w:cs="Arial"/>
        </w:rPr>
        <w:t xml:space="preserve">Tender Price as shown in the </w:t>
      </w:r>
      <w:r w:rsidR="589F1D47" w:rsidRPr="14ED0394">
        <w:rPr>
          <w:rFonts w:ascii="Arial" w:hAnsi="Arial" w:cs="Arial"/>
        </w:rPr>
        <w:t xml:space="preserve">DEFFORM 47 Annex A (Offer) </w:t>
      </w:r>
      <w:r w:rsidRPr="35887D12">
        <w:rPr>
          <w:rFonts w:ascii="Arial" w:hAnsi="Arial" w:cs="Arial"/>
        </w:rPr>
        <w:t xml:space="preserve"> </w:t>
      </w:r>
    </w:p>
    <w:p w14:paraId="53568D4A" w14:textId="3A773E37" w:rsidR="003F64D6" w:rsidRPr="000F5C3A" w:rsidRDefault="003F64D6" w:rsidP="00162491">
      <w:pPr>
        <w:autoSpaceDE w:val="0"/>
        <w:autoSpaceDN w:val="0"/>
        <w:adjustRightInd w:val="0"/>
        <w:spacing w:after="0" w:line="360" w:lineRule="auto"/>
        <w:rPr>
          <w:rFonts w:ascii="Arial" w:hAnsi="Arial" w:cs="Arial"/>
        </w:rPr>
      </w:pPr>
    </w:p>
    <w:p w14:paraId="3A8D3BD7" w14:textId="4ABDFDF7" w:rsidR="007C7794" w:rsidRPr="00931CAB" w:rsidRDefault="003F64D6" w:rsidP="00CB46CA">
      <w:pPr>
        <w:autoSpaceDE w:val="0"/>
        <w:autoSpaceDN w:val="0"/>
        <w:adjustRightInd w:val="0"/>
        <w:spacing w:after="0" w:line="360" w:lineRule="auto"/>
        <w:rPr>
          <w:rFonts w:ascii="Arial" w:hAnsi="Arial" w:cs="Arial"/>
          <w:b/>
          <w:bCs/>
        </w:rPr>
      </w:pPr>
      <w:r w:rsidRPr="00931CAB">
        <w:rPr>
          <w:rFonts w:ascii="Arial" w:hAnsi="Arial" w:cs="Arial"/>
          <w:b/>
          <w:bCs/>
        </w:rPr>
        <w:t>Tender Score</w:t>
      </w:r>
      <w:r w:rsidR="008D4EEB">
        <w:rPr>
          <w:rFonts w:ascii="Arial" w:hAnsi="Arial" w:cs="Arial"/>
          <w:b/>
          <w:bCs/>
        </w:rPr>
        <w:t xml:space="preserve"> </w:t>
      </w:r>
      <w:r w:rsidR="008D4EEB" w:rsidRPr="00931CAB">
        <w:rPr>
          <w:rFonts w:ascii="Arial" w:hAnsi="Arial" w:cs="Arial"/>
          <w:b/>
          <w:bCs/>
        </w:rPr>
        <w:t xml:space="preserve">(rounded to </w:t>
      </w:r>
      <w:r w:rsidR="0029571A">
        <w:rPr>
          <w:rFonts w:ascii="Arial" w:hAnsi="Arial" w:cs="Arial"/>
          <w:b/>
          <w:bCs/>
        </w:rPr>
        <w:t>1</w:t>
      </w:r>
      <w:r w:rsidR="008D4EEB" w:rsidRPr="00931CAB">
        <w:rPr>
          <w:rFonts w:ascii="Arial" w:hAnsi="Arial" w:cs="Arial"/>
          <w:b/>
          <w:bCs/>
        </w:rPr>
        <w:t xml:space="preserve"> decimal </w:t>
      </w:r>
      <w:r w:rsidR="00756BAD" w:rsidRPr="00931CAB">
        <w:rPr>
          <w:rFonts w:ascii="Arial" w:hAnsi="Arial" w:cs="Arial"/>
          <w:b/>
          <w:bCs/>
        </w:rPr>
        <w:t>place)</w:t>
      </w:r>
      <w:r w:rsidR="00756BAD">
        <w:rPr>
          <w:rFonts w:ascii="Arial" w:hAnsi="Arial" w:cs="Arial"/>
          <w:b/>
          <w:bCs/>
        </w:rPr>
        <w:t xml:space="preserve"> </w:t>
      </w:r>
      <w:r w:rsidR="00756BAD" w:rsidRPr="00931CAB">
        <w:rPr>
          <w:rFonts w:ascii="Arial" w:hAnsi="Arial" w:cs="Arial"/>
          <w:b/>
          <w:bCs/>
        </w:rPr>
        <w:t>=</w:t>
      </w:r>
      <w:r w:rsidRPr="00931CAB">
        <w:rPr>
          <w:rFonts w:ascii="Arial" w:hAnsi="Arial" w:cs="Arial"/>
          <w:b/>
          <w:bCs/>
        </w:rPr>
        <w:t xml:space="preserve"> Total non-cost score/Tender Price</w:t>
      </w:r>
      <w:r w:rsidR="00413A6B">
        <w:rPr>
          <w:rFonts w:ascii="Arial" w:hAnsi="Arial" w:cs="Arial"/>
          <w:b/>
          <w:bCs/>
        </w:rPr>
        <w:t xml:space="preserve"> </w:t>
      </w:r>
      <w:r w:rsidR="008F096C" w:rsidRPr="00413A6B">
        <w:rPr>
          <w:rFonts w:ascii="Arial" w:hAnsi="Arial" w:cs="Arial"/>
          <w:b/>
          <w:bCs/>
          <w:sz w:val="20"/>
          <w:szCs w:val="20"/>
        </w:rPr>
        <w:t>(£NPV)</w:t>
      </w:r>
    </w:p>
    <w:p w14:paraId="7C62069D" w14:textId="77777777" w:rsidR="00CB46CA" w:rsidRDefault="00CB46CA" w:rsidP="00614FDA">
      <w:pPr>
        <w:autoSpaceDE w:val="0"/>
        <w:autoSpaceDN w:val="0"/>
        <w:adjustRightInd w:val="0"/>
        <w:spacing w:after="0" w:line="360" w:lineRule="auto"/>
        <w:rPr>
          <w:rFonts w:ascii="Arial" w:hAnsi="Arial" w:cs="Arial"/>
          <w:b/>
          <w:bCs/>
        </w:rPr>
      </w:pPr>
    </w:p>
    <w:p w14:paraId="650CB57A" w14:textId="7E1DD134" w:rsidR="00614FDA" w:rsidRDefault="00FD001A" w:rsidP="00614FDA">
      <w:pPr>
        <w:autoSpaceDE w:val="0"/>
        <w:autoSpaceDN w:val="0"/>
        <w:adjustRightInd w:val="0"/>
        <w:spacing w:after="0" w:line="360" w:lineRule="auto"/>
        <w:rPr>
          <w:rFonts w:ascii="Arial" w:hAnsi="Arial" w:cs="Arial"/>
          <w:b/>
          <w:bCs/>
        </w:rPr>
      </w:pPr>
      <w:r>
        <w:rPr>
          <w:rFonts w:ascii="Arial" w:hAnsi="Arial" w:cs="Arial"/>
          <w:b/>
          <w:bCs/>
        </w:rPr>
        <w:t xml:space="preserve">For </w:t>
      </w:r>
      <w:r w:rsidR="00CB46CA">
        <w:rPr>
          <w:rFonts w:ascii="Arial" w:hAnsi="Arial" w:cs="Arial"/>
          <w:b/>
          <w:bCs/>
        </w:rPr>
        <w:t>example,</w:t>
      </w:r>
      <w:r w:rsidR="0098614D">
        <w:rPr>
          <w:rFonts w:ascii="Arial" w:hAnsi="Arial" w:cs="Arial"/>
          <w:b/>
          <w:bCs/>
        </w:rPr>
        <w:t xml:space="preserve"> based on </w:t>
      </w:r>
      <w:r w:rsidR="001700CE">
        <w:rPr>
          <w:rFonts w:ascii="Arial" w:hAnsi="Arial" w:cs="Arial"/>
          <w:b/>
          <w:bCs/>
        </w:rPr>
        <w:t xml:space="preserve">a price of </w:t>
      </w:r>
      <w:r w:rsidR="0098614D">
        <w:rPr>
          <w:rFonts w:ascii="Arial" w:hAnsi="Arial" w:cs="Arial"/>
          <w:b/>
          <w:bCs/>
        </w:rPr>
        <w:t>£110,000</w:t>
      </w:r>
      <w:r w:rsidR="00341426">
        <w:rPr>
          <w:rFonts w:ascii="Arial" w:hAnsi="Arial" w:cs="Arial"/>
          <w:b/>
          <w:bCs/>
        </w:rPr>
        <w:t xml:space="preserve">: </w:t>
      </w:r>
    </w:p>
    <w:p w14:paraId="41014EFA" w14:textId="77777777" w:rsidR="00614FDA" w:rsidRDefault="00614FDA" w:rsidP="00FD001A">
      <w:pPr>
        <w:autoSpaceDE w:val="0"/>
        <w:autoSpaceDN w:val="0"/>
        <w:adjustRightInd w:val="0"/>
        <w:spacing w:after="0" w:line="360" w:lineRule="auto"/>
        <w:ind w:firstLine="720"/>
        <w:rPr>
          <w:rFonts w:ascii="Arial" w:hAnsi="Arial" w:cs="Arial"/>
          <w:b/>
          <w:bCs/>
        </w:rPr>
      </w:pPr>
    </w:p>
    <w:p w14:paraId="2025C22E" w14:textId="0F4E43C3" w:rsidR="00FD001A" w:rsidRDefault="00CB7682" w:rsidP="00FD001A">
      <w:pPr>
        <w:autoSpaceDE w:val="0"/>
        <w:autoSpaceDN w:val="0"/>
        <w:adjustRightInd w:val="0"/>
        <w:spacing w:after="0" w:line="360" w:lineRule="auto"/>
        <w:ind w:firstLine="720"/>
        <w:rPr>
          <w:rFonts w:ascii="Arial" w:hAnsi="Arial" w:cs="Arial"/>
          <w:i/>
          <w:iCs/>
        </w:rPr>
      </w:pPr>
      <w:r>
        <w:rPr>
          <w:rFonts w:ascii="Arial" w:hAnsi="Arial" w:cs="Arial"/>
          <w:i/>
          <w:iCs/>
        </w:rPr>
        <w:t>62.6</w:t>
      </w:r>
      <w:r w:rsidR="00341426" w:rsidRPr="00614FDA">
        <w:rPr>
          <w:rFonts w:ascii="Arial" w:hAnsi="Arial" w:cs="Arial"/>
          <w:i/>
          <w:iCs/>
        </w:rPr>
        <w:t xml:space="preserve"> (Total non-cost score) /</w:t>
      </w:r>
      <w:r w:rsidR="00946059">
        <w:rPr>
          <w:rFonts w:ascii="Arial" w:hAnsi="Arial" w:cs="Arial"/>
          <w:i/>
          <w:iCs/>
        </w:rPr>
        <w:t xml:space="preserve"> </w:t>
      </w:r>
      <w:r w:rsidR="00CC2085">
        <w:rPr>
          <w:rFonts w:ascii="Arial" w:hAnsi="Arial" w:cs="Arial"/>
          <w:i/>
          <w:iCs/>
        </w:rPr>
        <w:t>11</w:t>
      </w:r>
      <w:r w:rsidR="0083594B">
        <w:rPr>
          <w:rFonts w:ascii="Arial" w:hAnsi="Arial" w:cs="Arial"/>
          <w:i/>
          <w:iCs/>
        </w:rPr>
        <w:t xml:space="preserve"> </w:t>
      </w:r>
      <w:r w:rsidR="00756BAD">
        <w:rPr>
          <w:rFonts w:ascii="Arial" w:hAnsi="Arial" w:cs="Arial"/>
          <w:i/>
          <w:iCs/>
        </w:rPr>
        <w:t xml:space="preserve">(Price £NPV) </w:t>
      </w:r>
      <w:r w:rsidR="00341426" w:rsidRPr="00614FDA">
        <w:rPr>
          <w:rFonts w:ascii="Arial" w:hAnsi="Arial" w:cs="Arial"/>
          <w:i/>
          <w:iCs/>
        </w:rPr>
        <w:t xml:space="preserve">= </w:t>
      </w:r>
      <w:r w:rsidR="00946059">
        <w:rPr>
          <w:rFonts w:ascii="Arial" w:hAnsi="Arial" w:cs="Arial"/>
          <w:b/>
          <w:bCs/>
          <w:i/>
          <w:iCs/>
        </w:rPr>
        <w:t>5</w:t>
      </w:r>
      <w:r w:rsidR="00CC2085">
        <w:rPr>
          <w:rFonts w:ascii="Arial" w:hAnsi="Arial" w:cs="Arial"/>
          <w:b/>
          <w:bCs/>
          <w:i/>
          <w:iCs/>
        </w:rPr>
        <w:t>.69</w:t>
      </w:r>
    </w:p>
    <w:p w14:paraId="77F56FE2" w14:textId="7201710A" w:rsidR="006633B9" w:rsidRPr="00AE5A59" w:rsidRDefault="00AE5A59" w:rsidP="00AE5A59">
      <w:pPr>
        <w:autoSpaceDE w:val="0"/>
        <w:autoSpaceDN w:val="0"/>
        <w:adjustRightInd w:val="0"/>
        <w:spacing w:after="0" w:line="360" w:lineRule="auto"/>
        <w:ind w:firstLine="720"/>
        <w:rPr>
          <w:rFonts w:ascii="Arial" w:hAnsi="Arial" w:cs="Arial"/>
        </w:rPr>
      </w:pPr>
      <w:r>
        <w:rPr>
          <w:rFonts w:ascii="Arial" w:hAnsi="Arial" w:cs="Arial"/>
        </w:rPr>
        <w:t xml:space="preserve">The Tenderer’s score in this example is </w:t>
      </w:r>
      <w:proofErr w:type="gramStart"/>
      <w:r w:rsidR="00946059">
        <w:rPr>
          <w:rFonts w:ascii="Arial" w:hAnsi="Arial" w:cs="Arial"/>
        </w:rPr>
        <w:t>5</w:t>
      </w:r>
      <w:r w:rsidR="00CC2085">
        <w:rPr>
          <w:rFonts w:ascii="Arial" w:hAnsi="Arial" w:cs="Arial"/>
        </w:rPr>
        <w:t>.69</w:t>
      </w:r>
      <w:proofErr w:type="gramEnd"/>
    </w:p>
    <w:p w14:paraId="4531F0E4" w14:textId="27F33425" w:rsidR="003F64D6" w:rsidRPr="000F5C3A" w:rsidRDefault="003F64D6" w:rsidP="00162491">
      <w:pPr>
        <w:autoSpaceDE w:val="0"/>
        <w:autoSpaceDN w:val="0"/>
        <w:adjustRightInd w:val="0"/>
        <w:spacing w:after="0" w:line="360" w:lineRule="auto"/>
        <w:rPr>
          <w:rFonts w:ascii="Arial" w:hAnsi="Arial" w:cs="Arial"/>
        </w:rPr>
      </w:pPr>
    </w:p>
    <w:p w14:paraId="39D718DC" w14:textId="18ECB6D6" w:rsidR="007A5C7B" w:rsidRPr="0083594B" w:rsidRDefault="003F64D6" w:rsidP="00162491">
      <w:pPr>
        <w:pStyle w:val="ListParagraph"/>
        <w:numPr>
          <w:ilvl w:val="0"/>
          <w:numId w:val="6"/>
        </w:numPr>
        <w:autoSpaceDE w:val="0"/>
        <w:autoSpaceDN w:val="0"/>
        <w:adjustRightInd w:val="0"/>
        <w:spacing w:after="0" w:line="360" w:lineRule="auto"/>
        <w:rPr>
          <w:rFonts w:ascii="Arial" w:hAnsi="Arial" w:cs="Arial"/>
        </w:rPr>
      </w:pPr>
      <w:r w:rsidRPr="00162491">
        <w:rPr>
          <w:rFonts w:ascii="Arial" w:hAnsi="Arial" w:cs="Arial"/>
        </w:rPr>
        <w:t>The Tenderer that achieves the highest tender score is the winning Tenderer as the Most Economically Advantageous Tender (MEAT).</w:t>
      </w:r>
    </w:p>
    <w:p w14:paraId="7D6B4A1D" w14:textId="77777777" w:rsidR="007A5C7B" w:rsidRDefault="007A5C7B" w:rsidP="00162491">
      <w:pPr>
        <w:autoSpaceDE w:val="0"/>
        <w:autoSpaceDN w:val="0"/>
        <w:adjustRightInd w:val="0"/>
        <w:spacing w:after="0" w:line="360" w:lineRule="auto"/>
        <w:rPr>
          <w:rFonts w:ascii="Arial" w:hAnsi="Arial" w:cs="Arial"/>
          <w:b/>
          <w:bCs/>
        </w:rPr>
      </w:pPr>
    </w:p>
    <w:p w14:paraId="12466997" w14:textId="54F2B089" w:rsidR="00A52B6D" w:rsidRPr="000F5C3A" w:rsidRDefault="00A52B6D" w:rsidP="00162491">
      <w:pPr>
        <w:autoSpaceDE w:val="0"/>
        <w:autoSpaceDN w:val="0"/>
        <w:adjustRightInd w:val="0"/>
        <w:spacing w:after="0" w:line="360" w:lineRule="auto"/>
        <w:rPr>
          <w:rFonts w:ascii="Arial" w:hAnsi="Arial" w:cs="Arial"/>
          <w:b/>
          <w:bCs/>
        </w:rPr>
      </w:pPr>
      <w:r w:rsidRPr="000F5C3A">
        <w:rPr>
          <w:rFonts w:ascii="Arial" w:hAnsi="Arial" w:cs="Arial"/>
          <w:b/>
          <w:bCs/>
        </w:rPr>
        <w:t>Tie-Break Scores</w:t>
      </w:r>
    </w:p>
    <w:p w14:paraId="6E62B5C8" w14:textId="77777777" w:rsidR="00E538AD" w:rsidRPr="000F5C3A" w:rsidRDefault="00E538AD" w:rsidP="00162491">
      <w:pPr>
        <w:autoSpaceDE w:val="0"/>
        <w:autoSpaceDN w:val="0"/>
        <w:adjustRightInd w:val="0"/>
        <w:spacing w:after="0" w:line="360" w:lineRule="auto"/>
        <w:rPr>
          <w:rFonts w:ascii="Arial" w:hAnsi="Arial" w:cs="Arial"/>
          <w:b/>
          <w:bCs/>
        </w:rPr>
      </w:pPr>
    </w:p>
    <w:p w14:paraId="7913E5DB" w14:textId="7B31B86D" w:rsidR="00E538AD" w:rsidRPr="00162491" w:rsidRDefault="003F64D6" w:rsidP="00162491">
      <w:pPr>
        <w:pStyle w:val="ListParagraph"/>
        <w:numPr>
          <w:ilvl w:val="0"/>
          <w:numId w:val="6"/>
        </w:numPr>
        <w:autoSpaceDE w:val="0"/>
        <w:autoSpaceDN w:val="0"/>
        <w:adjustRightInd w:val="0"/>
        <w:spacing w:after="0" w:line="360" w:lineRule="auto"/>
        <w:rPr>
          <w:rFonts w:ascii="Arial" w:hAnsi="Arial" w:cs="Arial"/>
        </w:rPr>
      </w:pPr>
      <w:r w:rsidRPr="00162491">
        <w:rPr>
          <w:rFonts w:ascii="Arial" w:hAnsi="Arial" w:cs="Arial"/>
        </w:rPr>
        <w:t>In the event of a tie-break, the winning Tenderer will be the Tenderer that achieved the highest non-cost score.</w:t>
      </w:r>
    </w:p>
    <w:p w14:paraId="16545F21" w14:textId="3DD221DF" w:rsidR="003F64D6" w:rsidRPr="000F5C3A" w:rsidRDefault="003F64D6" w:rsidP="00162491">
      <w:pPr>
        <w:autoSpaceDE w:val="0"/>
        <w:autoSpaceDN w:val="0"/>
        <w:adjustRightInd w:val="0"/>
        <w:spacing w:after="0" w:line="360" w:lineRule="auto"/>
        <w:rPr>
          <w:rFonts w:ascii="Arial" w:hAnsi="Arial" w:cs="Arial"/>
          <w:b/>
          <w:bCs/>
        </w:rPr>
      </w:pPr>
    </w:p>
    <w:p w14:paraId="34E50412" w14:textId="01493C8C" w:rsidR="000F5C3A" w:rsidRDefault="003F64D6" w:rsidP="00162491">
      <w:pPr>
        <w:autoSpaceDE w:val="0"/>
        <w:autoSpaceDN w:val="0"/>
        <w:adjustRightInd w:val="0"/>
        <w:spacing w:after="0" w:line="360" w:lineRule="auto"/>
        <w:rPr>
          <w:rFonts w:ascii="Arial" w:hAnsi="Arial" w:cs="Arial"/>
          <w:b/>
          <w:bCs/>
        </w:rPr>
      </w:pPr>
      <w:r w:rsidRPr="000F5C3A">
        <w:rPr>
          <w:rFonts w:ascii="Arial" w:hAnsi="Arial" w:cs="Arial"/>
          <w:b/>
          <w:bCs/>
        </w:rPr>
        <w:t>Notification of Results and Contract Award</w:t>
      </w:r>
    </w:p>
    <w:p w14:paraId="3316D91C" w14:textId="77777777" w:rsidR="00F82D18" w:rsidRPr="000F5C3A" w:rsidRDefault="00F82D18" w:rsidP="00162491">
      <w:pPr>
        <w:autoSpaceDE w:val="0"/>
        <w:autoSpaceDN w:val="0"/>
        <w:adjustRightInd w:val="0"/>
        <w:spacing w:after="0" w:line="360" w:lineRule="auto"/>
        <w:rPr>
          <w:rFonts w:ascii="Arial" w:hAnsi="Arial" w:cs="Arial"/>
          <w:b/>
          <w:bCs/>
        </w:rPr>
      </w:pPr>
    </w:p>
    <w:p w14:paraId="47F9CB95" w14:textId="4E88E347" w:rsidR="000F3E40" w:rsidRPr="00162491" w:rsidRDefault="003F64D6" w:rsidP="00162491">
      <w:pPr>
        <w:pStyle w:val="ListParagraph"/>
        <w:numPr>
          <w:ilvl w:val="0"/>
          <w:numId w:val="6"/>
        </w:numPr>
        <w:autoSpaceDE w:val="0"/>
        <w:autoSpaceDN w:val="0"/>
        <w:adjustRightInd w:val="0"/>
        <w:spacing w:after="0" w:line="360" w:lineRule="auto"/>
        <w:rPr>
          <w:rFonts w:ascii="Arial" w:hAnsi="Arial" w:cs="Arial"/>
        </w:rPr>
      </w:pPr>
      <w:r w:rsidRPr="00162491">
        <w:rPr>
          <w:rFonts w:ascii="Arial" w:hAnsi="Arial" w:cs="Arial"/>
        </w:rPr>
        <w:lastRenderedPageBreak/>
        <w:t>The Tenderer wi</w:t>
      </w:r>
      <w:r w:rsidR="005352A5" w:rsidRPr="00162491">
        <w:rPr>
          <w:rFonts w:ascii="Arial" w:hAnsi="Arial" w:cs="Arial"/>
        </w:rPr>
        <w:t xml:space="preserve">th the </w:t>
      </w:r>
      <w:r w:rsidRPr="00162491">
        <w:rPr>
          <w:rFonts w:ascii="Arial" w:hAnsi="Arial" w:cs="Arial"/>
        </w:rPr>
        <w:t xml:space="preserve">highest MEAT Calculation </w:t>
      </w:r>
      <w:r w:rsidR="000F3E40" w:rsidRPr="00162491">
        <w:rPr>
          <w:rFonts w:ascii="Arial" w:hAnsi="Arial" w:cs="Arial"/>
        </w:rPr>
        <w:t>will be nominated as the ‘Preferred Tenderer’ and will be notified in writing of the Authority’s acceptance of their Tender.</w:t>
      </w:r>
    </w:p>
    <w:p w14:paraId="2E9F7367" w14:textId="149C0824" w:rsidR="000F3E40" w:rsidRDefault="000F3E40" w:rsidP="00162491">
      <w:pPr>
        <w:pStyle w:val="ListParagraph"/>
        <w:numPr>
          <w:ilvl w:val="0"/>
          <w:numId w:val="6"/>
        </w:numPr>
        <w:autoSpaceDE w:val="0"/>
        <w:autoSpaceDN w:val="0"/>
        <w:adjustRightInd w:val="0"/>
        <w:spacing w:after="0" w:line="360" w:lineRule="auto"/>
        <w:rPr>
          <w:rFonts w:ascii="Arial" w:hAnsi="Arial" w:cs="Arial"/>
        </w:rPr>
      </w:pPr>
      <w:r w:rsidRPr="00162491">
        <w:rPr>
          <w:rFonts w:ascii="Arial" w:hAnsi="Arial" w:cs="Arial"/>
        </w:rPr>
        <w:t>Concurrent with the notification</w:t>
      </w:r>
      <w:r w:rsidR="00625AC2">
        <w:rPr>
          <w:rFonts w:ascii="Arial" w:hAnsi="Arial" w:cs="Arial"/>
        </w:rPr>
        <w:t>,</w:t>
      </w:r>
      <w:r w:rsidRPr="00162491">
        <w:rPr>
          <w:rFonts w:ascii="Arial" w:hAnsi="Arial" w:cs="Arial"/>
        </w:rPr>
        <w:t xml:space="preserve"> unsuccessful Tenderers will receive a written debrief </w:t>
      </w:r>
      <w:r w:rsidR="007C16A1">
        <w:rPr>
          <w:rFonts w:ascii="Arial" w:hAnsi="Arial" w:cs="Arial"/>
        </w:rPr>
        <w:t>stating why they were unsuccessful</w:t>
      </w:r>
      <w:r w:rsidRPr="00162491">
        <w:rPr>
          <w:rFonts w:ascii="Arial" w:hAnsi="Arial" w:cs="Arial"/>
        </w:rPr>
        <w:t>.</w:t>
      </w:r>
      <w:r w:rsidR="007C16A1">
        <w:rPr>
          <w:rFonts w:ascii="Arial" w:hAnsi="Arial" w:cs="Arial"/>
        </w:rPr>
        <w:t xml:space="preserve"> </w:t>
      </w:r>
      <w:r w:rsidRPr="00162491">
        <w:rPr>
          <w:rFonts w:ascii="Arial" w:hAnsi="Arial" w:cs="Arial"/>
        </w:rPr>
        <w:t>Tenderers may also request a verbal debrief but the scope of verbal debriefs will remain the same as the written debriefs.</w:t>
      </w:r>
    </w:p>
    <w:p w14:paraId="726829A7" w14:textId="77777777" w:rsidR="003F17F2" w:rsidRDefault="003F17F2" w:rsidP="003F17F2">
      <w:pPr>
        <w:autoSpaceDE w:val="0"/>
        <w:autoSpaceDN w:val="0"/>
        <w:adjustRightInd w:val="0"/>
        <w:spacing w:after="0" w:line="360" w:lineRule="auto"/>
        <w:rPr>
          <w:rFonts w:ascii="Arial" w:hAnsi="Arial" w:cs="Arial"/>
        </w:rPr>
      </w:pPr>
    </w:p>
    <w:p w14:paraId="642AC431" w14:textId="77777777" w:rsidR="003F17F2" w:rsidRPr="003F17F2" w:rsidRDefault="003F17F2" w:rsidP="003F17F2">
      <w:pPr>
        <w:autoSpaceDE w:val="0"/>
        <w:autoSpaceDN w:val="0"/>
        <w:adjustRightInd w:val="0"/>
        <w:spacing w:after="0" w:line="360" w:lineRule="auto"/>
        <w:rPr>
          <w:rFonts w:ascii="Arial" w:hAnsi="Arial" w:cs="Arial"/>
        </w:rPr>
      </w:pPr>
    </w:p>
    <w:p w14:paraId="5DC48613" w14:textId="40F7F535" w:rsidR="003F64D6" w:rsidRPr="00E538AD" w:rsidRDefault="003F64D6" w:rsidP="00162491">
      <w:pPr>
        <w:autoSpaceDE w:val="0"/>
        <w:autoSpaceDN w:val="0"/>
        <w:adjustRightInd w:val="0"/>
        <w:spacing w:after="0" w:line="360" w:lineRule="auto"/>
        <w:rPr>
          <w:rFonts w:ascii="Arial" w:hAnsi="Arial" w:cs="Arial"/>
        </w:rPr>
      </w:pPr>
    </w:p>
    <w:p w14:paraId="6FAB0F78" w14:textId="77777777" w:rsidR="00A52B6D" w:rsidRDefault="00A52B6D" w:rsidP="00162491">
      <w:pPr>
        <w:spacing w:line="360" w:lineRule="auto"/>
      </w:pPr>
    </w:p>
    <w:sectPr w:rsidR="00A52B6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5317" w14:textId="77777777" w:rsidR="00704FB3" w:rsidRDefault="00704FB3" w:rsidP="00F7704C">
      <w:pPr>
        <w:spacing w:after="0" w:line="240" w:lineRule="auto"/>
      </w:pPr>
      <w:r>
        <w:separator/>
      </w:r>
    </w:p>
  </w:endnote>
  <w:endnote w:type="continuationSeparator" w:id="0">
    <w:p w14:paraId="2B5F8175" w14:textId="77777777" w:rsidR="00704FB3" w:rsidRDefault="00704FB3" w:rsidP="00F7704C">
      <w:pPr>
        <w:spacing w:after="0" w:line="240" w:lineRule="auto"/>
      </w:pPr>
      <w:r>
        <w:continuationSeparator/>
      </w:r>
    </w:p>
  </w:endnote>
  <w:endnote w:type="continuationNotice" w:id="1">
    <w:p w14:paraId="46C0A673" w14:textId="77777777" w:rsidR="00704FB3" w:rsidRDefault="00704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8626" w14:textId="560A6664" w:rsidR="00F7704C" w:rsidRDefault="00F77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D5F0" w14:textId="6562618A" w:rsidR="00F7704C" w:rsidRDefault="00F77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7DA0" w14:textId="25146274" w:rsidR="00F7704C" w:rsidRDefault="00F7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9D31" w14:textId="77777777" w:rsidR="00704FB3" w:rsidRDefault="00704FB3" w:rsidP="00F7704C">
      <w:pPr>
        <w:spacing w:after="0" w:line="240" w:lineRule="auto"/>
      </w:pPr>
      <w:r>
        <w:separator/>
      </w:r>
    </w:p>
  </w:footnote>
  <w:footnote w:type="continuationSeparator" w:id="0">
    <w:p w14:paraId="6C26000B" w14:textId="77777777" w:rsidR="00704FB3" w:rsidRDefault="00704FB3" w:rsidP="00F7704C">
      <w:pPr>
        <w:spacing w:after="0" w:line="240" w:lineRule="auto"/>
      </w:pPr>
      <w:r>
        <w:continuationSeparator/>
      </w:r>
    </w:p>
  </w:footnote>
  <w:footnote w:type="continuationNotice" w:id="1">
    <w:p w14:paraId="0FD03318" w14:textId="77777777" w:rsidR="00704FB3" w:rsidRDefault="00704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D62D" w14:textId="3C6EAAFA" w:rsidR="00F7704C" w:rsidRDefault="00F77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5B17" w14:textId="458B4043" w:rsidR="00F7704C" w:rsidRDefault="00F77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A6BD" w14:textId="1DCD563D" w:rsidR="00F7704C" w:rsidRDefault="00F77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3E78"/>
    <w:multiLevelType w:val="hybridMultilevel"/>
    <w:tmpl w:val="7A86D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94827"/>
    <w:multiLevelType w:val="hybridMultilevel"/>
    <w:tmpl w:val="6C36B052"/>
    <w:lvl w:ilvl="0" w:tplc="74625060">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7762D"/>
    <w:multiLevelType w:val="hybridMultilevel"/>
    <w:tmpl w:val="FFFFFFFF"/>
    <w:lvl w:ilvl="0" w:tplc="E53A609A">
      <w:numFmt w:val="bullet"/>
      <w:lvlText w:val="-"/>
      <w:lvlJc w:val="left"/>
      <w:pPr>
        <w:ind w:left="720"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72414"/>
    <w:multiLevelType w:val="hybridMultilevel"/>
    <w:tmpl w:val="9B2C4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1719E"/>
    <w:multiLevelType w:val="hybridMultilevel"/>
    <w:tmpl w:val="0C2C647C"/>
    <w:lvl w:ilvl="0" w:tplc="7462506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26788"/>
    <w:multiLevelType w:val="hybridMultilevel"/>
    <w:tmpl w:val="579683DE"/>
    <w:lvl w:ilvl="0" w:tplc="74625060">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830A1E"/>
    <w:multiLevelType w:val="hybridMultilevel"/>
    <w:tmpl w:val="B126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032EB"/>
    <w:multiLevelType w:val="multilevel"/>
    <w:tmpl w:val="DFC05A4A"/>
    <w:lvl w:ilvl="0">
      <w:start w:val="1"/>
      <w:numFmt w:val="decimal"/>
      <w:lvlText w:val="%1."/>
      <w:lvlJc w:val="left"/>
      <w:pPr>
        <w:ind w:left="360" w:hanging="360"/>
      </w:pPr>
      <w:rPr>
        <w:rFonts w:hint="default"/>
        <w:b/>
        <w:bCs/>
      </w:rPr>
    </w:lvl>
    <w:lvl w:ilvl="1">
      <w:start w:val="1"/>
      <w:numFmt w:val="decimal"/>
      <w:lvlText w:val="%1.%2."/>
      <w:lvlJc w:val="left"/>
      <w:pPr>
        <w:ind w:left="907" w:hanging="547"/>
      </w:pPr>
      <w:rPr>
        <w:rFonts w:ascii="Arial" w:hAnsi="Arial" w:cs="Arial" w:hint="default"/>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6A5B58"/>
    <w:multiLevelType w:val="hybridMultilevel"/>
    <w:tmpl w:val="12DE3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10155"/>
    <w:multiLevelType w:val="hybridMultilevel"/>
    <w:tmpl w:val="0B6A3D1C"/>
    <w:lvl w:ilvl="0" w:tplc="F01A9496">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CD42D0"/>
    <w:multiLevelType w:val="hybridMultilevel"/>
    <w:tmpl w:val="287EED4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3D16C5E"/>
    <w:multiLevelType w:val="hybridMultilevel"/>
    <w:tmpl w:val="2C1ED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055C7C"/>
    <w:multiLevelType w:val="hybridMultilevel"/>
    <w:tmpl w:val="7604FAE8"/>
    <w:lvl w:ilvl="0" w:tplc="74625060">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0A3E9D"/>
    <w:multiLevelType w:val="hybridMultilevel"/>
    <w:tmpl w:val="8BFA9AE0"/>
    <w:lvl w:ilvl="0" w:tplc="74625060">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8E79F8"/>
    <w:multiLevelType w:val="hybridMultilevel"/>
    <w:tmpl w:val="03D6ACB0"/>
    <w:lvl w:ilvl="0" w:tplc="74625060">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C700B4"/>
    <w:multiLevelType w:val="hybridMultilevel"/>
    <w:tmpl w:val="582AB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28702A"/>
    <w:multiLevelType w:val="hybridMultilevel"/>
    <w:tmpl w:val="7CFE9DD4"/>
    <w:lvl w:ilvl="0" w:tplc="74625060">
      <w:start w:val="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15712C4"/>
    <w:multiLevelType w:val="hybridMultilevel"/>
    <w:tmpl w:val="4774885A"/>
    <w:lvl w:ilvl="0" w:tplc="74625060">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6844E4"/>
    <w:multiLevelType w:val="hybridMultilevel"/>
    <w:tmpl w:val="DDF6E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B6591E"/>
    <w:multiLevelType w:val="hybridMultilevel"/>
    <w:tmpl w:val="0ADE22D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9D016D1"/>
    <w:multiLevelType w:val="hybridMultilevel"/>
    <w:tmpl w:val="1660B6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7B05DF1"/>
    <w:multiLevelType w:val="hybridMultilevel"/>
    <w:tmpl w:val="69A6A150"/>
    <w:lvl w:ilvl="0" w:tplc="74625060">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DF26CC"/>
    <w:multiLevelType w:val="hybridMultilevel"/>
    <w:tmpl w:val="18BEBB24"/>
    <w:lvl w:ilvl="0" w:tplc="74625060">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62163">
    <w:abstractNumId w:val="2"/>
  </w:num>
  <w:num w:numId="2" w16cid:durableId="1034966551">
    <w:abstractNumId w:val="7"/>
  </w:num>
  <w:num w:numId="3" w16cid:durableId="981274346">
    <w:abstractNumId w:val="20"/>
  </w:num>
  <w:num w:numId="4" w16cid:durableId="402072982">
    <w:abstractNumId w:val="6"/>
  </w:num>
  <w:num w:numId="5" w16cid:durableId="1411268876">
    <w:abstractNumId w:val="8"/>
  </w:num>
  <w:num w:numId="6" w16cid:durableId="1809979330">
    <w:abstractNumId w:val="9"/>
  </w:num>
  <w:num w:numId="7" w16cid:durableId="1652757508">
    <w:abstractNumId w:val="3"/>
  </w:num>
  <w:num w:numId="8" w16cid:durableId="324826777">
    <w:abstractNumId w:val="0"/>
  </w:num>
  <w:num w:numId="9" w16cid:durableId="1089500846">
    <w:abstractNumId w:val="11"/>
  </w:num>
  <w:num w:numId="10" w16cid:durableId="171646272">
    <w:abstractNumId w:val="12"/>
  </w:num>
  <w:num w:numId="11" w16cid:durableId="1677490763">
    <w:abstractNumId w:val="14"/>
  </w:num>
  <w:num w:numId="12" w16cid:durableId="954292556">
    <w:abstractNumId w:val="21"/>
  </w:num>
  <w:num w:numId="13" w16cid:durableId="621572460">
    <w:abstractNumId w:val="1"/>
  </w:num>
  <w:num w:numId="14" w16cid:durableId="1694183813">
    <w:abstractNumId w:val="22"/>
  </w:num>
  <w:num w:numId="15" w16cid:durableId="30226584">
    <w:abstractNumId w:val="13"/>
  </w:num>
  <w:num w:numId="16" w16cid:durableId="1221482534">
    <w:abstractNumId w:val="17"/>
  </w:num>
  <w:num w:numId="17" w16cid:durableId="719209493">
    <w:abstractNumId w:val="5"/>
  </w:num>
  <w:num w:numId="18" w16cid:durableId="1670519778">
    <w:abstractNumId w:val="15"/>
  </w:num>
  <w:num w:numId="19" w16cid:durableId="1944872295">
    <w:abstractNumId w:val="16"/>
  </w:num>
  <w:num w:numId="20" w16cid:durableId="449059441">
    <w:abstractNumId w:val="4"/>
  </w:num>
  <w:num w:numId="21" w16cid:durableId="422066352">
    <w:abstractNumId w:val="19"/>
  </w:num>
  <w:num w:numId="22" w16cid:durableId="111095952">
    <w:abstractNumId w:val="10"/>
  </w:num>
  <w:num w:numId="23" w16cid:durableId="13186821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6D"/>
    <w:rsid w:val="00001FBB"/>
    <w:rsid w:val="00003853"/>
    <w:rsid w:val="00007346"/>
    <w:rsid w:val="0001294E"/>
    <w:rsid w:val="000137FC"/>
    <w:rsid w:val="00022AC6"/>
    <w:rsid w:val="00022F07"/>
    <w:rsid w:val="00037D67"/>
    <w:rsid w:val="00044FB7"/>
    <w:rsid w:val="0004512D"/>
    <w:rsid w:val="00045F95"/>
    <w:rsid w:val="00053842"/>
    <w:rsid w:val="0005384D"/>
    <w:rsid w:val="00055A97"/>
    <w:rsid w:val="00055CFA"/>
    <w:rsid w:val="00063CD8"/>
    <w:rsid w:val="00066104"/>
    <w:rsid w:val="00076238"/>
    <w:rsid w:val="000770A4"/>
    <w:rsid w:val="00080FFE"/>
    <w:rsid w:val="000864A3"/>
    <w:rsid w:val="0009023E"/>
    <w:rsid w:val="00090679"/>
    <w:rsid w:val="00094B34"/>
    <w:rsid w:val="000A6FAE"/>
    <w:rsid w:val="000A7ADC"/>
    <w:rsid w:val="000B00D5"/>
    <w:rsid w:val="000B15FA"/>
    <w:rsid w:val="000B58D8"/>
    <w:rsid w:val="000B7663"/>
    <w:rsid w:val="000C1551"/>
    <w:rsid w:val="000D1D80"/>
    <w:rsid w:val="000D44E8"/>
    <w:rsid w:val="000E1448"/>
    <w:rsid w:val="000E25BE"/>
    <w:rsid w:val="000E2B5F"/>
    <w:rsid w:val="000F33CA"/>
    <w:rsid w:val="000F35C5"/>
    <w:rsid w:val="000F3E40"/>
    <w:rsid w:val="000F4089"/>
    <w:rsid w:val="000F5C3A"/>
    <w:rsid w:val="00106311"/>
    <w:rsid w:val="0012069E"/>
    <w:rsid w:val="00125611"/>
    <w:rsid w:val="0012684B"/>
    <w:rsid w:val="00131551"/>
    <w:rsid w:val="00143A3E"/>
    <w:rsid w:val="00145BCA"/>
    <w:rsid w:val="00151A4F"/>
    <w:rsid w:val="00154358"/>
    <w:rsid w:val="00160083"/>
    <w:rsid w:val="00161EC5"/>
    <w:rsid w:val="00162491"/>
    <w:rsid w:val="001700CE"/>
    <w:rsid w:val="0018417D"/>
    <w:rsid w:val="001934A4"/>
    <w:rsid w:val="00193AEF"/>
    <w:rsid w:val="001A2867"/>
    <w:rsid w:val="001B5634"/>
    <w:rsid w:val="001B5F7B"/>
    <w:rsid w:val="001C67EF"/>
    <w:rsid w:val="001D787B"/>
    <w:rsid w:val="001E1514"/>
    <w:rsid w:val="001E6613"/>
    <w:rsid w:val="001F4C80"/>
    <w:rsid w:val="001F6D46"/>
    <w:rsid w:val="00204DFF"/>
    <w:rsid w:val="0021114C"/>
    <w:rsid w:val="002116A5"/>
    <w:rsid w:val="002172E5"/>
    <w:rsid w:val="00217B82"/>
    <w:rsid w:val="00233713"/>
    <w:rsid w:val="00236936"/>
    <w:rsid w:val="00236C12"/>
    <w:rsid w:val="00244DF0"/>
    <w:rsid w:val="0026080B"/>
    <w:rsid w:val="00264AF6"/>
    <w:rsid w:val="00267B4C"/>
    <w:rsid w:val="002709BB"/>
    <w:rsid w:val="00273F38"/>
    <w:rsid w:val="00286F05"/>
    <w:rsid w:val="00291B6D"/>
    <w:rsid w:val="002939D6"/>
    <w:rsid w:val="002951BD"/>
    <w:rsid w:val="002953E1"/>
    <w:rsid w:val="0029571A"/>
    <w:rsid w:val="002B1FAC"/>
    <w:rsid w:val="002B65FD"/>
    <w:rsid w:val="002C441A"/>
    <w:rsid w:val="002D0195"/>
    <w:rsid w:val="002D2BE0"/>
    <w:rsid w:val="002D7E77"/>
    <w:rsid w:val="002E2514"/>
    <w:rsid w:val="002E7135"/>
    <w:rsid w:val="002E7213"/>
    <w:rsid w:val="002F1B6A"/>
    <w:rsid w:val="002F2420"/>
    <w:rsid w:val="002F2A7D"/>
    <w:rsid w:val="00301AA7"/>
    <w:rsid w:val="00301DCF"/>
    <w:rsid w:val="00304E70"/>
    <w:rsid w:val="0031114D"/>
    <w:rsid w:val="00315444"/>
    <w:rsid w:val="003165AB"/>
    <w:rsid w:val="00324CC5"/>
    <w:rsid w:val="003362FE"/>
    <w:rsid w:val="00341426"/>
    <w:rsid w:val="00345354"/>
    <w:rsid w:val="00345726"/>
    <w:rsid w:val="00350E71"/>
    <w:rsid w:val="00352D5C"/>
    <w:rsid w:val="00372DFB"/>
    <w:rsid w:val="00374C60"/>
    <w:rsid w:val="00386EF7"/>
    <w:rsid w:val="00391FF4"/>
    <w:rsid w:val="003A21DF"/>
    <w:rsid w:val="003A2CD3"/>
    <w:rsid w:val="003A67DE"/>
    <w:rsid w:val="003B5F29"/>
    <w:rsid w:val="003C01F4"/>
    <w:rsid w:val="003C0448"/>
    <w:rsid w:val="003C77A0"/>
    <w:rsid w:val="003D3953"/>
    <w:rsid w:val="003D5E83"/>
    <w:rsid w:val="003D6A71"/>
    <w:rsid w:val="003DC60C"/>
    <w:rsid w:val="003E7D0D"/>
    <w:rsid w:val="003F11C6"/>
    <w:rsid w:val="003F17F2"/>
    <w:rsid w:val="003F48E3"/>
    <w:rsid w:val="003F64D6"/>
    <w:rsid w:val="003F6A09"/>
    <w:rsid w:val="00407C8B"/>
    <w:rsid w:val="00413897"/>
    <w:rsid w:val="00413A6B"/>
    <w:rsid w:val="00435356"/>
    <w:rsid w:val="004353B7"/>
    <w:rsid w:val="00437807"/>
    <w:rsid w:val="004453AA"/>
    <w:rsid w:val="00453599"/>
    <w:rsid w:val="00461BA4"/>
    <w:rsid w:val="00465E45"/>
    <w:rsid w:val="00470AE6"/>
    <w:rsid w:val="00475598"/>
    <w:rsid w:val="00482441"/>
    <w:rsid w:val="00486A1C"/>
    <w:rsid w:val="00493DDF"/>
    <w:rsid w:val="004A0F54"/>
    <w:rsid w:val="004A37CD"/>
    <w:rsid w:val="004A3C1C"/>
    <w:rsid w:val="004A4326"/>
    <w:rsid w:val="004A4BCF"/>
    <w:rsid w:val="004B6502"/>
    <w:rsid w:val="004C60CC"/>
    <w:rsid w:val="004C78F9"/>
    <w:rsid w:val="004E4751"/>
    <w:rsid w:val="004E4F84"/>
    <w:rsid w:val="0051503F"/>
    <w:rsid w:val="00515273"/>
    <w:rsid w:val="0052698A"/>
    <w:rsid w:val="00530E19"/>
    <w:rsid w:val="00534BCC"/>
    <w:rsid w:val="005352A5"/>
    <w:rsid w:val="00535449"/>
    <w:rsid w:val="00537489"/>
    <w:rsid w:val="005439B1"/>
    <w:rsid w:val="005520B9"/>
    <w:rsid w:val="005710C7"/>
    <w:rsid w:val="0057195B"/>
    <w:rsid w:val="00571DF0"/>
    <w:rsid w:val="005913EC"/>
    <w:rsid w:val="00592652"/>
    <w:rsid w:val="00595A07"/>
    <w:rsid w:val="005969AD"/>
    <w:rsid w:val="005B2EF6"/>
    <w:rsid w:val="005B36F6"/>
    <w:rsid w:val="005C1101"/>
    <w:rsid w:val="005C112D"/>
    <w:rsid w:val="005C3264"/>
    <w:rsid w:val="005C32D9"/>
    <w:rsid w:val="005C64AF"/>
    <w:rsid w:val="005C71F0"/>
    <w:rsid w:val="005D04C6"/>
    <w:rsid w:val="005D17E1"/>
    <w:rsid w:val="005E1E7E"/>
    <w:rsid w:val="005E3F87"/>
    <w:rsid w:val="005E694C"/>
    <w:rsid w:val="005F2331"/>
    <w:rsid w:val="00601349"/>
    <w:rsid w:val="00604025"/>
    <w:rsid w:val="006119AF"/>
    <w:rsid w:val="00614FDA"/>
    <w:rsid w:val="006165B2"/>
    <w:rsid w:val="0061735B"/>
    <w:rsid w:val="006207E1"/>
    <w:rsid w:val="00625886"/>
    <w:rsid w:val="00625AC2"/>
    <w:rsid w:val="0063257A"/>
    <w:rsid w:val="00632BCD"/>
    <w:rsid w:val="00636472"/>
    <w:rsid w:val="0063675C"/>
    <w:rsid w:val="0066131A"/>
    <w:rsid w:val="006627FF"/>
    <w:rsid w:val="006633B9"/>
    <w:rsid w:val="00664D40"/>
    <w:rsid w:val="00674978"/>
    <w:rsid w:val="006807CF"/>
    <w:rsid w:val="006A6D65"/>
    <w:rsid w:val="006B33D7"/>
    <w:rsid w:val="006C09F6"/>
    <w:rsid w:val="006C1A5B"/>
    <w:rsid w:val="006C47C4"/>
    <w:rsid w:val="006C573C"/>
    <w:rsid w:val="006D23E2"/>
    <w:rsid w:val="006D5745"/>
    <w:rsid w:val="006E1C0B"/>
    <w:rsid w:val="006E1E38"/>
    <w:rsid w:val="006E7FBA"/>
    <w:rsid w:val="006F0476"/>
    <w:rsid w:val="006F4A22"/>
    <w:rsid w:val="00701FE0"/>
    <w:rsid w:val="00704BED"/>
    <w:rsid w:val="00704FB3"/>
    <w:rsid w:val="00712D71"/>
    <w:rsid w:val="00713EE4"/>
    <w:rsid w:val="0072503F"/>
    <w:rsid w:val="007274A5"/>
    <w:rsid w:val="00732ACD"/>
    <w:rsid w:val="007410E4"/>
    <w:rsid w:val="00754580"/>
    <w:rsid w:val="007557EE"/>
    <w:rsid w:val="00756BAD"/>
    <w:rsid w:val="00761EAB"/>
    <w:rsid w:val="00774086"/>
    <w:rsid w:val="00774DA9"/>
    <w:rsid w:val="00783215"/>
    <w:rsid w:val="0078760C"/>
    <w:rsid w:val="007A0A93"/>
    <w:rsid w:val="007A115D"/>
    <w:rsid w:val="007A2200"/>
    <w:rsid w:val="007A25F5"/>
    <w:rsid w:val="007A4583"/>
    <w:rsid w:val="007A4600"/>
    <w:rsid w:val="007A4813"/>
    <w:rsid w:val="007A5C7B"/>
    <w:rsid w:val="007B3FAE"/>
    <w:rsid w:val="007C16A1"/>
    <w:rsid w:val="007C36AD"/>
    <w:rsid w:val="007C553F"/>
    <w:rsid w:val="007C7794"/>
    <w:rsid w:val="007C7DDC"/>
    <w:rsid w:val="007D0806"/>
    <w:rsid w:val="007D1841"/>
    <w:rsid w:val="007D71C0"/>
    <w:rsid w:val="007E13B1"/>
    <w:rsid w:val="007E394E"/>
    <w:rsid w:val="00800A54"/>
    <w:rsid w:val="008059BD"/>
    <w:rsid w:val="008107B0"/>
    <w:rsid w:val="00816FA2"/>
    <w:rsid w:val="00823B8C"/>
    <w:rsid w:val="008267EB"/>
    <w:rsid w:val="00827D03"/>
    <w:rsid w:val="00835388"/>
    <w:rsid w:val="0083594B"/>
    <w:rsid w:val="00845C9B"/>
    <w:rsid w:val="00853BA8"/>
    <w:rsid w:val="008606D3"/>
    <w:rsid w:val="00863C27"/>
    <w:rsid w:val="00864B4E"/>
    <w:rsid w:val="00866DCA"/>
    <w:rsid w:val="008708C7"/>
    <w:rsid w:val="00877AD9"/>
    <w:rsid w:val="008843A4"/>
    <w:rsid w:val="0089317A"/>
    <w:rsid w:val="00897316"/>
    <w:rsid w:val="008979E6"/>
    <w:rsid w:val="008A307A"/>
    <w:rsid w:val="008A6958"/>
    <w:rsid w:val="008B0700"/>
    <w:rsid w:val="008B1C3F"/>
    <w:rsid w:val="008B37AF"/>
    <w:rsid w:val="008B4B3C"/>
    <w:rsid w:val="008B5338"/>
    <w:rsid w:val="008C169A"/>
    <w:rsid w:val="008C4B7F"/>
    <w:rsid w:val="008C6653"/>
    <w:rsid w:val="008D058D"/>
    <w:rsid w:val="008D4EEB"/>
    <w:rsid w:val="008E1A1A"/>
    <w:rsid w:val="008E1B38"/>
    <w:rsid w:val="008E1C0E"/>
    <w:rsid w:val="008E3F61"/>
    <w:rsid w:val="008F096C"/>
    <w:rsid w:val="008F4E32"/>
    <w:rsid w:val="008F65A6"/>
    <w:rsid w:val="0091326F"/>
    <w:rsid w:val="00921308"/>
    <w:rsid w:val="0092199C"/>
    <w:rsid w:val="00922B92"/>
    <w:rsid w:val="00923960"/>
    <w:rsid w:val="009259D1"/>
    <w:rsid w:val="0093145E"/>
    <w:rsid w:val="00931CAB"/>
    <w:rsid w:val="0093458F"/>
    <w:rsid w:val="00946059"/>
    <w:rsid w:val="00953989"/>
    <w:rsid w:val="00971A2A"/>
    <w:rsid w:val="009736C6"/>
    <w:rsid w:val="0097785B"/>
    <w:rsid w:val="0098614D"/>
    <w:rsid w:val="00987301"/>
    <w:rsid w:val="00987FC6"/>
    <w:rsid w:val="00993AD2"/>
    <w:rsid w:val="009943CD"/>
    <w:rsid w:val="009A1530"/>
    <w:rsid w:val="009A2781"/>
    <w:rsid w:val="009A4A84"/>
    <w:rsid w:val="009A4D16"/>
    <w:rsid w:val="009A507F"/>
    <w:rsid w:val="009B3A07"/>
    <w:rsid w:val="009B47CD"/>
    <w:rsid w:val="009B7307"/>
    <w:rsid w:val="009C170C"/>
    <w:rsid w:val="009C3F79"/>
    <w:rsid w:val="009C4338"/>
    <w:rsid w:val="009C579C"/>
    <w:rsid w:val="009D35CA"/>
    <w:rsid w:val="009D6816"/>
    <w:rsid w:val="009E7385"/>
    <w:rsid w:val="009F057B"/>
    <w:rsid w:val="009F2706"/>
    <w:rsid w:val="009F45AE"/>
    <w:rsid w:val="00A10380"/>
    <w:rsid w:val="00A25CF6"/>
    <w:rsid w:val="00A27E45"/>
    <w:rsid w:val="00A33B44"/>
    <w:rsid w:val="00A41725"/>
    <w:rsid w:val="00A42694"/>
    <w:rsid w:val="00A52B6D"/>
    <w:rsid w:val="00A62C0C"/>
    <w:rsid w:val="00A67325"/>
    <w:rsid w:val="00A74A5C"/>
    <w:rsid w:val="00A80976"/>
    <w:rsid w:val="00A81174"/>
    <w:rsid w:val="00A86A82"/>
    <w:rsid w:val="00A926E2"/>
    <w:rsid w:val="00A93B15"/>
    <w:rsid w:val="00A96FB4"/>
    <w:rsid w:val="00AA5A28"/>
    <w:rsid w:val="00AB0DA2"/>
    <w:rsid w:val="00AB1FA3"/>
    <w:rsid w:val="00AB74B0"/>
    <w:rsid w:val="00AB79B7"/>
    <w:rsid w:val="00AC0E54"/>
    <w:rsid w:val="00AC1117"/>
    <w:rsid w:val="00AC42FB"/>
    <w:rsid w:val="00AC4B04"/>
    <w:rsid w:val="00AD1705"/>
    <w:rsid w:val="00AD4FC2"/>
    <w:rsid w:val="00AD7019"/>
    <w:rsid w:val="00AE2AC4"/>
    <w:rsid w:val="00AE47FD"/>
    <w:rsid w:val="00AE527B"/>
    <w:rsid w:val="00AE5A59"/>
    <w:rsid w:val="00AF2B45"/>
    <w:rsid w:val="00B00CFF"/>
    <w:rsid w:val="00B04AB6"/>
    <w:rsid w:val="00B11BDE"/>
    <w:rsid w:val="00B145D7"/>
    <w:rsid w:val="00B15E09"/>
    <w:rsid w:val="00B22330"/>
    <w:rsid w:val="00B3458A"/>
    <w:rsid w:val="00B433D8"/>
    <w:rsid w:val="00B446AC"/>
    <w:rsid w:val="00B456C6"/>
    <w:rsid w:val="00B5219A"/>
    <w:rsid w:val="00B55FA1"/>
    <w:rsid w:val="00B570B5"/>
    <w:rsid w:val="00B750FC"/>
    <w:rsid w:val="00B908DA"/>
    <w:rsid w:val="00B91298"/>
    <w:rsid w:val="00B97289"/>
    <w:rsid w:val="00BA2467"/>
    <w:rsid w:val="00BA26F5"/>
    <w:rsid w:val="00BB18FF"/>
    <w:rsid w:val="00BC4F8B"/>
    <w:rsid w:val="00BD13AC"/>
    <w:rsid w:val="00BD1BA1"/>
    <w:rsid w:val="00BD3EA3"/>
    <w:rsid w:val="00BD5358"/>
    <w:rsid w:val="00BD61F8"/>
    <w:rsid w:val="00BE2B1C"/>
    <w:rsid w:val="00BE3C58"/>
    <w:rsid w:val="00BE3D65"/>
    <w:rsid w:val="00BE7009"/>
    <w:rsid w:val="00BF025A"/>
    <w:rsid w:val="00BF25FC"/>
    <w:rsid w:val="00BF33F6"/>
    <w:rsid w:val="00C028D0"/>
    <w:rsid w:val="00C0558E"/>
    <w:rsid w:val="00C108F7"/>
    <w:rsid w:val="00C11285"/>
    <w:rsid w:val="00C15E1F"/>
    <w:rsid w:val="00C206CC"/>
    <w:rsid w:val="00C20BD4"/>
    <w:rsid w:val="00C22434"/>
    <w:rsid w:val="00C32E89"/>
    <w:rsid w:val="00C34EBC"/>
    <w:rsid w:val="00C415DC"/>
    <w:rsid w:val="00C41EBA"/>
    <w:rsid w:val="00C54767"/>
    <w:rsid w:val="00C54A5A"/>
    <w:rsid w:val="00C54C46"/>
    <w:rsid w:val="00C62A56"/>
    <w:rsid w:val="00C62D98"/>
    <w:rsid w:val="00C6301B"/>
    <w:rsid w:val="00C639E5"/>
    <w:rsid w:val="00C648F1"/>
    <w:rsid w:val="00C64ABF"/>
    <w:rsid w:val="00C70EBE"/>
    <w:rsid w:val="00C725BD"/>
    <w:rsid w:val="00C80453"/>
    <w:rsid w:val="00C812F6"/>
    <w:rsid w:val="00C84F12"/>
    <w:rsid w:val="00C923CF"/>
    <w:rsid w:val="00C94478"/>
    <w:rsid w:val="00CA01E6"/>
    <w:rsid w:val="00CA0D7A"/>
    <w:rsid w:val="00CA15C2"/>
    <w:rsid w:val="00CA489B"/>
    <w:rsid w:val="00CB1C71"/>
    <w:rsid w:val="00CB46CA"/>
    <w:rsid w:val="00CB5B38"/>
    <w:rsid w:val="00CB7682"/>
    <w:rsid w:val="00CC0825"/>
    <w:rsid w:val="00CC2085"/>
    <w:rsid w:val="00CC72A1"/>
    <w:rsid w:val="00CC75AE"/>
    <w:rsid w:val="00CD159E"/>
    <w:rsid w:val="00CD1BB3"/>
    <w:rsid w:val="00CD20D4"/>
    <w:rsid w:val="00CD3786"/>
    <w:rsid w:val="00CD386D"/>
    <w:rsid w:val="00CD7CFF"/>
    <w:rsid w:val="00CE0715"/>
    <w:rsid w:val="00CE6D5A"/>
    <w:rsid w:val="00CE6EF7"/>
    <w:rsid w:val="00CF4603"/>
    <w:rsid w:val="00CF4B04"/>
    <w:rsid w:val="00D02E9F"/>
    <w:rsid w:val="00D05B23"/>
    <w:rsid w:val="00D06995"/>
    <w:rsid w:val="00D14E27"/>
    <w:rsid w:val="00D20400"/>
    <w:rsid w:val="00D23BCE"/>
    <w:rsid w:val="00D33D67"/>
    <w:rsid w:val="00D359ED"/>
    <w:rsid w:val="00D40997"/>
    <w:rsid w:val="00D55873"/>
    <w:rsid w:val="00D56223"/>
    <w:rsid w:val="00D63FF4"/>
    <w:rsid w:val="00D67043"/>
    <w:rsid w:val="00D70AF6"/>
    <w:rsid w:val="00D72BE2"/>
    <w:rsid w:val="00D76131"/>
    <w:rsid w:val="00D83EE0"/>
    <w:rsid w:val="00D87396"/>
    <w:rsid w:val="00D963F1"/>
    <w:rsid w:val="00DA13A7"/>
    <w:rsid w:val="00DA1B61"/>
    <w:rsid w:val="00DA3603"/>
    <w:rsid w:val="00DA6738"/>
    <w:rsid w:val="00DB73EF"/>
    <w:rsid w:val="00DC247D"/>
    <w:rsid w:val="00DC352A"/>
    <w:rsid w:val="00DC37BE"/>
    <w:rsid w:val="00DE01E6"/>
    <w:rsid w:val="00DE7D4A"/>
    <w:rsid w:val="00DE7FB0"/>
    <w:rsid w:val="00DF5FB9"/>
    <w:rsid w:val="00DF7DC5"/>
    <w:rsid w:val="00E00290"/>
    <w:rsid w:val="00E03BB6"/>
    <w:rsid w:val="00E04A60"/>
    <w:rsid w:val="00E12FFA"/>
    <w:rsid w:val="00E16C1E"/>
    <w:rsid w:val="00E200D8"/>
    <w:rsid w:val="00E226B9"/>
    <w:rsid w:val="00E23CEE"/>
    <w:rsid w:val="00E31A26"/>
    <w:rsid w:val="00E32374"/>
    <w:rsid w:val="00E3244D"/>
    <w:rsid w:val="00E3346B"/>
    <w:rsid w:val="00E34B07"/>
    <w:rsid w:val="00E43FC6"/>
    <w:rsid w:val="00E475F1"/>
    <w:rsid w:val="00E50513"/>
    <w:rsid w:val="00E526CB"/>
    <w:rsid w:val="00E538AD"/>
    <w:rsid w:val="00E564E8"/>
    <w:rsid w:val="00E57A09"/>
    <w:rsid w:val="00E60E5B"/>
    <w:rsid w:val="00E65EFD"/>
    <w:rsid w:val="00E71A99"/>
    <w:rsid w:val="00E86679"/>
    <w:rsid w:val="00E87A78"/>
    <w:rsid w:val="00E9229E"/>
    <w:rsid w:val="00EA0216"/>
    <w:rsid w:val="00EB3792"/>
    <w:rsid w:val="00EB390C"/>
    <w:rsid w:val="00EC679A"/>
    <w:rsid w:val="00EC697B"/>
    <w:rsid w:val="00EC70B5"/>
    <w:rsid w:val="00ED46F9"/>
    <w:rsid w:val="00EE1A4E"/>
    <w:rsid w:val="00F0224F"/>
    <w:rsid w:val="00F048FE"/>
    <w:rsid w:val="00F21FE4"/>
    <w:rsid w:val="00F223C0"/>
    <w:rsid w:val="00F24F77"/>
    <w:rsid w:val="00F31FCF"/>
    <w:rsid w:val="00F35466"/>
    <w:rsid w:val="00F36468"/>
    <w:rsid w:val="00F37522"/>
    <w:rsid w:val="00F438BF"/>
    <w:rsid w:val="00F46C1B"/>
    <w:rsid w:val="00F52BFA"/>
    <w:rsid w:val="00F67239"/>
    <w:rsid w:val="00F7293D"/>
    <w:rsid w:val="00F7704C"/>
    <w:rsid w:val="00F82D18"/>
    <w:rsid w:val="00F84CDC"/>
    <w:rsid w:val="00F92E01"/>
    <w:rsid w:val="00F9516B"/>
    <w:rsid w:val="00FA1A8B"/>
    <w:rsid w:val="00FB4592"/>
    <w:rsid w:val="00FB797B"/>
    <w:rsid w:val="00FD001A"/>
    <w:rsid w:val="00FD2212"/>
    <w:rsid w:val="00FD3855"/>
    <w:rsid w:val="00FD4267"/>
    <w:rsid w:val="00FE045E"/>
    <w:rsid w:val="00FE2254"/>
    <w:rsid w:val="00FF1B21"/>
    <w:rsid w:val="05DB461C"/>
    <w:rsid w:val="06391FCC"/>
    <w:rsid w:val="0D92376F"/>
    <w:rsid w:val="0DBD4AA0"/>
    <w:rsid w:val="102004FE"/>
    <w:rsid w:val="12CFB078"/>
    <w:rsid w:val="14B684F5"/>
    <w:rsid w:val="14ED0394"/>
    <w:rsid w:val="188E8512"/>
    <w:rsid w:val="18AFE086"/>
    <w:rsid w:val="1912D195"/>
    <w:rsid w:val="1A6FC51C"/>
    <w:rsid w:val="2070CAD8"/>
    <w:rsid w:val="251C62D0"/>
    <w:rsid w:val="2B3BB86D"/>
    <w:rsid w:val="2F04F253"/>
    <w:rsid w:val="31FCD5C7"/>
    <w:rsid w:val="35887D12"/>
    <w:rsid w:val="3AF39C70"/>
    <w:rsid w:val="4118F672"/>
    <w:rsid w:val="46FD3503"/>
    <w:rsid w:val="47CA6C5E"/>
    <w:rsid w:val="49D1BF46"/>
    <w:rsid w:val="4F982913"/>
    <w:rsid w:val="502F6051"/>
    <w:rsid w:val="5314294C"/>
    <w:rsid w:val="54F0A0CE"/>
    <w:rsid w:val="589F1D47"/>
    <w:rsid w:val="58DA9319"/>
    <w:rsid w:val="620F680E"/>
    <w:rsid w:val="67922733"/>
    <w:rsid w:val="69F996E1"/>
    <w:rsid w:val="6B064F60"/>
    <w:rsid w:val="6FC428E9"/>
    <w:rsid w:val="7632378A"/>
    <w:rsid w:val="77845242"/>
    <w:rsid w:val="7805AC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EAEE"/>
  <w15:chartTrackingRefBased/>
  <w15:docId w15:val="{7FBFDF19-DA56-4327-AB51-C1CA829F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B6D"/>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2B6D"/>
    <w:rPr>
      <w:rFonts w:cs="Times New Roman"/>
      <w:sz w:val="16"/>
      <w:szCs w:val="16"/>
    </w:rPr>
  </w:style>
  <w:style w:type="paragraph" w:styleId="CommentText">
    <w:name w:val="annotation text"/>
    <w:basedOn w:val="Normal"/>
    <w:link w:val="CommentTextChar"/>
    <w:uiPriority w:val="99"/>
    <w:semiHidden/>
    <w:unhideWhenUsed/>
    <w:rsid w:val="00A52B6D"/>
    <w:rPr>
      <w:sz w:val="20"/>
      <w:szCs w:val="20"/>
    </w:rPr>
  </w:style>
  <w:style w:type="character" w:customStyle="1" w:styleId="CommentTextChar">
    <w:name w:val="Comment Text Char"/>
    <w:basedOn w:val="DefaultParagraphFont"/>
    <w:link w:val="CommentText"/>
    <w:uiPriority w:val="99"/>
    <w:semiHidden/>
    <w:rsid w:val="00A52B6D"/>
    <w:rPr>
      <w:rFonts w:eastAsiaTheme="minorEastAsia" w:cs="Times New Roman"/>
      <w:sz w:val="20"/>
      <w:szCs w:val="20"/>
      <w:lang w:eastAsia="en-GB"/>
    </w:rPr>
  </w:style>
  <w:style w:type="character" w:customStyle="1" w:styleId="NoSpacingChar">
    <w:name w:val="No Spacing Char"/>
    <w:link w:val="NoSpacing"/>
    <w:locked/>
    <w:rsid w:val="00A52B6D"/>
    <w:rPr>
      <w:rFonts w:ascii="Calibri" w:hAnsi="Calibri"/>
    </w:rPr>
  </w:style>
  <w:style w:type="paragraph" w:styleId="NoSpacing">
    <w:name w:val="No Spacing"/>
    <w:basedOn w:val="Normal"/>
    <w:link w:val="NoSpacingChar"/>
    <w:qFormat/>
    <w:rsid w:val="00A52B6D"/>
    <w:pPr>
      <w:spacing w:after="0" w:line="240" w:lineRule="auto"/>
    </w:pPr>
    <w:rPr>
      <w:rFonts w:ascii="Calibri" w:eastAsiaTheme="minorHAnsi" w:hAnsi="Calibri" w:cstheme="minorBidi"/>
      <w:lang w:eastAsia="en-US"/>
    </w:rPr>
  </w:style>
  <w:style w:type="paragraph" w:styleId="Header">
    <w:name w:val="header"/>
    <w:basedOn w:val="Normal"/>
    <w:link w:val="HeaderChar"/>
    <w:uiPriority w:val="99"/>
    <w:unhideWhenUsed/>
    <w:rsid w:val="00F7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04C"/>
    <w:rPr>
      <w:rFonts w:eastAsiaTheme="minorEastAsia" w:cs="Times New Roman"/>
      <w:lang w:eastAsia="en-GB"/>
    </w:rPr>
  </w:style>
  <w:style w:type="paragraph" w:styleId="Footer">
    <w:name w:val="footer"/>
    <w:basedOn w:val="Normal"/>
    <w:link w:val="FooterChar"/>
    <w:uiPriority w:val="99"/>
    <w:unhideWhenUsed/>
    <w:rsid w:val="00F7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04C"/>
    <w:rPr>
      <w:rFonts w:eastAsiaTheme="minorEastAsia" w:cs="Times New Roman"/>
      <w:lang w:eastAsia="en-GB"/>
    </w:rPr>
  </w:style>
  <w:style w:type="paragraph" w:customStyle="1" w:styleId="paragraph">
    <w:name w:val="paragraph"/>
    <w:basedOn w:val="Normal"/>
    <w:rsid w:val="00CC72A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C72A1"/>
  </w:style>
  <w:style w:type="character" w:customStyle="1" w:styleId="eop">
    <w:name w:val="eop"/>
    <w:basedOn w:val="DefaultParagraphFont"/>
    <w:rsid w:val="00CC72A1"/>
  </w:style>
  <w:style w:type="paragraph" w:styleId="ListParagraph">
    <w:name w:val="List Paragraph"/>
    <w:basedOn w:val="Normal"/>
    <w:uiPriority w:val="34"/>
    <w:qFormat/>
    <w:rsid w:val="008979E6"/>
    <w:pPr>
      <w:ind w:left="720"/>
      <w:contextualSpacing/>
    </w:pPr>
  </w:style>
  <w:style w:type="table" w:styleId="TableGrid">
    <w:name w:val="Table Grid"/>
    <w:basedOn w:val="TableNormal"/>
    <w:uiPriority w:val="39"/>
    <w:rsid w:val="0089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D2212"/>
    <w:pPr>
      <w:spacing w:line="240" w:lineRule="auto"/>
    </w:pPr>
    <w:rPr>
      <w:b/>
      <w:bCs/>
    </w:rPr>
  </w:style>
  <w:style w:type="character" w:customStyle="1" w:styleId="CommentSubjectChar">
    <w:name w:val="Comment Subject Char"/>
    <w:basedOn w:val="CommentTextChar"/>
    <w:link w:val="CommentSubject"/>
    <w:uiPriority w:val="99"/>
    <w:semiHidden/>
    <w:rsid w:val="00FD2212"/>
    <w:rPr>
      <w:rFonts w:eastAsiaTheme="minorEastAsia" w:cs="Times New Roman"/>
      <w:b/>
      <w:bCs/>
      <w:sz w:val="20"/>
      <w:szCs w:val="20"/>
      <w:lang w:eastAsia="en-GB"/>
    </w:rPr>
  </w:style>
  <w:style w:type="paragraph" w:styleId="Revision">
    <w:name w:val="Revision"/>
    <w:hidden/>
    <w:uiPriority w:val="99"/>
    <w:semiHidden/>
    <w:rsid w:val="00AB0DA2"/>
    <w:pPr>
      <w:spacing w:after="0" w:line="240" w:lineRule="auto"/>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121225">
      <w:bodyDiv w:val="1"/>
      <w:marLeft w:val="0"/>
      <w:marRight w:val="0"/>
      <w:marTop w:val="0"/>
      <w:marBottom w:val="0"/>
      <w:divBdr>
        <w:top w:val="none" w:sz="0" w:space="0" w:color="auto"/>
        <w:left w:val="none" w:sz="0" w:space="0" w:color="auto"/>
        <w:bottom w:val="none" w:sz="0" w:space="0" w:color="auto"/>
        <w:right w:val="none" w:sz="0" w:space="0" w:color="auto"/>
      </w:divBdr>
      <w:divsChild>
        <w:div w:id="50274377">
          <w:marLeft w:val="0"/>
          <w:marRight w:val="0"/>
          <w:marTop w:val="0"/>
          <w:marBottom w:val="0"/>
          <w:divBdr>
            <w:top w:val="none" w:sz="0" w:space="0" w:color="auto"/>
            <w:left w:val="none" w:sz="0" w:space="0" w:color="auto"/>
            <w:bottom w:val="none" w:sz="0" w:space="0" w:color="auto"/>
            <w:right w:val="none" w:sz="0" w:space="0" w:color="auto"/>
          </w:divBdr>
          <w:divsChild>
            <w:div w:id="335109106">
              <w:marLeft w:val="0"/>
              <w:marRight w:val="0"/>
              <w:marTop w:val="0"/>
              <w:marBottom w:val="0"/>
              <w:divBdr>
                <w:top w:val="none" w:sz="0" w:space="0" w:color="auto"/>
                <w:left w:val="none" w:sz="0" w:space="0" w:color="auto"/>
                <w:bottom w:val="none" w:sz="0" w:space="0" w:color="auto"/>
                <w:right w:val="none" w:sz="0" w:space="0" w:color="auto"/>
              </w:divBdr>
            </w:div>
            <w:div w:id="1266228086">
              <w:marLeft w:val="0"/>
              <w:marRight w:val="0"/>
              <w:marTop w:val="0"/>
              <w:marBottom w:val="0"/>
              <w:divBdr>
                <w:top w:val="none" w:sz="0" w:space="0" w:color="auto"/>
                <w:left w:val="none" w:sz="0" w:space="0" w:color="auto"/>
                <w:bottom w:val="none" w:sz="0" w:space="0" w:color="auto"/>
                <w:right w:val="none" w:sz="0" w:space="0" w:color="auto"/>
              </w:divBdr>
            </w:div>
          </w:divsChild>
        </w:div>
        <w:div w:id="153304999">
          <w:marLeft w:val="0"/>
          <w:marRight w:val="0"/>
          <w:marTop w:val="0"/>
          <w:marBottom w:val="0"/>
          <w:divBdr>
            <w:top w:val="none" w:sz="0" w:space="0" w:color="auto"/>
            <w:left w:val="none" w:sz="0" w:space="0" w:color="auto"/>
            <w:bottom w:val="none" w:sz="0" w:space="0" w:color="auto"/>
            <w:right w:val="none" w:sz="0" w:space="0" w:color="auto"/>
          </w:divBdr>
          <w:divsChild>
            <w:div w:id="1093551633">
              <w:marLeft w:val="0"/>
              <w:marRight w:val="0"/>
              <w:marTop w:val="0"/>
              <w:marBottom w:val="0"/>
              <w:divBdr>
                <w:top w:val="none" w:sz="0" w:space="0" w:color="auto"/>
                <w:left w:val="none" w:sz="0" w:space="0" w:color="auto"/>
                <w:bottom w:val="none" w:sz="0" w:space="0" w:color="auto"/>
                <w:right w:val="none" w:sz="0" w:space="0" w:color="auto"/>
              </w:divBdr>
            </w:div>
          </w:divsChild>
        </w:div>
        <w:div w:id="361631036">
          <w:marLeft w:val="0"/>
          <w:marRight w:val="0"/>
          <w:marTop w:val="0"/>
          <w:marBottom w:val="0"/>
          <w:divBdr>
            <w:top w:val="none" w:sz="0" w:space="0" w:color="auto"/>
            <w:left w:val="none" w:sz="0" w:space="0" w:color="auto"/>
            <w:bottom w:val="none" w:sz="0" w:space="0" w:color="auto"/>
            <w:right w:val="none" w:sz="0" w:space="0" w:color="auto"/>
          </w:divBdr>
          <w:divsChild>
            <w:div w:id="689068889">
              <w:marLeft w:val="0"/>
              <w:marRight w:val="0"/>
              <w:marTop w:val="0"/>
              <w:marBottom w:val="0"/>
              <w:divBdr>
                <w:top w:val="none" w:sz="0" w:space="0" w:color="auto"/>
                <w:left w:val="none" w:sz="0" w:space="0" w:color="auto"/>
                <w:bottom w:val="none" w:sz="0" w:space="0" w:color="auto"/>
                <w:right w:val="none" w:sz="0" w:space="0" w:color="auto"/>
              </w:divBdr>
            </w:div>
          </w:divsChild>
        </w:div>
        <w:div w:id="540440054">
          <w:marLeft w:val="0"/>
          <w:marRight w:val="0"/>
          <w:marTop w:val="0"/>
          <w:marBottom w:val="0"/>
          <w:divBdr>
            <w:top w:val="none" w:sz="0" w:space="0" w:color="auto"/>
            <w:left w:val="none" w:sz="0" w:space="0" w:color="auto"/>
            <w:bottom w:val="none" w:sz="0" w:space="0" w:color="auto"/>
            <w:right w:val="none" w:sz="0" w:space="0" w:color="auto"/>
          </w:divBdr>
          <w:divsChild>
            <w:div w:id="874193374">
              <w:marLeft w:val="0"/>
              <w:marRight w:val="0"/>
              <w:marTop w:val="0"/>
              <w:marBottom w:val="0"/>
              <w:divBdr>
                <w:top w:val="none" w:sz="0" w:space="0" w:color="auto"/>
                <w:left w:val="none" w:sz="0" w:space="0" w:color="auto"/>
                <w:bottom w:val="none" w:sz="0" w:space="0" w:color="auto"/>
                <w:right w:val="none" w:sz="0" w:space="0" w:color="auto"/>
              </w:divBdr>
            </w:div>
            <w:div w:id="1277827601">
              <w:marLeft w:val="0"/>
              <w:marRight w:val="0"/>
              <w:marTop w:val="0"/>
              <w:marBottom w:val="0"/>
              <w:divBdr>
                <w:top w:val="none" w:sz="0" w:space="0" w:color="auto"/>
                <w:left w:val="none" w:sz="0" w:space="0" w:color="auto"/>
                <w:bottom w:val="none" w:sz="0" w:space="0" w:color="auto"/>
                <w:right w:val="none" w:sz="0" w:space="0" w:color="auto"/>
              </w:divBdr>
            </w:div>
          </w:divsChild>
        </w:div>
        <w:div w:id="562179524">
          <w:marLeft w:val="0"/>
          <w:marRight w:val="0"/>
          <w:marTop w:val="0"/>
          <w:marBottom w:val="0"/>
          <w:divBdr>
            <w:top w:val="none" w:sz="0" w:space="0" w:color="auto"/>
            <w:left w:val="none" w:sz="0" w:space="0" w:color="auto"/>
            <w:bottom w:val="none" w:sz="0" w:space="0" w:color="auto"/>
            <w:right w:val="none" w:sz="0" w:space="0" w:color="auto"/>
          </w:divBdr>
          <w:divsChild>
            <w:div w:id="1345520707">
              <w:marLeft w:val="0"/>
              <w:marRight w:val="0"/>
              <w:marTop w:val="0"/>
              <w:marBottom w:val="0"/>
              <w:divBdr>
                <w:top w:val="none" w:sz="0" w:space="0" w:color="auto"/>
                <w:left w:val="none" w:sz="0" w:space="0" w:color="auto"/>
                <w:bottom w:val="none" w:sz="0" w:space="0" w:color="auto"/>
                <w:right w:val="none" w:sz="0" w:space="0" w:color="auto"/>
              </w:divBdr>
            </w:div>
            <w:div w:id="1963153175">
              <w:marLeft w:val="0"/>
              <w:marRight w:val="0"/>
              <w:marTop w:val="0"/>
              <w:marBottom w:val="0"/>
              <w:divBdr>
                <w:top w:val="none" w:sz="0" w:space="0" w:color="auto"/>
                <w:left w:val="none" w:sz="0" w:space="0" w:color="auto"/>
                <w:bottom w:val="none" w:sz="0" w:space="0" w:color="auto"/>
                <w:right w:val="none" w:sz="0" w:space="0" w:color="auto"/>
              </w:divBdr>
            </w:div>
          </w:divsChild>
        </w:div>
        <w:div w:id="668949305">
          <w:marLeft w:val="0"/>
          <w:marRight w:val="0"/>
          <w:marTop w:val="0"/>
          <w:marBottom w:val="0"/>
          <w:divBdr>
            <w:top w:val="none" w:sz="0" w:space="0" w:color="auto"/>
            <w:left w:val="none" w:sz="0" w:space="0" w:color="auto"/>
            <w:bottom w:val="none" w:sz="0" w:space="0" w:color="auto"/>
            <w:right w:val="none" w:sz="0" w:space="0" w:color="auto"/>
          </w:divBdr>
          <w:divsChild>
            <w:div w:id="252204132">
              <w:marLeft w:val="0"/>
              <w:marRight w:val="0"/>
              <w:marTop w:val="0"/>
              <w:marBottom w:val="0"/>
              <w:divBdr>
                <w:top w:val="none" w:sz="0" w:space="0" w:color="auto"/>
                <w:left w:val="none" w:sz="0" w:space="0" w:color="auto"/>
                <w:bottom w:val="none" w:sz="0" w:space="0" w:color="auto"/>
                <w:right w:val="none" w:sz="0" w:space="0" w:color="auto"/>
              </w:divBdr>
            </w:div>
            <w:div w:id="1396586717">
              <w:marLeft w:val="0"/>
              <w:marRight w:val="0"/>
              <w:marTop w:val="0"/>
              <w:marBottom w:val="0"/>
              <w:divBdr>
                <w:top w:val="none" w:sz="0" w:space="0" w:color="auto"/>
                <w:left w:val="none" w:sz="0" w:space="0" w:color="auto"/>
                <w:bottom w:val="none" w:sz="0" w:space="0" w:color="auto"/>
                <w:right w:val="none" w:sz="0" w:space="0" w:color="auto"/>
              </w:divBdr>
            </w:div>
          </w:divsChild>
        </w:div>
        <w:div w:id="909854326">
          <w:marLeft w:val="0"/>
          <w:marRight w:val="0"/>
          <w:marTop w:val="0"/>
          <w:marBottom w:val="0"/>
          <w:divBdr>
            <w:top w:val="none" w:sz="0" w:space="0" w:color="auto"/>
            <w:left w:val="none" w:sz="0" w:space="0" w:color="auto"/>
            <w:bottom w:val="none" w:sz="0" w:space="0" w:color="auto"/>
            <w:right w:val="none" w:sz="0" w:space="0" w:color="auto"/>
          </w:divBdr>
          <w:divsChild>
            <w:div w:id="1224488308">
              <w:marLeft w:val="0"/>
              <w:marRight w:val="0"/>
              <w:marTop w:val="0"/>
              <w:marBottom w:val="0"/>
              <w:divBdr>
                <w:top w:val="none" w:sz="0" w:space="0" w:color="auto"/>
                <w:left w:val="none" w:sz="0" w:space="0" w:color="auto"/>
                <w:bottom w:val="none" w:sz="0" w:space="0" w:color="auto"/>
                <w:right w:val="none" w:sz="0" w:space="0" w:color="auto"/>
              </w:divBdr>
            </w:div>
          </w:divsChild>
        </w:div>
        <w:div w:id="971209896">
          <w:marLeft w:val="0"/>
          <w:marRight w:val="0"/>
          <w:marTop w:val="0"/>
          <w:marBottom w:val="0"/>
          <w:divBdr>
            <w:top w:val="none" w:sz="0" w:space="0" w:color="auto"/>
            <w:left w:val="none" w:sz="0" w:space="0" w:color="auto"/>
            <w:bottom w:val="none" w:sz="0" w:space="0" w:color="auto"/>
            <w:right w:val="none" w:sz="0" w:space="0" w:color="auto"/>
          </w:divBdr>
          <w:divsChild>
            <w:div w:id="684214619">
              <w:marLeft w:val="0"/>
              <w:marRight w:val="0"/>
              <w:marTop w:val="0"/>
              <w:marBottom w:val="0"/>
              <w:divBdr>
                <w:top w:val="none" w:sz="0" w:space="0" w:color="auto"/>
                <w:left w:val="none" w:sz="0" w:space="0" w:color="auto"/>
                <w:bottom w:val="none" w:sz="0" w:space="0" w:color="auto"/>
                <w:right w:val="none" w:sz="0" w:space="0" w:color="auto"/>
              </w:divBdr>
            </w:div>
          </w:divsChild>
        </w:div>
        <w:div w:id="1301108355">
          <w:marLeft w:val="0"/>
          <w:marRight w:val="0"/>
          <w:marTop w:val="0"/>
          <w:marBottom w:val="0"/>
          <w:divBdr>
            <w:top w:val="none" w:sz="0" w:space="0" w:color="auto"/>
            <w:left w:val="none" w:sz="0" w:space="0" w:color="auto"/>
            <w:bottom w:val="none" w:sz="0" w:space="0" w:color="auto"/>
            <w:right w:val="none" w:sz="0" w:space="0" w:color="auto"/>
          </w:divBdr>
          <w:divsChild>
            <w:div w:id="1290698736">
              <w:marLeft w:val="0"/>
              <w:marRight w:val="0"/>
              <w:marTop w:val="0"/>
              <w:marBottom w:val="0"/>
              <w:divBdr>
                <w:top w:val="none" w:sz="0" w:space="0" w:color="auto"/>
                <w:left w:val="none" w:sz="0" w:space="0" w:color="auto"/>
                <w:bottom w:val="none" w:sz="0" w:space="0" w:color="auto"/>
                <w:right w:val="none" w:sz="0" w:space="0" w:color="auto"/>
              </w:divBdr>
            </w:div>
          </w:divsChild>
        </w:div>
        <w:div w:id="1526940918">
          <w:marLeft w:val="0"/>
          <w:marRight w:val="0"/>
          <w:marTop w:val="0"/>
          <w:marBottom w:val="0"/>
          <w:divBdr>
            <w:top w:val="none" w:sz="0" w:space="0" w:color="auto"/>
            <w:left w:val="none" w:sz="0" w:space="0" w:color="auto"/>
            <w:bottom w:val="none" w:sz="0" w:space="0" w:color="auto"/>
            <w:right w:val="none" w:sz="0" w:space="0" w:color="auto"/>
          </w:divBdr>
          <w:divsChild>
            <w:div w:id="1961954868">
              <w:marLeft w:val="0"/>
              <w:marRight w:val="0"/>
              <w:marTop w:val="0"/>
              <w:marBottom w:val="0"/>
              <w:divBdr>
                <w:top w:val="none" w:sz="0" w:space="0" w:color="auto"/>
                <w:left w:val="none" w:sz="0" w:space="0" w:color="auto"/>
                <w:bottom w:val="none" w:sz="0" w:space="0" w:color="auto"/>
                <w:right w:val="none" w:sz="0" w:space="0" w:color="auto"/>
              </w:divBdr>
            </w:div>
            <w:div w:id="2031881249">
              <w:marLeft w:val="0"/>
              <w:marRight w:val="0"/>
              <w:marTop w:val="0"/>
              <w:marBottom w:val="0"/>
              <w:divBdr>
                <w:top w:val="none" w:sz="0" w:space="0" w:color="auto"/>
                <w:left w:val="none" w:sz="0" w:space="0" w:color="auto"/>
                <w:bottom w:val="none" w:sz="0" w:space="0" w:color="auto"/>
                <w:right w:val="none" w:sz="0" w:space="0" w:color="auto"/>
              </w:divBdr>
            </w:div>
          </w:divsChild>
        </w:div>
        <w:div w:id="1670019462">
          <w:marLeft w:val="0"/>
          <w:marRight w:val="0"/>
          <w:marTop w:val="0"/>
          <w:marBottom w:val="0"/>
          <w:divBdr>
            <w:top w:val="none" w:sz="0" w:space="0" w:color="auto"/>
            <w:left w:val="none" w:sz="0" w:space="0" w:color="auto"/>
            <w:bottom w:val="none" w:sz="0" w:space="0" w:color="auto"/>
            <w:right w:val="none" w:sz="0" w:space="0" w:color="auto"/>
          </w:divBdr>
          <w:divsChild>
            <w:div w:id="359746338">
              <w:marLeft w:val="0"/>
              <w:marRight w:val="0"/>
              <w:marTop w:val="0"/>
              <w:marBottom w:val="0"/>
              <w:divBdr>
                <w:top w:val="none" w:sz="0" w:space="0" w:color="auto"/>
                <w:left w:val="none" w:sz="0" w:space="0" w:color="auto"/>
                <w:bottom w:val="none" w:sz="0" w:space="0" w:color="auto"/>
                <w:right w:val="none" w:sz="0" w:space="0" w:color="auto"/>
              </w:divBdr>
            </w:div>
          </w:divsChild>
        </w:div>
        <w:div w:id="1762994329">
          <w:marLeft w:val="0"/>
          <w:marRight w:val="0"/>
          <w:marTop w:val="0"/>
          <w:marBottom w:val="0"/>
          <w:divBdr>
            <w:top w:val="none" w:sz="0" w:space="0" w:color="auto"/>
            <w:left w:val="none" w:sz="0" w:space="0" w:color="auto"/>
            <w:bottom w:val="none" w:sz="0" w:space="0" w:color="auto"/>
            <w:right w:val="none" w:sz="0" w:space="0" w:color="auto"/>
          </w:divBdr>
          <w:divsChild>
            <w:div w:id="56710199">
              <w:marLeft w:val="0"/>
              <w:marRight w:val="0"/>
              <w:marTop w:val="0"/>
              <w:marBottom w:val="0"/>
              <w:divBdr>
                <w:top w:val="none" w:sz="0" w:space="0" w:color="auto"/>
                <w:left w:val="none" w:sz="0" w:space="0" w:color="auto"/>
                <w:bottom w:val="none" w:sz="0" w:space="0" w:color="auto"/>
                <w:right w:val="none" w:sz="0" w:space="0" w:color="auto"/>
              </w:divBdr>
            </w:div>
            <w:div w:id="1736777954">
              <w:marLeft w:val="0"/>
              <w:marRight w:val="0"/>
              <w:marTop w:val="0"/>
              <w:marBottom w:val="0"/>
              <w:divBdr>
                <w:top w:val="none" w:sz="0" w:space="0" w:color="auto"/>
                <w:left w:val="none" w:sz="0" w:space="0" w:color="auto"/>
                <w:bottom w:val="none" w:sz="0" w:space="0" w:color="auto"/>
                <w:right w:val="none" w:sz="0" w:space="0" w:color="auto"/>
              </w:divBdr>
            </w:div>
          </w:divsChild>
        </w:div>
        <w:div w:id="1785029741">
          <w:marLeft w:val="0"/>
          <w:marRight w:val="0"/>
          <w:marTop w:val="0"/>
          <w:marBottom w:val="0"/>
          <w:divBdr>
            <w:top w:val="none" w:sz="0" w:space="0" w:color="auto"/>
            <w:left w:val="none" w:sz="0" w:space="0" w:color="auto"/>
            <w:bottom w:val="none" w:sz="0" w:space="0" w:color="auto"/>
            <w:right w:val="none" w:sz="0" w:space="0" w:color="auto"/>
          </w:divBdr>
          <w:divsChild>
            <w:div w:id="250548928">
              <w:marLeft w:val="0"/>
              <w:marRight w:val="0"/>
              <w:marTop w:val="0"/>
              <w:marBottom w:val="0"/>
              <w:divBdr>
                <w:top w:val="none" w:sz="0" w:space="0" w:color="auto"/>
                <w:left w:val="none" w:sz="0" w:space="0" w:color="auto"/>
                <w:bottom w:val="none" w:sz="0" w:space="0" w:color="auto"/>
                <w:right w:val="none" w:sz="0" w:space="0" w:color="auto"/>
              </w:divBdr>
            </w:div>
            <w:div w:id="983587106">
              <w:marLeft w:val="0"/>
              <w:marRight w:val="0"/>
              <w:marTop w:val="0"/>
              <w:marBottom w:val="0"/>
              <w:divBdr>
                <w:top w:val="none" w:sz="0" w:space="0" w:color="auto"/>
                <w:left w:val="none" w:sz="0" w:space="0" w:color="auto"/>
                <w:bottom w:val="none" w:sz="0" w:space="0" w:color="auto"/>
                <w:right w:val="none" w:sz="0" w:space="0" w:color="auto"/>
              </w:divBdr>
            </w:div>
          </w:divsChild>
        </w:div>
        <w:div w:id="1897350017">
          <w:marLeft w:val="0"/>
          <w:marRight w:val="0"/>
          <w:marTop w:val="0"/>
          <w:marBottom w:val="0"/>
          <w:divBdr>
            <w:top w:val="none" w:sz="0" w:space="0" w:color="auto"/>
            <w:left w:val="none" w:sz="0" w:space="0" w:color="auto"/>
            <w:bottom w:val="none" w:sz="0" w:space="0" w:color="auto"/>
            <w:right w:val="none" w:sz="0" w:space="0" w:color="auto"/>
          </w:divBdr>
          <w:divsChild>
            <w:div w:id="589317396">
              <w:marLeft w:val="0"/>
              <w:marRight w:val="0"/>
              <w:marTop w:val="0"/>
              <w:marBottom w:val="0"/>
              <w:divBdr>
                <w:top w:val="none" w:sz="0" w:space="0" w:color="auto"/>
                <w:left w:val="none" w:sz="0" w:space="0" w:color="auto"/>
                <w:bottom w:val="none" w:sz="0" w:space="0" w:color="auto"/>
                <w:right w:val="none" w:sz="0" w:space="0" w:color="auto"/>
              </w:divBdr>
            </w:div>
            <w:div w:id="623462882">
              <w:marLeft w:val="0"/>
              <w:marRight w:val="0"/>
              <w:marTop w:val="0"/>
              <w:marBottom w:val="0"/>
              <w:divBdr>
                <w:top w:val="none" w:sz="0" w:space="0" w:color="auto"/>
                <w:left w:val="none" w:sz="0" w:space="0" w:color="auto"/>
                <w:bottom w:val="none" w:sz="0" w:space="0" w:color="auto"/>
                <w:right w:val="none" w:sz="0" w:space="0" w:color="auto"/>
              </w:divBdr>
            </w:div>
          </w:divsChild>
        </w:div>
        <w:div w:id="1992712300">
          <w:marLeft w:val="0"/>
          <w:marRight w:val="0"/>
          <w:marTop w:val="0"/>
          <w:marBottom w:val="0"/>
          <w:divBdr>
            <w:top w:val="none" w:sz="0" w:space="0" w:color="auto"/>
            <w:left w:val="none" w:sz="0" w:space="0" w:color="auto"/>
            <w:bottom w:val="none" w:sz="0" w:space="0" w:color="auto"/>
            <w:right w:val="none" w:sz="0" w:space="0" w:color="auto"/>
          </w:divBdr>
          <w:divsChild>
            <w:div w:id="15279036">
              <w:marLeft w:val="0"/>
              <w:marRight w:val="0"/>
              <w:marTop w:val="0"/>
              <w:marBottom w:val="0"/>
              <w:divBdr>
                <w:top w:val="none" w:sz="0" w:space="0" w:color="auto"/>
                <w:left w:val="none" w:sz="0" w:space="0" w:color="auto"/>
                <w:bottom w:val="none" w:sz="0" w:space="0" w:color="auto"/>
                <w:right w:val="none" w:sz="0" w:space="0" w:color="auto"/>
              </w:divBdr>
            </w:div>
          </w:divsChild>
        </w:div>
        <w:div w:id="2004238032">
          <w:marLeft w:val="0"/>
          <w:marRight w:val="0"/>
          <w:marTop w:val="0"/>
          <w:marBottom w:val="0"/>
          <w:divBdr>
            <w:top w:val="none" w:sz="0" w:space="0" w:color="auto"/>
            <w:left w:val="none" w:sz="0" w:space="0" w:color="auto"/>
            <w:bottom w:val="none" w:sz="0" w:space="0" w:color="auto"/>
            <w:right w:val="none" w:sz="0" w:space="0" w:color="auto"/>
          </w:divBdr>
          <w:divsChild>
            <w:div w:id="364908985">
              <w:marLeft w:val="0"/>
              <w:marRight w:val="0"/>
              <w:marTop w:val="0"/>
              <w:marBottom w:val="0"/>
              <w:divBdr>
                <w:top w:val="none" w:sz="0" w:space="0" w:color="auto"/>
                <w:left w:val="none" w:sz="0" w:space="0" w:color="auto"/>
                <w:bottom w:val="none" w:sz="0" w:space="0" w:color="auto"/>
                <w:right w:val="none" w:sz="0" w:space="0" w:color="auto"/>
              </w:divBdr>
            </w:div>
            <w:div w:id="1911381122">
              <w:marLeft w:val="0"/>
              <w:marRight w:val="0"/>
              <w:marTop w:val="0"/>
              <w:marBottom w:val="0"/>
              <w:divBdr>
                <w:top w:val="none" w:sz="0" w:space="0" w:color="auto"/>
                <w:left w:val="none" w:sz="0" w:space="0" w:color="auto"/>
                <w:bottom w:val="none" w:sz="0" w:space="0" w:color="auto"/>
                <w:right w:val="none" w:sz="0" w:space="0" w:color="auto"/>
              </w:divBdr>
            </w:div>
            <w:div w:id="2046174073">
              <w:marLeft w:val="0"/>
              <w:marRight w:val="0"/>
              <w:marTop w:val="0"/>
              <w:marBottom w:val="0"/>
              <w:divBdr>
                <w:top w:val="none" w:sz="0" w:space="0" w:color="auto"/>
                <w:left w:val="none" w:sz="0" w:space="0" w:color="auto"/>
                <w:bottom w:val="none" w:sz="0" w:space="0" w:color="auto"/>
                <w:right w:val="none" w:sz="0" w:space="0" w:color="auto"/>
              </w:divBdr>
            </w:div>
          </w:divsChild>
        </w:div>
        <w:div w:id="2104257002">
          <w:marLeft w:val="0"/>
          <w:marRight w:val="0"/>
          <w:marTop w:val="0"/>
          <w:marBottom w:val="0"/>
          <w:divBdr>
            <w:top w:val="none" w:sz="0" w:space="0" w:color="auto"/>
            <w:left w:val="none" w:sz="0" w:space="0" w:color="auto"/>
            <w:bottom w:val="none" w:sz="0" w:space="0" w:color="auto"/>
            <w:right w:val="none" w:sz="0" w:space="0" w:color="auto"/>
          </w:divBdr>
          <w:divsChild>
            <w:div w:id="1026832398">
              <w:marLeft w:val="0"/>
              <w:marRight w:val="0"/>
              <w:marTop w:val="0"/>
              <w:marBottom w:val="0"/>
              <w:divBdr>
                <w:top w:val="none" w:sz="0" w:space="0" w:color="auto"/>
                <w:left w:val="none" w:sz="0" w:space="0" w:color="auto"/>
                <w:bottom w:val="none" w:sz="0" w:space="0" w:color="auto"/>
                <w:right w:val="none" w:sz="0" w:space="0" w:color="auto"/>
              </w:divBdr>
            </w:div>
          </w:divsChild>
        </w:div>
        <w:div w:id="2141147436">
          <w:marLeft w:val="0"/>
          <w:marRight w:val="0"/>
          <w:marTop w:val="0"/>
          <w:marBottom w:val="0"/>
          <w:divBdr>
            <w:top w:val="none" w:sz="0" w:space="0" w:color="auto"/>
            <w:left w:val="none" w:sz="0" w:space="0" w:color="auto"/>
            <w:bottom w:val="none" w:sz="0" w:space="0" w:color="auto"/>
            <w:right w:val="none" w:sz="0" w:space="0" w:color="auto"/>
          </w:divBdr>
          <w:divsChild>
            <w:div w:id="1385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2023-08-25T09:04:05+00:00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a9ff0b8c-5d72-4038-b2cd-f57bf310c636" ContentTypeId="0x010100D9D675D6CDED02438DC7CFF78D2F29E401" PreviousValue="true"/>
</file>

<file path=customXml/itemProps1.xml><?xml version="1.0" encoding="utf-8"?>
<ds:datastoreItem xmlns:ds="http://schemas.openxmlformats.org/officeDocument/2006/customXml" ds:itemID="{FCDE10D1-7164-4E8F-9534-91997BFBD631}">
  <ds:schemaRefs>
    <ds:schemaRef ds:uri="http://schemas.microsoft.com/sharepoint/v3/contenttype/forms"/>
  </ds:schemaRefs>
</ds:datastoreItem>
</file>

<file path=customXml/itemProps2.xml><?xml version="1.0" encoding="utf-8"?>
<ds:datastoreItem xmlns:ds="http://schemas.openxmlformats.org/officeDocument/2006/customXml" ds:itemID="{07EA9C30-970F-40C8-B27A-560CDE3DA7C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738c6d-ecc8-46f1-821f-82e308eab3d9"/>
    <ds:schemaRef ds:uri="http://schemas.microsoft.com/sharepoint/v3"/>
    <ds:schemaRef ds:uri="http://schemas.microsoft.com/sharepoint/v3/fields"/>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6CBBF69-510C-4AE6-BE65-8EE64254143F}">
  <ds:schemaRefs>
    <ds:schemaRef ds:uri="http://schemas.microsoft.com/sharepoint/events"/>
  </ds:schemaRefs>
</ds:datastoreItem>
</file>

<file path=customXml/itemProps4.xml><?xml version="1.0" encoding="utf-8"?>
<ds:datastoreItem xmlns:ds="http://schemas.openxmlformats.org/officeDocument/2006/customXml" ds:itemID="{B5A904D4-39E1-491A-928F-81FCC598E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25A6D2-6150-48E2-90D7-44E54D01C2B5}">
  <ds:schemaRefs>
    <ds:schemaRef ds:uri="office.server.policy"/>
  </ds:schemaRefs>
</ds:datastoreItem>
</file>

<file path=customXml/itemProps6.xml><?xml version="1.0" encoding="utf-8"?>
<ds:datastoreItem xmlns:ds="http://schemas.openxmlformats.org/officeDocument/2006/customXml" ds:itemID="{510B6408-601A-430F-9734-05157F0091C2}">
  <ds:schemaRefs>
    <ds:schemaRef ds:uri="http://schemas.openxmlformats.org/officeDocument/2006/bibliography"/>
  </ds:schemaRefs>
</ds:datastoreItem>
</file>

<file path=customXml/itemProps7.xml><?xml version="1.0" encoding="utf-8"?>
<ds:datastoreItem xmlns:ds="http://schemas.openxmlformats.org/officeDocument/2006/customXml" ds:itemID="{CCE1FC6F-6D23-445B-941E-430B2F7C80E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Stimpson, Eleanor Miss (Def Comrcl DCGP-21B-24)</dc:creator>
  <cp:keywords/>
  <dc:description/>
  <cp:lastModifiedBy>Yeo, Eliza D (DNO-Commercial D-04)</cp:lastModifiedBy>
  <cp:revision>3</cp:revision>
  <dcterms:created xsi:type="dcterms:W3CDTF">2023-10-20T11:36:00Z</dcterms:created>
  <dcterms:modified xsi:type="dcterms:W3CDTF">2023-10-20T11:45:00Z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MSIP_Label_d8a60473-494b-4586-a1bb-b0e663054676_Enabled">
    <vt:lpwstr>true</vt:lpwstr>
  </property>
  <property fmtid="{D5CDD505-2E9C-101B-9397-08002B2CF9AE}" pid="4" name="MSIP_Label_d8a60473-494b-4586-a1bb-b0e663054676_SetDate">
    <vt:lpwstr>2023-06-09T15:50:15Z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36b258d2-f144-4dd0-b263-7c07ad2b6955</vt:lpwstr>
  </property>
  <property fmtid="{D5CDD505-2E9C-101B-9397-08002B2CF9AE}" pid="9" name="MSIP_Label_d8a60473-494b-4586-a1bb-b0e663054676_ContentBits">
    <vt:lpwstr>0</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1;#DGNuc|f51ecebd-612b-490b-a653-b916b53939c8</vt:lpwstr>
  </property>
  <property fmtid="{D5CDD505-2E9C-101B-9397-08002B2CF9AE}" pid="15" name="fileplanid">
    <vt:lpwstr>4;#04 Deliver the Unit's objectives|954cf193-6423-4137-9b07-8b4f402d8d43</vt:lpwstr>
  </property>
  <property fmtid="{D5CDD505-2E9C-101B-9397-08002B2CF9AE}" pid="16" name="Subject Keywords">
    <vt:lpwstr>3;#Commercial management|49e474b0-6097-4be1-8989-f7c9de717f2d</vt:lpwstr>
  </property>
</Properties>
</file>