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715F3316"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175977">
        <w:rPr>
          <w:rFonts w:cs="Arial"/>
          <w:szCs w:val="22"/>
        </w:rPr>
        <w:t>dated 22/02/2018</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175977">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35AAEB88" w:rsidR="008E082F" w:rsidRPr="00C3320D" w:rsidRDefault="00175977"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07B5DC9C" w:rsidR="008E082F" w:rsidRPr="00175977" w:rsidRDefault="00175977" w:rsidP="00D40F55">
            <w:pPr>
              <w:spacing w:before="120" w:after="120" w:line="240" w:lineRule="auto"/>
              <w:jc w:val="left"/>
              <w:rPr>
                <w:rFonts w:cs="Arial"/>
                <w:szCs w:val="22"/>
              </w:rPr>
            </w:pPr>
            <w:r>
              <w:rPr>
                <w:rFonts w:cs="Arial"/>
                <w:szCs w:val="22"/>
              </w:rPr>
              <w:t>CCLL18A09 – The Provision of Legal Ad</w:t>
            </w:r>
            <w:r w:rsidR="00A97667">
              <w:rPr>
                <w:rFonts w:cs="Arial"/>
                <w:szCs w:val="22"/>
              </w:rPr>
              <w:t>visers on East West Rail</w:t>
            </w:r>
            <w:r>
              <w:rPr>
                <w:rFonts w:cs="Arial"/>
                <w:szCs w:val="22"/>
              </w:rPr>
              <w:t xml:space="preserve"> and Land</w:t>
            </w:r>
          </w:p>
        </w:tc>
      </w:tr>
      <w:tr w:rsidR="00C3320D" w:rsidRPr="00C3320D" w14:paraId="5F0543CE" w14:textId="77777777" w:rsidTr="00175977">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0D338677" w:rsidR="008E082F" w:rsidRPr="00C3320D" w:rsidRDefault="00175977" w:rsidP="00D40F55">
            <w:pPr>
              <w:spacing w:before="120" w:after="120" w:line="240" w:lineRule="auto"/>
              <w:jc w:val="left"/>
              <w:rPr>
                <w:rFonts w:cs="Arial"/>
                <w:b/>
                <w:szCs w:val="22"/>
              </w:rPr>
            </w:pPr>
            <w:r>
              <w:rPr>
                <w:rFonts w:cs="Arial"/>
                <w:b/>
                <w:spacing w:val="-3"/>
                <w:szCs w:val="22"/>
                <w:lang w:eastAsia="en-GB"/>
              </w:rPr>
              <w:t>The Department for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1E08529B" w:rsidR="008E082F" w:rsidRPr="00175977" w:rsidRDefault="00175977" w:rsidP="00D40F55">
            <w:pPr>
              <w:spacing w:before="120" w:after="120" w:line="240" w:lineRule="auto"/>
              <w:jc w:val="left"/>
              <w:rPr>
                <w:rFonts w:cs="Arial"/>
                <w:szCs w:val="22"/>
              </w:rPr>
            </w:pPr>
            <w:r w:rsidRPr="00175977">
              <w:rPr>
                <w:rFonts w:cs="Arial"/>
                <w:szCs w:val="22"/>
              </w:rPr>
              <w:t>Great Minister House, 33 Horseferry Road, London SW1P 4DR</w:t>
            </w:r>
          </w:p>
        </w:tc>
      </w:tr>
      <w:tr w:rsidR="00C3320D" w:rsidRPr="00175977" w14:paraId="70BF2D98" w14:textId="77777777" w:rsidTr="00175977">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386932CA" w14:textId="3D536327" w:rsidR="00175977" w:rsidRDefault="00175977" w:rsidP="00D40F55">
            <w:pPr>
              <w:spacing w:before="120" w:after="120" w:line="240" w:lineRule="auto"/>
              <w:jc w:val="left"/>
              <w:rPr>
                <w:rFonts w:cs="Arial"/>
                <w:b/>
                <w:szCs w:val="22"/>
              </w:rPr>
            </w:pPr>
            <w:r>
              <w:rPr>
                <w:rFonts w:cs="Arial"/>
                <w:b/>
                <w:szCs w:val="22"/>
              </w:rPr>
              <w:t>DLA Piper UK LLP</w:t>
            </w:r>
          </w:p>
          <w:p w14:paraId="269275C6" w14:textId="43315911" w:rsidR="008E082F" w:rsidRPr="00175977" w:rsidRDefault="008E082F" w:rsidP="00175977">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4BD871FB" w:rsidR="008E082F" w:rsidRPr="00175977" w:rsidRDefault="00175977" w:rsidP="00D40F55">
            <w:pPr>
              <w:spacing w:before="120" w:after="120" w:line="240" w:lineRule="auto"/>
              <w:jc w:val="left"/>
              <w:rPr>
                <w:rFonts w:cs="Arial"/>
                <w:b/>
                <w:szCs w:val="22"/>
              </w:rPr>
            </w:pPr>
            <w:r w:rsidRPr="00175977">
              <w:rPr>
                <w:rFonts w:cs="Arial"/>
                <w:szCs w:val="22"/>
              </w:rPr>
              <w:t>Victoria Square House, Victoria Square, Birmingham B2 4DL</w:t>
            </w:r>
          </w:p>
        </w:tc>
      </w:tr>
      <w:tr w:rsidR="00C3320D" w:rsidRPr="00175977" w14:paraId="16AC3458" w14:textId="77777777" w:rsidTr="00175977">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0FE8B4C2" w:rsidR="008E082F" w:rsidRPr="00175977" w:rsidRDefault="008E082F" w:rsidP="00D40F55">
            <w:pPr>
              <w:overflowPunct/>
              <w:autoSpaceDE/>
              <w:autoSpaceDN/>
              <w:adjustRightInd/>
              <w:spacing w:before="120" w:after="120" w:line="240" w:lineRule="auto"/>
              <w:ind w:right="936"/>
              <w:jc w:val="left"/>
              <w:textAlignment w:val="auto"/>
              <w:rPr>
                <w:rFonts w:eastAsia="STZhongsong" w:cs="Arial"/>
                <w:szCs w:val="22"/>
                <w:lang w:eastAsia="zh-CN"/>
              </w:rPr>
            </w:pPr>
            <w:r w:rsidRPr="00175977">
              <w:rPr>
                <w:rFonts w:eastAsia="STZhongsong" w:cs="Arial"/>
                <w:szCs w:val="22"/>
                <w:lang w:eastAsia="zh-CN"/>
              </w:rPr>
              <w:t xml:space="preserve">Commencement Date:  </w:t>
            </w:r>
          </w:p>
          <w:p w14:paraId="0907249E" w14:textId="77777777" w:rsidR="008E082F" w:rsidRPr="00175977"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10EC3E75" w:rsidR="008E082F" w:rsidRPr="00175977" w:rsidRDefault="00175977" w:rsidP="00D40F55">
            <w:pPr>
              <w:spacing w:before="120" w:after="120" w:line="240" w:lineRule="auto"/>
              <w:jc w:val="left"/>
              <w:rPr>
                <w:rFonts w:cs="Arial"/>
                <w:szCs w:val="22"/>
                <w:shd w:val="clear" w:color="auto" w:fill="D9D9D9"/>
              </w:rPr>
            </w:pPr>
            <w:r w:rsidRPr="00175977">
              <w:rPr>
                <w:rFonts w:eastAsia="Calibri" w:cs="Arial"/>
                <w:szCs w:val="22"/>
              </w:rPr>
              <w:t>26</w:t>
            </w:r>
            <w:r w:rsidRPr="00175977">
              <w:rPr>
                <w:rFonts w:eastAsia="Calibri" w:cs="Arial"/>
                <w:szCs w:val="22"/>
                <w:vertAlign w:val="superscript"/>
              </w:rPr>
              <w:t>th</w:t>
            </w:r>
            <w:r w:rsidRPr="00175977">
              <w:rPr>
                <w:rFonts w:eastAsia="Calibri" w:cs="Arial"/>
                <w:szCs w:val="22"/>
              </w:rPr>
              <w:t xml:space="preserve"> February 2018</w:t>
            </w:r>
          </w:p>
        </w:tc>
      </w:tr>
      <w:tr w:rsidR="00C3320D" w:rsidRPr="00175977" w14:paraId="39842C8A" w14:textId="77777777" w:rsidTr="00175977">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F39D98B" w14:textId="6D6B4274" w:rsidR="008E082F" w:rsidRPr="00175977" w:rsidRDefault="008E082F" w:rsidP="00175977">
            <w:pPr>
              <w:overflowPunct/>
              <w:autoSpaceDE/>
              <w:autoSpaceDN/>
              <w:spacing w:before="120" w:after="120" w:line="240" w:lineRule="auto"/>
              <w:jc w:val="left"/>
              <w:textAlignment w:val="auto"/>
              <w:rPr>
                <w:rFonts w:eastAsia="STZhongsong" w:cs="Arial"/>
                <w:szCs w:val="22"/>
                <w:lang w:eastAsia="zh-CN"/>
              </w:rPr>
            </w:pPr>
            <w:r w:rsidRPr="00175977">
              <w:rPr>
                <w:rFonts w:eastAsia="STZhongsong" w:cs="Arial"/>
                <w:szCs w:val="22"/>
                <w:lang w:eastAsia="zh-CN"/>
              </w:rPr>
              <w:t xml:space="preserve">Expiry Date </w:t>
            </w:r>
          </w:p>
          <w:p w14:paraId="095B67B1" w14:textId="77777777" w:rsidR="008E082F" w:rsidRPr="00175977" w:rsidRDefault="008E082F" w:rsidP="00D40F55">
            <w:pPr>
              <w:overflowPunct/>
              <w:autoSpaceDE/>
              <w:autoSpaceDN/>
              <w:spacing w:before="120" w:after="120" w:line="240" w:lineRule="auto"/>
              <w:jc w:val="left"/>
              <w:textAlignment w:val="auto"/>
              <w:rPr>
                <w:rFonts w:eastAsia="STZhongsong" w:cs="Arial"/>
                <w:szCs w:val="22"/>
                <w:lang w:eastAsia="zh-CN"/>
              </w:rPr>
            </w:pPr>
          </w:p>
          <w:p w14:paraId="12A59BA3" w14:textId="77777777" w:rsidR="008E082F" w:rsidRPr="00175977"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67498AD2" w14:textId="77777777" w:rsidR="00EA26DD" w:rsidRPr="00175977" w:rsidRDefault="00175977" w:rsidP="00D40F55">
            <w:pPr>
              <w:spacing w:before="120" w:after="120" w:line="240" w:lineRule="auto"/>
              <w:jc w:val="left"/>
              <w:rPr>
                <w:rFonts w:cs="Arial"/>
                <w:szCs w:val="22"/>
              </w:rPr>
            </w:pPr>
            <w:r w:rsidRPr="00175977">
              <w:rPr>
                <w:rFonts w:cs="Arial"/>
                <w:szCs w:val="22"/>
              </w:rPr>
              <w:t>25</w:t>
            </w:r>
            <w:r w:rsidRPr="00175977">
              <w:rPr>
                <w:rFonts w:cs="Arial"/>
                <w:szCs w:val="22"/>
                <w:vertAlign w:val="superscript"/>
              </w:rPr>
              <w:t>th</w:t>
            </w:r>
            <w:r w:rsidRPr="00175977">
              <w:rPr>
                <w:rFonts w:cs="Arial"/>
                <w:szCs w:val="22"/>
              </w:rPr>
              <w:t xml:space="preserve"> July 2018</w:t>
            </w:r>
          </w:p>
          <w:p w14:paraId="7A982303" w14:textId="68B49F1F" w:rsidR="00175977" w:rsidRPr="00175977" w:rsidRDefault="00175977" w:rsidP="00D40F55">
            <w:pPr>
              <w:spacing w:before="120" w:after="120" w:line="240" w:lineRule="auto"/>
              <w:jc w:val="left"/>
              <w:rPr>
                <w:rFonts w:cs="Arial"/>
                <w:szCs w:val="22"/>
              </w:rPr>
            </w:pPr>
            <w:r w:rsidRPr="00175977">
              <w:rPr>
                <w:rFonts w:cs="Arial"/>
                <w:szCs w:val="22"/>
              </w:rPr>
              <w:t>There is no option to extend.</w:t>
            </w:r>
          </w:p>
        </w:tc>
      </w:tr>
      <w:tr w:rsidR="00C3320D" w:rsidRPr="00C3320D" w14:paraId="03449035" w14:textId="77777777" w:rsidTr="00175977">
        <w:tc>
          <w:tcPr>
            <w:tcW w:w="576" w:type="dxa"/>
          </w:tcPr>
          <w:p w14:paraId="1EAD8D1E" w14:textId="0B5F7914"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367BB1B" w:rsidR="008E082F" w:rsidRPr="00810B06" w:rsidRDefault="008E082F" w:rsidP="00D40F55">
            <w:pPr>
              <w:spacing w:before="120" w:after="120" w:line="240" w:lineRule="auto"/>
              <w:jc w:val="left"/>
              <w:rPr>
                <w:rFonts w:cs="Arial"/>
                <w:szCs w:val="22"/>
              </w:rPr>
            </w:pPr>
          </w:p>
        </w:tc>
      </w:tr>
      <w:tr w:rsidR="00C3320D" w:rsidRPr="00C3320D" w14:paraId="04D4E700" w14:textId="77777777" w:rsidTr="00175977">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0F822961" w:rsidR="008E082F" w:rsidRPr="00810B06" w:rsidRDefault="00810B06" w:rsidP="00D40F55">
            <w:pPr>
              <w:spacing w:before="120" w:after="120" w:line="240" w:lineRule="auto"/>
              <w:jc w:val="left"/>
              <w:rPr>
                <w:rFonts w:cs="Arial"/>
                <w:szCs w:val="22"/>
              </w:rPr>
            </w:pPr>
            <w:r w:rsidRPr="00810B06">
              <w:rPr>
                <w:rFonts w:cs="Arial"/>
                <w:szCs w:val="22"/>
              </w:rPr>
              <w:t>[Redacted]</w:t>
            </w:r>
          </w:p>
        </w:tc>
      </w:tr>
      <w:tr w:rsidR="00C3320D" w:rsidRPr="00C3320D" w14:paraId="08486D76" w14:textId="77777777" w:rsidTr="00175977">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04FDBB3F" w:rsidR="008E082F" w:rsidRPr="00C3320D" w:rsidRDefault="00810B06" w:rsidP="00D40F55">
            <w:pPr>
              <w:spacing w:before="120" w:after="120" w:line="240" w:lineRule="auto"/>
              <w:jc w:val="left"/>
              <w:rPr>
                <w:rFonts w:cs="Arial"/>
                <w:i/>
                <w:szCs w:val="22"/>
              </w:rPr>
            </w:pPr>
            <w:r w:rsidRPr="00810B06">
              <w:rPr>
                <w:rFonts w:cs="Arial"/>
                <w:szCs w:val="22"/>
              </w:rPr>
              <w:t>[Redacted]</w:t>
            </w:r>
          </w:p>
        </w:tc>
      </w:tr>
      <w:tr w:rsidR="00C3320D" w:rsidRPr="00C3320D" w14:paraId="63E7C589" w14:textId="77777777" w:rsidTr="00175977">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D81C0CA" w:rsidR="008E082F" w:rsidRPr="00C3320D" w:rsidRDefault="00810B06" w:rsidP="00D40F55">
            <w:pPr>
              <w:spacing w:before="120" w:after="120" w:line="240" w:lineRule="auto"/>
              <w:jc w:val="left"/>
              <w:rPr>
                <w:rFonts w:cs="Arial"/>
                <w:i/>
                <w:szCs w:val="22"/>
              </w:rPr>
            </w:pPr>
            <w:r>
              <w:rPr>
                <w:rFonts w:cs="Arial"/>
                <w:szCs w:val="22"/>
              </w:rPr>
              <w:t>22/02/2018</w:t>
            </w:r>
          </w:p>
        </w:tc>
      </w:tr>
      <w:tr w:rsidR="00C3320D" w:rsidRPr="00C3320D" w14:paraId="30AA013D" w14:textId="77777777" w:rsidTr="00175977">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66DD0CE2"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175977">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15050DAC" w:rsidR="008E082F" w:rsidRPr="00C3320D" w:rsidRDefault="00810B06" w:rsidP="00D40F55">
            <w:pPr>
              <w:spacing w:before="120" w:after="120" w:line="240" w:lineRule="auto"/>
              <w:jc w:val="left"/>
              <w:rPr>
                <w:rFonts w:cs="Arial"/>
                <w:i/>
                <w:szCs w:val="22"/>
              </w:rPr>
            </w:pPr>
            <w:r w:rsidRPr="00810B06">
              <w:rPr>
                <w:rFonts w:cs="Arial"/>
                <w:szCs w:val="22"/>
              </w:rPr>
              <w:t>[Redacted]</w:t>
            </w:r>
          </w:p>
        </w:tc>
      </w:tr>
      <w:tr w:rsidR="00C3320D" w:rsidRPr="00C3320D" w14:paraId="18997506" w14:textId="77777777" w:rsidTr="00175977">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DEA3248" w:rsidR="008E082F" w:rsidRPr="00C3320D" w:rsidRDefault="00810B06" w:rsidP="00D40F55">
            <w:pPr>
              <w:spacing w:before="120" w:after="120" w:line="240" w:lineRule="auto"/>
              <w:jc w:val="left"/>
              <w:rPr>
                <w:rFonts w:cs="Arial"/>
                <w:i/>
                <w:szCs w:val="22"/>
              </w:rPr>
            </w:pPr>
            <w:r w:rsidRPr="00810B06">
              <w:rPr>
                <w:rFonts w:cs="Arial"/>
                <w:szCs w:val="22"/>
              </w:rPr>
              <w:t>[Redacted]</w:t>
            </w:r>
          </w:p>
        </w:tc>
      </w:tr>
      <w:tr w:rsidR="00C3320D" w:rsidRPr="00C3320D" w14:paraId="7A5BFCD6" w14:textId="77777777" w:rsidTr="00175977">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5CDF83F" w:rsidR="008E082F" w:rsidRPr="00C3320D" w:rsidRDefault="00810B06" w:rsidP="00D40F55">
            <w:pPr>
              <w:spacing w:before="120" w:after="120" w:line="240" w:lineRule="auto"/>
              <w:jc w:val="left"/>
              <w:rPr>
                <w:rFonts w:cs="Arial"/>
                <w:i/>
                <w:szCs w:val="22"/>
              </w:rPr>
            </w:pPr>
            <w:r>
              <w:rPr>
                <w:rFonts w:cs="Arial"/>
                <w:szCs w:val="22"/>
              </w:rPr>
              <w:t>22/02/2018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A0361C" w14:paraId="3B03F3FA" w14:textId="77777777" w:rsidTr="00A0361C">
        <w:tc>
          <w:tcPr>
            <w:tcW w:w="534" w:type="dxa"/>
          </w:tcPr>
          <w:p w14:paraId="15E9D1C3" w14:textId="77777777" w:rsidR="008E082F" w:rsidRPr="00A0361C" w:rsidRDefault="008E082F" w:rsidP="00D40F55">
            <w:pPr>
              <w:pStyle w:val="11table"/>
              <w:numPr>
                <w:ilvl w:val="0"/>
                <w:numId w:val="0"/>
              </w:numPr>
              <w:spacing w:before="120" w:after="120"/>
              <w:ind w:left="360" w:hanging="360"/>
              <w:rPr>
                <w:rFonts w:ascii="Arial" w:hAnsi="Arial" w:cs="Arial"/>
              </w:rPr>
            </w:pPr>
            <w:r w:rsidRPr="00A0361C">
              <w:rPr>
                <w:rFonts w:ascii="Arial" w:hAnsi="Arial" w:cs="Arial"/>
              </w:rPr>
              <w:t xml:space="preserve">1.1  </w:t>
            </w:r>
          </w:p>
        </w:tc>
        <w:tc>
          <w:tcPr>
            <w:tcW w:w="4688" w:type="dxa"/>
            <w:shd w:val="clear" w:color="auto" w:fill="auto"/>
          </w:tcPr>
          <w:p w14:paraId="4620E155" w14:textId="3E403190" w:rsidR="008E082F" w:rsidRPr="00A0361C"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A0361C">
              <w:rPr>
                <w:rFonts w:eastAsia="STZhongsong" w:cs="Arial"/>
                <w:b/>
                <w:szCs w:val="22"/>
                <w:lang w:eastAsia="zh-CN"/>
              </w:rPr>
              <w:t xml:space="preserve">Panel </w:t>
            </w:r>
            <w:r w:rsidR="008E082F" w:rsidRPr="00A0361C">
              <w:rPr>
                <w:rFonts w:eastAsia="STZhongsong" w:cs="Arial"/>
                <w:b/>
                <w:szCs w:val="22"/>
                <w:lang w:eastAsia="zh-CN"/>
              </w:rPr>
              <w:t>Services</w:t>
            </w:r>
            <w:r w:rsidR="008E082F" w:rsidRPr="00A0361C">
              <w:rPr>
                <w:rFonts w:eastAsia="STZhongsong" w:cs="Arial"/>
                <w:szCs w:val="22"/>
                <w:lang w:eastAsia="zh-CN"/>
              </w:rPr>
              <w:t xml:space="preserve">: </w:t>
            </w:r>
          </w:p>
          <w:p w14:paraId="76715C42" w14:textId="77777777" w:rsidR="008E082F" w:rsidRPr="00A0361C"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A0361C"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2EE71871" w:rsidR="008E082F" w:rsidRPr="00A0361C" w:rsidRDefault="00175977" w:rsidP="00175977">
            <w:pPr>
              <w:tabs>
                <w:tab w:val="left" w:pos="577"/>
              </w:tabs>
              <w:overflowPunct/>
              <w:autoSpaceDE/>
              <w:autoSpaceDN/>
              <w:spacing w:before="120" w:after="120" w:line="240" w:lineRule="auto"/>
              <w:jc w:val="left"/>
              <w:textAlignment w:val="auto"/>
              <w:rPr>
                <w:rFonts w:eastAsia="STZhongsong" w:cs="Arial"/>
                <w:b/>
                <w:szCs w:val="22"/>
                <w:lang w:eastAsia="zh-CN"/>
              </w:rPr>
            </w:pPr>
            <w:r w:rsidRPr="00A0361C">
              <w:rPr>
                <w:rFonts w:cs="Arial"/>
                <w:szCs w:val="22"/>
              </w:rPr>
              <w:t>Please refer to Section C – Embedded Document Appendix B – Statement of Requirements.</w:t>
            </w:r>
          </w:p>
        </w:tc>
      </w:tr>
      <w:tr w:rsidR="00C3320D" w:rsidRPr="00A0361C" w14:paraId="7E732C24" w14:textId="77777777" w:rsidTr="00A0361C">
        <w:tc>
          <w:tcPr>
            <w:tcW w:w="534" w:type="dxa"/>
          </w:tcPr>
          <w:p w14:paraId="21B38F32" w14:textId="77777777" w:rsidR="008E082F" w:rsidRPr="00A0361C" w:rsidRDefault="008E082F" w:rsidP="00D40F55">
            <w:pPr>
              <w:pStyle w:val="11table"/>
              <w:numPr>
                <w:ilvl w:val="0"/>
                <w:numId w:val="0"/>
              </w:numPr>
              <w:spacing w:before="120" w:after="120"/>
              <w:ind w:left="360" w:hanging="360"/>
              <w:rPr>
                <w:rFonts w:ascii="Arial" w:hAnsi="Arial" w:cs="Arial"/>
              </w:rPr>
            </w:pPr>
            <w:r w:rsidRPr="00A0361C">
              <w:rPr>
                <w:rFonts w:ascii="Arial" w:hAnsi="Arial" w:cs="Arial"/>
              </w:rPr>
              <w:t>1.2</w:t>
            </w:r>
          </w:p>
        </w:tc>
        <w:tc>
          <w:tcPr>
            <w:tcW w:w="4688" w:type="dxa"/>
            <w:shd w:val="clear" w:color="auto" w:fill="auto"/>
          </w:tcPr>
          <w:p w14:paraId="00892EAF" w14:textId="77777777" w:rsidR="008E082F" w:rsidRPr="00A0361C"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A0361C">
              <w:rPr>
                <w:rFonts w:eastAsia="STZhongsong" w:cs="Arial"/>
                <w:b/>
                <w:szCs w:val="22"/>
                <w:lang w:eastAsia="zh-CN"/>
              </w:rPr>
              <w:t>Management and review of the Services</w:t>
            </w:r>
          </w:p>
          <w:p w14:paraId="29D0A7EC" w14:textId="77777777" w:rsidR="008E082F" w:rsidRPr="00A0361C"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6CF3D997" w:rsidR="008E082F" w:rsidRPr="00A0361C" w:rsidRDefault="00A0361C" w:rsidP="00A0361C">
            <w:pPr>
              <w:numPr>
                <w:ilvl w:val="1"/>
                <w:numId w:val="0"/>
              </w:numPr>
              <w:tabs>
                <w:tab w:val="left" w:pos="577"/>
              </w:tabs>
              <w:overflowPunct/>
              <w:autoSpaceDE/>
              <w:autoSpaceDN/>
              <w:spacing w:before="120" w:after="120" w:line="240" w:lineRule="auto"/>
              <w:jc w:val="left"/>
              <w:textAlignment w:val="auto"/>
              <w:rPr>
                <w:rFonts w:cs="Arial"/>
                <w:szCs w:val="22"/>
              </w:rPr>
            </w:pPr>
            <w:r w:rsidRPr="00A0361C">
              <w:rPr>
                <w:rFonts w:cs="Arial"/>
                <w:szCs w:val="22"/>
              </w:rPr>
              <w:t>Please refer to 9.1, 9.2 &amp; 9.3 of Appendix B – Statement of Requirements.</w:t>
            </w:r>
          </w:p>
        </w:tc>
      </w:tr>
      <w:tr w:rsidR="00C3320D" w:rsidRPr="00A0361C" w14:paraId="677CDEBB" w14:textId="77777777" w:rsidTr="00A0361C">
        <w:tc>
          <w:tcPr>
            <w:tcW w:w="534" w:type="dxa"/>
          </w:tcPr>
          <w:p w14:paraId="23716494" w14:textId="77777777" w:rsidR="008E082F" w:rsidRPr="00A0361C" w:rsidRDefault="008E082F" w:rsidP="00D40F55">
            <w:pPr>
              <w:pStyle w:val="11table"/>
              <w:numPr>
                <w:ilvl w:val="0"/>
                <w:numId w:val="0"/>
              </w:numPr>
              <w:spacing w:before="120" w:after="120"/>
              <w:ind w:left="360" w:hanging="360"/>
              <w:rPr>
                <w:rFonts w:ascii="Arial" w:hAnsi="Arial" w:cs="Arial"/>
              </w:rPr>
            </w:pPr>
            <w:r w:rsidRPr="00A0361C">
              <w:rPr>
                <w:rFonts w:ascii="Arial" w:hAnsi="Arial" w:cs="Arial"/>
              </w:rPr>
              <w:t>1.3</w:t>
            </w:r>
          </w:p>
        </w:tc>
        <w:tc>
          <w:tcPr>
            <w:tcW w:w="4688" w:type="dxa"/>
            <w:shd w:val="clear" w:color="auto" w:fill="auto"/>
          </w:tcPr>
          <w:p w14:paraId="292094D2" w14:textId="185785D4" w:rsidR="008E082F" w:rsidRPr="00A0361C" w:rsidRDefault="00A036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A0361C">
              <w:rPr>
                <w:rFonts w:eastAsia="STZhongsong" w:cs="Arial"/>
                <w:b/>
                <w:szCs w:val="22"/>
                <w:lang w:eastAsia="zh-CN"/>
              </w:rPr>
              <w:t>Place of performance</w:t>
            </w:r>
          </w:p>
        </w:tc>
        <w:tc>
          <w:tcPr>
            <w:tcW w:w="4044" w:type="dxa"/>
            <w:shd w:val="clear" w:color="auto" w:fill="auto"/>
          </w:tcPr>
          <w:p w14:paraId="23492689" w14:textId="77777777" w:rsidR="00A0361C" w:rsidRPr="00A0361C" w:rsidRDefault="00A0361C"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A0361C">
              <w:t xml:space="preserve">The location of the services will be carried out at the premises of the Potential Provider but meetings in the Department for Transport, Great Minister House, 33 Horseferry Road, London, SW1P 4DR, may be required on some occasions. </w:t>
            </w:r>
            <w:r w:rsidRPr="00A0361C">
              <w:rPr>
                <w:rFonts w:cs="Arial"/>
                <w:i/>
                <w:szCs w:val="22"/>
              </w:rPr>
              <w:t xml:space="preserve"> </w:t>
            </w:r>
          </w:p>
          <w:p w14:paraId="4D08D915" w14:textId="145FBC74" w:rsidR="008E082F" w:rsidRPr="00A0361C" w:rsidRDefault="00A0361C"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A0361C">
              <w:rPr>
                <w:rFonts w:cs="Arial"/>
                <w:szCs w:val="22"/>
              </w:rPr>
              <w:t xml:space="preserve">The Potential Provider may also be required to attend meetings at the </w:t>
            </w:r>
            <w:r w:rsidR="00A97667">
              <w:rPr>
                <w:rFonts w:cs="Arial"/>
                <w:szCs w:val="22"/>
              </w:rPr>
              <w:t>East West Rail Shadow Company, O</w:t>
            </w:r>
            <w:r w:rsidRPr="00A0361C">
              <w:rPr>
                <w:rFonts w:cs="Arial"/>
                <w:szCs w:val="22"/>
              </w:rPr>
              <w:t>ne Kemble Street, 4</w:t>
            </w:r>
            <w:r w:rsidRPr="00A0361C">
              <w:rPr>
                <w:rFonts w:cs="Arial"/>
                <w:szCs w:val="22"/>
                <w:vertAlign w:val="superscript"/>
              </w:rPr>
              <w:t>th</w:t>
            </w:r>
            <w:r w:rsidRPr="00A0361C">
              <w:rPr>
                <w:rFonts w:cs="Arial"/>
                <w:szCs w:val="22"/>
              </w:rPr>
              <w:t xml:space="preserve"> Floor, London WC2B 4AN.</w:t>
            </w:r>
          </w:p>
        </w:tc>
      </w:tr>
    </w:tbl>
    <w:p w14:paraId="3C799F8C" w14:textId="77777777" w:rsidR="008E082F" w:rsidRPr="00A0361C" w:rsidRDefault="008E082F" w:rsidP="00D40F55">
      <w:pPr>
        <w:spacing w:before="120" w:after="120" w:line="240" w:lineRule="auto"/>
        <w:rPr>
          <w:rFonts w:cs="Arial"/>
          <w:szCs w:val="22"/>
        </w:rPr>
      </w:pPr>
    </w:p>
    <w:p w14:paraId="20EAA21E" w14:textId="77777777" w:rsidR="008E082F" w:rsidRPr="00A0361C" w:rsidRDefault="008E082F" w:rsidP="00D40F55">
      <w:pPr>
        <w:pStyle w:val="ORDERFORML1PraraNo"/>
        <w:spacing w:before="120" w:after="120"/>
        <w:rPr>
          <w:rFonts w:ascii="Arial" w:hAnsi="Arial" w:cs="Arial"/>
        </w:rPr>
      </w:pPr>
      <w:r w:rsidRPr="00A0361C">
        <w:rPr>
          <w:rFonts w:ascii="Arial" w:hAnsi="Arial" w:cs="Arial"/>
        </w:rPr>
        <w:t>charges</w:t>
      </w:r>
    </w:p>
    <w:p w14:paraId="645A0DB9" w14:textId="77777777" w:rsidR="008E082F" w:rsidRPr="00A0361C"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232"/>
        <w:gridCol w:w="4067"/>
      </w:tblGrid>
      <w:tr w:rsidR="00810B06" w:rsidRPr="00C3320D" w14:paraId="57650518" w14:textId="77777777" w:rsidTr="00810B06">
        <w:trPr>
          <w:trHeight w:val="274"/>
        </w:trPr>
        <w:tc>
          <w:tcPr>
            <w:tcW w:w="612" w:type="dxa"/>
          </w:tcPr>
          <w:p w14:paraId="6DCD4E37" w14:textId="22881A9C"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232" w:type="dxa"/>
            <w:shd w:val="clear" w:color="auto" w:fill="auto"/>
          </w:tcPr>
          <w:p w14:paraId="14181D34" w14:textId="4A57D79B"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A0361C">
              <w:rPr>
                <w:rFonts w:eastAsia="STZhongsong" w:cs="Arial"/>
                <w:b/>
                <w:szCs w:val="22"/>
                <w:lang w:eastAsia="zh-CN"/>
              </w:rPr>
              <w:t>Hourly Rates, Daily Rates and</w:t>
            </w:r>
          </w:p>
          <w:p w14:paraId="7C250DA8" w14:textId="648D0D8D" w:rsidR="00810B06"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A0361C">
              <w:rPr>
                <w:rFonts w:eastAsia="STZhongsong" w:cs="Arial"/>
                <w:b/>
                <w:szCs w:val="22"/>
                <w:lang w:eastAsia="zh-CN"/>
              </w:rPr>
              <w:t xml:space="preserve">Monthly Rates </w:t>
            </w:r>
          </w:p>
          <w:p w14:paraId="0BE959F7" w14:textId="77777777" w:rsidR="00810B06" w:rsidRDefault="00810B06" w:rsidP="00810B06">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4C43E3E5" w14:textId="77777777" w:rsidR="00810B06" w:rsidRPr="00C3320D" w:rsidRDefault="00810B06" w:rsidP="00810B06">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5BB36A37" w14:textId="77777777" w:rsidR="00810B06" w:rsidRPr="00A97667" w:rsidRDefault="00810B06" w:rsidP="00810B06">
            <w:pPr>
              <w:overflowPunct/>
              <w:autoSpaceDE/>
              <w:autoSpaceDN/>
              <w:spacing w:before="120" w:after="120" w:line="240" w:lineRule="auto"/>
              <w:ind w:left="360"/>
              <w:jc w:val="left"/>
              <w:textAlignment w:val="auto"/>
              <w:rPr>
                <w:rFonts w:eastAsia="STZhongsong" w:cs="Arial"/>
                <w:szCs w:val="22"/>
                <w:lang w:eastAsia="zh-CN"/>
              </w:rPr>
            </w:pPr>
          </w:p>
          <w:p w14:paraId="139D12DD"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489E7F5"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810B06" w:rsidRPr="00A0361C"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67" w:type="dxa"/>
            <w:vMerge w:val="restart"/>
            <w:shd w:val="clear" w:color="auto" w:fill="auto"/>
          </w:tcPr>
          <w:p w14:paraId="195E72C1" w14:textId="3117D0E0" w:rsidR="00810B06" w:rsidRPr="00810B06" w:rsidRDefault="00810B06" w:rsidP="00810B06">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[REDACTED]</w:t>
            </w:r>
          </w:p>
        </w:tc>
      </w:tr>
      <w:tr w:rsidR="00810B06" w:rsidRPr="00C3320D" w14:paraId="43119EB9" w14:textId="77777777" w:rsidTr="00810B06">
        <w:trPr>
          <w:trHeight w:val="4789"/>
        </w:trPr>
        <w:tc>
          <w:tcPr>
            <w:tcW w:w="612" w:type="dxa"/>
          </w:tcPr>
          <w:p w14:paraId="59813F49" w14:textId="7C816B13"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232" w:type="dxa"/>
            <w:shd w:val="clear" w:color="auto" w:fill="auto"/>
          </w:tcPr>
          <w:p w14:paraId="395A69D6" w14:textId="77777777" w:rsidR="00810B06" w:rsidRPr="00A0361C" w:rsidRDefault="00810B06" w:rsidP="00810B06">
            <w:pPr>
              <w:overflowPunct/>
              <w:autoSpaceDE/>
              <w:autoSpaceDN/>
              <w:spacing w:before="120" w:after="120" w:line="240" w:lineRule="auto"/>
              <w:jc w:val="left"/>
              <w:textAlignment w:val="auto"/>
              <w:rPr>
                <w:rFonts w:eastAsia="STZhongsong" w:cs="Arial"/>
                <w:b/>
                <w:szCs w:val="22"/>
                <w:lang w:eastAsia="zh-CN"/>
              </w:rPr>
            </w:pPr>
          </w:p>
        </w:tc>
        <w:tc>
          <w:tcPr>
            <w:tcW w:w="4067" w:type="dxa"/>
            <w:vMerge/>
            <w:shd w:val="clear" w:color="auto" w:fill="auto"/>
          </w:tcPr>
          <w:p w14:paraId="5C9B0B69" w14:textId="77777777" w:rsidR="00810B06" w:rsidRPr="00C3320D" w:rsidRDefault="00810B06" w:rsidP="00810B06">
            <w:pPr>
              <w:numPr>
                <w:ilvl w:val="1"/>
                <w:numId w:val="0"/>
              </w:numPr>
              <w:overflowPunct/>
              <w:autoSpaceDE/>
              <w:autoSpaceDN/>
              <w:spacing w:before="120" w:after="120" w:line="240" w:lineRule="auto"/>
              <w:jc w:val="left"/>
              <w:textAlignment w:val="auto"/>
              <w:rPr>
                <w:rFonts w:cs="Arial"/>
                <w:i/>
                <w:szCs w:val="22"/>
              </w:rPr>
            </w:pPr>
          </w:p>
        </w:tc>
      </w:tr>
      <w:tr w:rsidR="00810B06" w:rsidRPr="00C3320D" w14:paraId="390CE8EF" w14:textId="77777777" w:rsidTr="00810B06">
        <w:tc>
          <w:tcPr>
            <w:tcW w:w="612" w:type="dxa"/>
          </w:tcPr>
          <w:p w14:paraId="16030869" w14:textId="77777777"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32" w:type="dxa"/>
            <w:shd w:val="clear" w:color="auto" w:fill="auto"/>
          </w:tcPr>
          <w:p w14:paraId="2A5EBEE2" w14:textId="5BBCD6C7"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4067" w:type="dxa"/>
            <w:shd w:val="clear" w:color="auto" w:fill="auto"/>
          </w:tcPr>
          <w:p w14:paraId="6141EC23" w14:textId="408F7D0B" w:rsidR="00810B06" w:rsidRPr="00C3320D" w:rsidRDefault="00810B06" w:rsidP="00810B06">
            <w:pPr>
              <w:numPr>
                <w:ilvl w:val="1"/>
                <w:numId w:val="0"/>
              </w:numPr>
              <w:overflowPunct/>
              <w:autoSpaceDE/>
              <w:autoSpaceDN/>
              <w:spacing w:before="120" w:after="120" w:line="240" w:lineRule="auto"/>
              <w:jc w:val="left"/>
              <w:textAlignment w:val="auto"/>
              <w:rPr>
                <w:rFonts w:cs="Arial"/>
                <w:i/>
                <w:szCs w:val="22"/>
              </w:rPr>
            </w:pPr>
            <w:r>
              <w:rPr>
                <w:rFonts w:cs="Arial"/>
                <w:szCs w:val="22"/>
              </w:rPr>
              <w:t>Not used.</w:t>
            </w:r>
          </w:p>
        </w:tc>
      </w:tr>
      <w:tr w:rsidR="00810B06" w:rsidRPr="00C3320D" w14:paraId="2F19B1C1" w14:textId="77777777" w:rsidTr="00810B06">
        <w:tc>
          <w:tcPr>
            <w:tcW w:w="612" w:type="dxa"/>
          </w:tcPr>
          <w:p w14:paraId="3F50FA15" w14:textId="77777777"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32" w:type="dxa"/>
            <w:shd w:val="clear" w:color="auto" w:fill="auto"/>
          </w:tcPr>
          <w:p w14:paraId="0D801B05" w14:textId="7058D4C4"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067" w:type="dxa"/>
            <w:shd w:val="clear" w:color="auto" w:fill="auto"/>
          </w:tcPr>
          <w:p w14:paraId="0F50F027" w14:textId="7562F4DE" w:rsidR="00810B06" w:rsidRPr="00C3320D" w:rsidRDefault="00810B06" w:rsidP="00810B06">
            <w:pPr>
              <w:overflowPunct/>
              <w:autoSpaceDE/>
              <w:autoSpaceDN/>
              <w:spacing w:before="120" w:after="120" w:line="240" w:lineRule="auto"/>
              <w:jc w:val="left"/>
              <w:textAlignment w:val="auto"/>
              <w:rPr>
                <w:rFonts w:cs="Arial"/>
                <w:i/>
                <w:szCs w:val="22"/>
              </w:rPr>
            </w:pPr>
            <w:r>
              <w:rPr>
                <w:rFonts w:cs="Arial"/>
                <w:szCs w:val="22"/>
              </w:rPr>
              <w:t>Not used.</w:t>
            </w:r>
          </w:p>
        </w:tc>
      </w:tr>
      <w:tr w:rsidR="00810B06" w:rsidRPr="00C3320D" w14:paraId="53D9C72F" w14:textId="77777777" w:rsidTr="00810B06">
        <w:tc>
          <w:tcPr>
            <w:tcW w:w="612" w:type="dxa"/>
          </w:tcPr>
          <w:p w14:paraId="07C50BB0" w14:textId="77777777"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32" w:type="dxa"/>
            <w:shd w:val="clear" w:color="auto" w:fill="auto"/>
          </w:tcPr>
          <w:p w14:paraId="4306D6B3" w14:textId="180B61E1"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067" w:type="dxa"/>
            <w:shd w:val="clear" w:color="auto" w:fill="auto"/>
          </w:tcPr>
          <w:p w14:paraId="08B6474B" w14:textId="04061475" w:rsidR="00810B06" w:rsidRPr="00C3320D" w:rsidRDefault="00810B06" w:rsidP="00810B06">
            <w:pPr>
              <w:overflowPunct/>
              <w:autoSpaceDE/>
              <w:autoSpaceDN/>
              <w:spacing w:before="120" w:after="120" w:line="240" w:lineRule="auto"/>
              <w:jc w:val="left"/>
              <w:textAlignment w:val="auto"/>
              <w:rPr>
                <w:rFonts w:cs="Arial"/>
                <w:i/>
                <w:szCs w:val="22"/>
              </w:rPr>
            </w:pPr>
            <w:r>
              <w:rPr>
                <w:rFonts w:cs="Arial"/>
                <w:szCs w:val="22"/>
              </w:rPr>
              <w:t>The pricing for this requirement shall not exceed £85,000 (ex VAT)</w:t>
            </w:r>
          </w:p>
        </w:tc>
      </w:tr>
      <w:tr w:rsidR="00810B06" w:rsidRPr="00C3320D" w14:paraId="5A92AABB" w14:textId="77777777" w:rsidTr="00810B06">
        <w:tc>
          <w:tcPr>
            <w:tcW w:w="612" w:type="dxa"/>
          </w:tcPr>
          <w:p w14:paraId="64BB4617" w14:textId="77777777"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2.5</w:t>
            </w:r>
          </w:p>
        </w:tc>
        <w:tc>
          <w:tcPr>
            <w:tcW w:w="4232" w:type="dxa"/>
            <w:shd w:val="clear" w:color="auto" w:fill="auto"/>
          </w:tcPr>
          <w:p w14:paraId="7F7CCF65" w14:textId="77777777"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087465B7" w:rsidR="00810B06" w:rsidRPr="00C3320D" w:rsidRDefault="00810B06" w:rsidP="00810B06">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67" w:type="dxa"/>
            <w:shd w:val="clear" w:color="auto" w:fill="auto"/>
          </w:tcPr>
          <w:p w14:paraId="08AC71B4" w14:textId="7F3AA90D" w:rsidR="00810B06" w:rsidRPr="00C3320D" w:rsidRDefault="00810B06" w:rsidP="00810B06">
            <w:pPr>
              <w:tabs>
                <w:tab w:val="left" w:pos="577"/>
              </w:tabs>
              <w:overflowPunct/>
              <w:autoSpaceDE/>
              <w:autoSpaceDN/>
              <w:spacing w:before="120" w:after="120" w:line="240" w:lineRule="auto"/>
              <w:jc w:val="left"/>
              <w:textAlignment w:val="auto"/>
              <w:rPr>
                <w:rFonts w:cs="Arial"/>
                <w:i/>
                <w:szCs w:val="22"/>
              </w:rPr>
            </w:pPr>
            <w:r>
              <w:rPr>
                <w:rFonts w:cs="Arial"/>
                <w:szCs w:val="22"/>
              </w:rPr>
              <w:t>Disbursements payable in accordance with the panel terms and conditions and where spend has been agreed by the Customer.</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224CB8">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1F67C26" w14:textId="798E9A7D" w:rsidR="00224CB8" w:rsidRPr="00C3320D" w:rsidRDefault="00810B06" w:rsidP="00224CB8">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C3320D" w:rsidRPr="00C3320D" w14:paraId="48F22CFB" w14:textId="77777777" w:rsidTr="00224CB8">
        <w:tc>
          <w:tcPr>
            <w:tcW w:w="610" w:type="dxa"/>
          </w:tcPr>
          <w:p w14:paraId="0BB98E0B" w14:textId="49BD4E06"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4A3B9007" w:rsidR="00224CB8" w:rsidRPr="00C3320D" w:rsidRDefault="00810B06" w:rsidP="00224CB8">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C3320D" w:rsidRPr="00C3320D" w14:paraId="54B5A07E" w14:textId="77777777" w:rsidTr="00B1441D">
        <w:tc>
          <w:tcPr>
            <w:tcW w:w="610" w:type="dxa"/>
          </w:tcPr>
          <w:p w14:paraId="0DB484B6" w14:textId="57061962"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4363" w:type="dxa"/>
            <w:shd w:val="clear" w:color="auto" w:fill="auto"/>
          </w:tcPr>
          <w:p w14:paraId="69D1E8C7" w14:textId="5D5C9EEA" w:rsidR="008E082F" w:rsidRPr="00C3320D" w:rsidRDefault="00224CB8"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2126486F" w14:textId="05F3F9EA" w:rsidR="008E082F" w:rsidRPr="00C3320D" w:rsidRDefault="00B1441D" w:rsidP="00B1441D">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No key personnel have been identified for this requirement.</w:t>
            </w:r>
          </w:p>
        </w:tc>
      </w:tr>
      <w:tr w:rsidR="00C3320D" w:rsidRPr="00C3320D" w14:paraId="110CF97A" w14:textId="77777777" w:rsidTr="00B1441D">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5E37D584" w14:textId="77777777" w:rsidR="00B1441D" w:rsidRPr="00E62545" w:rsidRDefault="00B1441D" w:rsidP="00B1441D">
            <w:pPr>
              <w:keepNext/>
              <w:keepLines/>
              <w:overflowPunct/>
              <w:autoSpaceDE/>
              <w:autoSpaceDN/>
              <w:spacing w:before="120" w:after="120" w:line="240" w:lineRule="auto"/>
              <w:textAlignment w:val="auto"/>
              <w:rPr>
                <w:rFonts w:eastAsia="STZhongsong" w:cs="Arial"/>
                <w:szCs w:val="22"/>
                <w:lang w:eastAsia="zh-CN"/>
              </w:rPr>
            </w:pPr>
            <w:r w:rsidRPr="00E62545">
              <w:rPr>
                <w:rFonts w:eastAsia="STZhongsong" w:cs="Arial"/>
                <w:szCs w:val="22"/>
                <w:lang w:eastAsia="zh-CN"/>
              </w:rPr>
              <w:t>Customer:</w:t>
            </w:r>
          </w:p>
          <w:p w14:paraId="1F07233D" w14:textId="77777777" w:rsidR="00B1441D" w:rsidRPr="00E62545" w:rsidRDefault="00B1441D" w:rsidP="00B1441D">
            <w:pPr>
              <w:keepNext/>
              <w:keepLines/>
              <w:overflowPunct/>
              <w:autoSpaceDE/>
              <w:autoSpaceDN/>
              <w:spacing w:before="120" w:after="120" w:line="240" w:lineRule="auto"/>
              <w:textAlignment w:val="auto"/>
              <w:rPr>
                <w:rFonts w:eastAsia="STZhongsong" w:cs="Arial"/>
                <w:szCs w:val="22"/>
                <w:lang w:eastAsia="zh-CN"/>
              </w:rPr>
            </w:pPr>
            <w:r w:rsidRPr="00E62545">
              <w:rPr>
                <w:rFonts w:cs="Arial"/>
                <w:szCs w:val="22"/>
              </w:rPr>
              <w:t>Great Minster House, 33 Horseferry Road, London SW1P 4DR</w:t>
            </w:r>
          </w:p>
          <w:p w14:paraId="6FDF9F6B" w14:textId="77777777" w:rsidR="00B1441D" w:rsidRPr="00E62545" w:rsidRDefault="00B1441D" w:rsidP="00B1441D">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E62545">
              <w:rPr>
                <w:rFonts w:eastAsia="STZhongsong" w:cs="Arial"/>
                <w:szCs w:val="22"/>
                <w:lang w:eastAsia="zh-CN"/>
              </w:rPr>
              <w:t>Supplier:</w:t>
            </w:r>
          </w:p>
          <w:p w14:paraId="232301E8" w14:textId="50E38983" w:rsidR="008E082F" w:rsidRPr="00C3320D" w:rsidRDefault="00B1441D" w:rsidP="00B1441D">
            <w:pPr>
              <w:keepNext/>
              <w:keepLines/>
              <w:overflowPunct/>
              <w:autoSpaceDE/>
              <w:autoSpaceDN/>
              <w:spacing w:before="120" w:after="120" w:line="240" w:lineRule="auto"/>
              <w:textAlignment w:val="auto"/>
              <w:rPr>
                <w:rFonts w:eastAsia="STZhongsong" w:cs="Arial"/>
                <w:i/>
                <w:szCs w:val="22"/>
                <w:lang w:eastAsia="zh-CN"/>
              </w:rPr>
            </w:pPr>
            <w:r w:rsidRPr="00175977">
              <w:rPr>
                <w:rFonts w:cs="Arial"/>
                <w:szCs w:val="22"/>
              </w:rPr>
              <w:t>Victoria Square House, Victoria Square, Birmingham B2 4DL</w:t>
            </w:r>
          </w:p>
        </w:tc>
      </w:tr>
      <w:tr w:rsidR="00C3320D" w:rsidRPr="00C3320D" w14:paraId="0E8449E4" w14:textId="77777777" w:rsidTr="00224CB8">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4931C3AE" w14:textId="77777777" w:rsidR="00224CB8" w:rsidRDefault="00224CB8" w:rsidP="00224CB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DfT Shared Services Centre Avarto</w:t>
            </w:r>
          </w:p>
          <w:p w14:paraId="152CBFA2" w14:textId="77777777" w:rsidR="00224CB8" w:rsidRDefault="00224CB8" w:rsidP="00224CB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 Sandringham Park</w:t>
            </w:r>
          </w:p>
          <w:p w14:paraId="70C06006" w14:textId="77777777" w:rsidR="00224CB8" w:rsidRDefault="00224CB8" w:rsidP="00224CB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Swansea</w:t>
            </w:r>
          </w:p>
          <w:p w14:paraId="759C76BE" w14:textId="1F30AC89" w:rsidR="008E082F" w:rsidRPr="00C3320D" w:rsidRDefault="00224CB8" w:rsidP="00224CB8">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SA7 0EA</w:t>
            </w:r>
          </w:p>
        </w:tc>
      </w:tr>
      <w:tr w:rsidR="00C3320D" w:rsidRPr="00C3320D" w14:paraId="30E47F98" w14:textId="77777777" w:rsidTr="00224CB8">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3385986B" w:rsidR="008E082F" w:rsidRPr="00224CB8" w:rsidRDefault="00224CB8"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To be confirmed between the customer and supplier.</w:t>
            </w:r>
          </w:p>
        </w:tc>
      </w:tr>
      <w:tr w:rsidR="00C3320D" w:rsidRPr="00C3320D" w14:paraId="5F745813" w14:textId="77777777" w:rsidTr="00224CB8">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0B2A1B7A" w:rsidR="008E082F" w:rsidRPr="00C3320D" w:rsidRDefault="00B1441D" w:rsidP="00B1441D">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224CB8">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6E8E49CA" w:rsidR="008E082F" w:rsidRPr="00C3320D" w:rsidRDefault="00224CB8"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No sub-contractors have been identified for this contract.</w:t>
            </w:r>
          </w:p>
        </w:tc>
      </w:tr>
      <w:tr w:rsidR="00C3320D" w:rsidRPr="00C3320D" w14:paraId="22C9699F" w14:textId="77777777" w:rsidTr="00224CB8">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7F7E0FF5" w:rsidR="008E082F" w:rsidRPr="00C3320D" w:rsidRDefault="00B1441D" w:rsidP="00D40F55">
            <w:pPr>
              <w:keepNext/>
              <w:keepLines/>
              <w:overflowPunct/>
              <w:autoSpaceDE/>
              <w:autoSpaceDN/>
              <w:spacing w:before="120" w:after="120" w:line="240" w:lineRule="auto"/>
              <w:textAlignment w:val="auto"/>
              <w:rPr>
                <w:rFonts w:eastAsia="STZhongsong" w:cs="Arial"/>
                <w:i/>
                <w:szCs w:val="22"/>
                <w:lang w:eastAsia="zh-CN"/>
              </w:rPr>
            </w:pPr>
            <w:r w:rsidRPr="00E62545">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224CB8">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2237384B"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7BE3909D" w:rsidR="00021D24" w:rsidRPr="00C3320D" w:rsidRDefault="00B1441D" w:rsidP="00D40F55">
            <w:pPr>
              <w:keepNext/>
              <w:keepLines/>
              <w:overflowPunct/>
              <w:autoSpaceDE/>
              <w:autoSpaceDN/>
              <w:spacing w:before="120" w:after="120" w:line="240" w:lineRule="auto"/>
              <w:textAlignment w:val="auto"/>
              <w:rPr>
                <w:rFonts w:eastAsia="STZhongsong" w:cs="Arial"/>
                <w:i/>
                <w:szCs w:val="22"/>
                <w:lang w:eastAsia="zh-CN"/>
              </w:rPr>
            </w:pPr>
            <w:r w:rsidRPr="00E62545">
              <w:rPr>
                <w:rFonts w:eastAsia="STZhongsong" w:cs="Arial"/>
                <w:szCs w:val="22"/>
                <w:lang w:eastAsia="zh-CN"/>
              </w:rPr>
              <w:t>Please see Schedule 2 (Exit Management).</w:t>
            </w:r>
          </w:p>
        </w:tc>
      </w:tr>
      <w:tr w:rsidR="00C3320D" w:rsidRPr="00C3320D" w14:paraId="23EBD425" w14:textId="77777777" w:rsidTr="00224CB8">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1B2C1596"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1F51BAA3" w:rsidR="005B6A9E" w:rsidRPr="00C3320D" w:rsidRDefault="00B1441D" w:rsidP="00B1441D">
            <w:pPr>
              <w:keepNext/>
              <w:keepLines/>
              <w:overflowPunct/>
              <w:autoSpaceDE/>
              <w:autoSpaceDN/>
              <w:spacing w:before="120" w:after="120" w:line="240" w:lineRule="auto"/>
              <w:textAlignment w:val="auto"/>
              <w:rPr>
                <w:rFonts w:eastAsia="STZhongsong" w:cs="Arial"/>
                <w:i/>
                <w:szCs w:val="22"/>
                <w:lang w:eastAsia="zh-CN"/>
              </w:rPr>
            </w:pPr>
            <w:r w:rsidRPr="00E62545">
              <w:rPr>
                <w:rFonts w:eastAsia="STZhongsong" w:cs="Arial"/>
                <w:szCs w:val="22"/>
                <w:lang w:eastAsia="zh-CN"/>
              </w:rPr>
              <w:t>Please review Contract Schedule 4 (Transparency Reports) – Section 9.5</w:t>
            </w:r>
            <w:r>
              <w:rPr>
                <w:rFonts w:eastAsia="STZhongsong" w:cs="Arial"/>
                <w:szCs w:val="22"/>
                <w:lang w:eastAsia="zh-CN"/>
              </w:rPr>
              <w:t>.</w:t>
            </w:r>
          </w:p>
        </w:tc>
      </w:tr>
      <w:tr w:rsidR="00C3320D" w:rsidRPr="00C3320D" w14:paraId="25B5F6DE" w14:textId="77777777" w:rsidTr="00224CB8">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2F6476C1" w:rsidR="00144AFA" w:rsidRPr="00B1441D" w:rsidRDefault="00144AFA" w:rsidP="00B1441D">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648D7030" w:rsidR="00144AFA" w:rsidRPr="00C3320D" w:rsidRDefault="00B1441D" w:rsidP="00B1441D">
            <w:pPr>
              <w:keepNext/>
              <w:keepLines/>
              <w:overflowPunct/>
              <w:autoSpaceDE/>
              <w:autoSpaceDN/>
              <w:spacing w:before="120" w:after="120" w:line="240" w:lineRule="auto"/>
              <w:textAlignment w:val="auto"/>
              <w:rPr>
                <w:rFonts w:eastAsia="STZhongsong" w:cs="Arial"/>
                <w:i/>
                <w:szCs w:val="22"/>
                <w:lang w:eastAsia="zh-CN"/>
              </w:rPr>
            </w:pPr>
            <w:r w:rsidRPr="00FF121F">
              <w:rPr>
                <w:rFonts w:cs="Arial"/>
                <w:szCs w:val="22"/>
              </w:rPr>
              <w:t>There has been no call-off guarantee for this requirement.</w:t>
            </w:r>
          </w:p>
        </w:tc>
      </w:tr>
    </w:tbl>
    <w:p w14:paraId="50CC73DF" w14:textId="2115CB3D" w:rsidR="008E082F" w:rsidRPr="00C3320D" w:rsidRDefault="00DB297D" w:rsidP="00D40F55">
      <w:pPr>
        <w:spacing w:before="120" w:after="120" w:line="240" w:lineRule="auto"/>
        <w:rPr>
          <w:rFonts w:cs="Arial"/>
          <w:i/>
          <w:szCs w:val="22"/>
        </w:rPr>
      </w:pPr>
      <w:r>
        <w:rPr>
          <w:rFonts w:cs="Arial"/>
          <w:i/>
          <w:szCs w:val="22"/>
        </w:rPr>
        <w:lastRenderedPageBreak/>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5"/>
        <w:gridCol w:w="4072"/>
      </w:tblGrid>
      <w:tr w:rsidR="00C3320D" w:rsidRPr="00C3320D" w14:paraId="20964881" w14:textId="77777777" w:rsidTr="00B1441D">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5"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2" w:type="dxa"/>
            <w:shd w:val="clear" w:color="auto" w:fill="auto"/>
          </w:tcPr>
          <w:p w14:paraId="338F6EB1" w14:textId="63ED172D" w:rsidR="008E082F" w:rsidRPr="00C3320D" w:rsidRDefault="00B1441D" w:rsidP="00B1441D">
            <w:pPr>
              <w:keepNext/>
              <w:keepLines/>
              <w:overflowPunct/>
              <w:autoSpaceDE/>
              <w:autoSpaceDN/>
              <w:spacing w:before="120" w:after="120" w:line="240" w:lineRule="auto"/>
              <w:textAlignment w:val="auto"/>
              <w:rPr>
                <w:rFonts w:eastAsia="STZhongsong" w:cs="Arial"/>
                <w:b/>
                <w:caps/>
                <w:szCs w:val="22"/>
                <w:lang w:eastAsia="zh-CN"/>
              </w:rPr>
            </w:pPr>
            <w:r w:rsidRPr="00FF121F">
              <w:rPr>
                <w:rFonts w:cs="Arial"/>
                <w:szCs w:val="22"/>
              </w:rPr>
              <w:t>Please see clause 7 of this order form, Terms and Conditions. Liability and Insurance.</w:t>
            </w:r>
          </w:p>
        </w:tc>
      </w:tr>
      <w:tr w:rsidR="00C3320D" w:rsidRPr="00C3320D" w14:paraId="37E00115" w14:textId="77777777" w:rsidTr="00B1441D">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5"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2" w:type="dxa"/>
            <w:shd w:val="clear" w:color="auto" w:fill="auto"/>
          </w:tcPr>
          <w:p w14:paraId="43D40566" w14:textId="0CB3BE05" w:rsidR="008E082F" w:rsidRPr="00C3320D" w:rsidRDefault="00B1441D" w:rsidP="00B1441D">
            <w:pPr>
              <w:keepNext/>
              <w:keepLines/>
              <w:overflowPunct/>
              <w:autoSpaceDE/>
              <w:autoSpaceDN/>
              <w:spacing w:before="120" w:after="120" w:line="240" w:lineRule="auto"/>
              <w:textAlignment w:val="auto"/>
              <w:rPr>
                <w:rFonts w:cs="Arial"/>
                <w:i/>
                <w:szCs w:val="22"/>
              </w:rPr>
            </w:pPr>
            <w:r w:rsidRPr="00FF121F">
              <w:rPr>
                <w:rFonts w:cs="Arial"/>
                <w:szCs w:val="22"/>
              </w:rPr>
              <w:t>Please refer to Section 3 of the Terms and Conditions.</w:t>
            </w:r>
          </w:p>
        </w:tc>
      </w:tr>
      <w:tr w:rsidR="00C3320D" w:rsidRPr="00C3320D" w14:paraId="3FC0EB8B" w14:textId="77777777" w:rsidTr="00B1441D">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5"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2" w:type="dxa"/>
            <w:shd w:val="clear" w:color="auto" w:fill="auto"/>
          </w:tcPr>
          <w:p w14:paraId="4EFFA099" w14:textId="29058EE2" w:rsidR="008E082F" w:rsidRPr="00C3320D" w:rsidRDefault="00B1441D" w:rsidP="00B1441D">
            <w:pPr>
              <w:keepNext/>
              <w:keepLines/>
              <w:overflowPunct/>
              <w:autoSpaceDE/>
              <w:autoSpaceDN/>
              <w:spacing w:before="120" w:after="120" w:line="240" w:lineRule="auto"/>
              <w:textAlignment w:val="auto"/>
              <w:rPr>
                <w:rFonts w:eastAsia="STZhongsong" w:cs="Arial"/>
                <w:b/>
                <w:caps/>
                <w:szCs w:val="22"/>
                <w:lang w:eastAsia="zh-CN"/>
              </w:rPr>
            </w:pPr>
            <w:r w:rsidRPr="009732C0">
              <w:t>The Department takes data security</w:t>
            </w:r>
            <w:r>
              <w:t xml:space="preserve"> extremely seriously and applies</w:t>
            </w:r>
            <w:r w:rsidRPr="009732C0">
              <w:t xml:space="preserve"> agreed government security procedures to all contracts involving the handling of data and ‘Official Sensitive’ and ‘Commercial Sensitive’ information.</w:t>
            </w:r>
          </w:p>
        </w:tc>
      </w:tr>
      <w:tr w:rsidR="00C3320D" w:rsidRPr="00C3320D" w14:paraId="5E42AA5C" w14:textId="77777777" w:rsidTr="00B1441D">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5"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2" w:type="dxa"/>
            <w:shd w:val="clear" w:color="auto" w:fill="auto"/>
          </w:tcPr>
          <w:p w14:paraId="5245E3D8" w14:textId="42472B05" w:rsidR="008E082F" w:rsidRPr="00B1441D" w:rsidRDefault="00B1441D" w:rsidP="00B1441D">
            <w:pPr>
              <w:keepNext/>
              <w:keepLines/>
              <w:overflowPunct/>
              <w:autoSpaceDE/>
              <w:autoSpaceDN/>
              <w:spacing w:before="120" w:after="120" w:line="240" w:lineRule="auto"/>
              <w:textAlignment w:val="auto"/>
              <w:rPr>
                <w:rFonts w:eastAsia="STZhongsong" w:cs="Arial"/>
                <w:b/>
                <w:caps/>
                <w:szCs w:val="22"/>
                <w:lang w:eastAsia="zh-CN"/>
              </w:rPr>
            </w:pPr>
            <w:r w:rsidRPr="00B1441D">
              <w:rPr>
                <w:rFonts w:cs="Arial"/>
                <w:szCs w:val="22"/>
              </w:rPr>
              <w:t>Please see clause 8 of this order form, Terms and Conditions. Intellectual Property Rights.</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3D39BD25" w14:textId="1E694B53" w:rsidR="008E082F" w:rsidRDefault="008E082F" w:rsidP="00D40F55">
      <w:pPr>
        <w:spacing w:before="120" w:after="120" w:line="240" w:lineRule="auto"/>
        <w:rPr>
          <w:rFonts w:cs="Arial"/>
          <w:szCs w:val="22"/>
        </w:rPr>
      </w:pPr>
    </w:p>
    <w:p w14:paraId="487B7729" w14:textId="331F5971" w:rsidR="00B1441D" w:rsidRDefault="00B1441D" w:rsidP="00B1441D">
      <w:pPr>
        <w:spacing w:before="120" w:after="120" w:line="240" w:lineRule="auto"/>
        <w:jc w:val="center"/>
        <w:rPr>
          <w:rFonts w:cs="Arial"/>
          <w:szCs w:val="22"/>
        </w:rPr>
      </w:pPr>
      <w:r>
        <w:rPr>
          <w:rFonts w:cs="Arial"/>
          <w:szCs w:val="22"/>
        </w:rPr>
        <w:t>CCLL18A09 – Appendix B – Statement of Requirements</w:t>
      </w:r>
    </w:p>
    <w:p w14:paraId="7B457827" w14:textId="2F0A3A2D" w:rsidR="00B1441D" w:rsidRDefault="00810B06" w:rsidP="00B1441D">
      <w:pPr>
        <w:spacing w:before="120" w:after="120" w:line="240" w:lineRule="auto"/>
        <w:jc w:val="center"/>
        <w:rPr>
          <w:rFonts w:cs="Arial"/>
          <w:szCs w:val="22"/>
        </w:rPr>
      </w:pPr>
      <w:r>
        <w:rPr>
          <w:rFonts w:cs="Arial"/>
          <w:szCs w:val="22"/>
        </w:rPr>
        <w:object w:dxaOrig="1505" w:dyaOrig="981" w14:anchorId="436B2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Package" ShapeID="_x0000_i1025" DrawAspect="Icon" ObjectID="_1582541598" r:id="rId10"/>
        </w:object>
      </w:r>
      <w:bookmarkStart w:id="1" w:name="_GoBack"/>
      <w:bookmarkEnd w:id="1"/>
    </w:p>
    <w:p w14:paraId="43F39F1A" w14:textId="2FC14B9C" w:rsidR="00B1441D" w:rsidRDefault="00B1441D" w:rsidP="00B1441D">
      <w:pPr>
        <w:spacing w:before="120" w:after="120" w:line="240" w:lineRule="auto"/>
        <w:jc w:val="center"/>
        <w:rPr>
          <w:rFonts w:cs="Arial"/>
          <w:szCs w:val="22"/>
        </w:rPr>
      </w:pPr>
      <w:r>
        <w:rPr>
          <w:rFonts w:cs="Arial"/>
          <w:szCs w:val="22"/>
        </w:rPr>
        <w:t>CCLL18A09 – DLA Piper UK LLP – Quality Submission</w:t>
      </w:r>
    </w:p>
    <w:p w14:paraId="14522E27" w14:textId="6FD425F4" w:rsidR="00B1441D" w:rsidRDefault="00810B06" w:rsidP="00B1441D">
      <w:pPr>
        <w:spacing w:before="120" w:after="120" w:line="240" w:lineRule="auto"/>
        <w:jc w:val="center"/>
        <w:rPr>
          <w:rFonts w:cs="Arial"/>
          <w:szCs w:val="22"/>
        </w:rPr>
      </w:pPr>
      <w:r>
        <w:rPr>
          <w:rFonts w:cs="Arial"/>
          <w:szCs w:val="22"/>
        </w:rPr>
        <w:t>[REDACTED]</w:t>
      </w:r>
    </w:p>
    <w:p w14:paraId="48C42647" w14:textId="407BDE92" w:rsidR="00B1441D" w:rsidRDefault="00B1441D" w:rsidP="00B1441D">
      <w:pPr>
        <w:spacing w:before="120" w:after="120" w:line="240" w:lineRule="auto"/>
        <w:jc w:val="center"/>
        <w:rPr>
          <w:rFonts w:cs="Arial"/>
          <w:szCs w:val="22"/>
        </w:rPr>
      </w:pPr>
      <w:r>
        <w:rPr>
          <w:rFonts w:cs="Arial"/>
          <w:szCs w:val="22"/>
        </w:rPr>
        <w:t>CCLL18A09 – DLA Piper UK LLP – Pricing Schedule</w:t>
      </w:r>
    </w:p>
    <w:p w14:paraId="0CE82263" w14:textId="5BBED7D6" w:rsidR="00B1441D" w:rsidRPr="00C3320D" w:rsidRDefault="00810B06" w:rsidP="00B1441D">
      <w:pPr>
        <w:spacing w:before="120" w:after="120" w:line="240" w:lineRule="auto"/>
        <w:jc w:val="center"/>
        <w:rPr>
          <w:rFonts w:cs="Arial"/>
          <w:szCs w:val="22"/>
        </w:rPr>
      </w:pPr>
      <w:r>
        <w:rPr>
          <w:rFonts w:cs="Arial"/>
          <w:szCs w:val="22"/>
        </w:rPr>
        <w:t>[REDACTED]</w:t>
      </w:r>
    </w:p>
    <w:p w14:paraId="6B19F9AC" w14:textId="77777777" w:rsidR="00E560CC" w:rsidRPr="00C3320D" w:rsidRDefault="00E560CC" w:rsidP="00B1441D">
      <w:pPr>
        <w:pStyle w:val="MarginText"/>
        <w:spacing w:before="120" w:after="120"/>
        <w:jc w:val="center"/>
        <w:rPr>
          <w:rFonts w:cs="Arial"/>
          <w:b/>
          <w:szCs w:val="22"/>
        </w:rPr>
        <w:sectPr w:rsidR="00E560CC" w:rsidRPr="00C3320D" w:rsidSect="005037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FE7FF7">
          <w:rPr>
            <w:noProof/>
          </w:rPr>
          <w:t>9</w:t>
        </w:r>
        <w:r w:rsidR="00D40F55" w:rsidRPr="00C3320D">
          <w:rPr>
            <w:noProof/>
          </w:rPr>
          <w:fldChar w:fldCharType="end"/>
        </w:r>
      </w:hyperlink>
    </w:p>
    <w:p w14:paraId="39AD6E0A"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FE7FF7">
          <w:rPr>
            <w:noProof/>
          </w:rPr>
          <w:t>10</w:t>
        </w:r>
        <w:r w:rsidR="00D40F55" w:rsidRPr="00C3320D">
          <w:rPr>
            <w:noProof/>
          </w:rPr>
          <w:fldChar w:fldCharType="end"/>
        </w:r>
      </w:hyperlink>
    </w:p>
    <w:p w14:paraId="4D634C19"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FE7FF7">
          <w:rPr>
            <w:noProof/>
          </w:rPr>
          <w:t>10</w:t>
        </w:r>
        <w:r w:rsidR="00D40F55" w:rsidRPr="00C3320D">
          <w:rPr>
            <w:noProof/>
          </w:rPr>
          <w:fldChar w:fldCharType="end"/>
        </w:r>
      </w:hyperlink>
    </w:p>
    <w:p w14:paraId="756B4C72"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FE7FF7">
          <w:rPr>
            <w:noProof/>
          </w:rPr>
          <w:t>14</w:t>
        </w:r>
        <w:r w:rsidR="00D40F55" w:rsidRPr="00C3320D">
          <w:rPr>
            <w:noProof/>
          </w:rPr>
          <w:fldChar w:fldCharType="end"/>
        </w:r>
      </w:hyperlink>
    </w:p>
    <w:p w14:paraId="3060AACD"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FE7FF7">
          <w:rPr>
            <w:noProof/>
          </w:rPr>
          <w:t>15</w:t>
        </w:r>
        <w:r w:rsidR="00D40F55" w:rsidRPr="00C3320D">
          <w:rPr>
            <w:noProof/>
          </w:rPr>
          <w:fldChar w:fldCharType="end"/>
        </w:r>
      </w:hyperlink>
    </w:p>
    <w:p w14:paraId="078537D8"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FE7FF7">
          <w:rPr>
            <w:noProof/>
          </w:rPr>
          <w:t>21</w:t>
        </w:r>
        <w:r w:rsidR="00D40F55" w:rsidRPr="00C3320D">
          <w:rPr>
            <w:noProof/>
          </w:rPr>
          <w:fldChar w:fldCharType="end"/>
        </w:r>
      </w:hyperlink>
    </w:p>
    <w:p w14:paraId="1CBC03E1"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FE7FF7">
          <w:rPr>
            <w:noProof/>
          </w:rPr>
          <w:t>23</w:t>
        </w:r>
        <w:r w:rsidR="00D40F55" w:rsidRPr="00C3320D">
          <w:rPr>
            <w:noProof/>
          </w:rPr>
          <w:fldChar w:fldCharType="end"/>
        </w:r>
      </w:hyperlink>
    </w:p>
    <w:p w14:paraId="73EDA13B"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FE7FF7">
          <w:rPr>
            <w:noProof/>
          </w:rPr>
          <w:t>25</w:t>
        </w:r>
        <w:r w:rsidR="00D40F55" w:rsidRPr="00C3320D">
          <w:rPr>
            <w:noProof/>
          </w:rPr>
          <w:fldChar w:fldCharType="end"/>
        </w:r>
      </w:hyperlink>
    </w:p>
    <w:p w14:paraId="7E4F541C"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FE7FF7">
          <w:rPr>
            <w:noProof/>
          </w:rPr>
          <w:t>25</w:t>
        </w:r>
        <w:r w:rsidR="00D40F55" w:rsidRPr="00C3320D">
          <w:rPr>
            <w:noProof/>
          </w:rPr>
          <w:fldChar w:fldCharType="end"/>
        </w:r>
      </w:hyperlink>
    </w:p>
    <w:p w14:paraId="445AA3CB"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FE7FF7">
          <w:rPr>
            <w:noProof/>
          </w:rPr>
          <w:t>30</w:t>
        </w:r>
        <w:r w:rsidR="00D40F55" w:rsidRPr="00C3320D">
          <w:rPr>
            <w:noProof/>
          </w:rPr>
          <w:fldChar w:fldCharType="end"/>
        </w:r>
      </w:hyperlink>
    </w:p>
    <w:p w14:paraId="644A72B1"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FE7FF7">
          <w:rPr>
            <w:noProof/>
          </w:rPr>
          <w:t>32</w:t>
        </w:r>
        <w:r w:rsidR="00D40F55" w:rsidRPr="00C3320D">
          <w:rPr>
            <w:noProof/>
          </w:rPr>
          <w:fldChar w:fldCharType="end"/>
        </w:r>
      </w:hyperlink>
    </w:p>
    <w:p w14:paraId="171EE93D"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FE7FF7">
          <w:rPr>
            <w:noProof/>
          </w:rPr>
          <w:t>35</w:t>
        </w:r>
        <w:r w:rsidR="00D40F55" w:rsidRPr="00C3320D">
          <w:rPr>
            <w:noProof/>
          </w:rPr>
          <w:fldChar w:fldCharType="end"/>
        </w:r>
      </w:hyperlink>
    </w:p>
    <w:p w14:paraId="17E68315"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FE7FF7">
          <w:rPr>
            <w:noProof/>
          </w:rPr>
          <w:t>37</w:t>
        </w:r>
        <w:r w:rsidR="00D40F55" w:rsidRPr="00C3320D">
          <w:rPr>
            <w:noProof/>
          </w:rPr>
          <w:fldChar w:fldCharType="end"/>
        </w:r>
      </w:hyperlink>
    </w:p>
    <w:p w14:paraId="013F7FC5"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FE7FF7">
          <w:rPr>
            <w:noProof/>
          </w:rPr>
          <w:t>37</w:t>
        </w:r>
        <w:r w:rsidR="00D40F55" w:rsidRPr="00C3320D">
          <w:rPr>
            <w:noProof/>
          </w:rPr>
          <w:fldChar w:fldCharType="end"/>
        </w:r>
      </w:hyperlink>
    </w:p>
    <w:p w14:paraId="7C155273"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FE7FF7">
          <w:rPr>
            <w:noProof/>
          </w:rPr>
          <w:t>38</w:t>
        </w:r>
        <w:r w:rsidR="00D40F55" w:rsidRPr="00C3320D">
          <w:rPr>
            <w:noProof/>
          </w:rPr>
          <w:fldChar w:fldCharType="end"/>
        </w:r>
      </w:hyperlink>
    </w:p>
    <w:p w14:paraId="5908F439"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FE7FF7">
          <w:rPr>
            <w:noProof/>
          </w:rPr>
          <w:t>39</w:t>
        </w:r>
        <w:r w:rsidR="00D40F55" w:rsidRPr="00C3320D">
          <w:rPr>
            <w:noProof/>
          </w:rPr>
          <w:fldChar w:fldCharType="end"/>
        </w:r>
      </w:hyperlink>
    </w:p>
    <w:p w14:paraId="478E0A0B"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FE7FF7">
          <w:rPr>
            <w:noProof/>
          </w:rPr>
          <w:t>40</w:t>
        </w:r>
        <w:r w:rsidR="00D40F55" w:rsidRPr="00C3320D">
          <w:rPr>
            <w:noProof/>
          </w:rPr>
          <w:fldChar w:fldCharType="end"/>
        </w:r>
      </w:hyperlink>
    </w:p>
    <w:p w14:paraId="2F2431F2"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FE7FF7">
          <w:rPr>
            <w:noProof/>
          </w:rPr>
          <w:t>40</w:t>
        </w:r>
        <w:r w:rsidR="00D40F55" w:rsidRPr="00C3320D">
          <w:rPr>
            <w:noProof/>
          </w:rPr>
          <w:fldChar w:fldCharType="end"/>
        </w:r>
      </w:hyperlink>
    </w:p>
    <w:p w14:paraId="1A9CE49D"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FE7FF7">
          <w:rPr>
            <w:noProof/>
          </w:rPr>
          <w:t>40</w:t>
        </w:r>
        <w:r w:rsidR="00D40F55" w:rsidRPr="00C3320D">
          <w:rPr>
            <w:noProof/>
          </w:rPr>
          <w:fldChar w:fldCharType="end"/>
        </w:r>
      </w:hyperlink>
    </w:p>
    <w:p w14:paraId="0FFB0A65"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FE7FF7">
          <w:rPr>
            <w:noProof/>
          </w:rPr>
          <w:t>40</w:t>
        </w:r>
        <w:r w:rsidR="00D40F55" w:rsidRPr="00C3320D">
          <w:rPr>
            <w:noProof/>
          </w:rPr>
          <w:fldChar w:fldCharType="end"/>
        </w:r>
      </w:hyperlink>
    </w:p>
    <w:p w14:paraId="2CCA7060"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FE7FF7">
          <w:rPr>
            <w:noProof/>
          </w:rPr>
          <w:t>41</w:t>
        </w:r>
        <w:r w:rsidR="00D40F55" w:rsidRPr="00C3320D">
          <w:rPr>
            <w:noProof/>
          </w:rPr>
          <w:fldChar w:fldCharType="end"/>
        </w:r>
      </w:hyperlink>
    </w:p>
    <w:p w14:paraId="6D45E8BE"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FE7FF7">
          <w:rPr>
            <w:noProof/>
          </w:rPr>
          <w:t>41</w:t>
        </w:r>
        <w:r w:rsidR="00D40F55" w:rsidRPr="00C3320D">
          <w:rPr>
            <w:noProof/>
          </w:rPr>
          <w:fldChar w:fldCharType="end"/>
        </w:r>
      </w:hyperlink>
    </w:p>
    <w:p w14:paraId="2DFEA102"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FE7FF7">
          <w:rPr>
            <w:noProof/>
          </w:rPr>
          <w:t>41</w:t>
        </w:r>
        <w:r w:rsidR="00D40F55" w:rsidRPr="00C3320D">
          <w:rPr>
            <w:noProof/>
          </w:rPr>
          <w:fldChar w:fldCharType="end"/>
        </w:r>
      </w:hyperlink>
    </w:p>
    <w:p w14:paraId="1C73976E"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FE7FF7">
          <w:rPr>
            <w:noProof/>
          </w:rPr>
          <w:t>42</w:t>
        </w:r>
        <w:r w:rsidR="00D40F55" w:rsidRPr="00C3320D">
          <w:rPr>
            <w:noProof/>
          </w:rPr>
          <w:fldChar w:fldCharType="end"/>
        </w:r>
      </w:hyperlink>
    </w:p>
    <w:p w14:paraId="1985184D"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FE7FF7">
          <w:rPr>
            <w:noProof/>
          </w:rPr>
          <w:t>44</w:t>
        </w:r>
        <w:r w:rsidR="00D40F55" w:rsidRPr="00C3320D">
          <w:rPr>
            <w:noProof/>
          </w:rPr>
          <w:fldChar w:fldCharType="end"/>
        </w:r>
      </w:hyperlink>
    </w:p>
    <w:p w14:paraId="22020470"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FE7FF7">
          <w:rPr>
            <w:noProof/>
          </w:rPr>
          <w:t>55</w:t>
        </w:r>
        <w:r w:rsidR="00D40F55" w:rsidRPr="00C3320D">
          <w:rPr>
            <w:noProof/>
          </w:rPr>
          <w:fldChar w:fldCharType="end"/>
        </w:r>
      </w:hyperlink>
    </w:p>
    <w:p w14:paraId="4270F496"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FE7FF7">
          <w:rPr>
            <w:noProof/>
          </w:rPr>
          <w:t>66</w:t>
        </w:r>
        <w:r w:rsidR="00D40F55" w:rsidRPr="00C3320D">
          <w:rPr>
            <w:noProof/>
          </w:rPr>
          <w:fldChar w:fldCharType="end"/>
        </w:r>
      </w:hyperlink>
    </w:p>
    <w:p w14:paraId="0263E54E" w14:textId="77777777" w:rsidR="00D40F55" w:rsidRPr="00C3320D" w:rsidRDefault="005B0BCF">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FE7FF7">
          <w:rPr>
            <w:noProof/>
          </w:rPr>
          <w:t>99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316127BA" w14:textId="1EB031C7" w:rsidR="00415BB5" w:rsidRPr="00443CFD" w:rsidRDefault="00415BB5" w:rsidP="00443CFD">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lastRenderedPageBreak/>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lastRenderedPageBreak/>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lastRenderedPageBreak/>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lastRenderedPageBreak/>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lastRenderedPageBreak/>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C280084" w:rsidR="00E56DC7" w:rsidRPr="00FE7FF7" w:rsidRDefault="007562F7" w:rsidP="00D40F55">
      <w:pPr>
        <w:pStyle w:val="Heading3"/>
        <w:spacing w:before="120" w:after="120"/>
        <w:rPr>
          <w:rFonts w:cs="Arial"/>
          <w:szCs w:val="22"/>
        </w:rPr>
      </w:pPr>
      <w:r w:rsidRPr="00FE7FF7">
        <w:rPr>
          <w:rFonts w:cs="Arial"/>
          <w:szCs w:val="22"/>
        </w:rPr>
        <w:t xml:space="preserve">In consideration of the </w:t>
      </w:r>
      <w:r w:rsidR="00151B56" w:rsidRPr="00FE7FF7">
        <w:rPr>
          <w:rFonts w:cs="Arial"/>
          <w:szCs w:val="22"/>
        </w:rPr>
        <w:t>Supplier</w:t>
      </w:r>
      <w:r w:rsidRPr="00FE7FF7">
        <w:rPr>
          <w:rFonts w:cs="Arial"/>
          <w:szCs w:val="22"/>
        </w:rPr>
        <w:t xml:space="preserve">'s performance of its obligations under </w:t>
      </w:r>
      <w:r w:rsidR="002479FD" w:rsidRPr="00FE7FF7">
        <w:rPr>
          <w:rFonts w:cs="Arial"/>
          <w:szCs w:val="22"/>
        </w:rPr>
        <w:t>this</w:t>
      </w:r>
      <w:r w:rsidR="00A34A70" w:rsidRPr="00FE7FF7">
        <w:rPr>
          <w:rFonts w:cs="Arial"/>
          <w:szCs w:val="22"/>
        </w:rPr>
        <w:t xml:space="preserve"> </w:t>
      </w:r>
      <w:r w:rsidR="008C689D" w:rsidRPr="00FE7FF7">
        <w:rPr>
          <w:rFonts w:cs="Arial"/>
          <w:szCs w:val="22"/>
        </w:rPr>
        <w:t>Legal Services Contract</w:t>
      </w:r>
      <w:r w:rsidRPr="00FE7FF7">
        <w:rPr>
          <w:rFonts w:cs="Arial"/>
          <w:szCs w:val="22"/>
        </w:rPr>
        <w:t xml:space="preserve">, the </w:t>
      </w:r>
      <w:r w:rsidR="00C158E8" w:rsidRPr="00FE7FF7">
        <w:rPr>
          <w:rFonts w:cs="Arial"/>
          <w:szCs w:val="22"/>
        </w:rPr>
        <w:t>Customer</w:t>
      </w:r>
      <w:r w:rsidRPr="00FE7FF7">
        <w:rPr>
          <w:rFonts w:cs="Arial"/>
          <w:szCs w:val="22"/>
        </w:rPr>
        <w:t xml:space="preserve"> shall pay the</w:t>
      </w:r>
      <w:r w:rsidR="00A34A70" w:rsidRPr="00FE7FF7">
        <w:rPr>
          <w:rFonts w:cs="Arial"/>
          <w:szCs w:val="22"/>
        </w:rPr>
        <w:t xml:space="preserve"> undisputed</w:t>
      </w:r>
      <w:r w:rsidRPr="00FE7FF7">
        <w:rPr>
          <w:rFonts w:cs="Arial"/>
          <w:szCs w:val="22"/>
        </w:rPr>
        <w:t xml:space="preserve"> </w:t>
      </w:r>
      <w:r w:rsidR="00AB51E9" w:rsidRPr="00FE7FF7">
        <w:rPr>
          <w:rFonts w:cs="Arial"/>
          <w:szCs w:val="22"/>
        </w:rPr>
        <w:t>Charges</w:t>
      </w:r>
      <w:r w:rsidRPr="00FE7FF7">
        <w:rPr>
          <w:rFonts w:cs="Arial"/>
          <w:szCs w:val="22"/>
        </w:rPr>
        <w:t xml:space="preserve"> in accordance with </w:t>
      </w:r>
      <w:r w:rsidR="00304EEF" w:rsidRPr="00FE7FF7">
        <w:rPr>
          <w:rFonts w:cs="Arial"/>
          <w:szCs w:val="22"/>
        </w:rPr>
        <w:t xml:space="preserve">this </w:t>
      </w:r>
      <w:r w:rsidR="00E6002D" w:rsidRPr="00FE7FF7">
        <w:rPr>
          <w:rFonts w:cs="Arial"/>
          <w:szCs w:val="22"/>
        </w:rPr>
        <w:t>Clause </w:t>
      </w:r>
      <w:r w:rsidR="00304EEF" w:rsidRPr="00FE7FF7">
        <w:rPr>
          <w:rFonts w:cs="Arial"/>
          <w:szCs w:val="22"/>
        </w:rPr>
        <w:t>6</w:t>
      </w:r>
      <w:r w:rsidR="00AC4EAD" w:rsidRPr="00FE7FF7">
        <w:rPr>
          <w:rFonts w:cs="Arial"/>
          <w:szCs w:val="22"/>
        </w:rPr>
        <w:t xml:space="preserve"> </w:t>
      </w:r>
      <w:r w:rsidRPr="00FE7FF7">
        <w:rPr>
          <w:rFonts w:cs="Arial"/>
          <w:szCs w:val="22"/>
        </w:rPr>
        <w:t>(</w:t>
      </w:r>
      <w:r w:rsidR="00A34A70" w:rsidRPr="00FE7FF7">
        <w:rPr>
          <w:rFonts w:cs="Arial"/>
          <w:szCs w:val="22"/>
        </w:rPr>
        <w:t>Charges and Invoicing)</w:t>
      </w:r>
      <w:r w:rsidRPr="00FE7FF7">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55A8BD11"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 xml:space="preserve">save in the </w:t>
      </w:r>
      <w:r w:rsidRPr="00C3320D">
        <w:rPr>
          <w:rFonts w:cs="Arial"/>
          <w:szCs w:val="22"/>
        </w:rPr>
        <w:lastRenderedPageBreak/>
        <w:t>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w:t>
      </w:r>
      <w:r w:rsidRPr="00C3320D">
        <w:rPr>
          <w:rFonts w:cs="Arial"/>
          <w:szCs w:val="22"/>
        </w:rPr>
        <w:lastRenderedPageBreak/>
        <w:t xml:space="preserve">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w:t>
      </w:r>
      <w:r w:rsidRPr="00C3320D">
        <w:rPr>
          <w:rFonts w:cs="Arial"/>
          <w:szCs w:val="22"/>
        </w:rPr>
        <w:lastRenderedPageBreak/>
        <w:t xml:space="preserve">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t>
      </w:r>
      <w:r w:rsidRPr="00C3320D">
        <w:rPr>
          <w:rFonts w:cs="Arial"/>
          <w:szCs w:val="22"/>
        </w:rPr>
        <w:lastRenderedPageBreak/>
        <w:t xml:space="preserve">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lastRenderedPageBreak/>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lastRenderedPageBreak/>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lastRenderedPageBreak/>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t>
      </w:r>
      <w:r w:rsidRPr="00C3320D">
        <w:rPr>
          <w:rFonts w:cs="Arial"/>
          <w:szCs w:val="22"/>
        </w:rPr>
        <w:lastRenderedPageBreak/>
        <w:t xml:space="preserve">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w:t>
      </w:r>
      <w:r w:rsidRPr="00C3320D">
        <w:rPr>
          <w:rFonts w:cs="Arial"/>
          <w:szCs w:val="22"/>
        </w:rPr>
        <w:lastRenderedPageBreak/>
        <w:t xml:space="preserve">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lastRenderedPageBreak/>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lastRenderedPageBreak/>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lastRenderedPageBreak/>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w:t>
      </w:r>
      <w:r w:rsidRPr="00C3320D">
        <w:rPr>
          <w:rFonts w:cs="Arial"/>
          <w:szCs w:val="22"/>
        </w:rPr>
        <w:lastRenderedPageBreak/>
        <w:t xml:space="preserve">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 xml:space="preserve">failing agreement, either of the Parties may invite the Contract Mediator to provide a non-binding but informative opinion in writing. Such an opinion shall be provided on a without prejudice basis and </w:t>
      </w:r>
      <w:r w:rsidRPr="00C3320D">
        <w:rPr>
          <w:rFonts w:cs="Arial"/>
          <w:szCs w:val="22"/>
        </w:rPr>
        <w:lastRenderedPageBreak/>
        <w:t>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6BE2BA5"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w:t>
            </w:r>
            <w:r w:rsidRPr="00FE7FF7">
              <w:rPr>
                <w:rFonts w:cs="Arial"/>
                <w:szCs w:val="22"/>
              </w:rPr>
              <w:t xml:space="preserve">panel agreement between the Authority and the Supplier dated </w:t>
            </w:r>
            <w:r w:rsidR="00443CFD">
              <w:rPr>
                <w:rFonts w:cs="Arial"/>
                <w:szCs w:val="22"/>
              </w:rPr>
              <w:t>22</w:t>
            </w:r>
            <w:r w:rsidR="00FE7FF7" w:rsidRPr="00FE7FF7">
              <w:rPr>
                <w:rFonts w:cs="Arial"/>
                <w:szCs w:val="22"/>
              </w:rPr>
              <w:t>/02/2018</w:t>
            </w:r>
            <w:r w:rsidRPr="00FE7FF7">
              <w:rPr>
                <w:rFonts w:cs="Arial"/>
                <w:szCs w:val="22"/>
              </w:rPr>
              <w:t xml:space="preserve"> and</w:t>
            </w:r>
            <w:r w:rsidRPr="00C3320D">
              <w:rPr>
                <w:rFonts w:cs="Arial"/>
                <w:szCs w:val="22"/>
              </w:rPr>
              <w:t xml:space="preserve">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1702415"/>
      <w:bookmarkEnd w:id="210"/>
      <w:r w:rsidRPr="00C3320D">
        <w:rPr>
          <w:rFonts w:cs="Arial"/>
          <w:szCs w:val="22"/>
        </w:rPr>
        <w:t xml:space="preserve">CONTRACT </w:t>
      </w:r>
      <w:r w:rsidR="00EE4546" w:rsidRPr="00C3320D">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0" w:name="_Ref364241015"/>
      <w:r w:rsidRPr="00C3320D">
        <w:rPr>
          <w:rFonts w:ascii="Arial" w:hAnsi="Arial"/>
        </w:rPr>
        <w:t>create and maintain a Register of all:</w:t>
      </w:r>
      <w:bookmarkEnd w:id="22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3"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7" w:name="_Ref364270026"/>
      <w:r w:rsidRPr="00C3320D">
        <w:rPr>
          <w:rFonts w:ascii="Arial" w:hAnsi="Arial"/>
        </w:rPr>
        <w:t>Unless otherwise specified by the Customer or Approved, the Exit Plan shall set out, as a minimum:</w:t>
      </w:r>
      <w:bookmarkEnd w:id="22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2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14:paraId="6D3D33C3" w14:textId="77777777" w:rsidR="00EE4546" w:rsidRPr="00C3320D" w:rsidRDefault="00EE4546" w:rsidP="00D40F55">
      <w:pPr>
        <w:pStyle w:val="GPSL3numberedclause"/>
        <w:rPr>
          <w:rFonts w:ascii="Arial" w:hAnsi="Arial"/>
        </w:rPr>
      </w:pPr>
      <w:bookmarkStart w:id="23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1"/>
    </w:p>
    <w:p w14:paraId="3A36C9B8" w14:textId="77777777" w:rsidR="00EE4546" w:rsidRPr="00C3320D" w:rsidRDefault="00EE4546" w:rsidP="00D40F55">
      <w:pPr>
        <w:pStyle w:val="GPSL3numberedclause"/>
        <w:rPr>
          <w:rFonts w:ascii="Arial" w:hAnsi="Arial"/>
        </w:rPr>
      </w:pPr>
      <w:bookmarkStart w:id="232" w:name="_Ref27372751"/>
      <w:bookmarkStart w:id="233" w:name="_Ref127426020"/>
      <w:r w:rsidRPr="00C3320D">
        <w:rPr>
          <w:rFonts w:ascii="Arial" w:hAnsi="Arial"/>
        </w:rPr>
        <w:t>at the Customer's request and on reasonable notice, deliver up-to-date Registers to the</w:t>
      </w:r>
      <w:bookmarkEnd w:id="232"/>
      <w:r w:rsidRPr="00C3320D">
        <w:rPr>
          <w:rFonts w:ascii="Arial" w:hAnsi="Arial"/>
        </w:rPr>
        <w:t xml:space="preserve"> Customer.</w:t>
      </w:r>
      <w:bookmarkEnd w:id="23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4" w:name="_Ref127352385"/>
      <w:r w:rsidRPr="00C3320D">
        <w:rPr>
          <w:rFonts w:ascii="Arial" w:hAnsi="Arial"/>
        </w:rPr>
        <w:t>The Supplier shall comply with all of its obligations contained in the Exit Plan.</w:t>
      </w:r>
      <w:bookmarkEnd w:id="234"/>
    </w:p>
    <w:p w14:paraId="06A3AE66" w14:textId="77777777" w:rsidR="00EE4546" w:rsidRPr="00C3320D" w:rsidRDefault="00EE4546" w:rsidP="00D40F55">
      <w:pPr>
        <w:pStyle w:val="GPSL2numberedclause"/>
        <w:rPr>
          <w:rFonts w:ascii="Arial" w:hAnsi="Arial"/>
        </w:rPr>
      </w:pPr>
      <w:bookmarkStart w:id="23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6" w:name="_DV_M565"/>
      <w:bookmarkEnd w:id="23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7"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39" w:name="_Ref127425445"/>
      <w:r w:rsidRPr="00C3320D">
        <w:rPr>
          <w:rFonts w:ascii="Arial" w:hAnsi="Arial"/>
        </w:rPr>
        <w:t xml:space="preserve">ASSETS and SUB-CONTRACTS </w:t>
      </w:r>
      <w:bookmarkEnd w:id="239"/>
    </w:p>
    <w:p w14:paraId="62C6516B" w14:textId="77777777" w:rsidR="00EE4546" w:rsidRPr="00C3320D" w:rsidRDefault="00EE4546" w:rsidP="00D40F55">
      <w:pPr>
        <w:pStyle w:val="GPSL2numberedclause"/>
        <w:rPr>
          <w:rFonts w:ascii="Arial" w:hAnsi="Arial"/>
        </w:rPr>
      </w:pPr>
      <w:bookmarkStart w:id="240" w:name="_Ref127425768"/>
      <w:r w:rsidRPr="00C3320D">
        <w:rPr>
          <w:rFonts w:ascii="Arial" w:hAnsi="Arial"/>
        </w:rPr>
        <w:t>Following notice of termination of this Contract  and during the Termination Assistance Period, the Supplier shall not, without the Customer's prior written consent:</w:t>
      </w:r>
      <w:bookmarkEnd w:id="24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1"/>
    </w:p>
    <w:p w14:paraId="70E3987E" w14:textId="77777777" w:rsidR="00EE4546" w:rsidRPr="00C3320D" w:rsidRDefault="00EE4546" w:rsidP="00D40F55">
      <w:pPr>
        <w:pStyle w:val="GPSL3numberedclause"/>
        <w:rPr>
          <w:rFonts w:ascii="Arial" w:hAnsi="Arial"/>
        </w:rPr>
      </w:pPr>
      <w:bookmarkStart w:id="242" w:name="_Ref364352534"/>
      <w:bookmarkStart w:id="24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2"/>
      <w:r w:rsidRPr="00C3320D">
        <w:rPr>
          <w:rFonts w:ascii="Arial" w:hAnsi="Arial"/>
        </w:rPr>
        <w:t xml:space="preserve"> </w:t>
      </w:r>
      <w:bookmarkEnd w:id="243"/>
    </w:p>
    <w:p w14:paraId="665E12EE" w14:textId="77777777" w:rsidR="00EE4546" w:rsidRPr="00C3320D" w:rsidRDefault="00EE4546" w:rsidP="00D40F55">
      <w:pPr>
        <w:pStyle w:val="GPSL3numberedclause"/>
        <w:rPr>
          <w:rFonts w:ascii="Arial" w:hAnsi="Arial"/>
        </w:rPr>
      </w:pPr>
      <w:bookmarkStart w:id="244" w:name="a301038"/>
      <w:bookmarkStart w:id="245" w:name="_Ref364350801"/>
      <w:bookmarkStart w:id="246" w:name="_Ref127958943"/>
      <w:bookmarkEnd w:id="244"/>
      <w:r w:rsidRPr="00C3320D">
        <w:rPr>
          <w:rFonts w:ascii="Arial" w:hAnsi="Arial"/>
        </w:rPr>
        <w:t>which, if any, of:</w:t>
      </w:r>
      <w:bookmarkEnd w:id="24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6"/>
      <w:bookmarkEnd w:id="247"/>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0" w:name="_Ref127426673"/>
      <w:bookmarkEnd w:id="24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14:paraId="22A18A65" w14:textId="77777777" w:rsidR="00EE4546" w:rsidRPr="00C3320D" w:rsidRDefault="00EE4546" w:rsidP="00D40F55">
      <w:pPr>
        <w:pStyle w:val="GPSL2numberedclause"/>
        <w:rPr>
          <w:rFonts w:ascii="Arial" w:hAnsi="Arial"/>
        </w:rPr>
      </w:pPr>
      <w:bookmarkStart w:id="25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3" w:name="_DV_M564"/>
      <w:bookmarkStart w:id="254" w:name="_DV_M566"/>
      <w:bookmarkStart w:id="255" w:name="_DV_M567"/>
      <w:bookmarkEnd w:id="253"/>
      <w:bookmarkEnd w:id="254"/>
      <w:bookmarkEnd w:id="25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58"/>
      <w:r w:rsidRPr="00C3320D">
        <w:rPr>
          <w:rFonts w:ascii="Arial" w:hAnsi="Arial"/>
        </w:rPr>
        <w:t xml:space="preserve">CHARGES </w:t>
      </w:r>
      <w:bookmarkEnd w:id="256"/>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C3320D">
        <w:rPr>
          <w:rFonts w:ascii="Arial" w:hAnsi="Arial"/>
        </w:rPr>
        <w:t>) as follows:</w:t>
      </w:r>
      <w:bookmarkEnd w:id="257"/>
      <w:bookmarkEnd w:id="25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1702416"/>
      <w:r w:rsidRPr="00C3320D">
        <w:rPr>
          <w:rFonts w:cs="Arial"/>
          <w:szCs w:val="22"/>
        </w:rPr>
        <w:lastRenderedPageBreak/>
        <w:t>CONTRACT SCHEDULE 3: STAFF TRANSFER</w:t>
      </w:r>
      <w:bookmarkEnd w:id="259"/>
      <w:bookmarkEnd w:id="260"/>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1" w:name="_Ref384036770"/>
      <w:r w:rsidRPr="00C3320D">
        <w:rPr>
          <w:rFonts w:ascii="Arial" w:hAnsi="Arial"/>
        </w:rPr>
        <w:t>DEFINITIONS</w:t>
      </w:r>
      <w:bookmarkEnd w:id="26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C3320D" w:rsidRDefault="00FA30C4" w:rsidP="00D40F55">
      <w:pPr>
        <w:pStyle w:val="GPSL2numberedclause"/>
        <w:rPr>
          <w:rFonts w:ascii="Arial" w:hAnsi="Arial"/>
        </w:rPr>
      </w:pPr>
      <w:bookmarkStart w:id="26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4" w:name="_Toc431551205"/>
      <w:r w:rsidRPr="00C3320D">
        <w:rPr>
          <w:rFonts w:ascii="Arial" w:hAnsi="Arial" w:cs="Arial"/>
        </w:rPr>
        <w:lastRenderedPageBreak/>
        <w:t>ANNEX TO PART A: PENSIONS</w:t>
      </w:r>
      <w:bookmarkEnd w:id="264"/>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6"/>
      <w:r w:rsidRPr="00C3320D">
        <w:rPr>
          <w:rFonts w:ascii="Arial" w:hAnsi="Arial" w:cs="Arial"/>
        </w:rPr>
        <w:lastRenderedPageBreak/>
        <w:t>ANNEX TO PART B: Pensions</w:t>
      </w:r>
      <w:bookmarkEnd w:id="266"/>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1702417"/>
      <w:r w:rsidRPr="00C3320D">
        <w:rPr>
          <w:rFonts w:cs="Arial"/>
          <w:szCs w:val="22"/>
        </w:rPr>
        <w:lastRenderedPageBreak/>
        <w:t>CONTRACT SCHEDULE 4: TRANSPARENCY REPORTS</w:t>
      </w:r>
      <w:bookmarkEnd w:id="269"/>
      <w:bookmarkEnd w:id="270"/>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lastRenderedPageBreak/>
        <w:t>ANNEX 1: LIST OF TRANSPARENCY REPORTS</w:t>
      </w:r>
      <w:bookmarkEnd w:id="2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894982C" w14:textId="77777777" w:rsidR="00FE7FF7" w:rsidRDefault="00FE7FF7" w:rsidP="00FE7FF7">
            <w:pPr>
              <w:tabs>
                <w:tab w:val="left" w:pos="3380"/>
              </w:tabs>
              <w:spacing w:before="120" w:after="120" w:line="240" w:lineRule="auto"/>
              <w:jc w:val="left"/>
              <w:rPr>
                <w:rFonts w:cs="Arial"/>
                <w:szCs w:val="22"/>
                <w:lang w:eastAsia="en-GB"/>
              </w:rPr>
            </w:pPr>
            <w:r>
              <w:rPr>
                <w:rFonts w:cs="Arial"/>
                <w:szCs w:val="22"/>
                <w:lang w:eastAsia="en-GB"/>
              </w:rPr>
              <w:t>Award Letter</w:t>
            </w:r>
          </w:p>
          <w:p w14:paraId="6B772982" w14:textId="479E8230" w:rsidR="005A3C1B" w:rsidRPr="00C3320D" w:rsidRDefault="00FE7FF7" w:rsidP="00FE7FF7">
            <w:pPr>
              <w:tabs>
                <w:tab w:val="left" w:pos="3380"/>
              </w:tabs>
              <w:spacing w:before="120" w:after="120" w:line="240" w:lineRule="auto"/>
              <w:jc w:val="left"/>
              <w:rPr>
                <w:rFonts w:cs="Arial"/>
                <w:szCs w:val="22"/>
                <w:lang w:eastAsia="en-GB"/>
              </w:rPr>
            </w:pPr>
            <w:r>
              <w:rPr>
                <w:rFonts w:cs="Arial"/>
                <w:szCs w:val="22"/>
                <w:lang w:eastAsia="en-GB"/>
              </w:rPr>
              <w:t>Schedule 4 Order Form Terms and Conditions</w:t>
            </w:r>
            <w:r w:rsidR="005A3C1B"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FE7FF7">
            <w:pPr>
              <w:spacing w:before="120" w:after="120" w:line="240" w:lineRule="auto"/>
              <w:jc w:val="left"/>
              <w:rPr>
                <w:rFonts w:cs="Arial"/>
                <w:szCs w:val="22"/>
                <w:lang w:eastAsia="en-GB"/>
              </w:rPr>
            </w:pPr>
          </w:p>
          <w:p w14:paraId="367F2A79" w14:textId="28B3CEC3" w:rsidR="005A3C1B" w:rsidRPr="00C3320D" w:rsidRDefault="00FE7FF7" w:rsidP="00FE7FF7">
            <w:pPr>
              <w:spacing w:before="120" w:after="120" w:line="240" w:lineRule="auto"/>
              <w:jc w:val="left"/>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FE7FF7">
            <w:pPr>
              <w:spacing w:before="120" w:after="120" w:line="240" w:lineRule="auto"/>
              <w:jc w:val="left"/>
              <w:rPr>
                <w:rFonts w:cs="Arial"/>
                <w:szCs w:val="22"/>
                <w:lang w:eastAsia="en-GB"/>
              </w:rPr>
            </w:pPr>
          </w:p>
          <w:p w14:paraId="10353089" w14:textId="1781BF13" w:rsidR="005A3C1B" w:rsidRPr="00C3320D" w:rsidRDefault="00FE7FF7" w:rsidP="00FE7FF7">
            <w:pPr>
              <w:spacing w:before="120" w:after="120" w:line="240" w:lineRule="auto"/>
              <w:jc w:val="left"/>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FE7FF7">
            <w:pPr>
              <w:spacing w:before="120" w:after="120" w:line="240" w:lineRule="auto"/>
              <w:jc w:val="left"/>
              <w:rPr>
                <w:rFonts w:cs="Arial"/>
                <w:szCs w:val="22"/>
                <w:lang w:eastAsia="en-GB"/>
              </w:rPr>
            </w:pPr>
          </w:p>
          <w:p w14:paraId="33B5BAB5" w14:textId="18D240C2" w:rsidR="005A3C1B" w:rsidRPr="00C3320D" w:rsidRDefault="00FE7FF7" w:rsidP="00FE7FF7">
            <w:pPr>
              <w:spacing w:before="120" w:after="120" w:line="240" w:lineRule="auto"/>
              <w:jc w:val="left"/>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D4315" w14:textId="77777777" w:rsidR="005B0BCF" w:rsidRDefault="005B0BCF">
      <w:pPr>
        <w:spacing w:after="0" w:line="20" w:lineRule="exact"/>
      </w:pPr>
    </w:p>
  </w:endnote>
  <w:endnote w:type="continuationSeparator" w:id="0">
    <w:p w14:paraId="1390DDA2" w14:textId="77777777" w:rsidR="005B0BCF" w:rsidRDefault="005B0BCF">
      <w:pPr>
        <w:spacing w:after="0" w:line="20" w:lineRule="exact"/>
      </w:pPr>
    </w:p>
  </w:endnote>
  <w:endnote w:type="continuationNotice" w:id="1">
    <w:p w14:paraId="28EF2F27" w14:textId="77777777" w:rsidR="005B0BCF" w:rsidRDefault="005B0BC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A97667" w:rsidRDefault="00A9766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A97667" w:rsidRDefault="00A9766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A97667" w:rsidRDefault="00A97667"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5211E50B" w:rsidR="00A97667" w:rsidRPr="00175977" w:rsidRDefault="00A97667" w:rsidP="00D35C2B">
    <w:pPr>
      <w:pStyle w:val="Footer"/>
      <w:jc w:val="left"/>
      <w:rPr>
        <w:sz w:val="16"/>
        <w:szCs w:val="16"/>
      </w:rPr>
    </w:pPr>
    <w:r w:rsidRPr="00175977">
      <w:rPr>
        <w:sz w:val="16"/>
        <w:szCs w:val="16"/>
      </w:rPr>
      <w:t xml:space="preserve">RM3756 Panel – Version 1 </w:t>
    </w:r>
  </w:p>
  <w:p w14:paraId="4259A12B" w14:textId="5D064408" w:rsidR="00A97667" w:rsidRPr="00175977" w:rsidRDefault="00A97667" w:rsidP="00D35C2B">
    <w:pPr>
      <w:pStyle w:val="Footer"/>
      <w:jc w:val="left"/>
      <w:rPr>
        <w:sz w:val="16"/>
        <w:szCs w:val="16"/>
      </w:rPr>
    </w:pPr>
    <w:r w:rsidRPr="00175977">
      <w:rPr>
        <w:sz w:val="16"/>
        <w:szCs w:val="16"/>
      </w:rPr>
      <w:t>Attachment 8 Panel Agreement Schedule 4 – Rail Legal Services Contract and Order Form</w:t>
    </w:r>
  </w:p>
  <w:p w14:paraId="0388C5B1" w14:textId="7089D528" w:rsidR="00A97667" w:rsidRPr="00175977" w:rsidRDefault="00A97667" w:rsidP="00D35C2B">
    <w:pPr>
      <w:pStyle w:val="Footer"/>
      <w:jc w:val="left"/>
      <w:rPr>
        <w:sz w:val="16"/>
        <w:szCs w:val="16"/>
      </w:rPr>
    </w:pPr>
    <w:r w:rsidRPr="00175977">
      <w:rPr>
        <w:sz w:val="16"/>
        <w:szCs w:val="16"/>
      </w:rPr>
      <w:t xml:space="preserve">CCLL18A09 – The Provision of Legal Advisers on East West Rail and Land for DfT </w:t>
    </w:r>
  </w:p>
  <w:p w14:paraId="70F2FF03" w14:textId="624A7F86" w:rsidR="00A97667" w:rsidRPr="00175977" w:rsidRDefault="00A97667" w:rsidP="00D35C2B">
    <w:pPr>
      <w:pStyle w:val="Footer"/>
      <w:jc w:val="left"/>
      <w:rPr>
        <w:rFonts w:cs="Arial"/>
        <w:sz w:val="16"/>
        <w:szCs w:val="19"/>
        <w:shd w:val="clear" w:color="auto" w:fill="FFFFFF"/>
      </w:rPr>
    </w:pPr>
    <w:r w:rsidRPr="00175977">
      <w:rPr>
        <w:rFonts w:cs="Arial"/>
        <w:sz w:val="16"/>
        <w:szCs w:val="19"/>
        <w:shd w:val="clear" w:color="auto" w:fill="FFFFFF"/>
      </w:rPr>
      <w:t>© Crown copyright 2017</w:t>
    </w:r>
  </w:p>
  <w:p w14:paraId="6B8871A6" w14:textId="43369EE9" w:rsidR="00A97667" w:rsidRDefault="005B0BCF" w:rsidP="00D35C2B">
    <w:pPr>
      <w:pStyle w:val="Footer"/>
      <w:jc w:val="center"/>
    </w:pPr>
    <w:sdt>
      <w:sdtPr>
        <w:id w:val="-1144888219"/>
        <w:docPartObj>
          <w:docPartGallery w:val="Page Numbers (Bottom of Page)"/>
          <w:docPartUnique/>
        </w:docPartObj>
      </w:sdtPr>
      <w:sdtEndPr>
        <w:rPr>
          <w:noProof/>
        </w:rPr>
      </w:sdtEndPr>
      <w:sdtContent>
        <w:r w:rsidR="00A97667">
          <w:fldChar w:fldCharType="begin"/>
        </w:r>
        <w:r w:rsidR="00A97667">
          <w:instrText xml:space="preserve"> PAGE   \* MERGEFORMAT </w:instrText>
        </w:r>
        <w:r w:rsidR="00A97667">
          <w:fldChar w:fldCharType="separate"/>
        </w:r>
        <w:r w:rsidR="00810B06">
          <w:rPr>
            <w:noProof/>
          </w:rPr>
          <w:t>99</w:t>
        </w:r>
        <w:r w:rsidR="00A97667">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A97667" w:rsidRPr="00D35C2B" w:rsidRDefault="00A97667"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A97667" w:rsidRPr="00D35C2B" w:rsidRDefault="00A97667"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A97667" w:rsidRPr="00D35C2B" w:rsidRDefault="00A97667"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A97667" w:rsidRPr="00D35C2B" w:rsidRDefault="00A97667"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A97667" w:rsidRDefault="005B0BCF" w:rsidP="00353A2B">
    <w:pPr>
      <w:pStyle w:val="Footer"/>
      <w:jc w:val="center"/>
    </w:pPr>
    <w:sdt>
      <w:sdtPr>
        <w:id w:val="1363323381"/>
        <w:docPartObj>
          <w:docPartGallery w:val="Page Numbers (Bottom of Page)"/>
          <w:docPartUnique/>
        </w:docPartObj>
      </w:sdtPr>
      <w:sdtEndPr>
        <w:rPr>
          <w:noProof/>
        </w:rPr>
      </w:sdtEndPr>
      <w:sdtContent>
        <w:r w:rsidR="00A97667">
          <w:fldChar w:fldCharType="begin"/>
        </w:r>
        <w:r w:rsidR="00A97667">
          <w:instrText xml:space="preserve"> PAGE   \* MERGEFORMAT </w:instrText>
        </w:r>
        <w:r w:rsidR="00A97667">
          <w:fldChar w:fldCharType="separate"/>
        </w:r>
        <w:r w:rsidR="00A97667">
          <w:rPr>
            <w:noProof/>
          </w:rPr>
          <w:t>48</w:t>
        </w:r>
        <w:r w:rsidR="00A97667">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A97667" w:rsidRDefault="00A9766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A97667" w:rsidRDefault="00A9766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A97667" w:rsidRDefault="00A97667"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C89D5" w14:textId="77777777" w:rsidR="005B0BCF" w:rsidRDefault="005B0BCF">
      <w:pPr>
        <w:spacing w:after="0" w:line="240" w:lineRule="auto"/>
      </w:pPr>
      <w:r>
        <w:separator/>
      </w:r>
    </w:p>
  </w:footnote>
  <w:footnote w:type="continuationSeparator" w:id="0">
    <w:p w14:paraId="63750E6A" w14:textId="77777777" w:rsidR="005B0BCF" w:rsidRDefault="005B0BCF">
      <w:pPr>
        <w:spacing w:after="0" w:line="240" w:lineRule="auto"/>
      </w:pPr>
      <w:r>
        <w:continuationSeparator/>
      </w:r>
    </w:p>
  </w:footnote>
  <w:footnote w:type="continuationNotice" w:id="1">
    <w:p w14:paraId="31539C98" w14:textId="77777777" w:rsidR="005B0BCF" w:rsidRDefault="005B0B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A97667" w:rsidRDefault="00A9766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A97667" w:rsidRDefault="00A97667" w:rsidP="00FB5BA8">
    <w:pPr>
      <w:pStyle w:val="Header"/>
      <w:jc w:val="center"/>
    </w:pPr>
    <w:r w:rsidRPr="00175977">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A97667" w:rsidRDefault="00A97667"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A97667" w:rsidRDefault="00A9766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A97667" w:rsidRDefault="00A97667"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A97667" w:rsidRDefault="00A97667"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75977"/>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1998"/>
    <w:rsid w:val="001F2429"/>
    <w:rsid w:val="001F58EB"/>
    <w:rsid w:val="001F5AAA"/>
    <w:rsid w:val="001F79FD"/>
    <w:rsid w:val="002015CC"/>
    <w:rsid w:val="00202B79"/>
    <w:rsid w:val="00204BC3"/>
    <w:rsid w:val="002057CB"/>
    <w:rsid w:val="0021048C"/>
    <w:rsid w:val="00211D31"/>
    <w:rsid w:val="00213A18"/>
    <w:rsid w:val="002213F7"/>
    <w:rsid w:val="00224CB8"/>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43CFD"/>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0BCF"/>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0B06"/>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361C"/>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97667"/>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441D"/>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D225A"/>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E7FF7"/>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638643">
      <w:bodyDiv w:val="1"/>
      <w:marLeft w:val="0"/>
      <w:marRight w:val="0"/>
      <w:marTop w:val="0"/>
      <w:marBottom w:val="0"/>
      <w:divBdr>
        <w:top w:val="none" w:sz="0" w:space="0" w:color="auto"/>
        <w:left w:val="none" w:sz="0" w:space="0" w:color="auto"/>
        <w:bottom w:val="none" w:sz="0" w:space="0" w:color="auto"/>
        <w:right w:val="none" w:sz="0" w:space="0" w:color="auto"/>
      </w:divBdr>
    </w:div>
    <w:div w:id="88140248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54062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D313DEC-EEB9-4D28-956A-CFF972AC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36564</Words>
  <Characters>208415</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2</cp:revision>
  <cp:lastPrinted>2016-09-15T13:40:00Z</cp:lastPrinted>
  <dcterms:created xsi:type="dcterms:W3CDTF">2018-03-14T14:07:00Z</dcterms:created>
  <dcterms:modified xsi:type="dcterms:W3CDTF">2018-03-14T14:07:00Z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