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shall have the following meanings and they shall supplement Schedule 1 (Definitions):</w:t>
      </w:r>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A731E1" w14:paraId="6657D5B1" w14:textId="77777777" w:rsidTr="006C68D3">
        <w:tc>
          <w:tcPr>
            <w:tcW w:w="2624" w:type="dxa"/>
          </w:tcPr>
          <w:p w14:paraId="2F585ADF" w14:textId="5D075FCD"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Applicable Financial Indicators</w:t>
            </w:r>
            <w:r>
              <w:rPr>
                <w:rFonts w:eastAsia="Arial"/>
                <w:b/>
                <w:color w:val="000000"/>
                <w:szCs w:val="24"/>
              </w:rPr>
              <w:t>"</w:t>
            </w:r>
          </w:p>
        </w:tc>
        <w:tc>
          <w:tcPr>
            <w:tcW w:w="5456" w:type="dxa"/>
          </w:tcPr>
          <w:p w14:paraId="6BA2F9D8" w14:textId="30AEDADF"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which are to apply to the Monitored Suppliers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w:t>
            </w:r>
          </w:p>
        </w:tc>
      </w:tr>
      <w:tr w:rsidR="00A731E1" w14:paraId="2FA00738" w14:textId="77777777" w:rsidTr="006C68D3">
        <w:tc>
          <w:tcPr>
            <w:tcW w:w="2624" w:type="dxa"/>
          </w:tcPr>
          <w:p w14:paraId="52ADDBD0" w14:textId="3A67D7EF"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Rating Threshold</w:t>
            </w:r>
            <w:r>
              <w:rPr>
                <w:rFonts w:eastAsia="Arial"/>
                <w:b/>
                <w:color w:val="000000"/>
                <w:szCs w:val="24"/>
              </w:rPr>
              <w:t>"</w:t>
            </w:r>
          </w:p>
        </w:tc>
        <w:tc>
          <w:tcPr>
            <w:tcW w:w="5456" w:type="dxa"/>
          </w:tcPr>
          <w:p w14:paraId="72D6A5B5" w14:textId="0BFC42D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0901A7EC" w14:textId="77777777" w:rsidTr="006C68D3">
        <w:tc>
          <w:tcPr>
            <w:tcW w:w="2624" w:type="dxa"/>
          </w:tcPr>
          <w:p w14:paraId="2941A991" w14:textId="199B7D6B"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Reference Agencies</w:t>
            </w:r>
            <w:r>
              <w:rPr>
                <w:rFonts w:eastAsia="Arial"/>
                <w:b/>
                <w:color w:val="000000"/>
                <w:szCs w:val="24"/>
              </w:rPr>
              <w:t>"</w:t>
            </w:r>
          </w:p>
        </w:tc>
        <w:tc>
          <w:tcPr>
            <w:tcW w:w="5456" w:type="dxa"/>
          </w:tcPr>
          <w:p w14:paraId="5712D852" w14:textId="314D1DFE"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r w:rsidR="00A731E1" w14:paraId="33616F00" w14:textId="77777777" w:rsidTr="006C68D3">
        <w:tc>
          <w:tcPr>
            <w:tcW w:w="2624" w:type="dxa"/>
          </w:tcPr>
          <w:p w14:paraId="1F93ABF4" w14:textId="1DF4EAE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w:t>
            </w:r>
            <w:r>
              <w:rPr>
                <w:rFonts w:eastAsia="Arial"/>
                <w:b/>
                <w:color w:val="000000"/>
                <w:szCs w:val="24"/>
              </w:rPr>
              <w:t>"</w:t>
            </w:r>
          </w:p>
        </w:tc>
        <w:tc>
          <w:tcPr>
            <w:tcW w:w="5456" w:type="dxa"/>
          </w:tcPr>
          <w:p w14:paraId="7F387159" w14:textId="3C092C9A"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which triggers a Credit Score Notification Trigger Event;</w:t>
            </w:r>
          </w:p>
        </w:tc>
      </w:tr>
      <w:tr w:rsidR="00A731E1" w14:paraId="5B5E244C" w14:textId="77777777" w:rsidTr="006C68D3">
        <w:tc>
          <w:tcPr>
            <w:tcW w:w="2624" w:type="dxa"/>
          </w:tcPr>
          <w:p w14:paraId="3BEC1CA8" w14:textId="4DF8960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 Event</w:t>
            </w:r>
            <w:r>
              <w:rPr>
                <w:rFonts w:eastAsia="Arial"/>
                <w:b/>
                <w:color w:val="000000"/>
                <w:szCs w:val="24"/>
              </w:rPr>
              <w:t>"</w:t>
            </w:r>
          </w:p>
        </w:tc>
        <w:tc>
          <w:tcPr>
            <w:tcW w:w="5456" w:type="dxa"/>
          </w:tcPr>
          <w:p w14:paraId="6C1421B6" w14:textId="77777777"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A731E1" w14:paraId="310F5226" w14:textId="77777777" w:rsidTr="006C68D3">
        <w:tc>
          <w:tcPr>
            <w:tcW w:w="2624" w:type="dxa"/>
          </w:tcPr>
          <w:p w14:paraId="45A36814" w14:textId="7DBF4D40"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Threshold</w:t>
            </w:r>
            <w:r>
              <w:rPr>
                <w:rFonts w:eastAsia="Arial"/>
                <w:b/>
                <w:color w:val="000000"/>
                <w:szCs w:val="24"/>
              </w:rPr>
              <w:t>"</w:t>
            </w:r>
          </w:p>
        </w:tc>
        <w:tc>
          <w:tcPr>
            <w:tcW w:w="5456" w:type="dxa"/>
          </w:tcPr>
          <w:p w14:paraId="28DC9365" w14:textId="74B22CF6"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w:t>
            </w:r>
            <w:r w:rsidR="006C68D3">
              <w:rPr>
                <w:rFonts w:eastAsia="Arial"/>
                <w:color w:val="000000"/>
                <w:szCs w:val="24"/>
              </w:rPr>
              <w:t xml:space="preserve">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3D2BBE37" w14:textId="77777777" w:rsidTr="006C68D3">
        <w:tc>
          <w:tcPr>
            <w:tcW w:w="2624" w:type="dxa"/>
          </w:tcPr>
          <w:p w14:paraId="23F2E39E" w14:textId="5F09A955" w:rsidR="00A731E1" w:rsidRDefault="006C68D3">
            <w:pPr>
              <w:pBdr>
                <w:top w:val="nil"/>
                <w:left w:val="nil"/>
                <w:bottom w:val="nil"/>
                <w:right w:val="nil"/>
                <w:between w:val="nil"/>
              </w:pBdr>
              <w:spacing w:before="120" w:after="120"/>
              <w:jc w:val="left"/>
              <w:rPr>
                <w:rFonts w:eastAsia="Arial"/>
                <w:b/>
                <w:color w:val="000000"/>
                <w:szCs w:val="24"/>
              </w:rPr>
            </w:pPr>
            <w:bookmarkStart w:id="1" w:name="_heading=h.gjdgxs" w:colFirst="0" w:colLast="0"/>
            <w:bookmarkEnd w:id="1"/>
            <w:r>
              <w:rPr>
                <w:rFonts w:eastAsia="Arial"/>
                <w:b/>
                <w:color w:val="000000"/>
                <w:szCs w:val="24"/>
              </w:rPr>
              <w:t>"</w:t>
            </w:r>
            <w:r w:rsidR="00043197">
              <w:rPr>
                <w:rFonts w:eastAsia="Arial"/>
                <w:b/>
                <w:color w:val="000000"/>
                <w:szCs w:val="24"/>
              </w:rPr>
              <w:t>Financial Distress Service Continuity Plan</w:t>
            </w:r>
            <w:r>
              <w:rPr>
                <w:rFonts w:eastAsia="Arial"/>
                <w:b/>
                <w:color w:val="000000"/>
                <w:szCs w:val="24"/>
              </w:rPr>
              <w:t>"</w:t>
            </w:r>
          </w:p>
          <w:p w14:paraId="45FEDD66" w14:textId="77777777" w:rsidR="006C68D3" w:rsidRPr="006C68D3" w:rsidRDefault="006C68D3" w:rsidP="006C68D3">
            <w:pPr>
              <w:rPr>
                <w:rFonts w:eastAsia="Arial"/>
                <w:szCs w:val="24"/>
              </w:rPr>
            </w:pPr>
          </w:p>
          <w:p w14:paraId="255003FE" w14:textId="77777777" w:rsidR="006C68D3" w:rsidRPr="006C68D3" w:rsidRDefault="006C68D3" w:rsidP="006C68D3">
            <w:pPr>
              <w:rPr>
                <w:rFonts w:eastAsia="Arial"/>
                <w:szCs w:val="24"/>
              </w:rPr>
            </w:pPr>
          </w:p>
          <w:p w14:paraId="21959DEA" w14:textId="77777777" w:rsidR="006C68D3" w:rsidRDefault="006C68D3" w:rsidP="006C68D3">
            <w:pPr>
              <w:rPr>
                <w:rFonts w:eastAsia="Arial"/>
                <w:b/>
                <w:color w:val="000000"/>
                <w:szCs w:val="24"/>
              </w:rPr>
            </w:pPr>
          </w:p>
          <w:p w14:paraId="0B686366" w14:textId="77777777" w:rsidR="006C68D3" w:rsidRDefault="006C68D3" w:rsidP="006C68D3">
            <w:pPr>
              <w:rPr>
                <w:rFonts w:eastAsia="Arial"/>
                <w:b/>
                <w:color w:val="000000"/>
                <w:szCs w:val="24"/>
              </w:rPr>
            </w:pPr>
          </w:p>
          <w:p w14:paraId="33CF4815" w14:textId="03D7DDE6" w:rsidR="006C68D3" w:rsidRPr="006C68D3" w:rsidRDefault="006C68D3" w:rsidP="006C68D3">
            <w:pPr>
              <w:jc w:val="right"/>
              <w:rPr>
                <w:rFonts w:eastAsia="Arial"/>
                <w:szCs w:val="24"/>
              </w:rPr>
            </w:pPr>
          </w:p>
        </w:tc>
        <w:tc>
          <w:tcPr>
            <w:tcW w:w="5456" w:type="dxa"/>
          </w:tcPr>
          <w:p w14:paraId="320D2406" w14:textId="586BFD4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a plan setting out how the Supplier will ensure the continued performance and delivery of the Deliverables in accordance with </w:t>
            </w:r>
            <w:r w:rsidR="00BE660D">
              <w:rPr>
                <w:rFonts w:eastAsia="Arial"/>
                <w:color w:val="000000"/>
                <w:szCs w:val="24"/>
              </w:rPr>
              <w:t>this Contract</w:t>
            </w:r>
            <w:r>
              <w:rPr>
                <w:rFonts w:eastAsia="Arial"/>
                <w:color w:val="000000"/>
                <w:szCs w:val="24"/>
              </w:rPr>
              <w:t xml:space="preserve"> </w:t>
            </w:r>
            <w:proofErr w:type="gramStart"/>
            <w:r>
              <w:rPr>
                <w:rFonts w:eastAsia="Arial"/>
                <w:color w:val="000000"/>
                <w:szCs w:val="24"/>
              </w:rPr>
              <w:t>in the event that</w:t>
            </w:r>
            <w:proofErr w:type="gramEnd"/>
            <w:r>
              <w:rPr>
                <w:rFonts w:eastAsia="Arial"/>
                <w:color w:val="000000"/>
                <w:szCs w:val="24"/>
              </w:rPr>
              <w:t xml:space="preserve">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rsidR="00A731E1" w14:paraId="020C1CB2" w14:textId="77777777" w:rsidTr="006C68D3">
        <w:tc>
          <w:tcPr>
            <w:tcW w:w="2624" w:type="dxa"/>
          </w:tcPr>
          <w:p w14:paraId="522D1B1F" w14:textId="0D75A16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Indicators</w:t>
            </w:r>
            <w:r>
              <w:rPr>
                <w:rFonts w:eastAsia="Arial"/>
                <w:b/>
                <w:color w:val="000000"/>
                <w:szCs w:val="24"/>
              </w:rPr>
              <w:t>"</w:t>
            </w:r>
          </w:p>
        </w:tc>
        <w:tc>
          <w:tcPr>
            <w:tcW w:w="5456" w:type="dxa"/>
          </w:tcPr>
          <w:p w14:paraId="2776579E" w14:textId="374EE92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A731E1" w14:paraId="7B6176C9" w14:textId="77777777" w:rsidTr="006C68D3">
        <w:tc>
          <w:tcPr>
            <w:tcW w:w="2624" w:type="dxa"/>
          </w:tcPr>
          <w:p w14:paraId="25B59967" w14:textId="708ECC52"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Target Thresholds</w:t>
            </w:r>
            <w:r>
              <w:rPr>
                <w:rFonts w:eastAsia="Arial"/>
                <w:b/>
                <w:color w:val="000000"/>
                <w:szCs w:val="24"/>
              </w:rPr>
              <w:t>"</w:t>
            </w:r>
          </w:p>
        </w:tc>
        <w:tc>
          <w:tcPr>
            <w:tcW w:w="5456" w:type="dxa"/>
          </w:tcPr>
          <w:p w14:paraId="42CADBDD" w14:textId="7B354865"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w:t>
            </w:r>
          </w:p>
        </w:tc>
      </w:tr>
      <w:tr w:rsidR="00A731E1" w14:paraId="675A1961" w14:textId="77777777" w:rsidTr="006C68D3">
        <w:tc>
          <w:tcPr>
            <w:tcW w:w="2624" w:type="dxa"/>
          </w:tcPr>
          <w:p w14:paraId="6517047D" w14:textId="52C75C56"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Primary Metric</w:t>
            </w:r>
            <w:r>
              <w:rPr>
                <w:rFonts w:eastAsia="Arial"/>
                <w:b/>
                <w:color w:val="000000"/>
                <w:szCs w:val="24"/>
              </w:rPr>
              <w:t>"</w:t>
            </w:r>
          </w:p>
        </w:tc>
        <w:tc>
          <w:tcPr>
            <w:tcW w:w="5456" w:type="dxa"/>
          </w:tcPr>
          <w:p w14:paraId="01099307" w14:textId="7E729523" w:rsidR="00A731E1" w:rsidRDefault="00043197" w:rsidP="001A3E95">
            <w:pPr>
              <w:pBdr>
                <w:top w:val="nil"/>
                <w:left w:val="nil"/>
                <w:bottom w:val="nil"/>
                <w:right w:val="nil"/>
                <w:between w:val="nil"/>
              </w:pBdr>
              <w:tabs>
                <w:tab w:val="left" w:pos="175"/>
              </w:tabs>
              <w:spacing w:before="120" w:after="120"/>
              <w:jc w:val="left"/>
              <w:rPr>
                <w:rFonts w:eastAsia="Arial"/>
                <w:b/>
                <w:i/>
                <w:color w:val="000000"/>
                <w:szCs w:val="24"/>
              </w:rPr>
            </w:pPr>
            <w:r>
              <w:rPr>
                <w:rFonts w:eastAsia="Arial"/>
                <w:color w:val="000000"/>
                <w:szCs w:val="24"/>
              </w:rPr>
              <w:t xml:space="preserve">credit rating pursuant to Paragraph </w:t>
            </w:r>
            <w:r w:rsidR="006C68D3">
              <w:rPr>
                <w:rFonts w:eastAsia="Arial"/>
                <w:color w:val="000000"/>
                <w:szCs w:val="24"/>
              </w:rPr>
              <w:fldChar w:fldCharType="begin"/>
            </w:r>
            <w:r w:rsidR="006C68D3">
              <w:rPr>
                <w:rFonts w:eastAsia="Arial"/>
                <w:color w:val="000000"/>
                <w:szCs w:val="24"/>
              </w:rPr>
              <w:instrText xml:space="preserve"> REF _Ref141086653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3.3</w:t>
            </w:r>
            <w:r w:rsidR="006C68D3">
              <w:rPr>
                <w:rFonts w:eastAsia="Arial"/>
                <w:color w:val="000000"/>
                <w:szCs w:val="24"/>
              </w:rPr>
              <w:fldChar w:fldCharType="end"/>
            </w:r>
          </w:p>
        </w:tc>
      </w:tr>
      <w:tr w:rsidR="00A731E1" w14:paraId="5801AE02" w14:textId="77777777" w:rsidTr="006C68D3">
        <w:tc>
          <w:tcPr>
            <w:tcW w:w="2624" w:type="dxa"/>
          </w:tcPr>
          <w:p w14:paraId="068C9408" w14:textId="4DE0AC29"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w:t>
            </w:r>
            <w:r w:rsidR="00043197">
              <w:rPr>
                <w:rFonts w:eastAsia="Arial"/>
                <w:b/>
                <w:color w:val="000000"/>
                <w:szCs w:val="24"/>
              </w:rPr>
              <w:t>Monitored Supplier</w:t>
            </w:r>
            <w:r>
              <w:rPr>
                <w:rFonts w:eastAsia="Arial"/>
                <w:b/>
                <w:color w:val="000000"/>
                <w:szCs w:val="24"/>
              </w:rPr>
              <w:t>"</w:t>
            </w:r>
          </w:p>
        </w:tc>
        <w:tc>
          <w:tcPr>
            <w:tcW w:w="5456" w:type="dxa"/>
          </w:tcPr>
          <w:p w14:paraId="5A17A429" w14:textId="296F1825"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 and</w:t>
            </w:r>
          </w:p>
        </w:tc>
      </w:tr>
      <w:tr w:rsidR="00A731E1" w14:paraId="3A4E0314" w14:textId="77777777" w:rsidTr="006C68D3">
        <w:tc>
          <w:tcPr>
            <w:tcW w:w="2624" w:type="dxa"/>
          </w:tcPr>
          <w:p w14:paraId="537D58E5" w14:textId="50917E1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Rating Agencies</w:t>
            </w:r>
            <w:r>
              <w:rPr>
                <w:rFonts w:eastAsia="Arial"/>
                <w:b/>
                <w:color w:val="000000"/>
                <w:szCs w:val="24"/>
              </w:rPr>
              <w:t>"</w:t>
            </w:r>
          </w:p>
        </w:tc>
        <w:tc>
          <w:tcPr>
            <w:tcW w:w="5456" w:type="dxa"/>
          </w:tcPr>
          <w:p w14:paraId="0AC81EB0" w14:textId="2C15980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2" w:name="_heading=h.30j0zll" w:colFirst="0" w:colLast="0"/>
      <w:bookmarkEnd w:id="2"/>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186054D4" w14:textId="38215EDD" w:rsidR="00A731E1" w:rsidRPr="006C68D3" w:rsidRDefault="00043197">
      <w:pPr>
        <w:numPr>
          <w:ilvl w:val="1"/>
          <w:numId w:val="2"/>
        </w:numPr>
        <w:pBdr>
          <w:top w:val="nil"/>
          <w:left w:val="nil"/>
          <w:bottom w:val="nil"/>
          <w:right w:val="nil"/>
          <w:between w:val="nil"/>
        </w:pBdr>
        <w:spacing w:before="120" w:after="120"/>
        <w:jc w:val="left"/>
        <w:rPr>
          <w:rFonts w:eastAsia="Arial"/>
          <w:color w:val="000000"/>
          <w:szCs w:val="24"/>
        </w:rPr>
      </w:pPr>
      <w:r w:rsidRPr="006C68D3">
        <w:rPr>
          <w:rFonts w:eastAsia="Calibri"/>
          <w:color w:val="000000"/>
          <w:szCs w:val="24"/>
        </w:rPr>
        <w:t xml:space="preserve">The terms of this Schedule shall survive </w:t>
      </w:r>
      <w:r w:rsidRPr="006C68D3">
        <w:rPr>
          <w:rFonts w:eastAsia="Arial"/>
          <w:color w:val="000000"/>
          <w:szCs w:val="24"/>
        </w:rPr>
        <w:t xml:space="preserve">under </w:t>
      </w:r>
      <w:r w:rsidR="00BE660D">
        <w:rPr>
          <w:rFonts w:eastAsia="Arial"/>
          <w:color w:val="000000"/>
          <w:szCs w:val="24"/>
        </w:rPr>
        <w:t>this Contract</w:t>
      </w:r>
      <w:r w:rsidRPr="006C68D3">
        <w:rPr>
          <w:rFonts w:eastAsia="Arial"/>
          <w:color w:val="000000"/>
          <w:szCs w:val="24"/>
        </w:rPr>
        <w:t xml:space="preserve"> until the </w:t>
      </w:r>
      <w:r w:rsidRPr="006C68D3">
        <w:rPr>
          <w:rFonts w:eastAsia="Calibri"/>
          <w:color w:val="000000"/>
          <w:szCs w:val="24"/>
        </w:rPr>
        <w:t>termination</w:t>
      </w:r>
      <w:r w:rsidRPr="006C68D3">
        <w:rPr>
          <w:rFonts w:eastAsia="Arial"/>
          <w:color w:val="000000"/>
          <w:szCs w:val="24"/>
        </w:rPr>
        <w:t xml:space="preserve"> or expiry of </w:t>
      </w:r>
      <w:r w:rsidR="00BE660D">
        <w:rPr>
          <w:rFonts w:eastAsia="Arial"/>
          <w:color w:val="000000"/>
          <w:szCs w:val="24"/>
        </w:rPr>
        <w:t>this Contract</w:t>
      </w:r>
      <w:r w:rsidRPr="006C68D3">
        <w:rPr>
          <w:rFonts w:eastAsia="Arial"/>
          <w:color w:val="000000"/>
          <w:szCs w:val="24"/>
        </w:rPr>
        <w:t>.</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1CC63022"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3" w:name="_heading=h.1fob9te" w:colFirst="0" w:colLast="0"/>
      <w:bookmarkEnd w:id="3"/>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 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five (5) Working Days) notify the Buyer in writing if there is any downgrade in the credit rating issued by any Rating Agency for any entity in the FDE Group.</w:t>
      </w:r>
    </w:p>
    <w:p w14:paraId="651816C2" w14:textId="6DEC73D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3znysh7" w:colFirst="0" w:colLast="0"/>
      <w:bookmarkStart w:id="5" w:name="_Ref141086653"/>
      <w:bookmarkEnd w:id="4"/>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Threshold if any of the Rating Agencies have given a credit rating level for that FDE Group entity which is  below the applicable Credit Rating Threshold.</w:t>
      </w:r>
      <w:bookmarkEnd w:id="5"/>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4A009A3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6772B1" w:rsidRPr="006772B1">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notify (or shall procure that its auditors promptly notify) the Buyer in writing if there is any Credit Score Notification Trigger Event for any entity in the FDE Group (and in any event within five (5) Working Days).</w:t>
      </w:r>
    </w:p>
    <w:p w14:paraId="38249100" w14:textId="2504DA0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6" w:name="_heading=h.1ci93xb" w:colFirst="0" w:colLast="0"/>
      <w:bookmarkStart w:id="7" w:name="_Ref141086657"/>
      <w:bookmarkEnd w:id="6"/>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w:t>
      </w:r>
      <w:r w:rsidRPr="006C68D3">
        <w:rPr>
          <w:rFonts w:eastAsia="Calibri"/>
          <w:color w:val="000000"/>
          <w:szCs w:val="24"/>
        </w:rPr>
        <w:lastRenderedPageBreak/>
        <w:t>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7"/>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39E25FBF" w14:textId="69F77CFE"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8" w:name="_heading=h.3whwml4" w:colFirst="0" w:colLast="0"/>
      <w:bookmarkStart w:id="9" w:name="_Ref141087035"/>
      <w:bookmarkEnd w:id="8"/>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one hundred and twenty (120) days after the </w:t>
      </w:r>
      <w:r w:rsidRPr="00922F47">
        <w:rPr>
          <w:rFonts w:eastAsia="Calibri"/>
          <w:color w:val="000000"/>
          <w:szCs w:val="24"/>
        </w:rPr>
        <w:t>accounting reference date</w:t>
      </w:r>
      <w:bookmarkEnd w:id="9"/>
    </w:p>
    <w:p w14:paraId="3C7FFDCD" w14:textId="54E4FB6A"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howingPlcHdr/>
        </w:sdtPr>
        <w:sdtEndPr/>
        <w:sdtContent>
          <w:r w:rsidR="006C68D3" w:rsidRPr="006C68D3">
            <w:rPr>
              <w:szCs w:val="24"/>
            </w:rPr>
            <w:t xml:space="preserve">     </w:t>
          </w:r>
        </w:sdtContent>
      </w:sdt>
      <w:r w:rsidRPr="006C68D3">
        <w:rPr>
          <w:rFonts w:eastAsia="Calibri"/>
          <w:color w:val="000000"/>
          <w:szCs w:val="24"/>
        </w:rPr>
        <w:t xml:space="preserve"> Date can be found at:</w:t>
      </w:r>
    </w:p>
    <w:p w14:paraId="15386C07" w14:textId="7DB793B2" w:rsidR="00A731E1" w:rsidRPr="006C68D3" w:rsidRDefault="00151A13" w:rsidP="002238CF">
      <w:pPr>
        <w:pBdr>
          <w:top w:val="nil"/>
          <w:left w:val="nil"/>
          <w:bottom w:val="nil"/>
          <w:right w:val="nil"/>
          <w:between w:val="nil"/>
        </w:pBdr>
        <w:spacing w:before="120" w:after="120"/>
        <w:ind w:left="907" w:firstLine="20"/>
        <w:jc w:val="left"/>
        <w:rPr>
          <w:rFonts w:eastAsia="Calibri"/>
          <w:color w:val="000000"/>
          <w:szCs w:val="24"/>
        </w:rPr>
      </w:pPr>
      <w:hyperlink r:id="rId8">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47F0E49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0" w:name="_heading=h.2bn6wsx" w:colFirst="0" w:colLast="0"/>
      <w:bookmarkStart w:id="11" w:name="_Ref141087084"/>
      <w:bookmarkEnd w:id="10"/>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1"/>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be a single report with separate sections for each of the FDE Group </w:t>
      </w:r>
      <w:proofErr w:type="gramStart"/>
      <w:r w:rsidRPr="006C68D3">
        <w:rPr>
          <w:rFonts w:eastAsia="Calibri"/>
          <w:color w:val="000000"/>
          <w:szCs w:val="24"/>
        </w:rPr>
        <w:t>entities;</w:t>
      </w:r>
      <w:proofErr w:type="gramEnd"/>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contain a sufficient level of information to enable the Buyer to verify the calculations that have been made in respect of the Financial </w:t>
      </w:r>
      <w:proofErr w:type="gramStart"/>
      <w:r w:rsidRPr="006C68D3">
        <w:rPr>
          <w:rFonts w:eastAsia="Calibri"/>
          <w:color w:val="000000"/>
          <w:szCs w:val="24"/>
        </w:rPr>
        <w:t>Indicators;</w:t>
      </w:r>
      <w:proofErr w:type="gramEnd"/>
    </w:p>
    <w:p w14:paraId="76E28BBB" w14:textId="269BBF19" w:rsidR="00A731E1" w:rsidRPr="00473867"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473867">
        <w:rPr>
          <w:rFonts w:eastAsia="Calibri"/>
          <w:color w:val="000000"/>
          <w:szCs w:val="24"/>
        </w:rPr>
        <w:t>include key financial and other supporting information (including any accounts data that has been relied on) as separate annexes; and</w:t>
      </w:r>
    </w:p>
    <w:p w14:paraId="6C178D27" w14:textId="4FAD0BD5" w:rsidR="00A731E1" w:rsidRPr="00473867"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473867">
        <w:rPr>
          <w:rFonts w:eastAsia="Calibri"/>
          <w:color w:val="000000"/>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w:t>
      </w:r>
      <w:r w:rsidR="00473867" w:rsidRPr="00473867">
        <w:rPr>
          <w:rFonts w:eastAsia="Calibri"/>
          <w:color w:val="000000"/>
          <w:szCs w:val="24"/>
        </w:rPr>
        <w:t xml:space="preserve"> </w:t>
      </w:r>
      <w:r w:rsidRPr="00473867">
        <w:rPr>
          <w:rFonts w:eastAsia="Calibri"/>
          <w:color w:val="000000"/>
          <w:szCs w:val="24"/>
        </w:rPr>
        <w:t>and</w:t>
      </w:r>
    </w:p>
    <w:p w14:paraId="5E8EF3B2" w14:textId="2F8FDF35" w:rsidR="00A731E1" w:rsidRPr="00473867"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473867">
        <w:rPr>
          <w:rFonts w:eastAsia="Calibri"/>
          <w:color w:val="000000"/>
          <w:szCs w:val="24"/>
        </w:rPr>
        <w:t>include a history of the Financial Indicators reported by the Supplier in graph form to enable the Buyer to easily analyse and assess the trends in financial performance.</w:t>
      </w:r>
    </w:p>
    <w:p w14:paraId="2D27EE79" w14:textId="4D27A558"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2" w:name="_heading=h.qsh70q" w:colFirst="0" w:colLast="0"/>
      <w:bookmarkStart w:id="13" w:name="_Ref141086662"/>
      <w:bookmarkEnd w:id="12"/>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w:t>
      </w:r>
      <w:r w:rsidRPr="006C68D3">
        <w:rPr>
          <w:rFonts w:eastAsia="Calibri"/>
          <w:color w:val="000000"/>
          <w:szCs w:val="24"/>
        </w:rPr>
        <w:lastRenderedPageBreak/>
        <w:t>Group entity shall be deemed to have dropped below the applicable Financial Target Threshold if:</w:t>
      </w:r>
      <w:bookmarkEnd w:id="13"/>
    </w:p>
    <w:p w14:paraId="6FF466A1" w14:textId="25D11F6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w:t>
      </w:r>
      <w:r w:rsidRPr="00766044">
        <w:rPr>
          <w:rFonts w:eastAsia="Calibri"/>
          <w:color w:val="000000"/>
          <w:szCs w:val="24"/>
        </w:rPr>
        <w:t>one</w:t>
      </w:r>
      <w:r w:rsidRPr="006C68D3">
        <w:rPr>
          <w:rFonts w:eastAsia="Calibri"/>
          <w:color w:val="000000"/>
          <w:szCs w:val="24"/>
        </w:rPr>
        <w:t xml:space="preserve">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of this Schedule;</w:t>
      </w:r>
    </w:p>
    <w:p w14:paraId="0E12240E" w14:textId="2CEC8102"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01EEC9B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4" w:name="_heading=h.3as4poj" w:colFirst="0" w:colLast="0"/>
      <w:bookmarkStart w:id="15" w:name="_Ref141087349"/>
      <w:bookmarkEnd w:id="14"/>
      <w:r w:rsidRPr="006C68D3">
        <w:rPr>
          <w:rFonts w:eastAsia="Calibri"/>
          <w:b/>
          <w:color w:val="000000"/>
          <w:szCs w:val="24"/>
        </w:rPr>
        <w:t xml:space="preserve">What happens if there is a financial distress </w:t>
      </w:r>
      <w:proofErr w:type="gramStart"/>
      <w:r w:rsidRPr="006C68D3">
        <w:rPr>
          <w:rFonts w:eastAsia="Calibri"/>
          <w:b/>
          <w:color w:val="000000"/>
          <w:szCs w:val="24"/>
        </w:rPr>
        <w:t>event</w:t>
      </w:r>
      <w:bookmarkEnd w:id="15"/>
      <w:proofErr w:type="gramEnd"/>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6" w:name="_heading=h.2et92p0" w:colFirst="0" w:colLast="0"/>
      <w:bookmarkStart w:id="17" w:name="_Ref141087254"/>
      <w:bookmarkEnd w:id="16"/>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7"/>
    </w:p>
    <w:p w14:paraId="0AAA7E16" w14:textId="5131682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p>
    <w:p w14:paraId="49B3C565" w14:textId="09750334" w:rsidR="00A731E1" w:rsidRPr="006C68D3" w:rsidRDefault="00043197">
      <w:pPr>
        <w:pBdr>
          <w:top w:val="nil"/>
          <w:left w:val="nil"/>
          <w:bottom w:val="nil"/>
          <w:right w:val="nil"/>
          <w:between w:val="nil"/>
        </w:pBdr>
        <w:tabs>
          <w:tab w:val="left" w:pos="1134"/>
        </w:tabs>
        <w:spacing w:before="120" w:after="120"/>
        <w:ind w:left="357"/>
        <w:jc w:val="left"/>
        <w:rPr>
          <w:rFonts w:eastAsia="Arial"/>
          <w:color w:val="000000"/>
          <w:szCs w:val="24"/>
        </w:rPr>
      </w:pPr>
      <w:bookmarkStart w:id="18" w:name="_heading=h.tyjcwt" w:colFirst="0" w:colLast="0"/>
      <w:bookmarkEnd w:id="18"/>
      <w:r w:rsidRPr="006C68D3">
        <w:rPr>
          <w:rFonts w:eastAsia="Arial"/>
          <w:b/>
          <w:color w:val="000000"/>
          <w:szCs w:val="24"/>
          <w:highlight w:val="yellow"/>
        </w:rPr>
        <w:t>[</w:t>
      </w:r>
      <w:r w:rsidRPr="006C68D3">
        <w:rPr>
          <w:rFonts w:eastAsia="Arial"/>
          <w:b/>
          <w:i/>
          <w:color w:val="000000"/>
          <w:szCs w:val="24"/>
          <w:highlight w:val="yellow"/>
        </w:rPr>
        <w:t xml:space="preserve">Guidance: replace Paragraph </w:t>
      </w:r>
      <w:r w:rsidR="002238CF">
        <w:rPr>
          <w:rFonts w:eastAsia="Arial"/>
          <w:b/>
          <w:i/>
          <w:color w:val="000000"/>
          <w:szCs w:val="24"/>
          <w:highlight w:val="yellow"/>
        </w:rPr>
        <w:fldChar w:fldCharType="begin"/>
      </w:r>
      <w:r w:rsidR="002238CF">
        <w:rPr>
          <w:rFonts w:eastAsia="Arial"/>
          <w:b/>
          <w:i/>
          <w:color w:val="000000"/>
          <w:szCs w:val="24"/>
          <w:highlight w:val="yellow"/>
        </w:rPr>
        <w:instrText xml:space="preserve"> REF _Ref141087134 \n \h </w:instrText>
      </w:r>
      <w:r w:rsidR="002238CF">
        <w:rPr>
          <w:rFonts w:eastAsia="Arial"/>
          <w:b/>
          <w:i/>
          <w:color w:val="000000"/>
          <w:szCs w:val="24"/>
          <w:highlight w:val="yellow"/>
        </w:rPr>
      </w:r>
      <w:r w:rsidR="002238CF">
        <w:rPr>
          <w:rFonts w:eastAsia="Arial"/>
          <w:b/>
          <w:i/>
          <w:color w:val="000000"/>
          <w:szCs w:val="24"/>
          <w:highlight w:val="yellow"/>
        </w:rPr>
        <w:fldChar w:fldCharType="separate"/>
      </w:r>
      <w:r w:rsidR="006772B1">
        <w:rPr>
          <w:rFonts w:eastAsia="Arial"/>
          <w:b/>
          <w:i/>
          <w:color w:val="000000"/>
          <w:szCs w:val="24"/>
          <w:highlight w:val="yellow"/>
        </w:rPr>
        <w:t>6.3</w:t>
      </w:r>
      <w:r w:rsidR="002238CF">
        <w:rPr>
          <w:rFonts w:eastAsia="Arial"/>
          <w:b/>
          <w:i/>
          <w:color w:val="000000"/>
          <w:szCs w:val="24"/>
          <w:highlight w:val="yellow"/>
        </w:rPr>
        <w:fldChar w:fldCharType="end"/>
      </w:r>
      <w:r w:rsidR="002238CF">
        <w:rPr>
          <w:rFonts w:eastAsia="Arial"/>
          <w:b/>
          <w:i/>
          <w:color w:val="000000"/>
          <w:szCs w:val="24"/>
          <w:highlight w:val="yellow"/>
        </w:rPr>
        <w:t xml:space="preserve"> </w:t>
      </w:r>
      <w:r w:rsidRPr="006C68D3">
        <w:rPr>
          <w:rFonts w:eastAsia="Arial"/>
          <w:b/>
          <w:i/>
          <w:color w:val="000000"/>
          <w:szCs w:val="24"/>
          <w:highlight w:val="yellow"/>
        </w:rPr>
        <w:t xml:space="preserve">with </w:t>
      </w:r>
      <w:r w:rsidR="006C68D3" w:rsidRPr="006C68D3">
        <w:rPr>
          <w:rFonts w:eastAsia="Arial"/>
          <w:b/>
          <w:i/>
          <w:color w:val="000000"/>
          <w:szCs w:val="24"/>
          <w:highlight w:val="yellow"/>
        </w:rPr>
        <w:t>"</w:t>
      </w:r>
      <w:r w:rsidRPr="006C68D3">
        <w:rPr>
          <w:rFonts w:eastAsia="Arial"/>
          <w:b/>
          <w:i/>
          <w:color w:val="000000"/>
          <w:szCs w:val="24"/>
          <w:highlight w:val="yellow"/>
        </w:rPr>
        <w:t>NOT USED</w:t>
      </w:r>
      <w:r w:rsidR="006C68D3" w:rsidRPr="006C68D3">
        <w:rPr>
          <w:rFonts w:eastAsia="Arial"/>
          <w:b/>
          <w:i/>
          <w:color w:val="000000"/>
          <w:szCs w:val="24"/>
          <w:highlight w:val="yellow"/>
        </w:rPr>
        <w:t>"</w:t>
      </w:r>
      <w:r w:rsidRPr="006C68D3">
        <w:rPr>
          <w:rFonts w:eastAsia="Arial"/>
          <w:b/>
          <w:i/>
          <w:color w:val="000000"/>
          <w:szCs w:val="24"/>
          <w:highlight w:val="yellow"/>
        </w:rPr>
        <w:t xml:space="preserve"> if there are no Key Subcontractors or the Key Subcontractors are not</w:t>
      </w:r>
      <w:bookmarkStart w:id="19" w:name="bookmark=id.3dy6vkm" w:colFirst="0" w:colLast="0"/>
      <w:bookmarkEnd w:id="19"/>
      <w:r w:rsidRPr="006C68D3">
        <w:rPr>
          <w:rFonts w:eastAsia="Arial"/>
          <w:b/>
          <w:i/>
          <w:color w:val="000000"/>
          <w:szCs w:val="24"/>
          <w:highlight w:val="yellow"/>
        </w:rPr>
        <w:t xml:space="preserve"> Monitored Suppliers</w:t>
      </w:r>
      <w:r w:rsidRPr="006C68D3">
        <w:rPr>
          <w:rFonts w:eastAsia="Arial"/>
          <w:color w:val="000000"/>
          <w:szCs w:val="24"/>
        </w:rPr>
        <w:t>]</w:t>
      </w:r>
    </w:p>
    <w:p w14:paraId="10A87E66" w14:textId="5F844C51"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0" w:name="_Ref141087134"/>
      <w:r w:rsidRPr="006C68D3">
        <w:rPr>
          <w:rFonts w:eastAsia="Calibri"/>
          <w:color w:val="000000"/>
          <w:szCs w:val="24"/>
        </w:rP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without first giving the Supplier ten (10) Working Days to:</w:t>
      </w:r>
      <w:bookmarkEnd w:id="20"/>
    </w:p>
    <w:p w14:paraId="2B05C63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rectify such late or non-payment; or </w:t>
      </w:r>
    </w:p>
    <w:p w14:paraId="179186BE"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demonstrate to the Buyer's reasonable satisfaction that there is a valid reason for late or non-payment.]</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1" w:name="_heading=h.1t3h5sf" w:colFirst="0" w:colLast="0"/>
      <w:bookmarkStart w:id="22" w:name="_Ref141087122"/>
      <w:bookmarkEnd w:id="21"/>
      <w:r w:rsidRPr="006C68D3">
        <w:rPr>
          <w:rFonts w:eastAsia="Calibri"/>
          <w:color w:val="000000"/>
          <w:szCs w:val="24"/>
        </w:rPr>
        <w:t>The Supplier shall (and shall procure that each Additional FDE Group Member shall):</w:t>
      </w:r>
      <w:bookmarkEnd w:id="22"/>
    </w:p>
    <w:p w14:paraId="04F7A232" w14:textId="21CC1EB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3" w:name="_heading=h.4d34og8" w:colFirst="0" w:colLast="0"/>
      <w:bookmarkStart w:id="24" w:name="_Ref141087182"/>
      <w:bookmarkEnd w:id="23"/>
      <w:r w:rsidRPr="006C68D3">
        <w:rPr>
          <w:rFonts w:eastAsia="Calibri"/>
          <w:color w:val="000000"/>
          <w:szCs w:val="24"/>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t>
      </w:r>
      <w:r w:rsidR="00BE660D">
        <w:rPr>
          <w:rFonts w:eastAsia="Calibri"/>
          <w:color w:val="000000"/>
          <w:szCs w:val="24"/>
        </w:rPr>
        <w:t>this Contract</w:t>
      </w:r>
      <w:r w:rsidRPr="006C68D3">
        <w:rPr>
          <w:rFonts w:eastAsia="Calibri"/>
          <w:color w:val="000000"/>
          <w:szCs w:val="24"/>
        </w:rPr>
        <w:t>; and</w:t>
      </w:r>
      <w:bookmarkEnd w:id="24"/>
    </w:p>
    <w:p w14:paraId="2B1610D0" w14:textId="0F2F26F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5" w:name="_heading=h.2s8eyo1" w:colFirst="0" w:colLast="0"/>
      <w:bookmarkEnd w:id="25"/>
      <w:r w:rsidRPr="006C68D3">
        <w:rPr>
          <w:rFonts w:eastAsia="Calibri"/>
          <w:color w:val="000000"/>
          <w:szCs w:val="24"/>
        </w:rPr>
        <w:lastRenderedPageBreak/>
        <w:t>where the Buyer reasonably believes (</w:t>
      </w:r>
      <w:proofErr w:type="gramStart"/>
      <w:r w:rsidRPr="006C68D3">
        <w:rPr>
          <w:rFonts w:eastAsia="Calibri"/>
          <w:color w:val="000000"/>
          <w:szCs w:val="24"/>
        </w:rPr>
        <w:t>taking into account</w:t>
      </w:r>
      <w:proofErr w:type="gramEnd"/>
      <w:r w:rsidRPr="006C68D3">
        <w:rPr>
          <w:rFonts w:eastAsia="Calibri"/>
          <w:color w:val="000000"/>
          <w:szCs w:val="24"/>
        </w:rPr>
        <w:t xml:space="preserve">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 xml:space="preserve">: </w:t>
      </w:r>
    </w:p>
    <w:p w14:paraId="088FBB55" w14:textId="77777777" w:rsidR="00A731E1" w:rsidRPr="006C68D3" w:rsidRDefault="00043197" w:rsidP="002238CF">
      <w:pPr>
        <w:pStyle w:val="GPSL4numbered"/>
        <w:rPr>
          <w:rFonts w:eastAsia="Calibri"/>
        </w:rPr>
      </w:pPr>
      <w:r w:rsidRPr="006C68D3">
        <w:rPr>
          <w:rFonts w:eastAsia="Calibri"/>
        </w:rPr>
        <w:t>submit to the Buyer for its Approval, a draft Financial Distress Service Continuity Plan as soon as reasonably practicable (and in any event, within ten (10) Working Days of the initial notification (or awareness) of the Financial Distress Event</w:t>
      </w:r>
      <w:proofErr w:type="gramStart"/>
      <w:r w:rsidRPr="006C68D3">
        <w:rPr>
          <w:rFonts w:eastAsia="Calibri"/>
        </w:rPr>
        <w:t>);</w:t>
      </w:r>
      <w:proofErr w:type="gramEnd"/>
      <w:r w:rsidRPr="006C68D3">
        <w:rPr>
          <w:rFonts w:eastAsia="Calibri"/>
        </w:rPr>
        <w:t xml:space="preserve">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 xml:space="preserve">use reasonable endeavours to put in place the necessary measures with each Additional FDE Group Member to ensure that it </w:t>
      </w:r>
      <w:proofErr w:type="gramStart"/>
      <w:r w:rsidRPr="006C68D3">
        <w:rPr>
          <w:rFonts w:eastAsia="Calibri"/>
          <w:color w:val="000000"/>
          <w:szCs w:val="24"/>
        </w:rPr>
        <w:t>is able to</w:t>
      </w:r>
      <w:proofErr w:type="gramEnd"/>
      <w:r w:rsidRPr="006C68D3">
        <w:rPr>
          <w:rFonts w:eastAsia="Calibri"/>
          <w:color w:val="000000"/>
          <w:szCs w:val="24"/>
        </w:rPr>
        <w:t xml:space="preserve">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6" w:name="_heading=h.17dp8vu" w:colFirst="0" w:colLast="0"/>
      <w:bookmarkStart w:id="27" w:name="_Ref141087374"/>
      <w:bookmarkEnd w:id="26"/>
      <w:r w:rsidRPr="006C68D3">
        <w:rPr>
          <w:rFonts w:eastAsia="Calibri"/>
          <w:color w:val="000000"/>
          <w:szCs w:val="24"/>
        </w:rPr>
        <w:t>provide such financial information relating to FDE Group entity as the Buyer may reasonably require.</w:t>
      </w:r>
      <w:bookmarkEnd w:id="27"/>
    </w:p>
    <w:p w14:paraId="1BDCD80D"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8" w:name="_heading=h.3rdcrjn" w:colFirst="0" w:colLast="0"/>
      <w:bookmarkStart w:id="29" w:name="_Ref141087221"/>
      <w:bookmarkEnd w:id="28"/>
      <w:r w:rsidRPr="006C68D3">
        <w:rPr>
          <w:rFonts w:eastAsia="Calibri"/>
          <w:color w:val="000000"/>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bookmarkEnd w:id="29"/>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proofErr w:type="gramStart"/>
      <w:r w:rsidRPr="006C68D3">
        <w:rPr>
          <w:rFonts w:eastAsia="Calibri"/>
          <w:color w:val="000000"/>
          <w:szCs w:val="24"/>
        </w:rPr>
        <w:t>Approved;</w:t>
      </w:r>
      <w:proofErr w:type="gramEnd"/>
      <w:r w:rsidRPr="006C68D3">
        <w:rPr>
          <w:rFonts w:eastAsia="Calibri"/>
          <w:color w:val="000000"/>
          <w:szCs w:val="24"/>
        </w:rPr>
        <w:t xml:space="preserve">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0" w:name="_heading=h.1pxezwc" w:colFirst="0" w:colLast="0"/>
      <w:bookmarkStart w:id="31" w:name="_Ref141087280"/>
      <w:bookmarkEnd w:id="30"/>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31"/>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2" w:name="_heading=h.49x2ik5" w:colFirst="0" w:colLast="0"/>
      <w:bookmarkStart w:id="33" w:name="_Ref141087274"/>
      <w:bookmarkEnd w:id="32"/>
      <w:r w:rsidRPr="006C68D3">
        <w:rPr>
          <w:rFonts w:eastAsia="Calibri"/>
          <w:color w:val="000000"/>
          <w:szCs w:val="24"/>
        </w:rPr>
        <w:t>finally rejected by the Buyer.</w:t>
      </w:r>
      <w:bookmarkEnd w:id="33"/>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4" w:name="_heading=h.lnxbz9" w:colFirst="0" w:colLast="0"/>
      <w:bookmarkStart w:id="35" w:name="_Ref141087127"/>
      <w:bookmarkEnd w:id="34"/>
      <w:r w:rsidRPr="006C68D3">
        <w:rPr>
          <w:rFonts w:eastAsia="Calibri"/>
          <w:color w:val="000000"/>
          <w:szCs w:val="24"/>
        </w:rPr>
        <w:t>Following Approval of the Financial Distress Service Continuity Plan by the Buyer, the Supplier shall:</w:t>
      </w:r>
      <w:bookmarkEnd w:id="35"/>
    </w:p>
    <w:p w14:paraId="3B87F8DB" w14:textId="0E6D90E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6" w:name="_heading=h.35nkun2" w:colFirst="0" w:colLast="0"/>
      <w:bookmarkStart w:id="37" w:name="_Ref141087211"/>
      <w:bookmarkEnd w:id="36"/>
      <w:r w:rsidRPr="006C68D3">
        <w:rPr>
          <w:rFonts w:eastAsia="Calibri"/>
          <w:color w:val="000000"/>
          <w:szCs w:val="24"/>
        </w:rPr>
        <w:t xml:space="preserve">on a regular basis (which shall not be less than Monthly), review the Financial Distress Service Continuity Plan and assess whether it remains adequate and up to date to ensure the continued performance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 xml:space="preserve">this </w:t>
      </w:r>
      <w:proofErr w:type="gramStart"/>
      <w:r w:rsidR="00BE660D">
        <w:rPr>
          <w:rFonts w:eastAsia="Calibri"/>
          <w:color w:val="000000"/>
          <w:szCs w:val="24"/>
        </w:rPr>
        <w:t>Contract</w:t>
      </w:r>
      <w:r w:rsidRPr="006C68D3">
        <w:rPr>
          <w:rFonts w:eastAsia="Calibri"/>
          <w:color w:val="000000"/>
          <w:szCs w:val="24"/>
        </w:rPr>
        <w:t>;</w:t>
      </w:r>
      <w:bookmarkEnd w:id="37"/>
      <w:proofErr w:type="gramEnd"/>
    </w:p>
    <w:p w14:paraId="6A62C275" w14:textId="75B1BC4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the </w:t>
      </w:r>
      <w:proofErr w:type="gramStart"/>
      <w:r w:rsidRPr="006C68D3">
        <w:rPr>
          <w:rFonts w:eastAsia="Calibri"/>
          <w:color w:val="000000"/>
          <w:szCs w:val="24"/>
        </w:rPr>
        <w:t>Buyer;</w:t>
      </w:r>
      <w:proofErr w:type="gramEnd"/>
    </w:p>
    <w:p w14:paraId="69CB0361" w14:textId="55D0DE3D"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8" w:name="_heading=h.1ksv4uv" w:colFirst="0" w:colLast="0"/>
      <w:bookmarkEnd w:id="38"/>
      <w:r w:rsidRPr="006C68D3">
        <w:rPr>
          <w:rFonts w:eastAsia="Calibri"/>
          <w:color w:val="000000"/>
          <w:szCs w:val="24"/>
        </w:rPr>
        <w:lastRenderedPageBreak/>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9" w:name="_heading=h.44sinio" w:colFirst="0" w:colLast="0"/>
      <w:bookmarkStart w:id="40" w:name="_Ref141087302"/>
      <w:bookmarkEnd w:id="39"/>
      <w:r w:rsidRPr="006C68D3">
        <w:rPr>
          <w:rFonts w:eastAsia="Calibri"/>
          <w:color w:val="000000"/>
          <w:szCs w:val="24"/>
        </w:rPr>
        <w:t>comply with the Financial Distress Service Continuity Plan (including any updated Financial Distress Service Continuity Plan).</w:t>
      </w:r>
      <w:bookmarkEnd w:id="40"/>
    </w:p>
    <w:p w14:paraId="35BE0701" w14:textId="6B635406"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41" w:name="_heading=h.2jxsxqh" w:colFirst="0" w:colLast="0"/>
      <w:bookmarkEnd w:id="41"/>
      <w:r w:rsidRPr="006C68D3">
        <w:rPr>
          <w:rFonts w:eastAsia="Calibri"/>
          <w:color w:val="000000"/>
          <w:szCs w:val="24"/>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2" w:name="_heading=h.2p2csry" w:colFirst="0" w:colLast="0"/>
      <w:bookmarkEnd w:id="42"/>
      <w:r w:rsidRPr="006C68D3">
        <w:rPr>
          <w:rFonts w:eastAsia="Calibri"/>
          <w:b/>
          <w:color w:val="000000"/>
          <w:szCs w:val="24"/>
        </w:rPr>
        <w:t xml:space="preserve">When the Buyer can terminate for financial distress </w:t>
      </w:r>
    </w:p>
    <w:p w14:paraId="11EFE9CB" w14:textId="3E458C4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3" w:name="_heading=h.z337ya" w:colFirst="0" w:colLast="0"/>
      <w:bookmarkEnd w:id="43"/>
      <w:r w:rsidRPr="006C68D3">
        <w:rPr>
          <w:rFonts w:eastAsia="Calibri"/>
          <w:color w:val="000000"/>
          <w:szCs w:val="24"/>
        </w:rPr>
        <w:t xml:space="preserve">The Buyer shall be entitled to terminate this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50CBA93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1F3B9A2C"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33CB601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4" w:name="_heading=h.147n2zr" w:colFirst="0" w:colLast="0"/>
      <w:bookmarkStart w:id="45" w:name="_Ref141087328"/>
      <w:bookmarkEnd w:id="44"/>
      <w:r w:rsidRPr="006C68D3">
        <w:rPr>
          <w:rFonts w:eastAsia="Calibri"/>
          <w:color w:val="000000"/>
          <w:szCs w:val="24"/>
        </w:rPr>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5"/>
      <w:r w:rsidRPr="006C68D3">
        <w:rPr>
          <w:rFonts w:eastAsia="Calibri"/>
          <w:color w:val="000000"/>
          <w:szCs w:val="24"/>
        </w:rPr>
        <w:t xml:space="preserve"> </w:t>
      </w:r>
    </w:p>
    <w:p w14:paraId="7831446F" w14:textId="7927C1E0"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5A059B0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6BCD39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2A74508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6" w:name="_heading=h.3o7alnk" w:colFirst="0" w:colLast="0"/>
      <w:bookmarkStart w:id="47" w:name="_Ref141087270"/>
      <w:bookmarkEnd w:id="46"/>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after the expiry of the first five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bookmarkEnd w:id="47"/>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8" w:name="_heading=h.3j2qqm3" w:colFirst="0" w:colLast="0"/>
      <w:bookmarkStart w:id="49" w:name="_Ref141086670"/>
      <w:bookmarkEnd w:id="48"/>
      <w:r w:rsidRPr="006C68D3">
        <w:rPr>
          <w:rFonts w:eastAsia="Calibri"/>
          <w:b/>
          <w:color w:val="000000"/>
          <w:szCs w:val="24"/>
        </w:rPr>
        <w:lastRenderedPageBreak/>
        <w:t xml:space="preserve">What happens If your Primary Metric is still </w:t>
      </w:r>
      <w:proofErr w:type="gramStart"/>
      <w:r w:rsidRPr="006C68D3">
        <w:rPr>
          <w:rFonts w:eastAsia="Calibri"/>
          <w:b/>
          <w:color w:val="000000"/>
          <w:szCs w:val="24"/>
        </w:rPr>
        <w:t>good</w:t>
      </w:r>
      <w:bookmarkEnd w:id="49"/>
      <w:proofErr w:type="gramEnd"/>
    </w:p>
    <w:p w14:paraId="7242D447" w14:textId="2B1BC8A6" w:rsidR="00A731E1" w:rsidRPr="006C68D3" w:rsidRDefault="00043197" w:rsidP="002238CF">
      <w:pPr>
        <w:keepNext/>
        <w:pBdr>
          <w:top w:val="nil"/>
          <w:left w:val="nil"/>
          <w:bottom w:val="nil"/>
          <w:right w:val="nil"/>
          <w:between w:val="nil"/>
        </w:pBdr>
        <w:spacing w:before="120" w:after="120"/>
        <w:ind w:left="426"/>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w:t>
      </w:r>
      <w:r w:rsidR="002238CF">
        <w:rPr>
          <w:rFonts w:eastAsia="Calibri"/>
          <w:color w:val="000000"/>
          <w:szCs w:val="24"/>
        </w:rPr>
        <w:fldChar w:fldCharType="end"/>
      </w:r>
      <w:r w:rsidRPr="006C68D3">
        <w:rPr>
          <w:rFonts w:eastAsia="Calibri"/>
          <w:color w:val="000000"/>
          <w:szCs w:val="24"/>
        </w:rPr>
        <w:t xml:space="preserve">, if, following the occurrence of a Financial Distress Event, the Supplier </w:t>
      </w:r>
      <w:proofErr w:type="gramStart"/>
      <w:r w:rsidRPr="006C68D3">
        <w:rPr>
          <w:rFonts w:eastAsia="Calibri"/>
          <w:color w:val="000000"/>
          <w:szCs w:val="24"/>
        </w:rPr>
        <w:t>evidences</w:t>
      </w:r>
      <w:proofErr w:type="gramEnd"/>
      <w:r w:rsidRPr="006C68D3">
        <w:rPr>
          <w:rFonts w:eastAsia="Calibri"/>
          <w:color w:val="000000"/>
          <w:szCs w:val="24"/>
        </w:rPr>
        <w:t xml:space="preserve"> to the Buyer’s satisfaction that the Primary Metric shows that the Financial Distress Event no longer exists, then:</w:t>
      </w:r>
    </w:p>
    <w:p w14:paraId="08D6A946" w14:textId="52963E15"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56D57A99"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6553BF3A" w14:textId="77777777" w:rsidR="00A731E1" w:rsidRPr="006C68D3" w:rsidRDefault="00A731E1">
      <w:pPr>
        <w:pBdr>
          <w:top w:val="nil"/>
          <w:left w:val="nil"/>
          <w:bottom w:val="nil"/>
          <w:right w:val="nil"/>
          <w:between w:val="nil"/>
        </w:pBdr>
        <w:spacing w:after="0"/>
        <w:jc w:val="left"/>
        <w:rPr>
          <w:rFonts w:eastAsia="Arial"/>
          <w:color w:val="FFFFFF"/>
          <w:szCs w:val="24"/>
        </w:rPr>
      </w:pPr>
    </w:p>
    <w:p w14:paraId="58DC0F07" w14:textId="77777777" w:rsidR="00A731E1" w:rsidRPr="006C68D3" w:rsidRDefault="00043197">
      <w:pPr>
        <w:keepNext/>
        <w:pBdr>
          <w:top w:val="nil"/>
          <w:left w:val="nil"/>
          <w:bottom w:val="nil"/>
          <w:right w:val="nil"/>
          <w:between w:val="nil"/>
        </w:pBdr>
        <w:ind w:firstLine="426"/>
        <w:jc w:val="left"/>
        <w:rPr>
          <w:rFonts w:eastAsia="Arial"/>
          <w:b/>
          <w:smallCaps/>
          <w:color w:val="000000"/>
          <w:szCs w:val="24"/>
        </w:rPr>
      </w:pPr>
      <w:bookmarkStart w:id="50" w:name="_heading=h.1y810tw" w:colFirst="0" w:colLast="0"/>
      <w:bookmarkEnd w:id="50"/>
      <w:r w:rsidRPr="006C68D3">
        <w:rPr>
          <w:szCs w:val="24"/>
        </w:rPr>
        <w:br w:type="page"/>
      </w:r>
    </w:p>
    <w:p w14:paraId="0D395C28" w14:textId="77777777" w:rsidR="00A731E1" w:rsidRPr="006C68D3" w:rsidRDefault="00043197">
      <w:pPr>
        <w:spacing w:after="200" w:line="276" w:lineRule="auto"/>
        <w:jc w:val="left"/>
        <w:rPr>
          <w:rFonts w:eastAsia="Arial"/>
          <w:b/>
          <w:smallCaps/>
          <w:color w:val="000000"/>
          <w:szCs w:val="24"/>
        </w:rPr>
      </w:pPr>
      <w:bookmarkStart w:id="51" w:name="_heading=h.4i7ojhp" w:colFirst="0" w:colLast="0"/>
      <w:bookmarkEnd w:id="51"/>
      <w:r w:rsidRPr="006C68D3">
        <w:rPr>
          <w:rFonts w:eastAsia="Arial"/>
          <w:b/>
          <w:smallCaps/>
          <w:color w:val="000000"/>
          <w:szCs w:val="24"/>
        </w:rPr>
        <w:lastRenderedPageBreak/>
        <w:t xml:space="preserve">ANNEX </w:t>
      </w:r>
      <w:bookmarkStart w:id="52" w:name="Ann_1"/>
      <w:r w:rsidRPr="006C68D3">
        <w:rPr>
          <w:rFonts w:eastAsia="Arial"/>
          <w:b/>
          <w:smallCaps/>
          <w:color w:val="000000"/>
          <w:szCs w:val="24"/>
        </w:rPr>
        <w:t>1</w:t>
      </w:r>
      <w:bookmarkEnd w:id="52"/>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795BF01D" w14:textId="77777777" w:rsidR="00736439" w:rsidRPr="006C68D3" w:rsidRDefault="00736439" w:rsidP="00736439">
      <w:pPr>
        <w:keepNext/>
        <w:pBdr>
          <w:top w:val="nil"/>
          <w:left w:val="nil"/>
          <w:bottom w:val="nil"/>
          <w:right w:val="nil"/>
          <w:between w:val="nil"/>
        </w:pBdr>
        <w:spacing w:before="240" w:after="120"/>
        <w:jc w:val="left"/>
        <w:rPr>
          <w:rFonts w:eastAsia="Arial"/>
          <w:color w:val="000000"/>
          <w:szCs w:val="24"/>
        </w:rPr>
      </w:pPr>
      <w:r>
        <w:rPr>
          <w:rFonts w:eastAsia="Arial"/>
          <w:color w:val="000000"/>
          <w:szCs w:val="24"/>
        </w:rPr>
        <w:t>Dun &amp; Bradstreet</w:t>
      </w:r>
    </w:p>
    <w:p w14:paraId="6BBF78D6" w14:textId="77777777" w:rsidR="00A731E1" w:rsidRPr="006C68D3" w:rsidRDefault="00A731E1">
      <w:pPr>
        <w:keepNext/>
        <w:pBdr>
          <w:top w:val="nil"/>
          <w:left w:val="nil"/>
          <w:bottom w:val="nil"/>
          <w:right w:val="nil"/>
          <w:between w:val="nil"/>
        </w:pBdr>
        <w:spacing w:before="240" w:after="120"/>
        <w:jc w:val="left"/>
        <w:rPr>
          <w:rFonts w:eastAsia="Arial"/>
          <w:color w:val="000000"/>
          <w:szCs w:val="24"/>
        </w:rPr>
      </w:pPr>
    </w:p>
    <w:p w14:paraId="2B8BA394" w14:textId="77777777" w:rsidR="00A731E1" w:rsidRPr="006C68D3" w:rsidRDefault="00043197">
      <w:pPr>
        <w:spacing w:after="200" w:line="276" w:lineRule="auto"/>
        <w:jc w:val="left"/>
        <w:rPr>
          <w:rFonts w:eastAsia="Arial"/>
          <w:b/>
          <w:smallCaps/>
          <w:color w:val="000000"/>
          <w:szCs w:val="24"/>
        </w:rPr>
      </w:pPr>
      <w:bookmarkStart w:id="53" w:name="_heading=h.2xcytpi" w:colFirst="0" w:colLast="0"/>
      <w:bookmarkEnd w:id="53"/>
      <w:r w:rsidRPr="006C68D3">
        <w:rPr>
          <w:szCs w:val="24"/>
        </w:rPr>
        <w:br w:type="page"/>
      </w:r>
      <w:r w:rsidRPr="006C68D3">
        <w:rPr>
          <w:rFonts w:eastAsia="Arial"/>
          <w:b/>
          <w:smallCaps/>
          <w:color w:val="000000"/>
          <w:szCs w:val="24"/>
        </w:rPr>
        <w:lastRenderedPageBreak/>
        <w:t xml:space="preserve">ANNEX </w:t>
      </w:r>
      <w:bookmarkStart w:id="54" w:name="Ann_2"/>
      <w:r w:rsidRPr="006C68D3">
        <w:rPr>
          <w:rFonts w:eastAsia="Arial"/>
          <w:b/>
          <w:smallCaps/>
          <w:color w:val="000000"/>
          <w:szCs w:val="24"/>
        </w:rPr>
        <w:t>2</w:t>
      </w:r>
      <w:bookmarkEnd w:id="54"/>
      <w:r w:rsidRPr="006C68D3">
        <w:rPr>
          <w:rFonts w:eastAsia="Arial"/>
          <w:b/>
          <w:smallCaps/>
          <w:color w:val="000000"/>
          <w:szCs w:val="24"/>
        </w:rPr>
        <w:t>: CREDIT RATINGS, CREDIT SCORES AND FINANCIAL INDICATORS</w:t>
      </w:r>
    </w:p>
    <w:p w14:paraId="0B273CEC" w14:textId="7FB2BAE7" w:rsidR="00A731E1" w:rsidRPr="00FD1AEB" w:rsidRDefault="00043197">
      <w:pPr>
        <w:spacing w:after="200" w:line="276" w:lineRule="auto"/>
        <w:jc w:val="left"/>
        <w:rPr>
          <w:rFonts w:eastAsia="Arial"/>
          <w:b/>
          <w:color w:val="000000"/>
          <w:szCs w:val="24"/>
        </w:rPr>
      </w:pPr>
      <w:r w:rsidRPr="006C68D3">
        <w:rPr>
          <w:rFonts w:eastAsia="Arial"/>
          <w:b/>
          <w:color w:val="000000"/>
          <w:szCs w:val="24"/>
        </w:rPr>
        <w:t xml:space="preserve">Part </w:t>
      </w:r>
      <w:bookmarkStart w:id="55" w:name="Ann2_Part_A"/>
      <w:r w:rsidRPr="006C68D3">
        <w:rPr>
          <w:rFonts w:eastAsia="Arial"/>
          <w:b/>
          <w:color w:val="000000"/>
          <w:szCs w:val="24"/>
        </w:rPr>
        <w:t>A</w:t>
      </w:r>
      <w:bookmarkEnd w:id="55"/>
      <w:r w:rsidRPr="006C68D3">
        <w:rPr>
          <w:rFonts w:eastAsia="Arial"/>
          <w:b/>
          <w:color w:val="000000"/>
          <w:szCs w:val="24"/>
        </w:rPr>
        <w:t>: Credit Rating</w:t>
      </w:r>
    </w:p>
    <w:tbl>
      <w:tblPr>
        <w:tblStyle w:val="a3"/>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731E1" w:rsidRPr="006C68D3" w14:paraId="3C2DF990" w14:textId="77777777">
        <w:tc>
          <w:tcPr>
            <w:tcW w:w="3033" w:type="dxa"/>
            <w:tcBorders>
              <w:top w:val="single" w:sz="4" w:space="0" w:color="000000"/>
            </w:tcBorders>
            <w:shd w:val="clear" w:color="auto" w:fill="D9D9D9"/>
          </w:tcPr>
          <w:p w14:paraId="7B58CFDF"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3017" w:type="dxa"/>
            <w:tcBorders>
              <w:top w:val="single" w:sz="4" w:space="0" w:color="000000"/>
            </w:tcBorders>
            <w:shd w:val="clear" w:color="auto" w:fill="D9D9D9"/>
          </w:tcPr>
          <w:p w14:paraId="192B8950"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(long term)</w:t>
            </w:r>
          </w:p>
        </w:tc>
        <w:tc>
          <w:tcPr>
            <w:tcW w:w="2966" w:type="dxa"/>
            <w:tcBorders>
              <w:top w:val="single" w:sz="4" w:space="0" w:color="000000"/>
            </w:tcBorders>
            <w:shd w:val="clear" w:color="auto" w:fill="D9D9D9"/>
          </w:tcPr>
          <w:p w14:paraId="363F79BC"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Threshold</w:t>
            </w:r>
          </w:p>
        </w:tc>
      </w:tr>
      <w:tr w:rsidR="007C4670" w:rsidRPr="006C68D3" w14:paraId="7497C085" w14:textId="77777777">
        <w:tc>
          <w:tcPr>
            <w:tcW w:w="3033" w:type="dxa"/>
            <w:shd w:val="clear" w:color="auto" w:fill="FFFFFF"/>
          </w:tcPr>
          <w:p w14:paraId="4ACBE21A" w14:textId="501BE490" w:rsidR="007C4670" w:rsidRPr="006C68D3" w:rsidRDefault="007C4670" w:rsidP="007C4670">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rPr>
              <w:t>Supplier</w:t>
            </w:r>
          </w:p>
        </w:tc>
        <w:tc>
          <w:tcPr>
            <w:tcW w:w="3017" w:type="dxa"/>
            <w:shd w:val="clear" w:color="auto" w:fill="FFFFFF"/>
          </w:tcPr>
          <w:p w14:paraId="0AADE2A7" w14:textId="591C552F" w:rsidR="007C4670" w:rsidRPr="006C68D3" w:rsidRDefault="007C4670" w:rsidP="007C4670">
            <w:pPr>
              <w:pBdr>
                <w:top w:val="nil"/>
                <w:left w:val="nil"/>
                <w:bottom w:val="nil"/>
                <w:right w:val="nil"/>
                <w:between w:val="nil"/>
              </w:pBdr>
              <w:spacing w:before="120" w:after="120"/>
              <w:jc w:val="left"/>
              <w:rPr>
                <w:rFonts w:eastAsia="Arial"/>
                <w:color w:val="000000"/>
                <w:szCs w:val="24"/>
              </w:rPr>
            </w:pPr>
            <w:r>
              <w:t>D&amp;B Threshold</w:t>
            </w:r>
          </w:p>
        </w:tc>
        <w:tc>
          <w:tcPr>
            <w:tcW w:w="2966" w:type="dxa"/>
            <w:shd w:val="clear" w:color="auto" w:fill="FFFFFF"/>
          </w:tcPr>
          <w:p w14:paraId="4BDCE706" w14:textId="2EFCC2FE" w:rsidR="007C4670" w:rsidRPr="006C68D3" w:rsidRDefault="007C4670" w:rsidP="007C4670">
            <w:pPr>
              <w:pBdr>
                <w:top w:val="nil"/>
                <w:left w:val="nil"/>
                <w:bottom w:val="nil"/>
                <w:right w:val="nil"/>
                <w:between w:val="nil"/>
              </w:pBdr>
              <w:spacing w:before="120" w:after="120"/>
              <w:jc w:val="left"/>
              <w:rPr>
                <w:rFonts w:eastAsia="Arial"/>
                <w:color w:val="000000"/>
                <w:szCs w:val="24"/>
              </w:rPr>
            </w:pPr>
            <w:r>
              <w:rPr>
                <w:rFonts w:eastAsia="Arial"/>
                <w:color w:val="000000"/>
                <w:szCs w:val="24"/>
              </w:rPr>
              <w:t>80</w:t>
            </w:r>
          </w:p>
        </w:tc>
      </w:tr>
      <w:tr w:rsidR="007C4670" w:rsidRPr="006C68D3" w14:paraId="5D172D9B" w14:textId="77777777">
        <w:tc>
          <w:tcPr>
            <w:tcW w:w="3033" w:type="dxa"/>
            <w:shd w:val="clear" w:color="auto" w:fill="FFFFFF"/>
          </w:tcPr>
          <w:p w14:paraId="4DFAB0E0" w14:textId="474591DD" w:rsidR="007C4670" w:rsidRPr="006C68D3" w:rsidRDefault="007C4670" w:rsidP="007C4670">
            <w:pPr>
              <w:pBdr>
                <w:top w:val="nil"/>
                <w:left w:val="nil"/>
                <w:bottom w:val="nil"/>
                <w:right w:val="nil"/>
                <w:between w:val="nil"/>
              </w:pBdr>
              <w:spacing w:before="120" w:after="120"/>
              <w:jc w:val="left"/>
              <w:rPr>
                <w:rFonts w:eastAsia="Arial"/>
                <w:color w:val="000000"/>
                <w:szCs w:val="24"/>
                <w:highlight w:val="yellow"/>
              </w:rPr>
            </w:pPr>
            <w:r>
              <w:t>Key Subcontractor</w:t>
            </w:r>
          </w:p>
        </w:tc>
        <w:tc>
          <w:tcPr>
            <w:tcW w:w="3017" w:type="dxa"/>
            <w:shd w:val="clear" w:color="auto" w:fill="FFFFFF"/>
          </w:tcPr>
          <w:p w14:paraId="25605FA3" w14:textId="52F9B143" w:rsidR="007C4670" w:rsidRPr="006C68D3" w:rsidRDefault="007C4670" w:rsidP="007C4670">
            <w:pPr>
              <w:pBdr>
                <w:top w:val="nil"/>
                <w:left w:val="nil"/>
                <w:bottom w:val="nil"/>
                <w:right w:val="nil"/>
                <w:between w:val="nil"/>
              </w:pBdr>
              <w:spacing w:before="120" w:after="120"/>
              <w:jc w:val="left"/>
              <w:rPr>
                <w:rFonts w:eastAsia="Arial"/>
                <w:color w:val="000000"/>
                <w:szCs w:val="24"/>
              </w:rPr>
            </w:pPr>
            <w:r>
              <w:t>D&amp;B Threshold</w:t>
            </w:r>
          </w:p>
        </w:tc>
        <w:tc>
          <w:tcPr>
            <w:tcW w:w="2966" w:type="dxa"/>
            <w:shd w:val="clear" w:color="auto" w:fill="FFFFFF"/>
          </w:tcPr>
          <w:p w14:paraId="7D41B705" w14:textId="50123958" w:rsidR="007C4670" w:rsidRPr="006C68D3" w:rsidRDefault="007C4670" w:rsidP="007C4670">
            <w:pPr>
              <w:pBdr>
                <w:top w:val="nil"/>
                <w:left w:val="nil"/>
                <w:bottom w:val="nil"/>
                <w:right w:val="nil"/>
                <w:between w:val="nil"/>
              </w:pBdr>
              <w:spacing w:before="120" w:after="120"/>
              <w:jc w:val="left"/>
              <w:rPr>
                <w:rFonts w:eastAsia="Arial"/>
                <w:color w:val="000000"/>
                <w:szCs w:val="24"/>
              </w:rPr>
            </w:pPr>
            <w:r>
              <w:rPr>
                <w:rFonts w:eastAsia="Arial"/>
                <w:color w:val="000000"/>
                <w:szCs w:val="24"/>
              </w:rPr>
              <w:t>80</w:t>
            </w:r>
          </w:p>
        </w:tc>
      </w:tr>
    </w:tbl>
    <w:p w14:paraId="5E1A7C61" w14:textId="77777777" w:rsidR="00A731E1" w:rsidRPr="006C68D3" w:rsidRDefault="00A731E1">
      <w:pPr>
        <w:spacing w:after="0"/>
        <w:rPr>
          <w:rFonts w:eastAsia="Arial"/>
          <w:szCs w:val="24"/>
        </w:rPr>
      </w:pPr>
    </w:p>
    <w:p w14:paraId="54CBC604" w14:textId="77777777" w:rsidR="00A731E1" w:rsidRPr="006C68D3" w:rsidRDefault="00A731E1">
      <w:pPr>
        <w:spacing w:after="0"/>
        <w:rPr>
          <w:rFonts w:eastAsia="Arial"/>
          <w:szCs w:val="24"/>
        </w:rPr>
      </w:pPr>
    </w:p>
    <w:sectPr w:rsidR="00A731E1" w:rsidRPr="006C68D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B4F06" w14:textId="77777777" w:rsidR="001E1710" w:rsidRDefault="00043197">
      <w:pPr>
        <w:spacing w:after="0"/>
      </w:pPr>
      <w:r>
        <w:separator/>
      </w:r>
    </w:p>
  </w:endnote>
  <w:endnote w:type="continuationSeparator" w:id="0">
    <w:p w14:paraId="2934E990" w14:textId="77777777" w:rsidR="001E1710" w:rsidRDefault="0004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24FB4" w14:textId="6A47D6EB" w:rsidR="00922F47" w:rsidRDefault="009239D4">
    <w:pPr>
      <w:pStyle w:val="Footer"/>
    </w:pPr>
    <w:r>
      <w:rPr>
        <w:noProof/>
      </w:rPr>
      <mc:AlternateContent>
        <mc:Choice Requires="wps">
          <w:drawing>
            <wp:anchor distT="0" distB="0" distL="0" distR="0" simplePos="0" relativeHeight="251662336" behindDoc="0" locked="0" layoutInCell="1" allowOverlap="1" wp14:anchorId="610CE47D" wp14:editId="032946AD">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7A713E" w14:textId="6F572093"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0CE47D"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77A713E" w14:textId="6F572093"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87F" w14:textId="5F22F86A" w:rsidR="00A731E1" w:rsidRDefault="009239D4" w:rsidP="006C68D3">
    <w:pPr>
      <w:tabs>
        <w:tab w:val="center" w:pos="4513"/>
        <w:tab w:val="right" w:pos="9026"/>
      </w:tabs>
      <w:spacing w:after="0"/>
      <w:rPr>
        <w:rFonts w:eastAsia="Arial"/>
        <w:color w:val="BFBFBF"/>
        <w:sz w:val="20"/>
        <w:szCs w:val="20"/>
      </w:rPr>
    </w:pPr>
    <w:r>
      <w:rPr>
        <w:rFonts w:eastAsia="Arial"/>
        <w:noProof/>
        <w:color w:val="BFBFBF"/>
        <w:sz w:val="20"/>
        <w:szCs w:val="20"/>
      </w:rPr>
      <mc:AlternateContent>
        <mc:Choice Requires="wps">
          <w:drawing>
            <wp:anchor distT="0" distB="0" distL="0" distR="0" simplePos="0" relativeHeight="251663360" behindDoc="0" locked="0" layoutInCell="1" allowOverlap="1" wp14:anchorId="5BA0ED99" wp14:editId="703BE0C7">
              <wp:simplePos x="914400" y="9947082"/>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077DAC" w14:textId="6D6CFDB5"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A0ED99"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F077DAC" w14:textId="6D6CFDB5"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v:textbox>
              <w10:wrap anchorx="page" anchory="page"/>
            </v:shape>
          </w:pict>
        </mc:Fallback>
      </mc:AlternateContent>
    </w:r>
    <w:r w:rsidR="005B22F1">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ACA0" w14:textId="4E555CB5" w:rsidR="00A731E1" w:rsidRDefault="009239D4">
    <w:pPr>
      <w:tabs>
        <w:tab w:val="center" w:pos="4513"/>
        <w:tab w:val="right" w:pos="9026"/>
      </w:tabs>
      <w:spacing w:after="0"/>
      <w:rPr>
        <w:color w:val="BFBFBF"/>
      </w:rPr>
    </w:pPr>
    <w:r>
      <w:rPr>
        <w:noProof/>
        <w:color w:val="BFBFBF"/>
      </w:rPr>
      <mc:AlternateContent>
        <mc:Choice Requires="wps">
          <w:drawing>
            <wp:anchor distT="0" distB="0" distL="0" distR="0" simplePos="0" relativeHeight="251661312" behindDoc="0" locked="0" layoutInCell="1" allowOverlap="1" wp14:anchorId="3BD27B3F" wp14:editId="5795B8F4">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16822A" w14:textId="588C896E"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D27B3F"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616822A" w14:textId="588C896E"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v:textbox>
              <w10:wrap anchorx="page" anchory="page"/>
            </v:shape>
          </w:pict>
        </mc:Fallback>
      </mc:AlternateContent>
    </w:r>
    <w:r w:rsidR="00043197">
      <w:rPr>
        <w:color w:val="BFBFBF"/>
      </w:rPr>
      <w:t>Framework Ref: RM</w:t>
    </w:r>
    <w:r w:rsidR="00043197">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151A13">
      <w:rPr>
        <w:color w:val="BFBFBF"/>
      </w:rPr>
      <w:fldChar w:fldCharType="separate"/>
    </w:r>
    <w:r>
      <w:rPr>
        <w:color w:val="BFBFBF"/>
      </w:rPr>
      <w:fldChar w:fldCharType="end"/>
    </w:r>
  </w:p>
  <w:p w14:paraId="1C47E8ED" w14:textId="77777777" w:rsidR="00A731E1" w:rsidRDefault="00043197">
    <w:pPr>
      <w:spacing w:after="0"/>
      <w:rPr>
        <w:rFonts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52ACA" w14:textId="77777777" w:rsidR="001E1710" w:rsidRDefault="00043197">
      <w:pPr>
        <w:spacing w:after="0"/>
      </w:pPr>
      <w:r>
        <w:separator/>
      </w:r>
    </w:p>
  </w:footnote>
  <w:footnote w:type="continuationSeparator" w:id="0">
    <w:p w14:paraId="4C9A8195" w14:textId="77777777" w:rsidR="001E1710" w:rsidRDefault="000431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6C35" w14:textId="04D0B6B2" w:rsidR="00922F47" w:rsidRDefault="009239D4">
    <w:pPr>
      <w:pStyle w:val="Header"/>
    </w:pPr>
    <w:r>
      <w:rPr>
        <w:noProof/>
      </w:rPr>
      <mc:AlternateContent>
        <mc:Choice Requires="wps">
          <w:drawing>
            <wp:anchor distT="0" distB="0" distL="0" distR="0" simplePos="0" relativeHeight="251659264" behindDoc="0" locked="0" layoutInCell="1" allowOverlap="1" wp14:anchorId="55FD7A8B" wp14:editId="5327303B">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09C8A6" w14:textId="4A63443F"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FD7A8B"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809C8A6" w14:textId="4A63443F"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9CFB" w14:textId="32734C1A" w:rsidR="00A731E1" w:rsidRDefault="009239D4">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noProof/>
        <w:color w:val="000000"/>
        <w:sz w:val="20"/>
        <w:szCs w:val="20"/>
      </w:rPr>
      <mc:AlternateContent>
        <mc:Choice Requires="wps">
          <w:drawing>
            <wp:anchor distT="0" distB="0" distL="0" distR="0" simplePos="0" relativeHeight="251660288" behindDoc="0" locked="0" layoutInCell="1" allowOverlap="1" wp14:anchorId="0C3B5AD7" wp14:editId="2FC5F0BE">
              <wp:simplePos x="914400" y="453224"/>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082AD0" w14:textId="3C5F2815"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3B5AD7" id="_x0000_t202" coordsize="21600,21600" o:spt="202" path="m,l,21600r21600,l21600,xe">
              <v:stroke joinstyle="miter"/>
              <v:path gradientshapeok="t" o:connecttype="rect"/>
            </v:shapetype>
            <v:shape id="Text Box 3" o:spid="_x0000_s1027" type="#_x0000_t202" alt="UK 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8082AD0" w14:textId="3C5F2815"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v:textbox>
              <w10:wrap anchorx="page" anchory="page"/>
            </v:shape>
          </w:pict>
        </mc:Fallback>
      </mc:AlternateContent>
    </w:r>
  </w:p>
  <w:p w14:paraId="23C20B0C" w14:textId="5DB71EDD"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r w:rsidR="005B22F1" w:rsidRPr="005B22F1">
      <w:rPr>
        <w:rFonts w:eastAsia="Arial"/>
        <w:bCs/>
        <w:color w:val="000000"/>
        <w:sz w:val="20"/>
        <w:szCs w:val="20"/>
      </w:rPr>
      <w:t xml:space="preserve">, </w:t>
    </w:r>
    <w:r w:rsidR="006C68D3" w:rsidRPr="005B22F1">
      <w:rPr>
        <w:rFonts w:eastAsia="Arial"/>
        <w:bCs/>
        <w:color w:val="000000"/>
        <w:sz w:val="20"/>
        <w:szCs w:val="20"/>
      </w:rPr>
      <w:t>[Subject to Contract]</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0042C" w14:textId="0E3DD4E3" w:rsidR="00922F47" w:rsidRDefault="009239D4">
    <w:pPr>
      <w:pStyle w:val="Header"/>
    </w:pPr>
    <w:r>
      <w:rPr>
        <w:noProof/>
      </w:rPr>
      <mc:AlternateContent>
        <mc:Choice Requires="wps">
          <w:drawing>
            <wp:anchor distT="0" distB="0" distL="0" distR="0" simplePos="0" relativeHeight="251658240" behindDoc="0" locked="0" layoutInCell="1" allowOverlap="1" wp14:anchorId="751CD291" wp14:editId="13929035">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3ACC9F" w14:textId="2CC8A6C3"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1CD291"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A3ACC9F" w14:textId="2CC8A6C3" w:rsidR="009239D4" w:rsidRPr="009239D4" w:rsidRDefault="009239D4" w:rsidP="009239D4">
                    <w:pPr>
                      <w:spacing w:after="0"/>
                      <w:rPr>
                        <w:rFonts w:ascii="Calibri" w:eastAsia="Calibri" w:hAnsi="Calibri" w:cs="Calibri"/>
                        <w:noProof/>
                        <w:color w:val="000000"/>
                        <w:sz w:val="20"/>
                        <w:szCs w:val="20"/>
                      </w:rPr>
                    </w:pPr>
                    <w:r w:rsidRPr="009239D4">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90299642">
    <w:abstractNumId w:val="1"/>
  </w:num>
  <w:num w:numId="2" w16cid:durableId="2087070319">
    <w:abstractNumId w:val="0"/>
  </w:num>
  <w:num w:numId="3" w16cid:durableId="1831873199">
    <w:abstractNumId w:val="2"/>
  </w:num>
  <w:num w:numId="4" w16cid:durableId="9451124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43197"/>
    <w:rsid w:val="00151A13"/>
    <w:rsid w:val="001A3E95"/>
    <w:rsid w:val="001E1710"/>
    <w:rsid w:val="002238CF"/>
    <w:rsid w:val="002A3D1C"/>
    <w:rsid w:val="0032625E"/>
    <w:rsid w:val="003C3D2D"/>
    <w:rsid w:val="00473867"/>
    <w:rsid w:val="0049582C"/>
    <w:rsid w:val="00495A80"/>
    <w:rsid w:val="005B22F1"/>
    <w:rsid w:val="006772B1"/>
    <w:rsid w:val="006C68D3"/>
    <w:rsid w:val="00736439"/>
    <w:rsid w:val="00766044"/>
    <w:rsid w:val="007C4670"/>
    <w:rsid w:val="0085352B"/>
    <w:rsid w:val="008B696B"/>
    <w:rsid w:val="00922F47"/>
    <w:rsid w:val="009239D4"/>
    <w:rsid w:val="009F1BA8"/>
    <w:rsid w:val="00A731E1"/>
    <w:rsid w:val="00B26694"/>
    <w:rsid w:val="00BE660D"/>
    <w:rsid w:val="00C45CED"/>
    <w:rsid w:val="00F64E18"/>
    <w:rsid w:val="00FD1A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2537</Words>
  <Characters>14467</Characters>
  <Application>Microsoft Office Word</Application>
  <DocSecurity>0</DocSecurity>
  <Lines>120</Lines>
  <Paragraphs>33</Paragraphs>
  <ScaleCrop>false</ScaleCrop>
  <Company>DLA Piper</Company>
  <LinksUpToDate>false</LinksUpToDate>
  <CharactersWithSpaces>16971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Kiera Roberts - UKSBS</dc:creator>
  <cp:lastModifiedBy>Kiera Roberts - UKSBS</cp:lastModifiedBy>
  <cp:revision>11</cp:revision>
  <dcterms:created xsi:type="dcterms:W3CDTF">2024-06-19T09:44:00Z</dcterms:created>
  <dcterms:modified xsi:type="dcterms:W3CDTF">2024-06-20T09:21:00Z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