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B926" w14:textId="77777777" w:rsidR="00CA079E" w:rsidRDefault="00CD7298">
      <w:pPr>
        <w:keepNext/>
        <w:pBdr>
          <w:top w:val="nil"/>
          <w:left w:val="nil"/>
          <w:bottom w:val="nil"/>
          <w:right w:val="nil"/>
          <w:between w:val="nil"/>
        </w:pBdr>
        <w:rPr>
          <w:rFonts w:eastAsia="Arial" w:cs="Arial"/>
          <w:b/>
          <w:color w:val="000000"/>
          <w:sz w:val="36"/>
          <w:szCs w:val="36"/>
        </w:rPr>
      </w:pPr>
      <w:bookmarkStart w:id="0" w:name="_heading=h.gjdgxs" w:colFirst="0" w:colLast="0"/>
      <w:bookmarkEnd w:id="0"/>
      <w:r>
        <w:rPr>
          <w:rFonts w:eastAsia="Arial" w:cs="Arial"/>
          <w:b/>
          <w:color w:val="000000"/>
          <w:sz w:val="36"/>
          <w:szCs w:val="36"/>
        </w:rPr>
        <w:t>Schedule 10 (Service Levels)</w:t>
      </w:r>
    </w:p>
    <w:p w14:paraId="7ADFE79A"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1" w:name="_heading=h.30j0zll" w:colFirst="0" w:colLast="0"/>
      <w:bookmarkEnd w:id="1"/>
      <w:r>
        <w:rPr>
          <w:rFonts w:ascii="Arial Bold" w:eastAsia="Arial Bold" w:hAnsi="Arial Bold" w:cs="Arial Bold"/>
          <w:b/>
          <w:color w:val="000000"/>
        </w:rPr>
        <w:t>Definitions</w:t>
      </w:r>
    </w:p>
    <w:p w14:paraId="7AC5086F" w14:textId="77777777" w:rsidR="00CA079E" w:rsidRDefault="00CD7298">
      <w:pPr>
        <w:keepNext/>
        <w:numPr>
          <w:ilvl w:val="1"/>
          <w:numId w:val="4"/>
        </w:numPr>
        <w:pBdr>
          <w:top w:val="nil"/>
          <w:left w:val="nil"/>
          <w:bottom w:val="nil"/>
          <w:right w:val="nil"/>
          <w:between w:val="nil"/>
        </w:pBdr>
        <w:spacing w:before="120" w:after="120" w:line="240" w:lineRule="auto"/>
      </w:pPr>
      <w:r>
        <w:rPr>
          <w:rFonts w:eastAsia="Arial" w:cs="Arial"/>
          <w:color w:val="000000"/>
        </w:rPr>
        <w:t>In this Schedule, the following words shall have the following meanings and they shall supplement Schedule 1 (Definitions):</w:t>
      </w:r>
    </w:p>
    <w:tbl>
      <w:tblPr>
        <w:tblW w:w="8422" w:type="dxa"/>
        <w:tblInd w:w="900" w:type="dxa"/>
        <w:tblLayout w:type="fixed"/>
        <w:tblCellMar>
          <w:left w:w="115" w:type="dxa"/>
          <w:right w:w="115" w:type="dxa"/>
        </w:tblCellMar>
        <w:tblLook w:val="0400" w:firstRow="0" w:lastRow="0" w:firstColumn="0" w:lastColumn="0" w:noHBand="0" w:noVBand="1"/>
      </w:tblPr>
      <w:tblGrid>
        <w:gridCol w:w="2469"/>
        <w:gridCol w:w="5953"/>
      </w:tblGrid>
      <w:tr w:rsidR="00CA079E" w14:paraId="3EEE0A52" w14:textId="77777777">
        <w:tc>
          <w:tcPr>
            <w:tcW w:w="2469" w:type="dxa"/>
            <w:shd w:val="clear" w:color="auto" w:fill="auto"/>
          </w:tcPr>
          <w:p w14:paraId="73E19683"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"Critical Service Level Failure"</w:t>
            </w:r>
          </w:p>
        </w:tc>
        <w:tc>
          <w:tcPr>
            <w:tcW w:w="5953" w:type="dxa"/>
            <w:shd w:val="clear" w:color="auto" w:fill="auto"/>
          </w:tcPr>
          <w:p w14:paraId="30581A19" w14:textId="77777777" w:rsidR="00CA079E" w:rsidRDefault="00CD7298" w:rsidP="00147AB8">
            <w:pPr>
              <w:pBdr>
                <w:top w:val="nil"/>
                <w:left w:val="nil"/>
                <w:bottom w:val="nil"/>
                <w:right w:val="nil"/>
                <w:between w:val="nil"/>
              </w:pBdr>
              <w:tabs>
                <w:tab w:val="left" w:pos="-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7F7D5095" w14:textId="77777777">
        <w:tc>
          <w:tcPr>
            <w:tcW w:w="2469" w:type="dxa"/>
            <w:shd w:val="clear" w:color="auto" w:fill="auto"/>
          </w:tcPr>
          <w:p w14:paraId="4D0ED271"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Credits"</w:t>
            </w:r>
          </w:p>
        </w:tc>
        <w:tc>
          <w:tcPr>
            <w:tcW w:w="5953" w:type="dxa"/>
            <w:shd w:val="clear" w:color="auto" w:fill="auto"/>
          </w:tcPr>
          <w:p w14:paraId="4CAC0D0C"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any service credits specified in the Annex to Part A of this Schedule being payable by the Supplier to the Buyer in respect of any failure by the Supplier to meet one or more Service Levels;</w:t>
            </w:r>
          </w:p>
        </w:tc>
      </w:tr>
      <w:tr w:rsidR="00CA079E" w14:paraId="1DEAB7EE" w14:textId="77777777">
        <w:trPr>
          <w:trHeight w:val="359"/>
        </w:trPr>
        <w:tc>
          <w:tcPr>
            <w:tcW w:w="2469" w:type="dxa"/>
            <w:shd w:val="clear" w:color="auto" w:fill="auto"/>
          </w:tcPr>
          <w:p w14:paraId="0589726C"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Credit Cap"</w:t>
            </w:r>
          </w:p>
        </w:tc>
        <w:tc>
          <w:tcPr>
            <w:tcW w:w="5953" w:type="dxa"/>
            <w:shd w:val="clear" w:color="auto" w:fill="auto"/>
          </w:tcPr>
          <w:p w14:paraId="04F74A51"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has the meaning given to it in the Award Form;</w:t>
            </w:r>
          </w:p>
        </w:tc>
      </w:tr>
      <w:tr w:rsidR="00CA079E" w14:paraId="5BBC3D79" w14:textId="77777777">
        <w:tc>
          <w:tcPr>
            <w:tcW w:w="2469" w:type="dxa"/>
            <w:shd w:val="clear" w:color="auto" w:fill="auto"/>
          </w:tcPr>
          <w:p w14:paraId="509EE945"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Failure"</w:t>
            </w:r>
          </w:p>
        </w:tc>
        <w:tc>
          <w:tcPr>
            <w:tcW w:w="5953" w:type="dxa"/>
            <w:shd w:val="clear" w:color="auto" w:fill="auto"/>
          </w:tcPr>
          <w:p w14:paraId="7B67E4AA"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means a failure to meet the Service Level Performance Measure in respect of a Service Level;</w:t>
            </w:r>
          </w:p>
        </w:tc>
      </w:tr>
      <w:tr w:rsidR="00CA079E" w14:paraId="20366EB0" w14:textId="77777777">
        <w:tc>
          <w:tcPr>
            <w:tcW w:w="2469" w:type="dxa"/>
            <w:shd w:val="clear" w:color="auto" w:fill="auto"/>
          </w:tcPr>
          <w:p w14:paraId="5F8F4490"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Performance Measure"</w:t>
            </w:r>
          </w:p>
        </w:tc>
        <w:tc>
          <w:tcPr>
            <w:tcW w:w="5953" w:type="dxa"/>
            <w:shd w:val="clear" w:color="auto" w:fill="auto"/>
          </w:tcPr>
          <w:p w14:paraId="164640F3" w14:textId="77777777"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shall be as set out against the relevant Service Level in the Annex to Part A of this Schedule; and</w:t>
            </w:r>
          </w:p>
        </w:tc>
      </w:tr>
      <w:tr w:rsidR="00CA079E" w14:paraId="2BEDA632" w14:textId="77777777">
        <w:tc>
          <w:tcPr>
            <w:tcW w:w="2469" w:type="dxa"/>
            <w:shd w:val="clear" w:color="auto" w:fill="auto"/>
          </w:tcPr>
          <w:p w14:paraId="6341298E" w14:textId="77777777" w:rsidR="00CA079E" w:rsidRDefault="00CD7298">
            <w:pPr>
              <w:pBdr>
                <w:top w:val="nil"/>
                <w:left w:val="nil"/>
                <w:bottom w:val="nil"/>
                <w:right w:val="nil"/>
                <w:between w:val="nil"/>
              </w:pBdr>
              <w:spacing w:before="120" w:after="120" w:line="240" w:lineRule="auto"/>
              <w:ind w:left="-108"/>
              <w:rPr>
                <w:rFonts w:eastAsia="Arial" w:cs="Arial"/>
                <w:b/>
                <w:color w:val="000000"/>
              </w:rPr>
            </w:pPr>
            <w:r>
              <w:rPr>
                <w:rFonts w:eastAsia="Arial" w:cs="Arial"/>
                <w:b/>
                <w:color w:val="000000"/>
              </w:rPr>
              <w:t>"Service Level Threshold"</w:t>
            </w:r>
          </w:p>
        </w:tc>
        <w:tc>
          <w:tcPr>
            <w:tcW w:w="5953" w:type="dxa"/>
            <w:shd w:val="clear" w:color="auto" w:fill="auto"/>
          </w:tcPr>
          <w:p w14:paraId="55E421B3" w14:textId="76D25EFD" w:rsidR="00CA079E" w:rsidRDefault="00CD7298" w:rsidP="00147AB8">
            <w:pPr>
              <w:pBdr>
                <w:top w:val="nil"/>
                <w:left w:val="nil"/>
                <w:bottom w:val="nil"/>
                <w:right w:val="nil"/>
                <w:between w:val="nil"/>
              </w:pBdr>
              <w:tabs>
                <w:tab w:val="left" w:pos="-9"/>
                <w:tab w:val="left" w:pos="-179"/>
              </w:tabs>
              <w:spacing w:before="120" w:after="120" w:line="240" w:lineRule="auto"/>
              <w:ind w:left="63"/>
              <w:rPr>
                <w:rFonts w:eastAsia="Arial" w:cs="Arial"/>
                <w:color w:val="000000"/>
              </w:rPr>
            </w:pPr>
            <w:r>
              <w:rPr>
                <w:rFonts w:eastAsia="Arial" w:cs="Arial"/>
                <w:color w:val="000000"/>
              </w:rPr>
              <w:t xml:space="preserve">shall be as set out against the relevant Service Level in the Annex to </w:t>
            </w:r>
            <w:r w:rsidRPr="00147AB8">
              <w:rPr>
                <w:rFonts w:eastAsia="Arial" w:cs="Arial"/>
                <w:color w:val="000000"/>
              </w:rPr>
              <w:t>Part </w:t>
            </w:r>
            <w:r w:rsidR="00147AB8">
              <w:rPr>
                <w:rFonts w:eastAsia="Arial" w:cs="Arial"/>
                <w:color w:val="000000"/>
              </w:rPr>
              <w:t>A</w:t>
            </w:r>
            <w:r>
              <w:rPr>
                <w:rFonts w:eastAsia="Arial" w:cs="Arial"/>
                <w:color w:val="000000"/>
              </w:rPr>
              <w:t xml:space="preserve"> of this Schedule.</w:t>
            </w:r>
          </w:p>
        </w:tc>
      </w:tr>
    </w:tbl>
    <w:p w14:paraId="570DA1A8" w14:textId="77777777" w:rsidR="00CA079E" w:rsidRDefault="00CD7298">
      <w:pPr>
        <w:keepNext/>
        <w:numPr>
          <w:ilvl w:val="0"/>
          <w:numId w:val="4"/>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 xml:space="preserve">What happens if you don’t meet the Service </w:t>
      </w:r>
      <w:proofErr w:type="gramStart"/>
      <w:r>
        <w:rPr>
          <w:rFonts w:eastAsia="Arial" w:cs="Arial"/>
          <w:b/>
          <w:color w:val="000000"/>
        </w:rPr>
        <w:t>Levels</w:t>
      </w:r>
      <w:proofErr w:type="gramEnd"/>
    </w:p>
    <w:p w14:paraId="40FF8D89"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The Supplier shall at all times provide the Deliverables to meet or exceed the Service Level Performance Measure for each Service Level.</w:t>
      </w:r>
    </w:p>
    <w:p w14:paraId="26E5A301" w14:textId="77777777" w:rsidR="00CA079E" w:rsidRDefault="00CD7298">
      <w:pPr>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2AB15DC"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Supplier shall send Performance Monitoring Reports to the Buyer detailing the level of service which was achieved in accordance with the provisions of Part B (Performance Monitoring) of this Schedule.</w:t>
      </w:r>
    </w:p>
    <w:p w14:paraId="0872711E"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b/>
          <w:color w:val="000000"/>
        </w:rPr>
      </w:pPr>
      <w:r>
        <w:rPr>
          <w:rFonts w:eastAsia="Arial" w:cs="Arial"/>
          <w:color w:val="000000"/>
        </w:rPr>
        <w:t>A Service Credit shall be the Buyer’s exclusive financial remedy for a Service Level Failure except where:</w:t>
      </w:r>
    </w:p>
    <w:p w14:paraId="296A375C" w14:textId="617CC598" w:rsidR="00CA079E" w:rsidRDefault="00CD7298">
      <w:pPr>
        <w:numPr>
          <w:ilvl w:val="2"/>
          <w:numId w:val="4"/>
        </w:numPr>
        <w:pBdr>
          <w:top w:val="nil"/>
          <w:left w:val="nil"/>
          <w:bottom w:val="nil"/>
          <w:right w:val="nil"/>
          <w:between w:val="nil"/>
        </w:pBdr>
        <w:spacing w:before="120" w:after="120" w:line="240" w:lineRule="auto"/>
      </w:pPr>
      <w:r>
        <w:rPr>
          <w:rFonts w:eastAsia="Arial" w:cs="Arial"/>
          <w:color w:val="000000"/>
        </w:rPr>
        <w:t xml:space="preserve">the Supplier has over the previous twelve </w:t>
      </w:r>
      <w:r w:rsidR="00BE61DD">
        <w:rPr>
          <w:rFonts w:eastAsia="Arial" w:cs="Arial"/>
          <w:color w:val="000000"/>
        </w:rPr>
        <w:t>(</w:t>
      </w:r>
      <w:r>
        <w:rPr>
          <w:rFonts w:eastAsia="Arial" w:cs="Arial"/>
          <w:color w:val="000000"/>
        </w:rPr>
        <w:t>12</w:t>
      </w:r>
      <w:r w:rsidR="00BE61DD">
        <w:rPr>
          <w:rFonts w:eastAsia="Arial" w:cs="Arial"/>
          <w:color w:val="000000"/>
        </w:rPr>
        <w:t>)</w:t>
      </w:r>
      <w:r>
        <w:rPr>
          <w:rFonts w:eastAsia="Arial" w:cs="Arial"/>
          <w:color w:val="000000"/>
        </w:rPr>
        <w:t xml:space="preserve"> Month period exceeded the Service Credit Cap; and/or</w:t>
      </w:r>
    </w:p>
    <w:p w14:paraId="6ADA8562" w14:textId="77777777" w:rsidR="00CA079E" w:rsidRDefault="00CD7298">
      <w:pPr>
        <w:keepNext/>
        <w:numPr>
          <w:ilvl w:val="2"/>
          <w:numId w:val="4"/>
        </w:numPr>
        <w:pBdr>
          <w:top w:val="nil"/>
          <w:left w:val="nil"/>
          <w:bottom w:val="nil"/>
          <w:right w:val="nil"/>
          <w:between w:val="nil"/>
        </w:pBdr>
        <w:spacing w:before="120" w:after="120" w:line="240" w:lineRule="auto"/>
      </w:pPr>
      <w:r>
        <w:rPr>
          <w:rFonts w:eastAsia="Arial" w:cs="Arial"/>
          <w:color w:val="000000"/>
        </w:rPr>
        <w:t>the Service Level Failure:</w:t>
      </w:r>
    </w:p>
    <w:p w14:paraId="5C3BECF2" w14:textId="77777777" w:rsidR="00CA079E" w:rsidRDefault="00CD7298">
      <w:pPr>
        <w:numPr>
          <w:ilvl w:val="3"/>
          <w:numId w:val="4"/>
        </w:numPr>
        <w:pBdr>
          <w:top w:val="nil"/>
          <w:left w:val="nil"/>
          <w:bottom w:val="nil"/>
          <w:right w:val="nil"/>
          <w:between w:val="nil"/>
        </w:pBdr>
        <w:spacing w:before="120" w:after="120" w:line="240" w:lineRule="auto"/>
        <w:ind w:hanging="849"/>
      </w:pPr>
      <w:r>
        <w:rPr>
          <w:rFonts w:eastAsia="Arial" w:cs="Arial"/>
          <w:color w:val="000000"/>
        </w:rPr>
        <w:t>exceeds the relevant Service Level Threshold;</w:t>
      </w:r>
    </w:p>
    <w:p w14:paraId="01FDF2EF"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 xml:space="preserve">has arisen due to a Prohibited Act or wilful Default by the Supplier; </w:t>
      </w:r>
    </w:p>
    <w:p w14:paraId="065D6756"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lastRenderedPageBreak/>
        <w:t>results in the corruption or loss of any Government Data; and/or</w:t>
      </w:r>
    </w:p>
    <w:p w14:paraId="4851FDAD" w14:textId="77777777" w:rsidR="00CA079E" w:rsidRDefault="00CD7298">
      <w:pPr>
        <w:numPr>
          <w:ilvl w:val="3"/>
          <w:numId w:val="4"/>
        </w:numPr>
        <w:pBdr>
          <w:top w:val="nil"/>
          <w:left w:val="nil"/>
          <w:bottom w:val="nil"/>
          <w:right w:val="nil"/>
          <w:between w:val="nil"/>
        </w:pBdr>
        <w:spacing w:before="120" w:after="120" w:line="240" w:lineRule="auto"/>
        <w:ind w:hanging="849"/>
        <w:rPr>
          <w:rFonts w:eastAsia="Arial" w:cs="Arial"/>
          <w:color w:val="000000"/>
        </w:rPr>
      </w:pPr>
      <w:r>
        <w:rPr>
          <w:rFonts w:eastAsia="Arial" w:cs="Arial"/>
          <w:color w:val="000000"/>
        </w:rPr>
        <w:t>results in the Buyer being required to make a compensation payment to one or more third parties; and/or</w:t>
      </w:r>
    </w:p>
    <w:p w14:paraId="0C7D9F7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Buyer is also entitled to or does terminate this Contract pursuant to Clause 14.4 of the Core Terms (When the Buyer can end the contract).</w:t>
      </w:r>
    </w:p>
    <w:p w14:paraId="4A5C8488" w14:textId="77777777" w:rsidR="00CA079E" w:rsidRDefault="00CD7298">
      <w:pPr>
        <w:keepNext/>
        <w:numPr>
          <w:ilvl w:val="1"/>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5A55347D"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 xml:space="preserve">the total number of Service Levels for which the weighting is to be changed does not exceed the number applicable as at the Start Date; </w:t>
      </w:r>
    </w:p>
    <w:p w14:paraId="11CB8C82"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 principal purpose of the change is to reflect changes in the Buyer's business requirements and/or priorities or to reflect changing industry standards; and</w:t>
      </w:r>
    </w:p>
    <w:p w14:paraId="48DA1CAF" w14:textId="77777777" w:rsidR="00CA079E" w:rsidRDefault="00CD7298">
      <w:pPr>
        <w:numPr>
          <w:ilvl w:val="2"/>
          <w:numId w:val="4"/>
        </w:numPr>
        <w:pBdr>
          <w:top w:val="nil"/>
          <w:left w:val="nil"/>
          <w:bottom w:val="nil"/>
          <w:right w:val="nil"/>
          <w:between w:val="nil"/>
        </w:pBdr>
        <w:spacing w:before="120" w:after="120" w:line="240" w:lineRule="auto"/>
        <w:rPr>
          <w:rFonts w:eastAsia="Arial" w:cs="Arial"/>
          <w:color w:val="000000"/>
        </w:rPr>
      </w:pPr>
      <w:r>
        <w:rPr>
          <w:rFonts w:eastAsia="Arial" w:cs="Arial"/>
          <w:color w:val="000000"/>
        </w:rPr>
        <w:t>there is no change to the Service Credit Cap.</w:t>
      </w:r>
    </w:p>
    <w:p w14:paraId="728B4E06" w14:textId="77777777" w:rsidR="00CA079E" w:rsidRDefault="00CD7298">
      <w:pPr>
        <w:keepNext/>
        <w:numPr>
          <w:ilvl w:val="0"/>
          <w:numId w:val="4"/>
        </w:numPr>
        <w:pBdr>
          <w:top w:val="nil"/>
          <w:left w:val="nil"/>
          <w:bottom w:val="nil"/>
          <w:right w:val="nil"/>
          <w:between w:val="nil"/>
        </w:pBdr>
        <w:spacing w:before="120" w:after="240" w:line="240" w:lineRule="auto"/>
        <w:rPr>
          <w:rFonts w:ascii="Arial Bold" w:eastAsia="Arial Bold" w:hAnsi="Arial Bold" w:cs="Arial Bold"/>
          <w:b/>
          <w:color w:val="000000"/>
        </w:rPr>
      </w:pPr>
      <w:bookmarkStart w:id="2" w:name="_heading=h.1fob9te" w:colFirst="0" w:colLast="0"/>
      <w:bookmarkStart w:id="3" w:name="_Ref141096171"/>
      <w:bookmarkEnd w:id="2"/>
      <w:r>
        <w:rPr>
          <w:rFonts w:ascii="Arial Bold" w:eastAsia="Arial Bold" w:hAnsi="Arial Bold" w:cs="Arial Bold"/>
          <w:b/>
          <w:color w:val="000000"/>
        </w:rPr>
        <w:t>Critical Service Level Failure</w:t>
      </w:r>
      <w:bookmarkEnd w:id="3"/>
    </w:p>
    <w:p w14:paraId="653D1DF6" w14:textId="77777777" w:rsidR="00CA079E" w:rsidRDefault="00CD7298" w:rsidP="00147AB8">
      <w:pPr>
        <w:keepNext/>
        <w:pBdr>
          <w:top w:val="nil"/>
          <w:left w:val="nil"/>
          <w:bottom w:val="nil"/>
          <w:right w:val="nil"/>
          <w:between w:val="nil"/>
        </w:pBdr>
        <w:spacing w:before="120" w:after="120" w:line="240" w:lineRule="auto"/>
        <w:ind w:left="907" w:hanging="547"/>
        <w:rPr>
          <w:rFonts w:eastAsia="Arial" w:cs="Arial"/>
          <w:color w:val="000000"/>
        </w:rPr>
      </w:pPr>
      <w:r>
        <w:rPr>
          <w:rFonts w:eastAsia="Arial" w:cs="Arial"/>
          <w:color w:val="000000"/>
        </w:rPr>
        <w:t>On the occurrence of a Critical Service Level Failure:</w:t>
      </w:r>
    </w:p>
    <w:p w14:paraId="74B341DA"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any Service Credits that would otherwise have accrued during the relevant Service Period shall not accrue; and</w:t>
      </w:r>
    </w:p>
    <w:p w14:paraId="1BF24015" w14:textId="77777777" w:rsidR="00CA079E" w:rsidRDefault="00CD7298">
      <w:pPr>
        <w:numPr>
          <w:ilvl w:val="1"/>
          <w:numId w:val="4"/>
        </w:numPr>
        <w:pBdr>
          <w:top w:val="nil"/>
          <w:left w:val="nil"/>
          <w:bottom w:val="nil"/>
          <w:right w:val="nil"/>
          <w:between w:val="nil"/>
        </w:pBdr>
        <w:spacing w:before="120" w:after="120" w:line="240" w:lineRule="auto"/>
      </w:pPr>
      <w:r>
        <w:rPr>
          <w:rFonts w:eastAsia="Arial" w:cs="Arial"/>
          <w:color w:val="000000"/>
        </w:rPr>
        <w:t>the Buyer shall (subject to the Service Credit Cap) be entitled to withhold and retain as compensation a sum equal to any Charges which would otherwise have been due to the Supplier in respect of that Service Period ("</w:t>
      </w:r>
      <w:r>
        <w:rPr>
          <w:rFonts w:eastAsia="Arial" w:cs="Arial"/>
          <w:b/>
          <w:color w:val="000000"/>
        </w:rPr>
        <w:t>Compensation for Critical Service Level Failure</w:t>
      </w:r>
      <w:r>
        <w:rPr>
          <w:rFonts w:eastAsia="Arial" w:cs="Arial"/>
          <w:color w:val="000000"/>
        </w:rPr>
        <w:t>"),</w:t>
      </w:r>
    </w:p>
    <w:p w14:paraId="37913115" w14:textId="517CCD4C" w:rsidR="00CA079E" w:rsidRDefault="00CD7298" w:rsidP="00147AB8">
      <w:pPr>
        <w:pBdr>
          <w:top w:val="nil"/>
          <w:left w:val="nil"/>
          <w:bottom w:val="nil"/>
          <w:right w:val="nil"/>
          <w:between w:val="nil"/>
        </w:pBdr>
        <w:spacing w:before="120" w:after="120" w:line="240" w:lineRule="auto"/>
        <w:ind w:left="426"/>
        <w:rPr>
          <w:rFonts w:eastAsia="Arial" w:cs="Arial"/>
          <w:color w:val="000000"/>
        </w:rPr>
      </w:pPr>
      <w:r>
        <w:rPr>
          <w:rFonts w:eastAsia="Arial" w:cs="Arial"/>
          <w:color w:val="000000"/>
        </w:rPr>
        <w:t xml:space="preserve">provided that the operation of this Paragraph </w:t>
      </w:r>
      <w:r w:rsidR="00147AB8">
        <w:rPr>
          <w:rFonts w:eastAsia="Arial" w:cs="Arial"/>
          <w:color w:val="000000"/>
        </w:rPr>
        <w:fldChar w:fldCharType="begin"/>
      </w:r>
      <w:r w:rsidR="00147AB8">
        <w:rPr>
          <w:rFonts w:eastAsia="Arial" w:cs="Arial"/>
          <w:color w:val="000000"/>
        </w:rPr>
        <w:instrText xml:space="preserve"> REF _Ref141096171 \w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3</w:t>
      </w:r>
      <w:r w:rsidR="00147AB8">
        <w:rPr>
          <w:rFonts w:eastAsia="Arial" w:cs="Arial"/>
          <w:color w:val="000000"/>
        </w:rPr>
        <w:fldChar w:fldCharType="end"/>
      </w:r>
      <w:r>
        <w:rPr>
          <w:rFonts w:eastAsia="Arial" w:cs="Arial"/>
          <w:color w:val="000000"/>
        </w:rPr>
        <w:t xml:space="preserve"> shall be without prejudice to the right of the Buyer to terminate this Contract and/or to claim damages from the Supplier for </w:t>
      </w:r>
      <w:sdt>
        <w:sdtPr>
          <w:tag w:val="goog_rdk_0"/>
          <w:id w:val="-316338532"/>
        </w:sdtPr>
        <w:sdtEndPr/>
        <w:sdtContent>
          <w:r>
            <w:rPr>
              <w:rFonts w:eastAsia="Arial" w:cs="Arial"/>
              <w:color w:val="000000"/>
            </w:rPr>
            <w:t>M</w:t>
          </w:r>
        </w:sdtContent>
      </w:sdt>
      <w:r>
        <w:rPr>
          <w:rFonts w:eastAsia="Arial" w:cs="Arial"/>
          <w:color w:val="000000"/>
        </w:rPr>
        <w:t>aterial Default.</w:t>
      </w:r>
    </w:p>
    <w:p w14:paraId="5814C918" w14:textId="77777777" w:rsidR="00CA079E" w:rsidRDefault="00CA079E"/>
    <w:p w14:paraId="30738F16" w14:textId="77777777" w:rsidR="00CA079E" w:rsidRDefault="00CD7298">
      <w:pPr>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4" w:name="Part_A"/>
      <w:r w:rsidRPr="00147AB8">
        <w:rPr>
          <w:rFonts w:ascii="Arial Bold" w:eastAsia="Arial Bold" w:hAnsi="Arial Bold" w:cs="Arial Bold"/>
          <w:bCs/>
          <w:color w:val="000000"/>
          <w:sz w:val="36"/>
          <w:szCs w:val="36"/>
        </w:rPr>
        <w:t>A</w:t>
      </w:r>
      <w:bookmarkEnd w:id="4"/>
      <w:r>
        <w:rPr>
          <w:rFonts w:ascii="Arial Bold" w:eastAsia="Arial Bold" w:hAnsi="Arial Bold" w:cs="Arial Bold"/>
          <w:b/>
          <w:color w:val="000000"/>
          <w:sz w:val="36"/>
          <w:szCs w:val="36"/>
        </w:rPr>
        <w:t xml:space="preserve">: Service Levels and Service Credits </w:t>
      </w:r>
    </w:p>
    <w:p w14:paraId="5C451203"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Levels</w:t>
      </w:r>
    </w:p>
    <w:p w14:paraId="60D0E0D1" w14:textId="77777777" w:rsidR="00CA079E" w:rsidRDefault="00CD7298">
      <w:pPr>
        <w:keepNext/>
        <w:spacing w:before="120" w:after="120" w:line="240" w:lineRule="auto"/>
        <w:ind w:left="360"/>
      </w:pPr>
      <w:r>
        <w:t>If the level of performance of the Supplier:</w:t>
      </w:r>
    </w:p>
    <w:p w14:paraId="484DA910"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is likely to or fails to meet any Service Level Performance Measure; or</w:t>
      </w:r>
    </w:p>
    <w:p w14:paraId="665B9D4E" w14:textId="77777777" w:rsidR="00CA079E" w:rsidRDefault="00CD7298">
      <w:pPr>
        <w:numPr>
          <w:ilvl w:val="1"/>
          <w:numId w:val="1"/>
        </w:numPr>
        <w:pBdr>
          <w:top w:val="nil"/>
          <w:left w:val="nil"/>
          <w:bottom w:val="nil"/>
          <w:right w:val="nil"/>
          <w:between w:val="nil"/>
        </w:pBdr>
        <w:spacing w:before="120" w:after="120" w:line="240" w:lineRule="auto"/>
      </w:pPr>
      <w:r>
        <w:rPr>
          <w:rFonts w:eastAsia="Arial" w:cs="Arial"/>
          <w:color w:val="000000"/>
        </w:rPr>
        <w:t xml:space="preserve">is likely to cause or causes a Critical Service </w:t>
      </w:r>
      <w:sdt>
        <w:sdtPr>
          <w:tag w:val="goog_rdk_2"/>
          <w:id w:val="1864471787"/>
        </w:sdtPr>
        <w:sdtEndPr/>
        <w:sdtContent>
          <w:r>
            <w:rPr>
              <w:rFonts w:eastAsia="Arial" w:cs="Arial"/>
              <w:color w:val="000000"/>
            </w:rPr>
            <w:t xml:space="preserve">Level </w:t>
          </w:r>
        </w:sdtContent>
      </w:sdt>
      <w:r>
        <w:rPr>
          <w:rFonts w:eastAsia="Arial" w:cs="Arial"/>
          <w:color w:val="000000"/>
        </w:rPr>
        <w:t xml:space="preserve">Failure to occur, </w:t>
      </w:r>
    </w:p>
    <w:p w14:paraId="63AEB903" w14:textId="77777777" w:rsidR="00CA079E" w:rsidRDefault="00CD7298">
      <w:pPr>
        <w:keepNext/>
        <w:spacing w:before="120" w:after="120" w:line="240" w:lineRule="auto"/>
        <w:ind w:left="360"/>
      </w:pPr>
      <w:r>
        <w:t>the Supplier shall immediately notify the Buyer in writing and the Buyer, in its absolute discretion and without limiting any other of its rights, may:</w:t>
      </w:r>
    </w:p>
    <w:p w14:paraId="40FC95B6"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require the Supplier to immediately take all remedial action that is reasonable to mitigate the impact on the Buyer and to rectify or prevent a Service Level Failure or Critical Service Level Failure from taking place or recurring; </w:t>
      </w:r>
    </w:p>
    <w:p w14:paraId="350836FE" w14:textId="77777777"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instruct the Supplier to comply with the Rectification Plan Process; </w:t>
      </w:r>
    </w:p>
    <w:p w14:paraId="173279E1" w14:textId="107F765B"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if a Service Level Failure has occurred, deduct the applicable Service Credits payable by the Supplier to the Buyer; and/or</w:t>
      </w:r>
    </w:p>
    <w:p w14:paraId="067A6AC8" w14:textId="5B3A1C6F" w:rsidR="00CA079E" w:rsidRDefault="00CD7298">
      <w:pPr>
        <w:numPr>
          <w:ilvl w:val="2"/>
          <w:numId w:val="2"/>
        </w:numPr>
        <w:pBdr>
          <w:top w:val="nil"/>
          <w:left w:val="nil"/>
          <w:bottom w:val="nil"/>
          <w:right w:val="nil"/>
          <w:between w:val="nil"/>
        </w:pBdr>
        <w:tabs>
          <w:tab w:val="left" w:pos="1985"/>
        </w:tabs>
        <w:spacing w:before="120" w:after="120" w:line="240" w:lineRule="auto"/>
        <w:ind w:left="1750" w:hanging="850"/>
      </w:pPr>
      <w:r>
        <w:t xml:space="preserve">if a Critical Service Level Failure has occurred, exercise its right to Compensation for Critical Service Level Failure (including the right to terminate for </w:t>
      </w:r>
      <w:sdt>
        <w:sdtPr>
          <w:tag w:val="goog_rdk_4"/>
          <w:id w:val="-498503796"/>
        </w:sdtPr>
        <w:sdtEndPr/>
        <w:sdtContent>
          <w:r>
            <w:t>M</w:t>
          </w:r>
        </w:sdtContent>
      </w:sdt>
      <w:r>
        <w:t>aterial Default</w:t>
      </w:r>
      <w:sdt>
        <w:sdtPr>
          <w:tag w:val="goog_rdk_6"/>
          <w:id w:val="505324791"/>
        </w:sdtPr>
        <w:sdtEndPr/>
        <w:sdtContent>
          <w:r>
            <w:t xml:space="preserve"> and the consequences of termination in Clause 14.5.1 shall apply</w:t>
          </w:r>
        </w:sdtContent>
      </w:sdt>
      <w:r>
        <w:t>).</w:t>
      </w:r>
    </w:p>
    <w:p w14:paraId="215F3D6B" w14:textId="77777777" w:rsidR="00CA079E" w:rsidRDefault="00CD7298">
      <w:pPr>
        <w:keepNext/>
        <w:numPr>
          <w:ilvl w:val="0"/>
          <w:numId w:val="1"/>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Service Credits</w:t>
      </w:r>
    </w:p>
    <w:p w14:paraId="44194144" w14:textId="57720E2D" w:rsidR="00CA079E" w:rsidRDefault="00692914" w:rsidP="00692914">
      <w:pPr>
        <w:pBdr>
          <w:top w:val="nil"/>
          <w:left w:val="nil"/>
          <w:bottom w:val="nil"/>
          <w:right w:val="nil"/>
          <w:between w:val="nil"/>
        </w:pBdr>
        <w:spacing w:before="120" w:after="120" w:line="240" w:lineRule="auto"/>
      </w:pPr>
      <w:r>
        <w:rPr>
          <w:rFonts w:eastAsia="Arial" w:cs="Arial"/>
          <w:color w:val="000000"/>
        </w:rPr>
        <w:t>Not Applicable.</w:t>
      </w:r>
    </w:p>
    <w:p w14:paraId="17E99BA2" w14:textId="61A28A5F" w:rsidR="00CA079E" w:rsidRDefault="00CD7298">
      <w:pPr>
        <w:keepNext/>
        <w:pBdr>
          <w:top w:val="nil"/>
          <w:left w:val="nil"/>
          <w:bottom w:val="nil"/>
          <w:right w:val="nil"/>
          <w:between w:val="nil"/>
        </w:pBdr>
        <w:rPr>
          <w:rFonts w:ascii="Arial Bold" w:eastAsia="Arial Bold" w:hAnsi="Arial Bold" w:cs="Arial Bold"/>
          <w:b/>
          <w:color w:val="000000"/>
        </w:rPr>
      </w:pPr>
      <w:r>
        <w:br w:type="page"/>
      </w:r>
      <w:r>
        <w:rPr>
          <w:rFonts w:ascii="Arial Bold" w:eastAsia="Arial Bold" w:hAnsi="Arial Bold" w:cs="Arial Bold"/>
          <w:b/>
          <w:color w:val="000000"/>
          <w:sz w:val="36"/>
          <w:szCs w:val="36"/>
        </w:rPr>
        <w:lastRenderedPageBreak/>
        <w:t xml:space="preserve">Annex A to Part A: Service Levels </w:t>
      </w:r>
    </w:p>
    <w:p w14:paraId="28396A59" w14:textId="7045D942" w:rsidR="00CA079E" w:rsidRDefault="00CD7298">
      <w:pPr>
        <w:spacing w:before="120" w:after="120" w:line="240" w:lineRule="auto"/>
      </w:pPr>
      <w:r>
        <w:t xml:space="preserve"> </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122"/>
        <w:gridCol w:w="1984"/>
        <w:gridCol w:w="2977"/>
        <w:gridCol w:w="2410"/>
      </w:tblGrid>
      <w:tr w:rsidR="00131ED2" w:rsidRPr="00147AB8" w14:paraId="312637B8" w14:textId="77777777" w:rsidTr="00C32A5F">
        <w:trPr>
          <w:trHeight w:val="1213"/>
          <w:tblHeader/>
        </w:trPr>
        <w:tc>
          <w:tcPr>
            <w:tcW w:w="2122" w:type="dxa"/>
            <w:shd w:val="clear" w:color="auto" w:fill="D9D9D9"/>
          </w:tcPr>
          <w:p w14:paraId="158E2C45" w14:textId="77777777" w:rsidR="00131ED2" w:rsidRPr="00147AB8" w:rsidRDefault="00131ED2" w:rsidP="00147AB8">
            <w:pPr>
              <w:spacing w:before="120" w:after="120" w:line="240" w:lineRule="auto"/>
              <w:ind w:left="61"/>
              <w:jc w:val="center"/>
              <w:rPr>
                <w:b/>
                <w:bCs/>
                <w:sz w:val="20"/>
                <w:szCs w:val="20"/>
              </w:rPr>
            </w:pPr>
            <w:r w:rsidRPr="00147AB8">
              <w:rPr>
                <w:b/>
                <w:bCs/>
                <w:sz w:val="20"/>
                <w:szCs w:val="20"/>
              </w:rPr>
              <w:t>Service Level Performance Criterion</w:t>
            </w:r>
          </w:p>
        </w:tc>
        <w:tc>
          <w:tcPr>
            <w:tcW w:w="1984" w:type="dxa"/>
            <w:shd w:val="clear" w:color="auto" w:fill="D9D9D9"/>
          </w:tcPr>
          <w:p w14:paraId="0A4505B9" w14:textId="77777777" w:rsidR="00131ED2" w:rsidRPr="00147AB8" w:rsidRDefault="00131ED2" w:rsidP="00147AB8">
            <w:pPr>
              <w:spacing w:before="120" w:after="120" w:line="240" w:lineRule="auto"/>
              <w:ind w:left="95"/>
              <w:jc w:val="center"/>
              <w:rPr>
                <w:b/>
                <w:bCs/>
                <w:sz w:val="20"/>
                <w:szCs w:val="20"/>
              </w:rPr>
            </w:pPr>
            <w:r w:rsidRPr="00147AB8">
              <w:rPr>
                <w:b/>
                <w:bCs/>
                <w:sz w:val="20"/>
                <w:szCs w:val="20"/>
              </w:rPr>
              <w:t>Key Indicator</w:t>
            </w:r>
          </w:p>
        </w:tc>
        <w:tc>
          <w:tcPr>
            <w:tcW w:w="2977" w:type="dxa"/>
            <w:shd w:val="clear" w:color="auto" w:fill="D9D9D9"/>
          </w:tcPr>
          <w:p w14:paraId="14F93598" w14:textId="77777777" w:rsidR="00131ED2" w:rsidRPr="00147AB8" w:rsidRDefault="00131ED2" w:rsidP="00147AB8">
            <w:pPr>
              <w:spacing w:before="120" w:after="120" w:line="240" w:lineRule="auto"/>
              <w:jc w:val="center"/>
              <w:rPr>
                <w:b/>
                <w:bCs/>
                <w:sz w:val="20"/>
                <w:szCs w:val="20"/>
              </w:rPr>
            </w:pPr>
            <w:r w:rsidRPr="00147AB8">
              <w:rPr>
                <w:b/>
                <w:bCs/>
                <w:sz w:val="20"/>
                <w:szCs w:val="20"/>
              </w:rPr>
              <w:t>Service Level Performance Measure</w:t>
            </w:r>
          </w:p>
        </w:tc>
        <w:tc>
          <w:tcPr>
            <w:tcW w:w="2410" w:type="dxa"/>
            <w:shd w:val="clear" w:color="auto" w:fill="D9D9D9"/>
          </w:tcPr>
          <w:p w14:paraId="3789C237" w14:textId="77777777" w:rsidR="00131ED2" w:rsidRPr="00147AB8" w:rsidRDefault="00131ED2" w:rsidP="00147AB8">
            <w:pPr>
              <w:spacing w:before="120" w:after="120" w:line="240" w:lineRule="auto"/>
              <w:ind w:left="95"/>
              <w:jc w:val="center"/>
              <w:rPr>
                <w:b/>
                <w:bCs/>
                <w:sz w:val="20"/>
                <w:szCs w:val="20"/>
              </w:rPr>
            </w:pPr>
            <w:r w:rsidRPr="00147AB8">
              <w:rPr>
                <w:b/>
                <w:bCs/>
                <w:sz w:val="20"/>
                <w:szCs w:val="20"/>
              </w:rPr>
              <w:t>Service Level Threshold</w:t>
            </w:r>
          </w:p>
        </w:tc>
      </w:tr>
      <w:tr w:rsidR="00131ED2" w:rsidRPr="00147AB8" w14:paraId="53A24B13" w14:textId="77777777" w:rsidTr="00C32A5F">
        <w:trPr>
          <w:trHeight w:val="1474"/>
        </w:trPr>
        <w:tc>
          <w:tcPr>
            <w:tcW w:w="2122" w:type="dxa"/>
          </w:tcPr>
          <w:p w14:paraId="4D722DA7" w14:textId="7BD96B37" w:rsidR="00131ED2" w:rsidRPr="00147AB8" w:rsidRDefault="00131ED2" w:rsidP="00C32A5F">
            <w:pPr>
              <w:spacing w:before="120" w:after="120" w:line="240" w:lineRule="auto"/>
              <w:ind w:left="61"/>
              <w:rPr>
                <w:sz w:val="20"/>
                <w:szCs w:val="20"/>
              </w:rPr>
            </w:pPr>
            <w:r>
              <w:rPr>
                <w:rFonts w:cs="Arial"/>
              </w:rPr>
              <w:t>Deliverables timeliness (monthly)</w:t>
            </w:r>
          </w:p>
        </w:tc>
        <w:tc>
          <w:tcPr>
            <w:tcW w:w="1984" w:type="dxa"/>
          </w:tcPr>
          <w:p w14:paraId="467C4551" w14:textId="2EDBCF72" w:rsidR="00131ED2" w:rsidRPr="00147AB8" w:rsidRDefault="00131ED2" w:rsidP="00C32A5F">
            <w:pPr>
              <w:spacing w:before="120" w:after="120" w:line="240" w:lineRule="auto"/>
              <w:ind w:left="95"/>
              <w:rPr>
                <w:sz w:val="20"/>
                <w:szCs w:val="20"/>
              </w:rPr>
            </w:pPr>
            <w:r>
              <w:rPr>
                <w:rFonts w:cs="Arial"/>
              </w:rPr>
              <w:t>Delivered to agreed timescales</w:t>
            </w:r>
          </w:p>
        </w:tc>
        <w:tc>
          <w:tcPr>
            <w:tcW w:w="2977" w:type="dxa"/>
          </w:tcPr>
          <w:p w14:paraId="3BA927F3" w14:textId="0C3EDB60" w:rsidR="00131ED2" w:rsidRPr="00147AB8" w:rsidRDefault="00131ED2" w:rsidP="00C32A5F">
            <w:pPr>
              <w:spacing w:before="120" w:after="120" w:line="240" w:lineRule="auto"/>
              <w:rPr>
                <w:sz w:val="20"/>
                <w:szCs w:val="20"/>
              </w:rPr>
            </w:pPr>
            <w:r>
              <w:rPr>
                <w:rFonts w:cs="Arial"/>
              </w:rPr>
              <w:t xml:space="preserve">The output of each </w:t>
            </w:r>
            <w:r w:rsidR="00DC0080">
              <w:rPr>
                <w:rFonts w:cs="Arial"/>
              </w:rPr>
              <w:t>service</w:t>
            </w:r>
            <w:r>
              <w:rPr>
                <w:rFonts w:cs="Arial"/>
              </w:rPr>
              <w:t xml:space="preserve"> was delivered in the agreed timeframe as outlined in the </w:t>
            </w:r>
            <w:r w:rsidR="00DC0080">
              <w:rPr>
                <w:rFonts w:cs="Arial"/>
              </w:rPr>
              <w:t>specification.</w:t>
            </w:r>
          </w:p>
        </w:tc>
        <w:tc>
          <w:tcPr>
            <w:tcW w:w="2410" w:type="dxa"/>
          </w:tcPr>
          <w:p w14:paraId="636E7C60" w14:textId="5CD8E388" w:rsidR="00131ED2" w:rsidRPr="00147AB8" w:rsidRDefault="00131ED2" w:rsidP="00C32A5F">
            <w:pPr>
              <w:spacing w:before="120" w:after="120" w:line="240" w:lineRule="auto"/>
              <w:ind w:left="95"/>
              <w:rPr>
                <w:sz w:val="20"/>
                <w:szCs w:val="20"/>
              </w:rPr>
            </w:pPr>
            <w:r>
              <w:rPr>
                <w:rFonts w:cs="Arial"/>
              </w:rPr>
              <w:t>95%</w:t>
            </w:r>
          </w:p>
        </w:tc>
      </w:tr>
      <w:tr w:rsidR="00131ED2" w:rsidRPr="00147AB8" w14:paraId="0BADB3DF" w14:textId="77777777" w:rsidTr="00C32A5F">
        <w:trPr>
          <w:trHeight w:val="1474"/>
        </w:trPr>
        <w:tc>
          <w:tcPr>
            <w:tcW w:w="2122" w:type="dxa"/>
          </w:tcPr>
          <w:p w14:paraId="374B1E38" w14:textId="4ACB6A07" w:rsidR="00131ED2" w:rsidRPr="00147AB8" w:rsidRDefault="00131ED2" w:rsidP="00C32A5F">
            <w:pPr>
              <w:spacing w:before="120" w:after="120" w:line="240" w:lineRule="auto"/>
              <w:ind w:left="61"/>
              <w:rPr>
                <w:sz w:val="20"/>
                <w:szCs w:val="20"/>
              </w:rPr>
            </w:pPr>
            <w:r>
              <w:rPr>
                <w:rFonts w:cs="Arial"/>
              </w:rPr>
              <w:t>Supplier Internal quality assurance (monthly)</w:t>
            </w:r>
          </w:p>
        </w:tc>
        <w:tc>
          <w:tcPr>
            <w:tcW w:w="1984" w:type="dxa"/>
          </w:tcPr>
          <w:p w14:paraId="3FE8D882" w14:textId="7E0794F7" w:rsidR="00131ED2" w:rsidRPr="00147AB8" w:rsidRDefault="00131ED2" w:rsidP="00C32A5F">
            <w:pPr>
              <w:spacing w:before="120" w:after="120" w:line="240" w:lineRule="auto"/>
              <w:ind w:left="95"/>
              <w:rPr>
                <w:sz w:val="20"/>
                <w:szCs w:val="20"/>
              </w:rPr>
            </w:pPr>
            <w:r>
              <w:rPr>
                <w:rFonts w:cs="Arial"/>
              </w:rPr>
              <w:t>Delivered in line with quality assurance methodology</w:t>
            </w:r>
          </w:p>
        </w:tc>
        <w:tc>
          <w:tcPr>
            <w:tcW w:w="2977" w:type="dxa"/>
          </w:tcPr>
          <w:p w14:paraId="7EB8E23A" w14:textId="4834FC9C" w:rsidR="00131ED2" w:rsidRPr="00147AB8" w:rsidRDefault="00131ED2" w:rsidP="00C32A5F">
            <w:pPr>
              <w:spacing w:before="120" w:after="120" w:line="240" w:lineRule="auto"/>
              <w:rPr>
                <w:sz w:val="20"/>
                <w:szCs w:val="20"/>
              </w:rPr>
            </w:pPr>
            <w:r>
              <w:rPr>
                <w:rFonts w:cs="Arial"/>
              </w:rPr>
              <w:t xml:space="preserve">The output of </w:t>
            </w:r>
            <w:r w:rsidR="006A7D82">
              <w:rPr>
                <w:rFonts w:cs="Arial"/>
              </w:rPr>
              <w:t>the service</w:t>
            </w:r>
            <w:r>
              <w:rPr>
                <w:rFonts w:cs="Arial"/>
              </w:rPr>
              <w:t xml:space="preserve"> was subjected to the internal quality controls as outlined in the </w:t>
            </w:r>
            <w:r w:rsidR="006A7D82">
              <w:rPr>
                <w:rFonts w:cs="Arial"/>
              </w:rPr>
              <w:t>specification.</w:t>
            </w:r>
          </w:p>
        </w:tc>
        <w:tc>
          <w:tcPr>
            <w:tcW w:w="2410" w:type="dxa"/>
          </w:tcPr>
          <w:p w14:paraId="15CBB5D9" w14:textId="154D5224" w:rsidR="00131ED2" w:rsidRPr="00147AB8" w:rsidRDefault="00131ED2" w:rsidP="00C32A5F">
            <w:pPr>
              <w:spacing w:before="120" w:after="120" w:line="240" w:lineRule="auto"/>
              <w:ind w:left="95"/>
              <w:rPr>
                <w:sz w:val="20"/>
                <w:szCs w:val="20"/>
              </w:rPr>
            </w:pPr>
            <w:r>
              <w:rPr>
                <w:rFonts w:cs="Arial"/>
              </w:rPr>
              <w:t>95%</w:t>
            </w:r>
          </w:p>
        </w:tc>
      </w:tr>
      <w:tr w:rsidR="00131ED2" w:rsidRPr="00147AB8" w14:paraId="6EAFDD28" w14:textId="77777777" w:rsidTr="00C32A5F">
        <w:trPr>
          <w:trHeight w:val="1474"/>
        </w:trPr>
        <w:tc>
          <w:tcPr>
            <w:tcW w:w="2122" w:type="dxa"/>
          </w:tcPr>
          <w:p w14:paraId="4844A4F0" w14:textId="1C2E22A6" w:rsidR="00131ED2" w:rsidRPr="00147AB8" w:rsidRDefault="00131ED2" w:rsidP="00C32A5F">
            <w:pPr>
              <w:spacing w:before="120" w:after="120" w:line="240" w:lineRule="auto"/>
              <w:ind w:left="61"/>
              <w:rPr>
                <w:sz w:val="20"/>
                <w:szCs w:val="20"/>
              </w:rPr>
            </w:pPr>
            <w:r>
              <w:rPr>
                <w:rFonts w:cs="Arial"/>
              </w:rPr>
              <w:t>Management Information (MI) is provided at monthly intervals and a minimum of 2 working days before any scheduled call-off contract management meeting.</w:t>
            </w:r>
          </w:p>
        </w:tc>
        <w:tc>
          <w:tcPr>
            <w:tcW w:w="1984" w:type="dxa"/>
          </w:tcPr>
          <w:p w14:paraId="1D65503F" w14:textId="77777777" w:rsidR="00131ED2" w:rsidRDefault="00131ED2" w:rsidP="00C32A5F">
            <w:pPr>
              <w:pStyle w:val="BodyText"/>
              <w:spacing w:after="0" w:line="252" w:lineRule="auto"/>
              <w:rPr>
                <w:rFonts w:ascii="Arial" w:hAnsi="Arial" w:cs="Arial"/>
              </w:rPr>
            </w:pPr>
          </w:p>
          <w:p w14:paraId="52C449B7" w14:textId="77777777" w:rsidR="00131ED2" w:rsidRDefault="00131ED2" w:rsidP="00C32A5F">
            <w:pPr>
              <w:spacing w:line="252" w:lineRule="auto"/>
              <w:rPr>
                <w:rFonts w:cs="Arial"/>
              </w:rPr>
            </w:pPr>
          </w:p>
          <w:p w14:paraId="0C7858D1" w14:textId="4F4CE099" w:rsidR="00131ED2" w:rsidRPr="00147AB8" w:rsidRDefault="00131ED2" w:rsidP="00C32A5F">
            <w:pPr>
              <w:spacing w:before="120" w:after="120" w:line="240" w:lineRule="auto"/>
              <w:ind w:left="95"/>
              <w:rPr>
                <w:sz w:val="20"/>
                <w:szCs w:val="20"/>
                <w:highlight w:val="yellow"/>
              </w:rPr>
            </w:pPr>
            <w:r>
              <w:rPr>
                <w:rFonts w:cs="Arial"/>
              </w:rPr>
              <w:t>Delivered to agreed timescales</w:t>
            </w:r>
          </w:p>
        </w:tc>
        <w:tc>
          <w:tcPr>
            <w:tcW w:w="2977" w:type="dxa"/>
          </w:tcPr>
          <w:p w14:paraId="7FF4044B" w14:textId="6D873334" w:rsidR="00131ED2" w:rsidRPr="00147AB8" w:rsidRDefault="00131ED2" w:rsidP="00C32A5F">
            <w:pPr>
              <w:spacing w:before="120" w:after="120" w:line="240" w:lineRule="auto"/>
              <w:rPr>
                <w:sz w:val="20"/>
                <w:szCs w:val="20"/>
                <w:highlight w:val="yellow"/>
              </w:rPr>
            </w:pPr>
            <w:r>
              <w:rPr>
                <w:rFonts w:cs="Arial"/>
              </w:rPr>
              <w:t>Confirmation of receipt and time of receipt by DESNZ</w:t>
            </w:r>
          </w:p>
        </w:tc>
        <w:tc>
          <w:tcPr>
            <w:tcW w:w="2410" w:type="dxa"/>
          </w:tcPr>
          <w:p w14:paraId="4F559E31" w14:textId="61833770" w:rsidR="00131ED2" w:rsidRPr="00147AB8" w:rsidRDefault="00131ED2" w:rsidP="00C32A5F">
            <w:pPr>
              <w:spacing w:before="120" w:after="120" w:line="240" w:lineRule="auto"/>
              <w:ind w:left="95"/>
              <w:rPr>
                <w:sz w:val="20"/>
                <w:szCs w:val="20"/>
                <w:highlight w:val="yellow"/>
              </w:rPr>
            </w:pPr>
            <w:r>
              <w:rPr>
                <w:rFonts w:cs="Arial"/>
              </w:rPr>
              <w:t>100%</w:t>
            </w:r>
          </w:p>
        </w:tc>
      </w:tr>
      <w:tr w:rsidR="00131ED2" w:rsidRPr="00147AB8" w14:paraId="0EE6BBBA" w14:textId="77777777" w:rsidTr="00C32A5F">
        <w:trPr>
          <w:trHeight w:val="1474"/>
        </w:trPr>
        <w:tc>
          <w:tcPr>
            <w:tcW w:w="2122" w:type="dxa"/>
          </w:tcPr>
          <w:p w14:paraId="6BC43440" w14:textId="54278EFD" w:rsidR="00131ED2" w:rsidRPr="00147AB8" w:rsidRDefault="00131ED2" w:rsidP="00C32A5F">
            <w:pPr>
              <w:spacing w:before="120" w:after="120" w:line="240" w:lineRule="auto"/>
              <w:ind w:left="61"/>
              <w:rPr>
                <w:sz w:val="20"/>
                <w:szCs w:val="20"/>
              </w:rPr>
            </w:pPr>
            <w:r>
              <w:rPr>
                <w:rFonts w:cs="Arial"/>
              </w:rPr>
              <w:t>Quality Score (monthly)</w:t>
            </w:r>
          </w:p>
        </w:tc>
        <w:tc>
          <w:tcPr>
            <w:tcW w:w="1984" w:type="dxa"/>
          </w:tcPr>
          <w:p w14:paraId="61156AAB" w14:textId="1EA659B2" w:rsidR="00131ED2" w:rsidRPr="00147AB8" w:rsidRDefault="00131ED2" w:rsidP="00C32A5F">
            <w:pPr>
              <w:spacing w:before="120" w:after="120" w:line="240" w:lineRule="auto"/>
              <w:ind w:left="95"/>
              <w:rPr>
                <w:sz w:val="20"/>
                <w:szCs w:val="20"/>
                <w:highlight w:val="yellow"/>
              </w:rPr>
            </w:pPr>
            <w:r>
              <w:rPr>
                <w:rFonts w:cs="Arial"/>
              </w:rPr>
              <w:t xml:space="preserve">Accepted by the </w:t>
            </w:r>
            <w:r w:rsidR="00B14A4F">
              <w:rPr>
                <w:rFonts w:cs="Arial"/>
              </w:rPr>
              <w:t>D</w:t>
            </w:r>
            <w:r>
              <w:rPr>
                <w:rFonts w:cs="Arial"/>
              </w:rPr>
              <w:t>epartment as meeting acceptable quality standards</w:t>
            </w:r>
          </w:p>
        </w:tc>
        <w:tc>
          <w:tcPr>
            <w:tcW w:w="2977" w:type="dxa"/>
          </w:tcPr>
          <w:p w14:paraId="0DA9FFDC" w14:textId="6D40B4B7" w:rsidR="00131ED2" w:rsidRPr="00147AB8" w:rsidRDefault="00131ED2" w:rsidP="00C32A5F">
            <w:pPr>
              <w:spacing w:before="120" w:after="120" w:line="240" w:lineRule="auto"/>
              <w:rPr>
                <w:sz w:val="20"/>
                <w:szCs w:val="20"/>
                <w:highlight w:val="yellow"/>
              </w:rPr>
            </w:pPr>
            <w:r>
              <w:rPr>
                <w:rFonts w:cs="Arial"/>
              </w:rPr>
              <w:t xml:space="preserve">The output of </w:t>
            </w:r>
            <w:r w:rsidR="00B14A4F">
              <w:rPr>
                <w:rFonts w:cs="Arial"/>
              </w:rPr>
              <w:t>the</w:t>
            </w:r>
            <w:r>
              <w:rPr>
                <w:rFonts w:cs="Arial"/>
              </w:rPr>
              <w:t xml:space="preserve"> </w:t>
            </w:r>
            <w:r w:rsidR="00B14A4F">
              <w:rPr>
                <w:rFonts w:cs="Arial"/>
              </w:rPr>
              <w:t>service</w:t>
            </w:r>
            <w:r>
              <w:rPr>
                <w:rFonts w:cs="Arial"/>
              </w:rPr>
              <w:t xml:space="preserve"> was signed off by the relevant Policy lead as having been produced to satisfactory quality and met the objective set out in the </w:t>
            </w:r>
            <w:r w:rsidR="00B14A4F">
              <w:rPr>
                <w:rFonts w:cs="Arial"/>
              </w:rPr>
              <w:t>specification.</w:t>
            </w:r>
          </w:p>
        </w:tc>
        <w:tc>
          <w:tcPr>
            <w:tcW w:w="2410" w:type="dxa"/>
          </w:tcPr>
          <w:p w14:paraId="4DC95750" w14:textId="760528C3" w:rsidR="00131ED2" w:rsidRPr="00147AB8" w:rsidRDefault="00131ED2" w:rsidP="00C32A5F">
            <w:pPr>
              <w:spacing w:before="120" w:after="120" w:line="240" w:lineRule="auto"/>
              <w:ind w:left="95"/>
              <w:rPr>
                <w:sz w:val="20"/>
                <w:szCs w:val="20"/>
                <w:highlight w:val="yellow"/>
              </w:rPr>
            </w:pPr>
            <w:r>
              <w:rPr>
                <w:rFonts w:cs="Arial"/>
              </w:rPr>
              <w:t>100%</w:t>
            </w:r>
          </w:p>
        </w:tc>
      </w:tr>
      <w:tr w:rsidR="00131ED2" w:rsidRPr="00147AB8" w14:paraId="090DA468" w14:textId="77777777" w:rsidTr="00C32A5F">
        <w:trPr>
          <w:trHeight w:val="1474"/>
        </w:trPr>
        <w:tc>
          <w:tcPr>
            <w:tcW w:w="2122" w:type="dxa"/>
          </w:tcPr>
          <w:p w14:paraId="44BC76E2" w14:textId="0AB25FE3" w:rsidR="00131ED2" w:rsidRPr="00147AB8" w:rsidRDefault="00131ED2" w:rsidP="00C32A5F">
            <w:pPr>
              <w:spacing w:before="120" w:after="120" w:line="240" w:lineRule="auto"/>
              <w:ind w:left="61"/>
              <w:rPr>
                <w:sz w:val="20"/>
                <w:szCs w:val="20"/>
              </w:rPr>
            </w:pPr>
            <w:r>
              <w:rPr>
                <w:rFonts w:cs="Arial"/>
              </w:rPr>
              <w:t>Invoice timeliness (monthly)</w:t>
            </w:r>
          </w:p>
        </w:tc>
        <w:tc>
          <w:tcPr>
            <w:tcW w:w="1984" w:type="dxa"/>
          </w:tcPr>
          <w:p w14:paraId="0D298B4E" w14:textId="62381913" w:rsidR="00131ED2" w:rsidRPr="00147AB8" w:rsidRDefault="00131ED2" w:rsidP="00C32A5F">
            <w:pPr>
              <w:spacing w:before="120" w:after="120" w:line="240" w:lineRule="auto"/>
              <w:ind w:left="95"/>
              <w:rPr>
                <w:sz w:val="20"/>
                <w:szCs w:val="20"/>
                <w:highlight w:val="yellow"/>
              </w:rPr>
            </w:pPr>
            <w:r>
              <w:rPr>
                <w:rFonts w:cs="Arial"/>
              </w:rPr>
              <w:t>Delivered to agreed timescales</w:t>
            </w:r>
          </w:p>
        </w:tc>
        <w:tc>
          <w:tcPr>
            <w:tcW w:w="2977" w:type="dxa"/>
          </w:tcPr>
          <w:p w14:paraId="0DD1E297" w14:textId="2BC19FDC" w:rsidR="00131ED2" w:rsidRPr="00147AB8" w:rsidRDefault="00131ED2" w:rsidP="00C32A5F">
            <w:pPr>
              <w:spacing w:before="120" w:after="120" w:line="240" w:lineRule="auto"/>
              <w:rPr>
                <w:sz w:val="20"/>
                <w:szCs w:val="20"/>
                <w:highlight w:val="yellow"/>
              </w:rPr>
            </w:pPr>
            <w:r>
              <w:rPr>
                <w:rFonts w:cs="Arial"/>
              </w:rPr>
              <w:t>The invoice was provided with</w:t>
            </w:r>
            <w:r w:rsidR="00996C50">
              <w:rPr>
                <w:rFonts w:cs="Arial"/>
              </w:rPr>
              <w:t>in</w:t>
            </w:r>
            <w:r>
              <w:rPr>
                <w:rFonts w:cs="Arial"/>
              </w:rPr>
              <w:t xml:space="preserve"> the agreed timeframe stipulated in the </w:t>
            </w:r>
            <w:r w:rsidR="00E2671D">
              <w:rPr>
                <w:rFonts w:cs="Arial"/>
              </w:rPr>
              <w:t>Specification.</w:t>
            </w:r>
          </w:p>
        </w:tc>
        <w:tc>
          <w:tcPr>
            <w:tcW w:w="2410" w:type="dxa"/>
          </w:tcPr>
          <w:p w14:paraId="47EE779F" w14:textId="35914981" w:rsidR="00131ED2" w:rsidRPr="00147AB8" w:rsidRDefault="00131ED2" w:rsidP="00C32A5F">
            <w:pPr>
              <w:spacing w:before="120" w:after="120" w:line="240" w:lineRule="auto"/>
              <w:ind w:left="95"/>
              <w:rPr>
                <w:sz w:val="20"/>
                <w:szCs w:val="20"/>
                <w:highlight w:val="yellow"/>
              </w:rPr>
            </w:pPr>
            <w:r>
              <w:rPr>
                <w:rFonts w:cs="Arial"/>
              </w:rPr>
              <w:t>100%</w:t>
            </w:r>
          </w:p>
        </w:tc>
      </w:tr>
      <w:tr w:rsidR="00131ED2" w:rsidRPr="00147AB8" w14:paraId="6F951A1E" w14:textId="77777777" w:rsidTr="00C32A5F">
        <w:trPr>
          <w:trHeight w:val="1474"/>
        </w:trPr>
        <w:tc>
          <w:tcPr>
            <w:tcW w:w="2122" w:type="dxa"/>
          </w:tcPr>
          <w:p w14:paraId="7EA5258E" w14:textId="21BD9AC1" w:rsidR="00131ED2" w:rsidRPr="00147AB8" w:rsidRDefault="00131ED2" w:rsidP="00C32A5F">
            <w:pPr>
              <w:spacing w:before="120" w:after="120" w:line="240" w:lineRule="auto"/>
              <w:ind w:left="61"/>
              <w:rPr>
                <w:sz w:val="20"/>
                <w:szCs w:val="20"/>
              </w:rPr>
            </w:pPr>
            <w:r>
              <w:rPr>
                <w:rFonts w:cs="Arial"/>
              </w:rPr>
              <w:lastRenderedPageBreak/>
              <w:t>Invoice Accuracy (monthly)</w:t>
            </w:r>
          </w:p>
        </w:tc>
        <w:tc>
          <w:tcPr>
            <w:tcW w:w="1984" w:type="dxa"/>
          </w:tcPr>
          <w:p w14:paraId="209EBB44" w14:textId="01E69D22" w:rsidR="00131ED2" w:rsidRPr="00147AB8" w:rsidRDefault="00131ED2" w:rsidP="00C32A5F">
            <w:pPr>
              <w:spacing w:before="120" w:after="120" w:line="240" w:lineRule="auto"/>
              <w:ind w:left="95"/>
              <w:rPr>
                <w:sz w:val="20"/>
                <w:szCs w:val="20"/>
                <w:highlight w:val="yellow"/>
              </w:rPr>
            </w:pPr>
            <w:r>
              <w:rPr>
                <w:rFonts w:cs="Arial"/>
              </w:rPr>
              <w:t>Delivered to acceptable standard</w:t>
            </w:r>
          </w:p>
        </w:tc>
        <w:tc>
          <w:tcPr>
            <w:tcW w:w="2977" w:type="dxa"/>
          </w:tcPr>
          <w:p w14:paraId="0482D894" w14:textId="048191DC" w:rsidR="00131ED2" w:rsidRPr="00147AB8" w:rsidRDefault="00131ED2" w:rsidP="00C32A5F">
            <w:pPr>
              <w:spacing w:before="120" w:after="120" w:line="240" w:lineRule="auto"/>
              <w:rPr>
                <w:sz w:val="20"/>
                <w:szCs w:val="20"/>
                <w:highlight w:val="yellow"/>
              </w:rPr>
            </w:pPr>
            <w:r>
              <w:rPr>
                <w:rFonts w:cs="Arial"/>
              </w:rPr>
              <w:t xml:space="preserve">The invoice provided accurate information and was in accordance with the </w:t>
            </w:r>
            <w:r w:rsidR="00996C50">
              <w:rPr>
                <w:rFonts w:cs="Arial"/>
              </w:rPr>
              <w:t>requirements set out within the specification.</w:t>
            </w:r>
          </w:p>
        </w:tc>
        <w:tc>
          <w:tcPr>
            <w:tcW w:w="2410" w:type="dxa"/>
          </w:tcPr>
          <w:p w14:paraId="2ABB5413" w14:textId="765E0A98" w:rsidR="00131ED2" w:rsidRPr="00147AB8" w:rsidRDefault="00131ED2" w:rsidP="00C32A5F">
            <w:pPr>
              <w:spacing w:before="120" w:after="120" w:line="240" w:lineRule="auto"/>
              <w:ind w:left="95"/>
              <w:rPr>
                <w:sz w:val="20"/>
                <w:szCs w:val="20"/>
                <w:highlight w:val="yellow"/>
              </w:rPr>
            </w:pPr>
            <w:r>
              <w:rPr>
                <w:rFonts w:cs="Arial"/>
              </w:rPr>
              <w:t>100%</w:t>
            </w:r>
          </w:p>
        </w:tc>
      </w:tr>
    </w:tbl>
    <w:p w14:paraId="6B68E6D8" w14:textId="77777777" w:rsidR="00CA079E" w:rsidRDefault="00CA079E">
      <w:pPr>
        <w:spacing w:after="0"/>
        <w:rPr>
          <w:highlight w:val="green"/>
        </w:rPr>
      </w:pPr>
    </w:p>
    <w:p w14:paraId="6467C011" w14:textId="77777777" w:rsidR="00CA079E" w:rsidRDefault="00CD7298">
      <w:pPr>
        <w:keepNext/>
        <w:pBdr>
          <w:top w:val="nil"/>
          <w:left w:val="nil"/>
          <w:bottom w:val="nil"/>
          <w:right w:val="nil"/>
          <w:between w:val="nil"/>
        </w:pBdr>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5" w:name="Part_B"/>
      <w:r w:rsidRPr="00147AB8">
        <w:rPr>
          <w:rFonts w:ascii="Arial Bold" w:eastAsia="Arial Bold" w:hAnsi="Arial Bold" w:cs="Arial Bold"/>
          <w:bCs/>
          <w:color w:val="000000"/>
          <w:sz w:val="36"/>
          <w:szCs w:val="36"/>
        </w:rPr>
        <w:t>B</w:t>
      </w:r>
      <w:bookmarkEnd w:id="5"/>
      <w:r>
        <w:rPr>
          <w:rFonts w:ascii="Arial Bold" w:eastAsia="Arial Bold" w:hAnsi="Arial Bold" w:cs="Arial Bold"/>
          <w:b/>
          <w:color w:val="000000"/>
          <w:sz w:val="36"/>
          <w:szCs w:val="36"/>
        </w:rPr>
        <w:t xml:space="preserve">: Performance Monitoring </w:t>
      </w:r>
    </w:p>
    <w:p w14:paraId="7B402D94" w14:textId="77777777" w:rsidR="00CA079E" w:rsidRDefault="00CD7298">
      <w:pPr>
        <w:keepNext/>
        <w:numPr>
          <w:ilvl w:val="0"/>
          <w:numId w:val="3"/>
        </w:numPr>
        <w:pBdr>
          <w:top w:val="nil"/>
          <w:left w:val="nil"/>
          <w:bottom w:val="nil"/>
          <w:right w:val="nil"/>
          <w:between w:val="nil"/>
        </w:pBdr>
        <w:spacing w:before="120" w:after="240" w:line="240" w:lineRule="auto"/>
        <w:rPr>
          <w:rFonts w:ascii="Arial Bold" w:eastAsia="Arial Bold" w:hAnsi="Arial Bold" w:cs="Arial Bold"/>
          <w:b/>
          <w:color w:val="000000"/>
        </w:rPr>
      </w:pPr>
      <w:r>
        <w:rPr>
          <w:rFonts w:ascii="Arial Bold" w:eastAsia="Arial Bold" w:hAnsi="Arial Bold" w:cs="Arial Bold"/>
          <w:b/>
          <w:color w:val="000000"/>
        </w:rPr>
        <w:t>Performance Monitoring and Performance Review</w:t>
      </w:r>
    </w:p>
    <w:p w14:paraId="68218C10" w14:textId="14877327" w:rsidR="00CA079E" w:rsidRDefault="00CD7298">
      <w:pPr>
        <w:numPr>
          <w:ilvl w:val="1"/>
          <w:numId w:val="3"/>
        </w:numPr>
        <w:pBdr>
          <w:top w:val="nil"/>
          <w:left w:val="nil"/>
          <w:bottom w:val="nil"/>
          <w:right w:val="nil"/>
          <w:between w:val="nil"/>
        </w:pBdr>
        <w:spacing w:before="120" w:after="120" w:line="240" w:lineRule="auto"/>
      </w:pPr>
      <w:bookmarkStart w:id="6" w:name="_Ref141096545"/>
      <w:r>
        <w:rPr>
          <w:rFonts w:eastAsia="Arial" w:cs="Arial"/>
          <w:color w:val="000000"/>
        </w:rPr>
        <w:t xml:space="preserve">Within twenty (20) Working Days of the </w:t>
      </w:r>
      <w:sdt>
        <w:sdtPr>
          <w:tag w:val="goog_rdk_7"/>
          <w:id w:val="-408533388"/>
        </w:sdtPr>
        <w:sdtEndPr/>
        <w:sdtContent>
          <w:r>
            <w:rPr>
              <w:rFonts w:eastAsia="Arial" w:cs="Arial"/>
              <w:color w:val="000000"/>
            </w:rPr>
            <w:t>Effective</w:t>
          </w:r>
        </w:sdtContent>
      </w:sdt>
      <w:r>
        <w:rPr>
          <w:rFonts w:eastAsia="Arial" w:cs="Arial"/>
          <w:color w:val="000000"/>
        </w:rPr>
        <w:t xml:space="preserve"> Date the Supplier shall provide the Buyer with details of how the process in respect of the monitoring and reporting of Service Levels will operate between the Parties and the Parties will endeavour to agree such process as soon as reasonably possible.</w:t>
      </w:r>
      <w:bookmarkEnd w:id="6"/>
    </w:p>
    <w:p w14:paraId="6A07210B" w14:textId="1B0D5A22"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Supplier shall provide the Buyer with performance monitoring reports ("</w:t>
      </w:r>
      <w:r>
        <w:rPr>
          <w:rFonts w:eastAsia="Arial" w:cs="Arial"/>
          <w:b/>
          <w:color w:val="000000"/>
        </w:rPr>
        <w:t>Performance Monitoring Reports</w:t>
      </w:r>
      <w:r>
        <w:rPr>
          <w:rFonts w:eastAsia="Arial" w:cs="Arial"/>
          <w:color w:val="000000"/>
        </w:rPr>
        <w:t xml:space="preserve">") in accordance with the process and timescales agreed pursuant to Paragraph </w:t>
      </w:r>
      <w:r w:rsidR="00147AB8">
        <w:rPr>
          <w:rFonts w:eastAsia="Arial" w:cs="Arial"/>
          <w:color w:val="000000"/>
        </w:rPr>
        <w:fldChar w:fldCharType="begin"/>
      </w:r>
      <w:r w:rsidR="00147AB8">
        <w:rPr>
          <w:rFonts w:eastAsia="Arial" w:cs="Arial"/>
          <w:color w:val="000000"/>
        </w:rPr>
        <w:instrText xml:space="preserve"> REF _Ref141096545 \n \h </w:instrText>
      </w:r>
      <w:r w:rsidR="00147AB8">
        <w:rPr>
          <w:rFonts w:eastAsia="Arial" w:cs="Arial"/>
          <w:color w:val="000000"/>
        </w:rPr>
      </w:r>
      <w:r w:rsidR="00147AB8">
        <w:rPr>
          <w:rFonts w:eastAsia="Arial" w:cs="Arial"/>
          <w:color w:val="000000"/>
        </w:rPr>
        <w:fldChar w:fldCharType="separate"/>
      </w:r>
      <w:r w:rsidR="00BE61DD">
        <w:rPr>
          <w:rFonts w:eastAsia="Arial" w:cs="Arial"/>
          <w:color w:val="000000"/>
        </w:rPr>
        <w:t>1.1</w:t>
      </w:r>
      <w:r w:rsidR="00147AB8">
        <w:rPr>
          <w:rFonts w:eastAsia="Arial" w:cs="Arial"/>
          <w:color w:val="000000"/>
        </w:rPr>
        <w:fldChar w:fldCharType="end"/>
      </w:r>
      <w:r>
        <w:rPr>
          <w:rFonts w:eastAsia="Arial" w:cs="Arial"/>
          <w:color w:val="000000"/>
        </w:rPr>
        <w:t xml:space="preserve"> of </w:t>
      </w:r>
      <w:r w:rsidRPr="00147AB8">
        <w:rPr>
          <w:rFonts w:eastAsia="Arial" w:cs="Arial"/>
          <w:color w:val="000000"/>
        </w:rPr>
        <w:t>Part</w:t>
      </w:r>
      <w:r w:rsidR="00147AB8">
        <w:rPr>
          <w:rFonts w:eastAsia="Arial" w:cs="Arial"/>
          <w:color w:val="000000"/>
        </w:rPr>
        <w:t xml:space="preserve"> B</w:t>
      </w:r>
      <w:r w:rsidRPr="00147AB8">
        <w:rPr>
          <w:rFonts w:eastAsia="Arial" w:cs="Arial"/>
          <w:color w:val="000000"/>
        </w:rPr>
        <w:t xml:space="preserve"> of</w:t>
      </w:r>
      <w:r>
        <w:rPr>
          <w:rFonts w:eastAsia="Arial" w:cs="Arial"/>
          <w:color w:val="000000"/>
        </w:rPr>
        <w:t xml:space="preserve"> this Schedule which shall contain, as a minimum, the following information in respect of the relevant Service Period just ended:</w:t>
      </w:r>
    </w:p>
    <w:p w14:paraId="2E8B9E08"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for each Service Level, the actual performance achieved over the Service Level for the relevant Service Period;</w:t>
      </w:r>
    </w:p>
    <w:p w14:paraId="3D3A562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a summary of all failures to achieve Service Levels that occurred during that Service Period;</w:t>
      </w:r>
    </w:p>
    <w:p w14:paraId="0206CC77"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details of any Critical Service Level Failures;</w:t>
      </w:r>
    </w:p>
    <w:p w14:paraId="59DEA59B"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for any repeat failures, actions taken to resolve the underlying cause and prevent recurrence;</w:t>
      </w:r>
    </w:p>
    <w:p w14:paraId="4D8403E0"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the Service Credits to be applied in respect of the relevant period indicating the failures and Service Levels to which the Service Credits relate; and</w:t>
      </w:r>
    </w:p>
    <w:p w14:paraId="5C958DAD"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such other details as the Buyer may reasonably require from time to time.</w:t>
      </w:r>
    </w:p>
    <w:p w14:paraId="706915DD" w14:textId="77777777" w:rsidR="00CA079E" w:rsidRDefault="00CD7298">
      <w:pPr>
        <w:keepNext/>
        <w:numPr>
          <w:ilvl w:val="1"/>
          <w:numId w:val="3"/>
        </w:numPr>
        <w:pBdr>
          <w:top w:val="nil"/>
          <w:left w:val="nil"/>
          <w:bottom w:val="nil"/>
          <w:right w:val="nil"/>
          <w:between w:val="nil"/>
        </w:pBdr>
        <w:spacing w:before="120" w:after="120" w:line="240" w:lineRule="auto"/>
      </w:pPr>
      <w:r>
        <w:rPr>
          <w:rFonts w:eastAsia="Arial" w:cs="Arial"/>
          <w:color w:val="000000"/>
        </w:rPr>
        <w:t>The Parties shall attend meetings to discuss Performance Monitoring Reports ("</w:t>
      </w:r>
      <w:r>
        <w:rPr>
          <w:rFonts w:eastAsia="Arial" w:cs="Arial"/>
          <w:b/>
          <w:color w:val="000000"/>
        </w:rPr>
        <w:t>Performance Review Meetings</w:t>
      </w:r>
      <w:r>
        <w:rPr>
          <w:rFonts w:eastAsia="Arial" w:cs="Arial"/>
          <w:color w:val="000000"/>
        </w:rPr>
        <w:t>") on a Monthly basis. The Performance Review Meetings will be the forum for the review by the Supplier and the Buyer of the Performance Monitoring Reports.  The Performance Review Meetings shall:</w:t>
      </w:r>
    </w:p>
    <w:p w14:paraId="0A78AE55"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take place within one (1) week of the Performance Monitoring Reports being issued by the Supplier at such location and time (within normal business hours) as the Buyer shall reasonably require;</w:t>
      </w:r>
    </w:p>
    <w:p w14:paraId="52C4ADD9"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be attended by the Supplier's Representative and the Buyer’s Representative; and</w:t>
      </w:r>
    </w:p>
    <w:p w14:paraId="5E4E35CC" w14:textId="77777777" w:rsidR="00CA079E" w:rsidRDefault="00CD7298">
      <w:pPr>
        <w:numPr>
          <w:ilvl w:val="2"/>
          <w:numId w:val="3"/>
        </w:numPr>
        <w:pBdr>
          <w:top w:val="nil"/>
          <w:left w:val="nil"/>
          <w:bottom w:val="nil"/>
          <w:right w:val="nil"/>
          <w:between w:val="nil"/>
        </w:pBdr>
        <w:spacing w:before="120" w:after="120" w:line="240" w:lineRule="auto"/>
      </w:pPr>
      <w:r>
        <w:rPr>
          <w:rFonts w:eastAsia="Arial" w:cs="Arial"/>
          <w:color w:val="000000"/>
        </w:rPr>
        <w:t xml:space="preserve">be fully minuted by the Supplier and the minutes will be circulated by the Supplier to all attendees at the relevant meeting and also to the Buyer’s Representative and any other recipients agreed at the relevant meeting.  </w:t>
      </w:r>
    </w:p>
    <w:p w14:paraId="7972B663"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t>The minutes of the preceding Month's Performance Review Meeting will be agreed and signed by both the Supplier's Representative and the Buyer’s Representative at each meeting.</w:t>
      </w:r>
    </w:p>
    <w:p w14:paraId="40CBE7A8" w14:textId="77777777" w:rsidR="00CA079E" w:rsidRDefault="00CD7298">
      <w:pPr>
        <w:numPr>
          <w:ilvl w:val="1"/>
          <w:numId w:val="3"/>
        </w:numPr>
        <w:pBdr>
          <w:top w:val="nil"/>
          <w:left w:val="nil"/>
          <w:bottom w:val="nil"/>
          <w:right w:val="nil"/>
          <w:between w:val="nil"/>
        </w:pBdr>
        <w:spacing w:before="120" w:after="120" w:line="240" w:lineRule="auto"/>
      </w:pPr>
      <w:r>
        <w:rPr>
          <w:rFonts w:eastAsia="Arial" w:cs="Arial"/>
          <w:color w:val="000000"/>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6982DCE3" w14:textId="77777777" w:rsidR="00CA079E" w:rsidRDefault="00CD7298">
      <w:pPr>
        <w:keepNext/>
        <w:numPr>
          <w:ilvl w:val="0"/>
          <w:numId w:val="3"/>
        </w:numPr>
        <w:pBdr>
          <w:top w:val="nil"/>
          <w:left w:val="nil"/>
          <w:bottom w:val="nil"/>
          <w:right w:val="nil"/>
          <w:between w:val="nil"/>
        </w:pBdr>
        <w:spacing w:before="120" w:after="240" w:line="240" w:lineRule="auto"/>
        <w:rPr>
          <w:rFonts w:eastAsia="Arial" w:cs="Arial"/>
          <w:b/>
          <w:color w:val="000000"/>
        </w:rPr>
      </w:pPr>
      <w:r>
        <w:rPr>
          <w:rFonts w:eastAsia="Arial" w:cs="Arial"/>
          <w:b/>
          <w:color w:val="000000"/>
        </w:rPr>
        <w:t>Satisfaction Surveys</w:t>
      </w:r>
    </w:p>
    <w:p w14:paraId="5C60EDE5" w14:textId="77777777" w:rsidR="00CA079E" w:rsidRDefault="00CD7298" w:rsidP="00147AB8">
      <w:pPr>
        <w:pBdr>
          <w:top w:val="nil"/>
          <w:left w:val="nil"/>
          <w:bottom w:val="nil"/>
          <w:right w:val="nil"/>
          <w:between w:val="nil"/>
        </w:pBdr>
        <w:spacing w:before="120" w:after="120" w:line="240" w:lineRule="auto"/>
        <w:ind w:left="426"/>
      </w:pPr>
      <w:r>
        <w:rPr>
          <w:rFonts w:eastAsia="Arial" w:cs="Arial"/>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9EE76A7" w14:textId="77777777" w:rsidR="00CA079E" w:rsidRDefault="00CA079E">
      <w:pPr>
        <w:spacing w:after="0"/>
      </w:pPr>
    </w:p>
    <w:sectPr w:rsidR="00CA079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57946" w14:textId="77777777" w:rsidR="004C512A" w:rsidRDefault="004C512A">
      <w:pPr>
        <w:spacing w:after="0" w:line="240" w:lineRule="auto"/>
      </w:pPr>
      <w:r>
        <w:separator/>
      </w:r>
    </w:p>
  </w:endnote>
  <w:endnote w:type="continuationSeparator" w:id="0">
    <w:p w14:paraId="52A95E16" w14:textId="77777777" w:rsidR="004C512A" w:rsidRDefault="004C512A">
      <w:pPr>
        <w:spacing w:after="0" w:line="240" w:lineRule="auto"/>
      </w:pPr>
      <w:r>
        <w:continuationSeparator/>
      </w:r>
    </w:p>
  </w:endnote>
  <w:endnote w:type="continuationNotice" w:id="1">
    <w:p w14:paraId="692DF8F2" w14:textId="77777777" w:rsidR="004C512A" w:rsidRDefault="004C51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0B44" w14:textId="011C6C1E" w:rsidR="0001687F" w:rsidRDefault="00CE0A3C">
    <w:pPr>
      <w:pStyle w:val="Footer"/>
    </w:pPr>
    <w:r>
      <w:rPr>
        <w:noProof/>
      </w:rPr>
      <mc:AlternateContent>
        <mc:Choice Requires="wps">
          <w:drawing>
            <wp:anchor distT="0" distB="0" distL="0" distR="0" simplePos="0" relativeHeight="251658244" behindDoc="0" locked="0" layoutInCell="1" allowOverlap="1" wp14:anchorId="3A6C6768" wp14:editId="535DB15B">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0CE7" w14:textId="6EECF6F9"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6C6768"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8A50CE7" w14:textId="6EECF6F9"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E8A22" w14:textId="155021BE" w:rsidR="00CA079E" w:rsidRDefault="00CE0A3C">
    <w:pPr>
      <w:tabs>
        <w:tab w:val="center" w:pos="4513"/>
        <w:tab w:val="right" w:pos="9026"/>
      </w:tabs>
      <w:spacing w:after="0" w:line="240" w:lineRule="auto"/>
      <w:jc w:val="both"/>
    </w:pPr>
    <w:r>
      <w:rPr>
        <w:noProof/>
      </w:rPr>
      <mc:AlternateContent>
        <mc:Choice Requires="wps">
          <w:drawing>
            <wp:anchor distT="0" distB="0" distL="0" distR="0" simplePos="0" relativeHeight="251658245" behindDoc="0" locked="0" layoutInCell="1" allowOverlap="1" wp14:anchorId="3E2B2AD9" wp14:editId="3A581273">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4EAEC0" w14:textId="2692D4D7"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2B2AD9"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354EAEC0" w14:textId="2692D4D7"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v:textbox>
              <w10:wrap anchorx="page" anchory="page"/>
            </v:shape>
          </w:pict>
        </mc:Fallback>
      </mc:AlternateContent>
    </w:r>
  </w:p>
  <w:p w14:paraId="4F24EF15" w14:textId="3DC90A3E" w:rsidR="00CA079E" w:rsidRDefault="00101CFB">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v.</w:t>
    </w:r>
    <w:r w:rsidR="00CD7298">
      <w:rPr>
        <w:rFonts w:eastAsia="Arial" w:cs="Arial"/>
        <w:color w:val="000000"/>
        <w:sz w:val="20"/>
        <w:szCs w:val="20"/>
      </w:rPr>
      <w:t>1.</w:t>
    </w:r>
    <w:r w:rsidR="00147AB8">
      <w:rPr>
        <w:rFonts w:eastAsia="Arial" w:cs="Arial"/>
        <w:color w:val="000000"/>
        <w:sz w:val="20"/>
        <w:szCs w:val="20"/>
      </w:rPr>
      <w:t>2</w:t>
    </w:r>
    <w:r w:rsidR="00CD7298">
      <w:rPr>
        <w:rFonts w:eastAsia="Arial" w:cs="Arial"/>
        <w:color w:val="000000"/>
        <w:sz w:val="20"/>
        <w:szCs w:val="20"/>
      </w:rPr>
      <w:tab/>
    </w:r>
    <w:r w:rsidR="00CD7298">
      <w:rPr>
        <w:rFonts w:eastAsia="Arial" w:cs="Arial"/>
        <w:color w:val="000000"/>
        <w:sz w:val="20"/>
        <w:szCs w:val="20"/>
      </w:rPr>
      <w:tab/>
    </w:r>
    <w:r w:rsidR="00CD7298">
      <w:rPr>
        <w:rFonts w:eastAsia="Arial" w:cs="Arial"/>
        <w:color w:val="000000"/>
        <w:sz w:val="20"/>
        <w:szCs w:val="20"/>
      </w:rPr>
      <w:fldChar w:fldCharType="begin"/>
    </w:r>
    <w:r w:rsidR="00CD7298">
      <w:rPr>
        <w:rFonts w:eastAsia="Arial" w:cs="Arial"/>
        <w:color w:val="000000"/>
        <w:sz w:val="20"/>
        <w:szCs w:val="20"/>
      </w:rPr>
      <w:instrText>PAGE</w:instrText>
    </w:r>
    <w:r w:rsidR="00CD7298">
      <w:rPr>
        <w:rFonts w:eastAsia="Arial" w:cs="Arial"/>
        <w:color w:val="000000"/>
        <w:sz w:val="20"/>
        <w:szCs w:val="20"/>
      </w:rPr>
      <w:fldChar w:fldCharType="separate"/>
    </w:r>
    <w:r w:rsidR="00BB7123">
      <w:rPr>
        <w:rFonts w:eastAsia="Arial" w:cs="Arial"/>
        <w:noProof/>
        <w:color w:val="000000"/>
        <w:sz w:val="20"/>
        <w:szCs w:val="20"/>
      </w:rPr>
      <w:t>1</w:t>
    </w:r>
    <w:r w:rsidR="00CD7298">
      <w:rPr>
        <w:rFonts w:eastAsia="Arial" w:cs="Arial"/>
        <w:color w:val="000000"/>
        <w:sz w:val="20"/>
        <w:szCs w:val="20"/>
      </w:rPr>
      <w:fldChar w:fldCharType="end"/>
    </w:r>
  </w:p>
  <w:p w14:paraId="56F4C8A7" w14:textId="77777777" w:rsidR="00CA079E" w:rsidRDefault="00CA079E">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555" w14:textId="74231A7A" w:rsidR="00CA079E" w:rsidRDefault="00CE0A3C">
    <w:pPr>
      <w:tabs>
        <w:tab w:val="center" w:pos="4513"/>
        <w:tab w:val="right" w:pos="9026"/>
      </w:tabs>
      <w:spacing w:after="0" w:line="240" w:lineRule="auto"/>
      <w:jc w:val="both"/>
    </w:pPr>
    <w:r>
      <w:rPr>
        <w:noProof/>
      </w:rPr>
      <mc:AlternateContent>
        <mc:Choice Requires="wps">
          <w:drawing>
            <wp:anchor distT="0" distB="0" distL="0" distR="0" simplePos="0" relativeHeight="251658243" behindDoc="0" locked="0" layoutInCell="1" allowOverlap="1" wp14:anchorId="01BBBDE6" wp14:editId="36130278">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6CC059" w14:textId="641BD3FF"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BBBDE6"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216CC059" w14:textId="641BD3FF"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v:textbox>
              <w10:wrap anchorx="page" anchory="page"/>
            </v:shape>
          </w:pict>
        </mc:Fallback>
      </mc:AlternateContent>
    </w:r>
  </w:p>
  <w:p w14:paraId="21CEB15B"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t xml:space="preserve">                                           </w:t>
    </w:r>
  </w:p>
  <w:p w14:paraId="1176C1BC"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sidR="004C5309">
      <w:rPr>
        <w:rFonts w:eastAsia="Arial" w:cs="Arial"/>
        <w:color w:val="000000"/>
        <w:sz w:val="20"/>
        <w:szCs w:val="20"/>
      </w:rPr>
      <w:fldChar w:fldCharType="separate"/>
    </w:r>
    <w:r>
      <w:rPr>
        <w:rFonts w:eastAsia="Arial" w:cs="Arial"/>
        <w:color w:val="000000"/>
        <w:sz w:val="20"/>
        <w:szCs w:val="20"/>
      </w:rPr>
      <w:fldChar w:fldCharType="end"/>
    </w:r>
  </w:p>
  <w:p w14:paraId="13F2FC53"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sz w:val="20"/>
        <w:szCs w:val="20"/>
      </w:rPr>
      <w:tab/>
    </w:r>
    <w:r>
      <w:rPr>
        <w:rFonts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B6F4E" w14:textId="77777777" w:rsidR="004C512A" w:rsidRDefault="004C512A">
      <w:pPr>
        <w:spacing w:after="0" w:line="240" w:lineRule="auto"/>
      </w:pPr>
      <w:r>
        <w:separator/>
      </w:r>
    </w:p>
  </w:footnote>
  <w:footnote w:type="continuationSeparator" w:id="0">
    <w:p w14:paraId="2BF1896E" w14:textId="77777777" w:rsidR="004C512A" w:rsidRDefault="004C512A">
      <w:pPr>
        <w:spacing w:after="0" w:line="240" w:lineRule="auto"/>
      </w:pPr>
      <w:r>
        <w:continuationSeparator/>
      </w:r>
    </w:p>
  </w:footnote>
  <w:footnote w:type="continuationNotice" w:id="1">
    <w:p w14:paraId="59381C46" w14:textId="77777777" w:rsidR="004C512A" w:rsidRDefault="004C51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5983" w14:textId="2F35C42C" w:rsidR="0001687F" w:rsidRDefault="00CE0A3C">
    <w:pPr>
      <w:pStyle w:val="Header"/>
    </w:pPr>
    <w:r>
      <w:rPr>
        <w:noProof/>
      </w:rPr>
      <mc:AlternateContent>
        <mc:Choice Requires="wps">
          <w:drawing>
            <wp:anchor distT="0" distB="0" distL="0" distR="0" simplePos="0" relativeHeight="251658241" behindDoc="0" locked="0" layoutInCell="1" allowOverlap="1" wp14:anchorId="3CB38694" wp14:editId="385D9BD2">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D6AC2C" w14:textId="1697C417"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B38694"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10D6AC2C" w14:textId="1697C417"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9D00" w14:textId="0D7C60BD" w:rsidR="00147AB8" w:rsidRPr="00101CFB" w:rsidRDefault="00CE0A3C" w:rsidP="00147AB8">
    <w:pPr>
      <w:pBdr>
        <w:top w:val="nil"/>
        <w:left w:val="nil"/>
        <w:bottom w:val="nil"/>
        <w:right w:val="nil"/>
        <w:between w:val="nil"/>
      </w:pBdr>
      <w:tabs>
        <w:tab w:val="center" w:pos="4513"/>
        <w:tab w:val="right" w:pos="9026"/>
      </w:tabs>
      <w:spacing w:after="0" w:line="240" w:lineRule="auto"/>
      <w:rPr>
        <w:rFonts w:eastAsia="Arial" w:cs="Arial"/>
        <w:bCs/>
        <w:color w:val="000000"/>
        <w:sz w:val="20"/>
        <w:szCs w:val="20"/>
      </w:rPr>
    </w:pPr>
    <w:r>
      <w:rPr>
        <w:rFonts w:eastAsia="Arial" w:cs="Arial"/>
        <w:bCs/>
        <w:noProof/>
        <w:color w:val="000000"/>
        <w:sz w:val="20"/>
        <w:szCs w:val="20"/>
      </w:rPr>
      <mc:AlternateContent>
        <mc:Choice Requires="wps">
          <w:drawing>
            <wp:anchor distT="0" distB="0" distL="0" distR="0" simplePos="0" relativeHeight="251658242" behindDoc="0" locked="0" layoutInCell="1" allowOverlap="1" wp14:anchorId="7797D80C" wp14:editId="2A3056A2">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C3EBE8" w14:textId="7D3DF0AE"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97D80C"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EC3EBE8" w14:textId="7D3DF0AE"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v:textbox>
              <w10:wrap anchorx="page" anchory="page"/>
            </v:shape>
          </w:pict>
        </mc:Fallback>
      </mc:AlternateContent>
    </w:r>
    <w:r w:rsidR="00CD7298" w:rsidRPr="00101CFB">
      <w:rPr>
        <w:rFonts w:eastAsia="Arial" w:cs="Arial"/>
        <w:bCs/>
        <w:color w:val="000000"/>
        <w:sz w:val="20"/>
        <w:szCs w:val="20"/>
      </w:rPr>
      <w:t>Schedule 10 (Service Levels)</w:t>
    </w:r>
    <w:r w:rsidR="00101CFB" w:rsidRPr="00101CFB">
      <w:rPr>
        <w:rFonts w:eastAsia="Arial" w:cs="Arial"/>
        <w:bCs/>
        <w:color w:val="000000"/>
        <w:sz w:val="20"/>
        <w:szCs w:val="20"/>
      </w:rPr>
      <w:t xml:space="preserve">, </w:t>
    </w:r>
    <w:r w:rsidR="00CD7298" w:rsidRPr="00101CFB">
      <w:rPr>
        <w:rFonts w:eastAsia="Arial" w:cs="Arial"/>
        <w:bCs/>
        <w:color w:val="000000"/>
        <w:sz w:val="20"/>
        <w:szCs w:val="20"/>
      </w:rPr>
      <w:t>Crown Copyright 202</w:t>
    </w:r>
    <w:r w:rsidR="00147AB8" w:rsidRPr="00101CFB">
      <w:rPr>
        <w:rFonts w:eastAsia="Arial" w:cs="Arial"/>
        <w:bCs/>
        <w:color w:val="000000"/>
        <w:sz w:val="20"/>
        <w:szCs w:val="20"/>
      </w:rPr>
      <w:t>3</w:t>
    </w:r>
    <w:r w:rsidR="00101CFB" w:rsidRPr="00101CFB">
      <w:rPr>
        <w:rFonts w:eastAsia="Arial" w:cs="Arial"/>
        <w:bCs/>
        <w:color w:val="000000"/>
        <w:sz w:val="20"/>
        <w:szCs w:val="20"/>
      </w:rPr>
      <w:t xml:space="preserve">, </w:t>
    </w:r>
    <w:r w:rsidR="00147AB8" w:rsidRPr="00101CFB">
      <w:rPr>
        <w:rFonts w:eastAsia="Arial" w:cs="Arial"/>
        <w:bCs/>
        <w:color w:val="000000"/>
        <w:sz w:val="20"/>
        <w:szCs w:val="20"/>
      </w:rPr>
      <w:t>[Subject to Contract]</w:t>
    </w:r>
  </w:p>
  <w:p w14:paraId="2F2E1EA6" w14:textId="77777777" w:rsidR="00147AB8" w:rsidRDefault="00147AB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4BA8A" w14:textId="68D7D824" w:rsidR="0001687F" w:rsidRDefault="00CE0A3C">
    <w:pPr>
      <w:pStyle w:val="Header"/>
    </w:pPr>
    <w:r>
      <w:rPr>
        <w:noProof/>
      </w:rPr>
      <mc:AlternateContent>
        <mc:Choice Requires="wps">
          <w:drawing>
            <wp:anchor distT="0" distB="0" distL="0" distR="0" simplePos="0" relativeHeight="251658240" behindDoc="0" locked="0" layoutInCell="1" allowOverlap="1" wp14:anchorId="3B8BDA49" wp14:editId="19C26BEB">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3445FA" w14:textId="076D2798"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8BDA49"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033445FA" w14:textId="076D2798" w:rsidR="00CE0A3C" w:rsidRPr="00CE0A3C" w:rsidRDefault="00CE0A3C" w:rsidP="00CE0A3C">
                    <w:pPr>
                      <w:spacing w:after="0"/>
                      <w:rPr>
                        <w:rFonts w:ascii="Calibri" w:hAnsi="Calibri" w:cs="Calibri"/>
                        <w:noProof/>
                        <w:color w:val="000000"/>
                        <w:sz w:val="20"/>
                        <w:szCs w:val="20"/>
                      </w:rPr>
                    </w:pPr>
                    <w:r w:rsidRPr="00CE0A3C">
                      <w:rPr>
                        <w:rFonts w:ascii="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310"/>
    <w:multiLevelType w:val="multilevel"/>
    <w:tmpl w:val="6EDECC7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887CC6"/>
    <w:multiLevelType w:val="multilevel"/>
    <w:tmpl w:val="96B2B05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4C965BC8"/>
    <w:multiLevelType w:val="multilevel"/>
    <w:tmpl w:val="B116426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8AC0137"/>
    <w:multiLevelType w:val="multilevel"/>
    <w:tmpl w:val="82DC93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0723921"/>
    <w:multiLevelType w:val="multilevel"/>
    <w:tmpl w:val="D8941D2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26444324">
    <w:abstractNumId w:val="2"/>
  </w:num>
  <w:num w:numId="2" w16cid:durableId="2084990174">
    <w:abstractNumId w:val="4"/>
  </w:num>
  <w:num w:numId="3" w16cid:durableId="1798602698">
    <w:abstractNumId w:val="3"/>
  </w:num>
  <w:num w:numId="4" w16cid:durableId="642078720">
    <w:abstractNumId w:val="1"/>
  </w:num>
  <w:num w:numId="5" w16cid:durableId="1549609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9:30:42" w:val="V2 - Amend TRK NV"/>
    <w:docVar w:name="gemDocNotesCount" w:val="1"/>
  </w:docVars>
  <w:rsids>
    <w:rsidRoot w:val="00CA079E"/>
    <w:rsid w:val="0001687F"/>
    <w:rsid w:val="00101CFB"/>
    <w:rsid w:val="00131ED2"/>
    <w:rsid w:val="00147AB8"/>
    <w:rsid w:val="002C098E"/>
    <w:rsid w:val="00471F44"/>
    <w:rsid w:val="004C512A"/>
    <w:rsid w:val="004C5309"/>
    <w:rsid w:val="00550C88"/>
    <w:rsid w:val="005E2806"/>
    <w:rsid w:val="00627E7E"/>
    <w:rsid w:val="00692914"/>
    <w:rsid w:val="006A7D82"/>
    <w:rsid w:val="006F4DA2"/>
    <w:rsid w:val="00996C50"/>
    <w:rsid w:val="00A531C6"/>
    <w:rsid w:val="00AA778E"/>
    <w:rsid w:val="00B14A4F"/>
    <w:rsid w:val="00BB7123"/>
    <w:rsid w:val="00BE61DD"/>
    <w:rsid w:val="00C32A5F"/>
    <w:rsid w:val="00C56D01"/>
    <w:rsid w:val="00CA079E"/>
    <w:rsid w:val="00CA38BC"/>
    <w:rsid w:val="00CD7298"/>
    <w:rsid w:val="00CE0A3C"/>
    <w:rsid w:val="00D15C13"/>
    <w:rsid w:val="00DC0080"/>
    <w:rsid w:val="00E2671D"/>
    <w:rsid w:val="00EA17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62A02"/>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rPr>
      <w:rFonts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1"/>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1"/>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1"/>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BodyText">
    <w:name w:val="Body Text"/>
    <w:basedOn w:val="Normal"/>
    <w:link w:val="BodyTextChar"/>
    <w:uiPriority w:val="99"/>
    <w:semiHidden/>
    <w:unhideWhenUsed/>
    <w:rsid w:val="00131ED2"/>
    <w:pPr>
      <w:spacing w:after="240" w:line="240" w:lineRule="auto"/>
    </w:pPr>
    <w:rPr>
      <w:rFonts w:ascii="Times New Roman" w:eastAsiaTheme="minorHAnsi" w:hAnsi="Times New Roman"/>
      <w:sz w:val="22"/>
      <w:szCs w:val="22"/>
      <w:lang w:eastAsia="en-US"/>
    </w:rPr>
  </w:style>
  <w:style w:type="character" w:customStyle="1" w:styleId="BodyTextChar">
    <w:name w:val="Body Text Char"/>
    <w:basedOn w:val="DefaultParagraphFont"/>
    <w:link w:val="BodyText"/>
    <w:uiPriority w:val="99"/>
    <w:semiHidden/>
    <w:rsid w:val="00131ED2"/>
    <w:rPr>
      <w:rFonts w:ascii="Times New Roman" w:eastAsiaTheme="minorHAnsi"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kC1QCFyPcZkQG8/K/UWghe/DQ==">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1355</Words>
  <Characters>7729</Characters>
  <Application>Microsoft Office Word</Application>
  <DocSecurity>4</DocSecurity>
  <Lines>64</Lines>
  <Paragraphs>18</Paragraphs>
  <ScaleCrop>false</ScaleCrop>
  <Company>DLA Piper</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2</cp:revision>
  <dcterms:created xsi:type="dcterms:W3CDTF">2024-06-25T13:44:00Z</dcterms:created>
  <dcterms:modified xsi:type="dcterms:W3CDTF">2024-06-25T13:44:00Z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