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ED" w:rsidRPr="00F44471" w:rsidRDefault="002376B8" w:rsidP="00517E40">
      <w:pPr>
        <w:rPr>
          <w:rFonts w:ascii="Arial" w:hAnsi="Arial" w:cs="Arial"/>
          <w:sz w:val="22"/>
          <w:szCs w:val="22"/>
        </w:rPr>
      </w:pPr>
      <w:r w:rsidRPr="00F44471">
        <w:rPr>
          <w:rFonts w:ascii="Arial" w:hAnsi="Arial" w:cs="Arial"/>
          <w:sz w:val="22"/>
          <w:szCs w:val="22"/>
        </w:rPr>
        <w:t xml:space="preserve"> </w:t>
      </w:r>
      <w:r w:rsidR="00145A57">
        <w:rPr>
          <w:noProof/>
        </w:rPr>
        <w:drawing>
          <wp:inline distT="0" distB="0" distL="0" distR="0" wp14:anchorId="0E487472" wp14:editId="0CA7F702">
            <wp:extent cx="1193800" cy="998855"/>
            <wp:effectExtent l="0" t="0" r="0" b="0"/>
            <wp:docPr id="2" name="Picture 31" descr="Description: Macintosh HD:Users:Jono:Documents:PROJECTS:ATTAIN_PROJECTS:OGA:Oil and Gas Authority logo:SMALL AW:Oil &amp; Gas Authority_BLK_SML_A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acintosh HD:Users:Jono:Documents:PROJECTS:ATTAIN_PROJECTS:OGA:Oil and Gas Authority logo:SMALL AW:Oil &amp; Gas Authority_BLK_SML_AW.e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3800" cy="998855"/>
                    </a:xfrm>
                    <a:prstGeom prst="rect">
                      <a:avLst/>
                    </a:prstGeom>
                    <a:noFill/>
                    <a:ln>
                      <a:noFill/>
                    </a:ln>
                  </pic:spPr>
                </pic:pic>
              </a:graphicData>
            </a:graphic>
          </wp:inline>
        </w:drawing>
      </w:r>
    </w:p>
    <w:p w:rsidR="009106ED" w:rsidRPr="00F44471" w:rsidRDefault="009106ED" w:rsidP="00F03AF6">
      <w:pPr>
        <w:pStyle w:val="Footer"/>
        <w:spacing w:after="120" w:line="240" w:lineRule="atLeast"/>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5C42FF" w:rsidRPr="00F44471" w:rsidTr="005C42FF">
        <w:trPr>
          <w:trHeight w:val="36"/>
        </w:trPr>
        <w:tc>
          <w:tcPr>
            <w:tcW w:w="4441" w:type="dxa"/>
          </w:tcPr>
          <w:p w:rsidR="005C42FF" w:rsidRPr="00653E10" w:rsidRDefault="00653E10" w:rsidP="00CB1C2C">
            <w:pPr>
              <w:rPr>
                <w:rFonts w:ascii="Arial" w:hAnsi="Arial" w:cs="Arial"/>
                <w:sz w:val="22"/>
                <w:szCs w:val="22"/>
              </w:rPr>
            </w:pPr>
            <w:r w:rsidRPr="00653E10">
              <w:rPr>
                <w:rFonts w:ascii="Arial" w:hAnsi="Arial" w:cs="Arial"/>
                <w:sz w:val="22"/>
                <w:szCs w:val="22"/>
              </w:rPr>
              <w:t>PF15</w:t>
            </w:r>
            <w:bookmarkStart w:id="0" w:name="_GoBack"/>
            <w:bookmarkEnd w:id="0"/>
          </w:p>
        </w:tc>
        <w:tc>
          <w:tcPr>
            <w:tcW w:w="4214" w:type="dxa"/>
          </w:tcPr>
          <w:p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rsidR="009106ED" w:rsidRPr="00F44471" w:rsidRDefault="001C416B" w:rsidP="005C42FF">
      <w:pPr>
        <w:spacing w:after="120" w:line="240" w:lineRule="atLeast"/>
        <w:jc w:val="center"/>
        <w:rPr>
          <w:rFonts w:ascii="Arial" w:hAnsi="Arial" w:cs="Arial"/>
          <w:b/>
          <w:sz w:val="22"/>
          <w:szCs w:val="22"/>
          <w:lang w:eastAsia="en-US"/>
        </w:rPr>
      </w:pPr>
      <w:r w:rsidRPr="00F44471">
        <w:rPr>
          <w:rFonts w:ascii="Arial" w:hAnsi="Arial" w:cs="Arial"/>
          <w:b/>
          <w:sz w:val="22"/>
          <w:szCs w:val="22"/>
          <w:lang w:eastAsia="en-US"/>
        </w:rPr>
        <w:t>Annex</w:t>
      </w:r>
      <w:r w:rsidR="004A64FD" w:rsidRPr="00F44471">
        <w:rPr>
          <w:rFonts w:ascii="Arial" w:hAnsi="Arial" w:cs="Arial"/>
          <w:b/>
          <w:sz w:val="22"/>
          <w:szCs w:val="22"/>
          <w:lang w:eastAsia="en-US"/>
        </w:rPr>
        <w:t> 1</w:t>
      </w:r>
    </w:p>
    <w:p w:rsidR="00145A57"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t>Terms and Conditions of Contract for Services</w:t>
      </w:r>
    </w:p>
    <w:p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80513F">
          <w:headerReference w:type="even"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r w:rsidRPr="00F44471">
        <w:rPr>
          <w:rFonts w:cs="Arial"/>
          <w:b/>
          <w:sz w:val="22"/>
          <w:szCs w:val="22"/>
        </w:rPr>
        <w:br/>
      </w: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Interpretation</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27"/>
        <w:gridCol w:w="8033"/>
      </w:tblGrid>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w:t>
            </w:r>
            <w:proofErr w:type="spellStart"/>
            <w:r w:rsidR="004513F8">
              <w:rPr>
                <w:rFonts w:ascii="Arial" w:hAnsi="Arial" w:cs="Arial"/>
                <w:sz w:val="22"/>
                <w:szCs w:val="22"/>
              </w:rPr>
              <w:t>i</w:t>
            </w:r>
            <w:proofErr w:type="spellEnd"/>
            <w:r w:rsidR="004513F8">
              <w:rPr>
                <w:rFonts w:ascii="Arial" w:hAnsi="Arial" w:cs="Arial"/>
                <w:sz w:val="22"/>
                <w:szCs w:val="22"/>
              </w:rPr>
              <w:t xml:space="preserve">)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00FF7453" w:rsidRPr="00F44471">
              <w:rPr>
                <w:rFonts w:ascii="Arial" w:hAnsi="Arial" w:cs="Arial"/>
                <w:sz w:val="22"/>
                <w:szCs w:val="22"/>
              </w:rPr>
              <w:t xml:space="preserve">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rsidTr="00F523E8">
        <w:tc>
          <w:tcPr>
            <w:tcW w:w="1827" w:type="dxa"/>
          </w:tcPr>
          <w:p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rsidTr="00F523E8">
        <w:tc>
          <w:tcPr>
            <w:tcW w:w="1827" w:type="dxa"/>
          </w:tcPr>
          <w:p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w:t>
            </w:r>
            <w:proofErr w:type="spellStart"/>
            <w:r w:rsidRPr="00F44471">
              <w:rPr>
                <w:rFonts w:ascii="Arial" w:hAnsi="Arial" w:cs="Arial"/>
                <w:sz w:val="22"/>
                <w:szCs w:val="22"/>
              </w:rPr>
              <w:t>i</w:t>
            </w:r>
            <w:proofErr w:type="spellEnd"/>
            <w:r w:rsidRPr="00F44471">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F44471" w:rsidTr="00F523E8">
        <w:tc>
          <w:tcPr>
            <w:tcW w:w="1827" w:type="dxa"/>
          </w:tcPr>
          <w:p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rsidTr="00F523E8">
        <w:tc>
          <w:tcPr>
            <w:tcW w:w="1827" w:type="dxa"/>
          </w:tcPr>
          <w:p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both of them</w:t>
            </w:r>
            <w:r w:rsidR="00CB078F" w:rsidRPr="00F44471">
              <w:rPr>
                <w:rFonts w:ascii="Arial" w:hAnsi="Arial" w:cs="Arial"/>
                <w:sz w:val="22"/>
                <w:szCs w:val="22"/>
              </w:rPr>
              <w:t xml:space="preserve">; </w:t>
            </w:r>
          </w:p>
        </w:tc>
      </w:tr>
      <w:tr w:rsidR="00016533" w:rsidRPr="00016533" w:rsidTr="00F523E8">
        <w:tc>
          <w:tcPr>
            <w:tcW w:w="1827" w:type="dxa"/>
          </w:tcPr>
          <w:p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lastRenderedPageBreak/>
              <w:t>“</w:t>
            </w:r>
            <w:r w:rsidRPr="00016533">
              <w:rPr>
                <w:rFonts w:ascii="Arial" w:hAnsi="Arial" w:cs="Arial"/>
                <w:sz w:val="22"/>
                <w:szCs w:val="22"/>
              </w:rPr>
              <w:t>Personal Data</w:t>
            </w:r>
            <w:r>
              <w:rPr>
                <w:rFonts w:ascii="Arial" w:hAnsi="Arial" w:cs="Arial"/>
                <w:sz w:val="22"/>
                <w:szCs w:val="22"/>
              </w:rPr>
              <w:t>”</w:t>
            </w:r>
          </w:p>
        </w:tc>
        <w:tc>
          <w:tcPr>
            <w:tcW w:w="8033" w:type="dxa"/>
          </w:tcPr>
          <w:p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rsidTr="00F523E8">
        <w:tc>
          <w:tcPr>
            <w:tcW w:w="1827" w:type="dxa"/>
          </w:tcPr>
          <w:p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rsidTr="00F523E8">
        <w:tc>
          <w:tcPr>
            <w:tcW w:w="1827" w:type="dxa"/>
          </w:tcPr>
          <w:p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1B3C88">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proofErr w:type="gramStart"/>
            <w:r w:rsidRPr="00F44471">
              <w:rPr>
                <w:rFonts w:ascii="Arial" w:hAnsi="Arial" w:cs="Arial"/>
                <w:sz w:val="22"/>
                <w:szCs w:val="22"/>
              </w:rPr>
              <w:t>means</w:t>
            </w:r>
            <w:proofErr w:type="gramEnd"/>
            <w:r w:rsidRPr="00F44471">
              <w:rPr>
                <w:rFonts w:ascii="Arial" w:hAnsi="Arial" w:cs="Arial"/>
                <w:sz w:val="22"/>
                <w:szCs w:val="22"/>
              </w:rPr>
              <w:t xml:space="preserve"> a day (other than a Saturday or Sunday) on which banks are open for business in the City of London.</w:t>
            </w:r>
          </w:p>
        </w:tc>
      </w:tr>
    </w:tbl>
    <w:p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proofErr w:type="gramStart"/>
      <w:r w:rsidRPr="00F44471">
        <w:rPr>
          <w:rFonts w:cs="Arial"/>
          <w:sz w:val="22"/>
          <w:szCs w:val="22"/>
        </w:rPr>
        <w:t>the</w:t>
      </w:r>
      <w:proofErr w:type="gramEnd"/>
      <w:r w:rsidRPr="00F44471">
        <w:rPr>
          <w:rFonts w:cs="Arial"/>
          <w:sz w:val="22"/>
          <w:szCs w:val="22"/>
        </w:rPr>
        <w:t xml:space="preserve"> word ‘including’ shall be understood as meaning ‘including without limitation’.</w:t>
      </w:r>
    </w:p>
    <w:p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 w:name="_Ref377050430"/>
      <w:r w:rsidRPr="00F44471">
        <w:rPr>
          <w:rFonts w:cs="Arial"/>
          <w:szCs w:val="22"/>
        </w:rPr>
        <w:t xml:space="preserve">Basis of </w:t>
      </w:r>
      <w:r w:rsidR="000C4ED8" w:rsidRPr="00F44471">
        <w:rPr>
          <w:rFonts w:cs="Arial"/>
          <w:szCs w:val="22"/>
        </w:rPr>
        <w:t>Agreement</w:t>
      </w:r>
      <w:bookmarkEnd w:id="1"/>
    </w:p>
    <w:p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Supply of Services</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2"/>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3" w:name="_Ref360039773"/>
      <w:proofErr w:type="gramStart"/>
      <w:r w:rsidRPr="00F44471">
        <w:rPr>
          <w:rFonts w:cs="Arial"/>
          <w:sz w:val="22"/>
          <w:szCs w:val="22"/>
        </w:rPr>
        <w:t>provide</w:t>
      </w:r>
      <w:proofErr w:type="gramEnd"/>
      <w:r w:rsidRPr="00F44471">
        <w:rPr>
          <w:rFonts w:cs="Arial"/>
          <w:sz w:val="22"/>
          <w:szCs w:val="22"/>
        </w:rPr>
        <w:t xml:space="preserve"> all equipment, tools and vehicles and other items as are required to provide the Services.</w:t>
      </w:r>
      <w:bookmarkEnd w:id="3"/>
    </w:p>
    <w:p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1B3C88">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rsidR="009F490D" w:rsidRPr="00F44471"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 w:name="_Ref266710570"/>
      <w:bookmarkStart w:id="5" w:name="_Ref359607345"/>
      <w:r w:rsidRPr="00F44471">
        <w:rPr>
          <w:rFonts w:cs="Arial"/>
          <w:b w:val="0"/>
          <w:sz w:val="22"/>
          <w:szCs w:val="22"/>
        </w:rPr>
        <w:t xml:space="preserve">The Customer may extend the Agreement for a period of up to </w:t>
      </w:r>
      <w:r w:rsidR="005B6149">
        <w:rPr>
          <w:rFonts w:cs="Arial"/>
          <w:b w:val="0"/>
          <w:sz w:val="22"/>
          <w:szCs w:val="22"/>
        </w:rPr>
        <w:t>6</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4"/>
      <w:r w:rsidRPr="00F44471">
        <w:rPr>
          <w:rFonts w:cs="Arial"/>
          <w:b w:val="0"/>
          <w:sz w:val="22"/>
          <w:szCs w:val="22"/>
        </w:rPr>
        <w:t>ded period.</w:t>
      </w:r>
      <w:bookmarkEnd w:id="5"/>
      <w:r w:rsidRPr="00F44471">
        <w:rPr>
          <w:rFonts w:cs="Arial"/>
          <w:b w:val="0"/>
          <w:sz w:val="22"/>
          <w:szCs w:val="22"/>
        </w:rPr>
        <w:t xml:space="preserve"> </w:t>
      </w: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supporting information required by the Customer to verify the accuracy of the invoice</w:t>
      </w:r>
      <w:r w:rsidR="00D12BF2" w:rsidRPr="00F44471">
        <w:rPr>
          <w:rFonts w:cs="Arial"/>
          <w:b w:val="0"/>
          <w:sz w:val="22"/>
          <w:szCs w:val="22"/>
        </w:rPr>
        <w:t>,</w:t>
      </w:r>
      <w:r w:rsidRPr="00F44471">
        <w:rPr>
          <w:rFonts w:cs="Arial"/>
          <w:b w:val="0"/>
          <w:sz w:val="22"/>
          <w:szCs w:val="22"/>
        </w:rPr>
        <w:t xml:space="preserve"> including the relevant </w:t>
      </w:r>
      <w:r w:rsidR="005C197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and a breakdown of the Services supplied in the invoice period.  </w:t>
      </w:r>
    </w:p>
    <w:p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receipt of a valid invoice which 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w:t>
      </w:r>
      <w:r w:rsidR="00474935" w:rsidRPr="00F44471">
        <w:rPr>
          <w:rFonts w:cs="Arial"/>
          <w:b w:val="0"/>
          <w:sz w:val="22"/>
          <w:szCs w:val="22"/>
        </w:rPr>
        <w:t>shall</w:t>
      </w:r>
      <w:r w:rsidRPr="00F44471">
        <w:rPr>
          <w:rFonts w:cs="Arial"/>
          <w:b w:val="0"/>
          <w:sz w:val="22"/>
          <w:szCs w:val="22"/>
        </w:rPr>
        <w:t xml:space="preserve"> be charged at the prevailing rate.  The Customer </w:t>
      </w:r>
      <w:r w:rsidR="00474935" w:rsidRPr="00F44471">
        <w:rPr>
          <w:rFonts w:cs="Arial"/>
          <w:b w:val="0"/>
          <w:sz w:val="22"/>
          <w:szCs w:val="22"/>
        </w:rPr>
        <w:t>shall</w:t>
      </w:r>
      <w:r w:rsidRPr="00F44471">
        <w:rPr>
          <w:rFonts w:cs="Arial"/>
          <w:b w:val="0"/>
          <w:sz w:val="22"/>
          <w:szCs w:val="22"/>
        </w:rPr>
        <w:t>, following the receipt of a valid VAT invoice, pay to the Supplier a sum equal to the VAT</w:t>
      </w:r>
      <w:r w:rsidR="00286D94" w:rsidRPr="00F44471">
        <w:rPr>
          <w:rFonts w:cs="Arial"/>
          <w:b w:val="0"/>
          <w:sz w:val="22"/>
          <w:szCs w:val="22"/>
        </w:rPr>
        <w:t xml:space="preserve"> chargeable </w:t>
      </w:r>
      <w:r w:rsidR="00474935" w:rsidRPr="00F44471">
        <w:rPr>
          <w:rFonts w:cs="Arial"/>
          <w:b w:val="0"/>
          <w:sz w:val="22"/>
          <w:szCs w:val="22"/>
        </w:rPr>
        <w:t>in respect of the S</w:t>
      </w:r>
      <w:r w:rsidR="00286D94" w:rsidRPr="00F44471">
        <w:rPr>
          <w:rFonts w:cs="Arial"/>
          <w:b w:val="0"/>
          <w:sz w:val="22"/>
          <w:szCs w:val="22"/>
        </w:rPr>
        <w:t>ervices</w:t>
      </w:r>
      <w:r w:rsidRPr="00F44471">
        <w:rPr>
          <w:rFonts w:cs="Arial"/>
          <w:b w:val="0"/>
          <w:sz w:val="22"/>
          <w:szCs w:val="22"/>
        </w:rPr>
        <w:t xml:space="preserve">. </w:t>
      </w:r>
    </w:p>
    <w:p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w:t>
      </w:r>
      <w:r w:rsidR="00343C10">
        <w:rPr>
          <w:rFonts w:cs="Arial"/>
          <w:b w:val="0"/>
          <w:sz w:val="22"/>
          <w:szCs w:val="22"/>
        </w:rPr>
        <w:fldChar w:fldCharType="end"/>
      </w:r>
      <w:r w:rsidR="00D12BF2" w:rsidRPr="00F44471">
        <w:rPr>
          <w:rFonts w:cs="Arial"/>
          <w:b w:val="0"/>
          <w:sz w:val="22"/>
          <w:szCs w:val="22"/>
        </w:rPr>
        <w:t xml:space="preserve">. </w:t>
      </w:r>
    </w:p>
    <w:p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Customer by the due date, then the Customer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Commercial Debts (Interest) Act 1998.  </w:t>
      </w:r>
    </w:p>
    <w:p w:rsidR="00CB078F" w:rsidRPr="00F44471"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6"/>
      <w:r w:rsidRPr="00F44471">
        <w:rPr>
          <w:rFonts w:cs="Arial"/>
          <w:b w:val="0"/>
          <w:sz w:val="22"/>
          <w:szCs w:val="22"/>
        </w:rPr>
        <w:t xml:space="preserve">  </w:t>
      </w:r>
    </w:p>
    <w:p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7"/>
      <w:r w:rsidRPr="00F44471">
        <w:rPr>
          <w:rFonts w:cs="Arial"/>
          <w:b w:val="0"/>
          <w:sz w:val="22"/>
          <w:szCs w:val="22"/>
        </w:rPr>
        <w:t xml:space="preserve">   </w:t>
      </w:r>
    </w:p>
    <w:p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8"/>
      <w:r w:rsidR="00CB078F" w:rsidRPr="00F44471">
        <w:rPr>
          <w:rFonts w:cs="Arial"/>
          <w:b w:val="0"/>
          <w:sz w:val="22"/>
          <w:szCs w:val="22"/>
        </w:rPr>
        <w:t xml:space="preserve">  </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9"/>
      <w:r w:rsidRPr="00F44471">
        <w:rPr>
          <w:rFonts w:cs="Arial"/>
          <w:b w:val="0"/>
          <w:sz w:val="22"/>
          <w:szCs w:val="22"/>
        </w:rPr>
        <w:t xml:space="preserve">  </w:t>
      </w:r>
    </w:p>
    <w:p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10" w:name="_Ref377050486"/>
      <w:r w:rsidRPr="00F44471">
        <w:rPr>
          <w:rFonts w:cs="Arial"/>
          <w:szCs w:val="22"/>
        </w:rPr>
        <w:t>Staff and Key Personnel</w:t>
      </w:r>
      <w:bookmarkEnd w:id="10"/>
    </w:p>
    <w:p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lastRenderedPageBreak/>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11" w:name="_Ref260825729"/>
      <w:proofErr w:type="gramStart"/>
      <w:r w:rsidRPr="00F44471">
        <w:rPr>
          <w:rFonts w:cs="Arial"/>
          <w:b w:val="0"/>
          <w:sz w:val="22"/>
          <w:szCs w:val="22"/>
        </w:rPr>
        <w:t>and</w:t>
      </w:r>
      <w:proofErr w:type="gramEnd"/>
      <w:r w:rsidRPr="00F44471">
        <w:rPr>
          <w:rFonts w:cs="Arial"/>
          <w:b w:val="0"/>
          <w:sz w:val="22"/>
          <w:szCs w:val="22"/>
        </w:rPr>
        <w:t xml:space="preserve"> the Supplier </w:t>
      </w:r>
      <w:r w:rsidR="00DF373A">
        <w:rPr>
          <w:rFonts w:cs="Arial"/>
          <w:b w:val="0"/>
          <w:sz w:val="22"/>
          <w:szCs w:val="22"/>
        </w:rPr>
        <w:t>shall</w:t>
      </w:r>
      <w:r w:rsidRPr="00F44471">
        <w:rPr>
          <w:rFonts w:cs="Arial"/>
          <w:b w:val="0"/>
          <w:sz w:val="22"/>
          <w:szCs w:val="22"/>
        </w:rPr>
        <w:t xml:space="preserve"> comply with any such notice. </w:t>
      </w:r>
    </w:p>
    <w:p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 w:name="_Ref377050375"/>
      <w:bookmarkEnd w:id="11"/>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12"/>
      <w:r w:rsidR="006E69DC" w:rsidRPr="00F44471">
        <w:rPr>
          <w:rFonts w:cs="Arial"/>
          <w:b w:val="0"/>
          <w:sz w:val="22"/>
          <w:szCs w:val="22"/>
        </w:rPr>
        <w:t xml:space="preserve"> </w:t>
      </w:r>
    </w:p>
    <w:p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F44471">
        <w:rPr>
          <w:rFonts w:cs="Arial"/>
          <w:sz w:val="22"/>
          <w:szCs w:val="22"/>
        </w:rPr>
        <w:t>procure</w:t>
      </w:r>
      <w:proofErr w:type="gramEnd"/>
      <w:r w:rsidRPr="00F44471">
        <w:rPr>
          <w:rFonts w:cs="Arial"/>
          <w:sz w:val="22"/>
          <w:szCs w:val="22"/>
        </w:rPr>
        <w:t xml:space="preserve"> that all Staff comply with any rules, regulations and requirements reasonably specified by the Customer.</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w:t>
      </w:r>
      <w:proofErr w:type="gramStart"/>
      <w:r w:rsidRPr="00F44471">
        <w:rPr>
          <w:rFonts w:cs="Arial"/>
          <w:b w:val="0"/>
          <w:sz w:val="22"/>
          <w:szCs w:val="22"/>
        </w:rPr>
        <w:t>termination</w:t>
      </w:r>
      <w:proofErr w:type="gramEnd"/>
      <w:r w:rsidRPr="00F44471">
        <w:rPr>
          <w:rFonts w:cs="Arial"/>
          <w:b w:val="0"/>
          <w:sz w:val="22"/>
          <w:szCs w:val="22"/>
        </w:rPr>
        <w:t xml:space="preserve"> of employment or other extenuating circumstances.  </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w:t>
      </w:r>
      <w:proofErr w:type="spellStart"/>
      <w:proofErr w:type="gramStart"/>
      <w:r w:rsidRPr="00F44471">
        <w:rPr>
          <w:rFonts w:cs="Arial"/>
          <w:b w:val="0"/>
          <w:sz w:val="22"/>
          <w:szCs w:val="22"/>
        </w:rPr>
        <w:t>novate</w:t>
      </w:r>
      <w:proofErr w:type="spellEnd"/>
      <w:proofErr w:type="gramEnd"/>
      <w:r w:rsidRPr="00F44471">
        <w:rPr>
          <w:rFonts w:cs="Arial"/>
          <w:b w:val="0"/>
          <w:sz w:val="22"/>
          <w:szCs w:val="22"/>
        </w:rPr>
        <w:t xml:space="preserv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w:t>
      </w:r>
      <w:proofErr w:type="spellStart"/>
      <w:r w:rsidRPr="00F44471">
        <w:rPr>
          <w:rFonts w:cs="Arial"/>
          <w:b w:val="0"/>
          <w:sz w:val="22"/>
          <w:szCs w:val="22"/>
        </w:rPr>
        <w:t>novate</w:t>
      </w:r>
      <w:proofErr w:type="spellEnd"/>
      <w:r w:rsidRPr="00F44471">
        <w:rPr>
          <w:rFonts w:cs="Arial"/>
          <w:b w:val="0"/>
          <w:sz w:val="22"/>
          <w:szCs w:val="22"/>
        </w:rPr>
        <w:t xml:space="preserv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3" w:name="_Ref377050494"/>
      <w:r w:rsidRPr="00F44471">
        <w:rPr>
          <w:rFonts w:cs="Arial"/>
          <w:szCs w:val="22"/>
        </w:rPr>
        <w:t>Intellectual Property Rights</w:t>
      </w:r>
      <w:bookmarkEnd w:id="13"/>
      <w:r w:rsidRPr="00F44471">
        <w:rPr>
          <w:rFonts w:cs="Arial"/>
          <w:szCs w:val="22"/>
        </w:rPr>
        <w:t xml:space="preserve"> </w:t>
      </w:r>
    </w:p>
    <w:p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w:t>
      </w:r>
      <w:r w:rsidRPr="00F44471">
        <w:rPr>
          <w:rFonts w:cs="Arial"/>
          <w:b w:val="0"/>
          <w:sz w:val="22"/>
          <w:szCs w:val="22"/>
        </w:rPr>
        <w:lastRenderedPageBreak/>
        <w:t>existence of any such intellectual property rights all its intellectual property rights in such materials (with full title guarantee and free from all third party rights).</w:t>
      </w:r>
    </w:p>
    <w:p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35833704"/>
      <w:r w:rsidRPr="00F44471">
        <w:rPr>
          <w:rFonts w:cs="Arial"/>
          <w:b w:val="0"/>
          <w:sz w:val="22"/>
          <w:szCs w:val="22"/>
        </w:rPr>
        <w:t>The Supplier hereby grants the Customer:</w:t>
      </w:r>
    </w:p>
    <w:p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14"/>
      <w:r w:rsidRPr="00F44471">
        <w:rPr>
          <w:rFonts w:cs="Arial"/>
          <w:sz w:val="22"/>
          <w:szCs w:val="22"/>
        </w:rPr>
        <w:t>; and</w:t>
      </w:r>
    </w:p>
    <w:p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r w:rsidR="00F44471" w:rsidRPr="00F44471">
        <w:rPr>
          <w:rFonts w:cs="Arial"/>
          <w:sz w:val="22"/>
          <w:szCs w:val="22"/>
        </w:rPr>
        <w:t>,</w:t>
      </w:r>
    </w:p>
    <w:p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proofErr w:type="gramStart"/>
      <w:r w:rsidRPr="00F44471">
        <w:rPr>
          <w:rFonts w:cs="Arial"/>
          <w:sz w:val="22"/>
          <w:szCs w:val="22"/>
        </w:rPr>
        <w:t>including</w:t>
      </w:r>
      <w:proofErr w:type="gramEnd"/>
      <w:r w:rsidRPr="00F44471">
        <w:rPr>
          <w:rFonts w:cs="Arial"/>
          <w:sz w:val="22"/>
          <w:szCs w:val="22"/>
        </w:rPr>
        <w:t xml:space="preserve">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which the Customer reasonably requires in order to exercise its rights and take the benefit of the Agreement including the Services provided</w:t>
      </w:r>
      <w:r w:rsidR="00F44471" w:rsidRPr="00F44471">
        <w:rPr>
          <w:rFonts w:cs="Arial"/>
          <w:sz w:val="22"/>
          <w:szCs w:val="22"/>
        </w:rPr>
        <w:t>.</w:t>
      </w:r>
    </w:p>
    <w:p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5"/>
      <w:r w:rsidRPr="00F44471">
        <w:rPr>
          <w:rFonts w:cs="Arial"/>
          <w:b w:val="0"/>
          <w:sz w:val="22"/>
          <w:szCs w:val="22"/>
        </w:rPr>
        <w:t xml:space="preserve"> </w:t>
      </w:r>
    </w:p>
    <w:p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6" w:name="_Ref243716101"/>
      <w:r>
        <w:rPr>
          <w:rFonts w:cs="Arial"/>
          <w:szCs w:val="22"/>
        </w:rPr>
        <w:t xml:space="preserve">Governance and </w:t>
      </w:r>
      <w:r w:rsidR="00DE641F" w:rsidRPr="00F44471">
        <w:rPr>
          <w:rFonts w:cs="Arial"/>
          <w:szCs w:val="22"/>
        </w:rPr>
        <w:t>Records</w:t>
      </w:r>
    </w:p>
    <w:p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proofErr w:type="gramStart"/>
      <w:r w:rsidRPr="008538C1">
        <w:rPr>
          <w:rFonts w:cs="Arial"/>
          <w:sz w:val="22"/>
          <w:szCs w:val="22"/>
        </w:rPr>
        <w:t>submit</w:t>
      </w:r>
      <w:proofErr w:type="gramEnd"/>
      <w:r w:rsidRPr="008538C1">
        <w:rPr>
          <w:rFonts w:cs="Arial"/>
          <w:sz w:val="22"/>
          <w:szCs w:val="22"/>
        </w:rPr>
        <w:t xml:space="preserve">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17" w:name="_DV_M163"/>
      <w:bookmarkStart w:id="18" w:name="_DV_M164"/>
      <w:bookmarkStart w:id="19" w:name="_DV_M974"/>
      <w:bookmarkEnd w:id="17"/>
      <w:bookmarkEnd w:id="18"/>
      <w:bookmarkEnd w:id="19"/>
    </w:p>
    <w:p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0"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0"/>
    </w:p>
    <w:p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21" w:name="_Ref377050387"/>
      <w:r w:rsidRPr="00F44471">
        <w:rPr>
          <w:rFonts w:cs="Arial"/>
          <w:szCs w:val="22"/>
        </w:rPr>
        <w:t>Confidentiality</w:t>
      </w:r>
      <w:bookmarkEnd w:id="16"/>
      <w:r w:rsidRPr="00F44471">
        <w:rPr>
          <w:rFonts w:cs="Arial"/>
          <w:szCs w:val="22"/>
        </w:rPr>
        <w:t>, Transparency and Publicity</w:t>
      </w:r>
      <w:bookmarkEnd w:id="21"/>
    </w:p>
    <w:p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2"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22"/>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23"/>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 xml:space="preserve">to its auditors or for the purposes of regulatory requirements; </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4"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4"/>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rsidR="00EE7C6B" w:rsidRDefault="00EE7C6B" w:rsidP="00EE7C6B">
      <w:pPr>
        <w:pStyle w:val="Level5Number"/>
        <w:tabs>
          <w:tab w:val="clear" w:pos="1418"/>
          <w:tab w:val="num" w:pos="1985"/>
        </w:tabs>
        <w:spacing w:after="120" w:line="240" w:lineRule="atLeast"/>
        <w:ind w:left="1985"/>
        <w:rPr>
          <w:rFonts w:cs="Arial"/>
          <w:sz w:val="22"/>
          <w:szCs w:val="22"/>
        </w:rPr>
      </w:pPr>
      <w:proofErr w:type="gramStart"/>
      <w:r w:rsidRPr="00F44471">
        <w:rPr>
          <w:rFonts w:cs="Arial"/>
          <w:sz w:val="22"/>
          <w:szCs w:val="22"/>
        </w:rPr>
        <w:t>in</w:t>
      </w:r>
      <w:proofErr w:type="gramEnd"/>
      <w:r w:rsidRPr="00F44471">
        <w:rPr>
          <w:rFonts w:cs="Arial"/>
          <w:sz w:val="22"/>
          <w:szCs w:val="22"/>
        </w:rPr>
        <w:t xml:space="preserve">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rsidR="007C0048" w:rsidRPr="00016533" w:rsidRDefault="007C0048" w:rsidP="007C0048">
      <w:pPr>
        <w:pStyle w:val="Level5Number"/>
        <w:numPr>
          <w:ilvl w:val="0"/>
          <w:numId w:val="0"/>
        </w:numPr>
        <w:spacing w:after="120" w:line="240" w:lineRule="atLeast"/>
        <w:ind w:left="1418"/>
        <w:rPr>
          <w:rFonts w:cs="Arial"/>
          <w:sz w:val="22"/>
          <w:szCs w:val="22"/>
        </w:rPr>
      </w:pP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5"/>
      <w:r w:rsidRPr="00F44471">
        <w:rPr>
          <w:rFonts w:cs="Arial"/>
          <w:b w:val="0"/>
          <w:sz w:val="22"/>
          <w:szCs w:val="22"/>
        </w:rPr>
        <w:t xml:space="preserve">  </w:t>
      </w:r>
    </w:p>
    <w:p w:rsidR="00EE7C6B" w:rsidRPr="00F44471"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26"/>
      <w:r w:rsidR="00EE7C6B" w:rsidRPr="00F44471">
        <w:rPr>
          <w:rFonts w:cs="Arial"/>
          <w:b w:val="0"/>
          <w:sz w:val="22"/>
          <w:szCs w:val="22"/>
        </w:rPr>
        <w:t xml:space="preserve">  </w:t>
      </w:r>
    </w:p>
    <w:p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7" w:name="_Ref261004389"/>
      <w:r w:rsidRPr="00F44471">
        <w:rPr>
          <w:rFonts w:cs="Arial"/>
          <w:szCs w:val="22"/>
        </w:rPr>
        <w:t>Freedom of Information</w:t>
      </w:r>
      <w:bookmarkEnd w:id="27"/>
      <w:r w:rsidRPr="00F44471">
        <w:rPr>
          <w:rFonts w:cs="Arial"/>
          <w:szCs w:val="22"/>
        </w:rPr>
        <w:t xml:space="preserve"> </w:t>
      </w:r>
    </w:p>
    <w:p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lastRenderedPageBreak/>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8" w:name="_Ref377050406"/>
      <w:bookmarkStart w:id="29" w:name="_Ref260838253"/>
      <w:r w:rsidRPr="00F44471">
        <w:rPr>
          <w:rFonts w:cs="Arial"/>
          <w:szCs w:val="22"/>
        </w:rPr>
        <w:t>Protection of Personal Data</w:t>
      </w:r>
      <w:r w:rsidR="004513F8">
        <w:rPr>
          <w:rFonts w:cs="Arial"/>
          <w:szCs w:val="22"/>
        </w:rPr>
        <w:t xml:space="preserve"> and Security of Data</w:t>
      </w:r>
      <w:bookmarkEnd w:id="28"/>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9"/>
      <w:bookmarkEnd w:id="30"/>
      <w:r w:rsidRPr="00F44471">
        <w:rPr>
          <w:rFonts w:cs="Arial"/>
          <w:b w:val="0"/>
          <w:sz w:val="22"/>
          <w:szCs w:val="22"/>
        </w:rPr>
        <w:t xml:space="preserve"> </w:t>
      </w:r>
    </w:p>
    <w:p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0E212A">
        <w:rPr>
          <w:rFonts w:cs="Arial"/>
          <w:b w:val="0"/>
          <w:sz w:val="22"/>
          <w:szCs w:val="22"/>
        </w:rPr>
        <w:t>13.1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1B3C88" w:rsidRPr="001B3C88">
        <w:rPr>
          <w:rFonts w:cs="Arial"/>
          <w:sz w:val="22"/>
          <w:szCs w:val="22"/>
        </w:rPr>
        <w:t>13.3</w:t>
      </w:r>
      <w:r w:rsidR="00343C10">
        <w:fldChar w:fldCharType="end"/>
      </w:r>
      <w:r w:rsidRPr="005E346B">
        <w:rPr>
          <w:rFonts w:cs="Arial"/>
          <w:sz w:val="22"/>
          <w:szCs w:val="22"/>
        </w:rPr>
        <w:t>; and</w:t>
      </w:r>
    </w:p>
    <w:p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31" w:name="_Ref360040777"/>
      <w:r w:rsidRPr="00CE4C3D">
        <w:rPr>
          <w:rFonts w:cs="Arial"/>
          <w:b w:val="0"/>
          <w:sz w:val="22"/>
          <w:szCs w:val="22"/>
        </w:rPr>
        <w:t>When handling Customer data</w:t>
      </w:r>
      <w:r w:rsidR="002D0B50" w:rsidRPr="00CE4C3D">
        <w:rPr>
          <w:rFonts w:cs="Arial"/>
          <w:b w:val="0"/>
          <w:sz w:val="22"/>
          <w:szCs w:val="22"/>
        </w:rPr>
        <w:t xml:space="preserve"> (whether or not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31"/>
      <w:r w:rsidRPr="004513F8">
        <w:rPr>
          <w:rFonts w:cs="Arial"/>
          <w:b w:val="0"/>
          <w:sz w:val="22"/>
          <w:szCs w:val="22"/>
        </w:rPr>
        <w:t xml:space="preserve"> </w:t>
      </w:r>
    </w:p>
    <w:p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32" w:name="_Ref377050536"/>
      <w:r w:rsidRPr="00F44471">
        <w:rPr>
          <w:rFonts w:cs="Arial"/>
          <w:szCs w:val="22"/>
        </w:rPr>
        <w:t>Liability</w:t>
      </w:r>
      <w:bookmarkEnd w:id="32"/>
      <w:r w:rsidR="00D12BF2" w:rsidRPr="00F44471">
        <w:rPr>
          <w:rFonts w:cs="Arial"/>
          <w:szCs w:val="22"/>
        </w:rPr>
        <w:t xml:space="preserve"> </w:t>
      </w:r>
    </w:p>
    <w:p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33"/>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4"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w:t>
      </w:r>
      <w:r w:rsidRPr="00F44471">
        <w:rPr>
          <w:rFonts w:cs="Arial"/>
          <w:sz w:val="22"/>
          <w:szCs w:val="22"/>
        </w:rPr>
        <w:lastRenderedPageBreak/>
        <w:t xml:space="preserve">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4"/>
    </w:p>
    <w:p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359607720"/>
      <w:r w:rsidRPr="00F44471">
        <w:rPr>
          <w:rFonts w:cs="Arial"/>
          <w:b w:val="0"/>
          <w:sz w:val="22"/>
          <w:szCs w:val="22"/>
        </w:rPr>
        <w:t>Nothing in the Agreement shall be construed to limit or exclude either Party's liability for:</w:t>
      </w:r>
      <w:bookmarkEnd w:id="35"/>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rsidR="00664325" w:rsidRPr="005D5533"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6"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6"/>
    </w:p>
    <w:p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7" w:name="_Ref360044784"/>
      <w:r w:rsidRPr="00F44471">
        <w:rPr>
          <w:rFonts w:cs="Arial"/>
          <w:szCs w:val="22"/>
        </w:rPr>
        <w:t>Force Majeure</w:t>
      </w:r>
      <w:bookmarkEnd w:id="37"/>
    </w:p>
    <w:p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8" w:name="_Ref359655944"/>
      <w:bookmarkStart w:id="39" w:name="_Ref245529290"/>
      <w:r w:rsidRPr="00F44471">
        <w:rPr>
          <w:rFonts w:cs="Arial"/>
          <w:szCs w:val="22"/>
        </w:rPr>
        <w:t>Termination</w:t>
      </w:r>
      <w:bookmarkEnd w:id="38"/>
    </w:p>
    <w:bookmarkEnd w:id="39"/>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1"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41"/>
      <w:r w:rsidR="002654AA" w:rsidRPr="00F44471">
        <w:rPr>
          <w:rFonts w:cs="Arial"/>
          <w:sz w:val="22"/>
          <w:szCs w:val="22"/>
        </w:rPr>
        <w:t xml:space="preserve">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2"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or</w:t>
      </w:r>
      <w:bookmarkEnd w:id="40"/>
      <w:bookmarkEnd w:id="42"/>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3"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bookmarkEnd w:id="43"/>
    </w:p>
    <w:p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4" w:name="_Ref264467643"/>
      <w:r>
        <w:rPr>
          <w:rFonts w:cs="Arial"/>
          <w:b w:val="0"/>
          <w:sz w:val="22"/>
          <w:szCs w:val="22"/>
        </w:rPr>
        <w:lastRenderedPageBreak/>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5"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4"/>
      <w:bookmarkEnd w:id="45"/>
      <w:r w:rsidRPr="00F44471">
        <w:rPr>
          <w:rFonts w:cs="Arial"/>
          <w:b w:val="0"/>
          <w:sz w:val="22"/>
          <w:szCs w:val="22"/>
        </w:rPr>
        <w:t xml:space="preserve">  </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6" w:name="_Ref377050546"/>
      <w:r w:rsidRPr="00F44471">
        <w:rPr>
          <w:rFonts w:cs="Arial"/>
          <w:b w:val="0"/>
          <w:sz w:val="22"/>
          <w:szCs w:val="22"/>
        </w:rPr>
        <w:t>Upon termination or expiry of the Agreement, the Supplier shall:</w:t>
      </w:r>
      <w:bookmarkEnd w:id="46"/>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7" w:name="_Ref377050416"/>
      <w:r w:rsidRPr="00F44471">
        <w:rPr>
          <w:rFonts w:cs="Arial"/>
          <w:szCs w:val="22"/>
        </w:rPr>
        <w:t>Compliance</w:t>
      </w:r>
      <w:bookmarkEnd w:id="47"/>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8" w:name="_Ref261013166"/>
      <w:r w:rsidRPr="00F44471">
        <w:rPr>
          <w:rFonts w:cs="Arial"/>
          <w:b w:val="0"/>
          <w:sz w:val="22"/>
          <w:szCs w:val="22"/>
        </w:rPr>
        <w:t xml:space="preserve">The Supplier </w:t>
      </w:r>
      <w:bookmarkEnd w:id="48"/>
      <w:r w:rsidRPr="00F44471">
        <w:rPr>
          <w:rFonts w:cs="Arial"/>
          <w:b w:val="0"/>
          <w:sz w:val="22"/>
          <w:szCs w:val="22"/>
        </w:rPr>
        <w:t>shall:</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9"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9"/>
      <w:r w:rsidR="0011408A">
        <w:rPr>
          <w:rFonts w:cs="Arial"/>
          <w:sz w:val="22"/>
          <w:szCs w:val="22"/>
        </w:rPr>
        <w:t xml:space="preserve"> and</w:t>
      </w:r>
    </w:p>
    <w:p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take</w:t>
      </w:r>
      <w:proofErr w:type="gramEnd"/>
      <w:r w:rsidRPr="00F44471">
        <w:rPr>
          <w:rFonts w:cs="Arial"/>
          <w:sz w:val="22"/>
          <w:szCs w:val="22"/>
        </w:rPr>
        <w:t xml:space="preserv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0"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50"/>
      <w:r w:rsidRPr="00F44471">
        <w:rPr>
          <w:rFonts w:cs="Arial"/>
          <w:b w:val="0"/>
          <w:sz w:val="22"/>
          <w:szCs w:val="22"/>
        </w:rPr>
        <w:t xml:space="preserve"> </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1" w:name="_Ref359607864"/>
      <w:bookmarkStart w:id="52"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1"/>
    </w:p>
    <w:bookmarkEnd w:id="52"/>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w:t>
      </w:r>
      <w:r w:rsidRPr="00F44471">
        <w:rPr>
          <w:rFonts w:cs="Arial"/>
          <w:b w:val="0"/>
          <w:sz w:val="22"/>
          <w:szCs w:val="22"/>
        </w:rPr>
        <w:lastRenderedPageBreak/>
        <w:t>suspect that any fraud has occurred or is occurring or is likely to occur.</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3"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3"/>
    </w:p>
    <w:p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4" w:name="a324896"/>
      <w:bookmarkStart w:id="55" w:name="a754740"/>
      <w:bookmarkStart w:id="56" w:name="a771580"/>
      <w:bookmarkStart w:id="57" w:name="d4695e134"/>
      <w:bookmarkStart w:id="58" w:name="a688721"/>
      <w:bookmarkStart w:id="59" w:name="a797188"/>
      <w:bookmarkStart w:id="60" w:name="a424610"/>
      <w:bookmarkStart w:id="61" w:name="a247073"/>
      <w:bookmarkStart w:id="62" w:name="a57863"/>
      <w:bookmarkStart w:id="63" w:name="d4695e160"/>
      <w:bookmarkStart w:id="64" w:name="a836145"/>
      <w:bookmarkStart w:id="65" w:name="a1017728"/>
      <w:bookmarkStart w:id="66" w:name="d4695e202"/>
      <w:bookmarkStart w:id="67" w:name="a555840"/>
      <w:bookmarkStart w:id="68" w:name="d4695e232"/>
      <w:bookmarkStart w:id="69" w:name="a825464"/>
      <w:bookmarkStart w:id="70" w:name="a1049772"/>
      <w:bookmarkStart w:id="71" w:name="a111270"/>
      <w:bookmarkStart w:id="72" w:name="a395620"/>
      <w:bookmarkStart w:id="73" w:name="a107224"/>
      <w:bookmarkStart w:id="74" w:name="a673334"/>
      <w:bookmarkStart w:id="75" w:name="a975002"/>
      <w:bookmarkStart w:id="76" w:name="a207401"/>
      <w:bookmarkStart w:id="77" w:name="_Ref35960757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44471">
        <w:rPr>
          <w:rFonts w:cs="Arial"/>
          <w:szCs w:val="22"/>
        </w:rPr>
        <w:t>Dispute Resolution</w:t>
      </w:r>
      <w:bookmarkEnd w:id="77"/>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8"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8"/>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9"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w:t>
      </w:r>
      <w:r w:rsidRPr="00F44471">
        <w:rPr>
          <w:rFonts w:cs="Arial"/>
          <w:b w:val="0"/>
          <w:sz w:val="22"/>
          <w:szCs w:val="22"/>
        </w:rPr>
        <w:lastRenderedPageBreak/>
        <w:t xml:space="preserve">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9"/>
      <w:r w:rsidRPr="00F44471">
        <w:rPr>
          <w:rFonts w:cs="Arial"/>
          <w:b w:val="0"/>
          <w:sz w:val="22"/>
          <w:szCs w:val="22"/>
        </w:rPr>
        <w:t xml:space="preserve">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0"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80"/>
    </w:p>
    <w:p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1"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1"/>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2"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82"/>
      <w:r w:rsidR="001B7BD6" w:rsidRPr="00F737F4">
        <w:rPr>
          <w:rFonts w:cs="Arial"/>
          <w:b w:val="0"/>
          <w:sz w:val="22"/>
          <w:szCs w:val="22"/>
        </w:rPr>
        <w:t>.</w:t>
      </w:r>
    </w:p>
    <w:p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 xml:space="preserve">The validity, construction and performance of the Agreement, and all contractual and </w:t>
      </w:r>
      <w:proofErr w:type="spellStart"/>
      <w:r w:rsidRPr="00F44471">
        <w:rPr>
          <w:rFonts w:cs="Arial"/>
          <w:b w:val="0"/>
          <w:sz w:val="22"/>
          <w:szCs w:val="22"/>
        </w:rPr>
        <w:t>non contractual</w:t>
      </w:r>
      <w:proofErr w:type="spellEnd"/>
      <w:r w:rsidRPr="00F44471">
        <w:rPr>
          <w:rFonts w:cs="Arial"/>
          <w:b w:val="0"/>
          <w:sz w:val="22"/>
          <w:szCs w:val="22"/>
        </w:rPr>
        <w:t xml:space="preserve"> matters arising out of it, shall be governed by English law and shall be subject to the exclusive jurisdiction of the English courts to which the Parties submit.</w:t>
      </w:r>
    </w:p>
    <w:sectPr w:rsidR="00652B3A"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27" w:rsidRDefault="001D6927">
      <w:r>
        <w:separator/>
      </w:r>
    </w:p>
  </w:endnote>
  <w:endnote w:type="continuationSeparator" w:id="0">
    <w:p w:rsidR="001D6927" w:rsidRDefault="001D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9B" w:rsidRDefault="0093629B"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sidR="00911F01">
      <w:rPr>
        <w:rStyle w:val="PageNumber"/>
        <w:rFonts w:ascii="Calibri" w:hAnsi="Calibri"/>
        <w:color w:val="000000"/>
        <w:sz w:val="22"/>
      </w:rPr>
      <w:t>UNCLASSIFIED</w:t>
    </w:r>
    <w:r>
      <w:rPr>
        <w:rStyle w:val="PageNumber"/>
      </w:rPr>
      <w:fldChar w:fldCharType="end"/>
    </w:r>
  </w:p>
  <w:p w:rsidR="0093629B" w:rsidRDefault="0093629B"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3629B" w:rsidRDefault="0093629B" w:rsidP="00FC651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671832"/>
      <w:docPartObj>
        <w:docPartGallery w:val="Page Numbers (Bottom of Page)"/>
        <w:docPartUnique/>
      </w:docPartObj>
    </w:sdtPr>
    <w:sdtEndPr/>
    <w:sdtContent>
      <w:sdt>
        <w:sdtPr>
          <w:id w:val="860082579"/>
          <w:docPartObj>
            <w:docPartGallery w:val="Page Numbers (Top of Page)"/>
            <w:docPartUnique/>
          </w:docPartObj>
        </w:sdtPr>
        <w:sdtEndPr/>
        <w:sdtContent>
          <w:p w:rsidR="00145A57" w:rsidRDefault="00145A57">
            <w:pPr>
              <w:pStyle w:val="Footer"/>
              <w:jc w:val="right"/>
            </w:pPr>
            <w:r>
              <w:t xml:space="preserve">Page </w:t>
            </w:r>
            <w:r>
              <w:rPr>
                <w:b/>
                <w:bCs/>
              </w:rPr>
              <w:fldChar w:fldCharType="begin"/>
            </w:r>
            <w:r>
              <w:rPr>
                <w:b/>
                <w:bCs/>
              </w:rPr>
              <w:instrText xml:space="preserve"> PAGE </w:instrText>
            </w:r>
            <w:r>
              <w:rPr>
                <w:b/>
                <w:bCs/>
              </w:rPr>
              <w:fldChar w:fldCharType="separate"/>
            </w:r>
            <w:r w:rsidR="00653E1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53E10">
              <w:rPr>
                <w:b/>
                <w:bCs/>
                <w:noProof/>
              </w:rPr>
              <w:t>12</w:t>
            </w:r>
            <w:r>
              <w:rPr>
                <w:b/>
                <w:bCs/>
              </w:rPr>
              <w:fldChar w:fldCharType="end"/>
            </w:r>
          </w:p>
        </w:sdtContent>
      </w:sdt>
    </w:sdtContent>
  </w:sdt>
  <w:p w:rsidR="0093629B" w:rsidRPr="004A64FD" w:rsidRDefault="0093629B" w:rsidP="00164F5C">
    <w:pPr>
      <w:pStyle w:val="Footer"/>
      <w:jc w:val="cen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40" w:rsidRDefault="00517E40">
    <w:pPr>
      <w:pStyle w:val="Footer"/>
    </w:pPr>
    <w:r>
      <w:fldChar w:fldCharType="begin"/>
    </w:r>
    <w:r>
      <w:instrText xml:space="preserve"> PAGE   \* MERGEFORMAT </w:instrText>
    </w:r>
    <w:r>
      <w:fldChar w:fldCharType="separate"/>
    </w:r>
    <w:r w:rsidR="0080513F">
      <w:rPr>
        <w:noProof/>
      </w:rPr>
      <w:t>1</w:t>
    </w:r>
    <w:r>
      <w:rPr>
        <w:noProof/>
      </w:rPr>
      <w:fldChar w:fldCharType="end"/>
    </w:r>
  </w:p>
  <w:p w:rsidR="0093629B" w:rsidRDefault="0093629B" w:rsidP="00FC651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27" w:rsidRDefault="001D6927">
      <w:r>
        <w:separator/>
      </w:r>
    </w:p>
  </w:footnote>
  <w:footnote w:type="continuationSeparator" w:id="0">
    <w:p w:rsidR="001D6927" w:rsidRDefault="001D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9B" w:rsidRDefault="0093629B"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sidR="00911F01">
      <w:rPr>
        <w:rFonts w:ascii="Calibri" w:hAnsi="Calibri"/>
        <w:color w:val="000000"/>
        <w:sz w:val="22"/>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9B" w:rsidRPr="00517E40" w:rsidRDefault="00517E40" w:rsidP="00517E40">
    <w:pPr>
      <w:pStyle w:val="Header"/>
      <w:rPr>
        <w:rFonts w:ascii="Arial" w:hAnsi="Arial" w:cs="Arial"/>
        <w:sz w:val="20"/>
        <w:szCs w:val="20"/>
      </w:rPr>
    </w:pPr>
    <w:r w:rsidRPr="00517E40">
      <w:rPr>
        <w:rFonts w:ascii="Arial" w:hAnsi="Arial" w:cs="Arial"/>
        <w:sz w:val="20"/>
        <w:szCs w:val="20"/>
      </w:rPr>
      <w:t>DPF33</w:t>
    </w: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4">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1">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2">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5"/>
  </w:num>
  <w:num w:numId="5">
    <w:abstractNumId w:val="2"/>
  </w:num>
  <w:num w:numId="6">
    <w:abstractNumId w:val="11"/>
  </w:num>
  <w:num w:numId="7">
    <w:abstractNumId w:val="9"/>
  </w:num>
  <w:num w:numId="8">
    <w:abstractNumId w:val="12"/>
  </w:num>
  <w:num w:numId="9">
    <w:abstractNumId w:val="4"/>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15"/>
    <w:rsid w:val="00002E69"/>
    <w:rsid w:val="000117B6"/>
    <w:rsid w:val="0001396D"/>
    <w:rsid w:val="00015148"/>
    <w:rsid w:val="00016533"/>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5B57"/>
    <w:rsid w:val="000A3C1C"/>
    <w:rsid w:val="000A643F"/>
    <w:rsid w:val="000B05EB"/>
    <w:rsid w:val="000B0B1D"/>
    <w:rsid w:val="000B1374"/>
    <w:rsid w:val="000B2A28"/>
    <w:rsid w:val="000C20D3"/>
    <w:rsid w:val="000C2CAC"/>
    <w:rsid w:val="000C3F9E"/>
    <w:rsid w:val="000C4ED8"/>
    <w:rsid w:val="000D58FD"/>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35296"/>
    <w:rsid w:val="00140FEE"/>
    <w:rsid w:val="00145A57"/>
    <w:rsid w:val="00164F5C"/>
    <w:rsid w:val="00165E79"/>
    <w:rsid w:val="00171606"/>
    <w:rsid w:val="001915C3"/>
    <w:rsid w:val="00191A21"/>
    <w:rsid w:val="001B3C88"/>
    <w:rsid w:val="001B7BD6"/>
    <w:rsid w:val="001C416B"/>
    <w:rsid w:val="001C6ADB"/>
    <w:rsid w:val="001D0425"/>
    <w:rsid w:val="001D6927"/>
    <w:rsid w:val="001E2EB0"/>
    <w:rsid w:val="001E3798"/>
    <w:rsid w:val="001E572C"/>
    <w:rsid w:val="001E59D0"/>
    <w:rsid w:val="001F28FE"/>
    <w:rsid w:val="001F31FE"/>
    <w:rsid w:val="001F4E46"/>
    <w:rsid w:val="001F6318"/>
    <w:rsid w:val="0020628A"/>
    <w:rsid w:val="00227EED"/>
    <w:rsid w:val="00236EDF"/>
    <w:rsid w:val="002376B8"/>
    <w:rsid w:val="00241FE4"/>
    <w:rsid w:val="00242494"/>
    <w:rsid w:val="00245BC4"/>
    <w:rsid w:val="00245EFF"/>
    <w:rsid w:val="002515D1"/>
    <w:rsid w:val="002626F0"/>
    <w:rsid w:val="002632F5"/>
    <w:rsid w:val="002654AA"/>
    <w:rsid w:val="00265ACC"/>
    <w:rsid w:val="00271060"/>
    <w:rsid w:val="00273818"/>
    <w:rsid w:val="00276D54"/>
    <w:rsid w:val="00286D94"/>
    <w:rsid w:val="002A2439"/>
    <w:rsid w:val="002A45E3"/>
    <w:rsid w:val="002A45EC"/>
    <w:rsid w:val="002B0DC4"/>
    <w:rsid w:val="002B2459"/>
    <w:rsid w:val="002B302C"/>
    <w:rsid w:val="002C36FA"/>
    <w:rsid w:val="002C4C08"/>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5067"/>
    <w:rsid w:val="00366206"/>
    <w:rsid w:val="00374A25"/>
    <w:rsid w:val="003800DD"/>
    <w:rsid w:val="003851D9"/>
    <w:rsid w:val="00385B11"/>
    <w:rsid w:val="00390687"/>
    <w:rsid w:val="00395A72"/>
    <w:rsid w:val="003978E7"/>
    <w:rsid w:val="003C45CC"/>
    <w:rsid w:val="003C4957"/>
    <w:rsid w:val="003D0ECF"/>
    <w:rsid w:val="003D6156"/>
    <w:rsid w:val="003E33F6"/>
    <w:rsid w:val="003F1B29"/>
    <w:rsid w:val="00400721"/>
    <w:rsid w:val="004051E1"/>
    <w:rsid w:val="0040675F"/>
    <w:rsid w:val="00406B4E"/>
    <w:rsid w:val="00407113"/>
    <w:rsid w:val="004169E6"/>
    <w:rsid w:val="00417D20"/>
    <w:rsid w:val="00420995"/>
    <w:rsid w:val="004242FE"/>
    <w:rsid w:val="00425249"/>
    <w:rsid w:val="00425EAB"/>
    <w:rsid w:val="00436A60"/>
    <w:rsid w:val="00436B0E"/>
    <w:rsid w:val="0044144B"/>
    <w:rsid w:val="0044676E"/>
    <w:rsid w:val="00447FD2"/>
    <w:rsid w:val="004513F8"/>
    <w:rsid w:val="00465929"/>
    <w:rsid w:val="00467814"/>
    <w:rsid w:val="004704C7"/>
    <w:rsid w:val="0047169B"/>
    <w:rsid w:val="00474935"/>
    <w:rsid w:val="00476764"/>
    <w:rsid w:val="00484125"/>
    <w:rsid w:val="004869E3"/>
    <w:rsid w:val="00487564"/>
    <w:rsid w:val="00490236"/>
    <w:rsid w:val="00492CEC"/>
    <w:rsid w:val="004A1406"/>
    <w:rsid w:val="004A28C6"/>
    <w:rsid w:val="004A64FD"/>
    <w:rsid w:val="004B2321"/>
    <w:rsid w:val="004B581D"/>
    <w:rsid w:val="004C06C5"/>
    <w:rsid w:val="004C5AB1"/>
    <w:rsid w:val="004D519A"/>
    <w:rsid w:val="004E5829"/>
    <w:rsid w:val="004F1BB3"/>
    <w:rsid w:val="004F4784"/>
    <w:rsid w:val="004F7DE4"/>
    <w:rsid w:val="00501E8B"/>
    <w:rsid w:val="00504B4F"/>
    <w:rsid w:val="00517E40"/>
    <w:rsid w:val="00521C51"/>
    <w:rsid w:val="0053665B"/>
    <w:rsid w:val="00536BBF"/>
    <w:rsid w:val="00543905"/>
    <w:rsid w:val="005526F6"/>
    <w:rsid w:val="005626BE"/>
    <w:rsid w:val="0056401C"/>
    <w:rsid w:val="00571254"/>
    <w:rsid w:val="00572B07"/>
    <w:rsid w:val="00583A91"/>
    <w:rsid w:val="005847D0"/>
    <w:rsid w:val="00596448"/>
    <w:rsid w:val="00596D10"/>
    <w:rsid w:val="005B3E64"/>
    <w:rsid w:val="005B4297"/>
    <w:rsid w:val="005B6149"/>
    <w:rsid w:val="005C16F4"/>
    <w:rsid w:val="005C1970"/>
    <w:rsid w:val="005C42FF"/>
    <w:rsid w:val="005C51C1"/>
    <w:rsid w:val="005D0135"/>
    <w:rsid w:val="005D21F9"/>
    <w:rsid w:val="005D5533"/>
    <w:rsid w:val="005E3171"/>
    <w:rsid w:val="005E346B"/>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10"/>
    <w:rsid w:val="00653E80"/>
    <w:rsid w:val="0065438F"/>
    <w:rsid w:val="00654CB2"/>
    <w:rsid w:val="00660839"/>
    <w:rsid w:val="00663CC4"/>
    <w:rsid w:val="00664325"/>
    <w:rsid w:val="006648C7"/>
    <w:rsid w:val="00675844"/>
    <w:rsid w:val="00682DE5"/>
    <w:rsid w:val="00696414"/>
    <w:rsid w:val="006B6773"/>
    <w:rsid w:val="006B727D"/>
    <w:rsid w:val="006C19D3"/>
    <w:rsid w:val="006C35C7"/>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642A"/>
    <w:rsid w:val="00744BF1"/>
    <w:rsid w:val="00752218"/>
    <w:rsid w:val="0075262B"/>
    <w:rsid w:val="00755068"/>
    <w:rsid w:val="00756208"/>
    <w:rsid w:val="007629AB"/>
    <w:rsid w:val="00763A40"/>
    <w:rsid w:val="00770A1C"/>
    <w:rsid w:val="00775F0A"/>
    <w:rsid w:val="007A0467"/>
    <w:rsid w:val="007A3C18"/>
    <w:rsid w:val="007A3CC1"/>
    <w:rsid w:val="007B122F"/>
    <w:rsid w:val="007B75BB"/>
    <w:rsid w:val="007C0048"/>
    <w:rsid w:val="007C1D45"/>
    <w:rsid w:val="007D29FE"/>
    <w:rsid w:val="007F04C6"/>
    <w:rsid w:val="008025FE"/>
    <w:rsid w:val="0080513F"/>
    <w:rsid w:val="0081190A"/>
    <w:rsid w:val="008156D2"/>
    <w:rsid w:val="00820649"/>
    <w:rsid w:val="008207A1"/>
    <w:rsid w:val="00820C75"/>
    <w:rsid w:val="00823A40"/>
    <w:rsid w:val="00825404"/>
    <w:rsid w:val="00834DF6"/>
    <w:rsid w:val="00842B49"/>
    <w:rsid w:val="008538C1"/>
    <w:rsid w:val="00862236"/>
    <w:rsid w:val="0087367A"/>
    <w:rsid w:val="00893F34"/>
    <w:rsid w:val="00895B85"/>
    <w:rsid w:val="008A60A2"/>
    <w:rsid w:val="008C1FB6"/>
    <w:rsid w:val="008C3ED8"/>
    <w:rsid w:val="008D5CF5"/>
    <w:rsid w:val="008F3E99"/>
    <w:rsid w:val="00904DFA"/>
    <w:rsid w:val="009064C1"/>
    <w:rsid w:val="009106ED"/>
    <w:rsid w:val="0091145B"/>
    <w:rsid w:val="00911F01"/>
    <w:rsid w:val="00914650"/>
    <w:rsid w:val="009221F9"/>
    <w:rsid w:val="00923DF1"/>
    <w:rsid w:val="0092497B"/>
    <w:rsid w:val="00927686"/>
    <w:rsid w:val="009343F1"/>
    <w:rsid w:val="0093629B"/>
    <w:rsid w:val="00937655"/>
    <w:rsid w:val="00937C02"/>
    <w:rsid w:val="00941045"/>
    <w:rsid w:val="00942432"/>
    <w:rsid w:val="00946A41"/>
    <w:rsid w:val="00960FFC"/>
    <w:rsid w:val="00964FF0"/>
    <w:rsid w:val="009909AF"/>
    <w:rsid w:val="00994A15"/>
    <w:rsid w:val="009A189D"/>
    <w:rsid w:val="009A5A5A"/>
    <w:rsid w:val="009B1A20"/>
    <w:rsid w:val="009B63A6"/>
    <w:rsid w:val="009C0524"/>
    <w:rsid w:val="009C245C"/>
    <w:rsid w:val="009D0AC5"/>
    <w:rsid w:val="009D1AB2"/>
    <w:rsid w:val="009D5726"/>
    <w:rsid w:val="009D5D0C"/>
    <w:rsid w:val="009E12EE"/>
    <w:rsid w:val="009F490D"/>
    <w:rsid w:val="00A04243"/>
    <w:rsid w:val="00A04789"/>
    <w:rsid w:val="00A1212B"/>
    <w:rsid w:val="00A2610B"/>
    <w:rsid w:val="00A40749"/>
    <w:rsid w:val="00A40FF3"/>
    <w:rsid w:val="00A52B1E"/>
    <w:rsid w:val="00A62006"/>
    <w:rsid w:val="00A6209A"/>
    <w:rsid w:val="00A70DEA"/>
    <w:rsid w:val="00A82EFF"/>
    <w:rsid w:val="00A84F42"/>
    <w:rsid w:val="00AA0688"/>
    <w:rsid w:val="00AA2E4E"/>
    <w:rsid w:val="00AB2128"/>
    <w:rsid w:val="00AB75AE"/>
    <w:rsid w:val="00AC2B0F"/>
    <w:rsid w:val="00AD1C1D"/>
    <w:rsid w:val="00AD4646"/>
    <w:rsid w:val="00AE0B11"/>
    <w:rsid w:val="00AE2C90"/>
    <w:rsid w:val="00AE34CF"/>
    <w:rsid w:val="00AF5435"/>
    <w:rsid w:val="00AF683D"/>
    <w:rsid w:val="00B12708"/>
    <w:rsid w:val="00B12A3D"/>
    <w:rsid w:val="00B211BD"/>
    <w:rsid w:val="00B31ED9"/>
    <w:rsid w:val="00B439B3"/>
    <w:rsid w:val="00B51C9D"/>
    <w:rsid w:val="00B62823"/>
    <w:rsid w:val="00B672BD"/>
    <w:rsid w:val="00B67C31"/>
    <w:rsid w:val="00B715CE"/>
    <w:rsid w:val="00B777C0"/>
    <w:rsid w:val="00B8195A"/>
    <w:rsid w:val="00B83504"/>
    <w:rsid w:val="00B838C6"/>
    <w:rsid w:val="00B86B9C"/>
    <w:rsid w:val="00B96B39"/>
    <w:rsid w:val="00B97289"/>
    <w:rsid w:val="00BB0DE8"/>
    <w:rsid w:val="00BB29AF"/>
    <w:rsid w:val="00BC3594"/>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41F90"/>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A3D40"/>
    <w:rsid w:val="00CB0344"/>
    <w:rsid w:val="00CB078F"/>
    <w:rsid w:val="00CB1C2C"/>
    <w:rsid w:val="00CB7D71"/>
    <w:rsid w:val="00CC3317"/>
    <w:rsid w:val="00CC4DDA"/>
    <w:rsid w:val="00CC736F"/>
    <w:rsid w:val="00CD2717"/>
    <w:rsid w:val="00CE4C3D"/>
    <w:rsid w:val="00CE66FD"/>
    <w:rsid w:val="00CF0777"/>
    <w:rsid w:val="00CF7A41"/>
    <w:rsid w:val="00D12BF2"/>
    <w:rsid w:val="00D23212"/>
    <w:rsid w:val="00D24CE7"/>
    <w:rsid w:val="00D43096"/>
    <w:rsid w:val="00D47234"/>
    <w:rsid w:val="00D50F5C"/>
    <w:rsid w:val="00D724EC"/>
    <w:rsid w:val="00D947D9"/>
    <w:rsid w:val="00D95219"/>
    <w:rsid w:val="00DD2BED"/>
    <w:rsid w:val="00DD6FFB"/>
    <w:rsid w:val="00DE32A9"/>
    <w:rsid w:val="00DE4C5D"/>
    <w:rsid w:val="00DE558B"/>
    <w:rsid w:val="00DE641F"/>
    <w:rsid w:val="00DF07AD"/>
    <w:rsid w:val="00DF0DB9"/>
    <w:rsid w:val="00DF373A"/>
    <w:rsid w:val="00DF3F37"/>
    <w:rsid w:val="00E15A11"/>
    <w:rsid w:val="00E21AF8"/>
    <w:rsid w:val="00E23C89"/>
    <w:rsid w:val="00E254B1"/>
    <w:rsid w:val="00E51D33"/>
    <w:rsid w:val="00E64561"/>
    <w:rsid w:val="00E64A50"/>
    <w:rsid w:val="00E71EC8"/>
    <w:rsid w:val="00E75BB8"/>
    <w:rsid w:val="00E77453"/>
    <w:rsid w:val="00E92BC3"/>
    <w:rsid w:val="00EA65D3"/>
    <w:rsid w:val="00EB2B81"/>
    <w:rsid w:val="00EB5FCB"/>
    <w:rsid w:val="00ED06DF"/>
    <w:rsid w:val="00ED1155"/>
    <w:rsid w:val="00ED75B8"/>
    <w:rsid w:val="00EE2288"/>
    <w:rsid w:val="00EE2BA9"/>
    <w:rsid w:val="00EE7C6B"/>
    <w:rsid w:val="00EF208F"/>
    <w:rsid w:val="00EF7F67"/>
    <w:rsid w:val="00F02266"/>
    <w:rsid w:val="00F03AF6"/>
    <w:rsid w:val="00F03DFB"/>
    <w:rsid w:val="00F153FA"/>
    <w:rsid w:val="00F17F35"/>
    <w:rsid w:val="00F21F98"/>
    <w:rsid w:val="00F32BB2"/>
    <w:rsid w:val="00F35168"/>
    <w:rsid w:val="00F37FAB"/>
    <w:rsid w:val="00F44471"/>
    <w:rsid w:val="00F52148"/>
    <w:rsid w:val="00F523E8"/>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abel version="1.0">
  <element uid="id_newpolicy" value=""/>
  <element uid="id_unclassified" value=""/>
</labe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E4FD8DD9-CB58-4008-A87A-D22825201FD1}">
  <ds:schemaRefs>
    <ds:schemaRef ds:uri="http://schemas.microsoft.com/sharepoint/v3/contenttype/forms"/>
  </ds:schemaRefs>
</ds:datastoreItem>
</file>

<file path=customXml/itemProps3.xml><?xml version="1.0" encoding="utf-8"?>
<ds:datastoreItem xmlns:ds="http://schemas.openxmlformats.org/officeDocument/2006/customXml" ds:itemID="{83A87EDC-A188-4A04-BAE1-25F21FECE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16987-DDBA-4C22-847F-2959733DD233}">
  <ds:schemaRefs>
    <ds:schemaRef ds:uri="http://schemas.microsoft.com/sharepoint/v3"/>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2B562DB-7216-47DD-A7C9-DFA600DF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6133</Words>
  <Characters>32268</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38325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creator>rachael miskin</dc:creator>
  <cp:lastModifiedBy>Saworsky Kate (OGA)</cp:lastModifiedBy>
  <cp:revision>4</cp:revision>
  <cp:lastPrinted>2014-01-10T09:29:00Z</cp:lastPrinted>
  <dcterms:created xsi:type="dcterms:W3CDTF">2016-06-01T12:43:00Z</dcterms:created>
  <dcterms:modified xsi:type="dcterms:W3CDTF">2016-06-01T12:52:00Z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ies>
</file>