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DCF9A" w14:textId="4A845109" w:rsidR="00C86935" w:rsidRPr="00197F8B" w:rsidRDefault="00197F8B">
      <w:pPr>
        <w:rPr>
          <w:b/>
        </w:rPr>
      </w:pPr>
      <w:r>
        <w:rPr>
          <w:b/>
        </w:rPr>
        <w:t>TCA 3/7/1074 HMCG Clinical Governance</w:t>
      </w:r>
      <w:r w:rsidR="00BE77C8">
        <w:rPr>
          <w:b/>
        </w:rPr>
        <w:t xml:space="preserve"> – </w:t>
      </w:r>
      <w:r w:rsidR="004B0A8A">
        <w:rPr>
          <w:b/>
        </w:rPr>
        <w:t>Clarification Questions</w:t>
      </w:r>
    </w:p>
    <w:tbl>
      <w:tblPr>
        <w:tblW w:w="10597"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53"/>
        <w:gridCol w:w="5249"/>
        <w:gridCol w:w="4395"/>
      </w:tblGrid>
      <w:tr w:rsidR="00197F8B" w:rsidRPr="004C41B3" w14:paraId="7A202ADF" w14:textId="77777777" w:rsidTr="00197F8B">
        <w:trPr>
          <w:tblHeader/>
        </w:trPr>
        <w:tc>
          <w:tcPr>
            <w:tcW w:w="953" w:type="dxa"/>
            <w:tcBorders>
              <w:top w:val="single" w:sz="12" w:space="0" w:color="03A4D8"/>
              <w:left w:val="single" w:sz="12" w:space="0" w:color="03A4D8"/>
              <w:bottom w:val="single" w:sz="12" w:space="0" w:color="03A4D8"/>
            </w:tcBorders>
            <w:shd w:val="clear" w:color="auto" w:fill="auto"/>
            <w:vAlign w:val="center"/>
          </w:tcPr>
          <w:p w14:paraId="3135F59D" w14:textId="77777777" w:rsidR="00197F8B" w:rsidRPr="00C86935" w:rsidRDefault="00197F8B" w:rsidP="001E2F73">
            <w:pPr>
              <w:spacing w:after="0" w:line="240" w:lineRule="auto"/>
              <w:jc w:val="both"/>
              <w:rPr>
                <w:rFonts w:ascii="Arial" w:eastAsia="Times New Roman" w:hAnsi="Arial" w:cs="Arial"/>
                <w:b/>
                <w:color w:val="1F4E79"/>
                <w:sz w:val="20"/>
                <w:szCs w:val="20"/>
                <w:lang w:eastAsia="en-GB"/>
              </w:rPr>
            </w:pPr>
            <w:r w:rsidRPr="00C86935">
              <w:rPr>
                <w:rFonts w:ascii="Arial" w:eastAsia="Times New Roman" w:hAnsi="Arial" w:cs="Arial"/>
                <w:b/>
                <w:color w:val="1F4E79"/>
                <w:sz w:val="20"/>
                <w:szCs w:val="20"/>
                <w:lang w:eastAsia="en-GB"/>
              </w:rPr>
              <w:t>ID</w:t>
            </w:r>
          </w:p>
        </w:tc>
        <w:tc>
          <w:tcPr>
            <w:tcW w:w="5249" w:type="dxa"/>
            <w:tcBorders>
              <w:top w:val="single" w:sz="12" w:space="0" w:color="03A4D8"/>
              <w:bottom w:val="single" w:sz="12" w:space="0" w:color="03A4D8"/>
            </w:tcBorders>
          </w:tcPr>
          <w:p w14:paraId="1F909AD2" w14:textId="70716784" w:rsidR="00197F8B" w:rsidRPr="004C41B3" w:rsidRDefault="00197F8B" w:rsidP="001E2F73">
            <w:pPr>
              <w:spacing w:after="0" w:line="240" w:lineRule="auto"/>
              <w:jc w:val="both"/>
              <w:rPr>
                <w:rFonts w:ascii="Arial" w:eastAsia="Times New Roman" w:hAnsi="Arial" w:cs="Arial"/>
                <w:b/>
                <w:color w:val="1F4E79"/>
                <w:sz w:val="20"/>
                <w:szCs w:val="20"/>
                <w:lang w:eastAsia="en-GB"/>
              </w:rPr>
            </w:pPr>
            <w:r>
              <w:rPr>
                <w:rFonts w:ascii="Arial" w:eastAsia="Times New Roman" w:hAnsi="Arial" w:cs="Arial"/>
                <w:b/>
                <w:color w:val="1F4E79"/>
                <w:sz w:val="20"/>
                <w:szCs w:val="20"/>
                <w:lang w:eastAsia="en-GB"/>
              </w:rPr>
              <w:t>Contractor Clarification Question</w:t>
            </w:r>
          </w:p>
        </w:tc>
        <w:tc>
          <w:tcPr>
            <w:tcW w:w="4395" w:type="dxa"/>
            <w:tcBorders>
              <w:top w:val="single" w:sz="12" w:space="0" w:color="03A4D8"/>
              <w:bottom w:val="single" w:sz="12" w:space="0" w:color="03A4D8"/>
              <w:right w:val="single" w:sz="12" w:space="0" w:color="03A4D8"/>
            </w:tcBorders>
            <w:shd w:val="clear" w:color="auto" w:fill="auto"/>
            <w:vAlign w:val="center"/>
          </w:tcPr>
          <w:p w14:paraId="09902676" w14:textId="71BCBCAE" w:rsidR="00197F8B" w:rsidRPr="004C41B3" w:rsidRDefault="00197F8B" w:rsidP="001E2F73">
            <w:pPr>
              <w:spacing w:after="0" w:line="240" w:lineRule="auto"/>
              <w:jc w:val="both"/>
              <w:rPr>
                <w:rFonts w:ascii="Arial" w:eastAsia="Times New Roman" w:hAnsi="Arial" w:cs="Arial"/>
                <w:b/>
                <w:color w:val="1F4E79"/>
                <w:sz w:val="20"/>
                <w:szCs w:val="20"/>
                <w:lang w:eastAsia="en-GB"/>
              </w:rPr>
            </w:pPr>
            <w:r>
              <w:rPr>
                <w:rFonts w:ascii="Arial" w:eastAsia="Times New Roman" w:hAnsi="Arial" w:cs="Arial"/>
                <w:b/>
                <w:color w:val="1F4E79"/>
                <w:sz w:val="20"/>
                <w:szCs w:val="20"/>
                <w:lang w:eastAsia="en-GB"/>
              </w:rPr>
              <w:t>MCA Response</w:t>
            </w:r>
          </w:p>
        </w:tc>
      </w:tr>
      <w:tr w:rsidR="00197F8B" w:rsidRPr="00C86935" w14:paraId="229C9282" w14:textId="77777777" w:rsidTr="00197F8B">
        <w:tc>
          <w:tcPr>
            <w:tcW w:w="953" w:type="dxa"/>
            <w:shd w:val="clear" w:color="auto" w:fill="auto"/>
            <w:vAlign w:val="center"/>
          </w:tcPr>
          <w:p w14:paraId="3F199B15" w14:textId="21305C9A" w:rsidR="00197F8B" w:rsidRPr="00C86935" w:rsidRDefault="00197F8B" w:rsidP="001E2F73">
            <w:pPr>
              <w:spacing w:after="0" w:line="240" w:lineRule="auto"/>
              <w:jc w:val="both"/>
              <w:rPr>
                <w:rFonts w:ascii="Arial" w:eastAsia="Times New Roman" w:hAnsi="Arial" w:cs="Arial"/>
                <w:b/>
                <w:color w:val="1F4E79"/>
                <w:sz w:val="20"/>
                <w:szCs w:val="20"/>
                <w:lang w:eastAsia="en-GB"/>
              </w:rPr>
            </w:pPr>
            <w:r>
              <w:rPr>
                <w:rFonts w:ascii="Arial" w:eastAsia="Times New Roman" w:hAnsi="Arial" w:cs="Arial"/>
                <w:b/>
                <w:color w:val="1F4E79"/>
                <w:sz w:val="20"/>
                <w:szCs w:val="20"/>
                <w:lang w:eastAsia="en-GB"/>
              </w:rPr>
              <w:t>1.</w:t>
            </w:r>
          </w:p>
        </w:tc>
        <w:tc>
          <w:tcPr>
            <w:tcW w:w="5249" w:type="dxa"/>
          </w:tcPr>
          <w:p w14:paraId="665AEE63" w14:textId="011B5A60" w:rsidR="00197F8B" w:rsidRPr="00C86935" w:rsidRDefault="00197F8B" w:rsidP="001E2F73">
            <w:pPr>
              <w:spacing w:after="0" w:line="240" w:lineRule="auto"/>
              <w:jc w:val="both"/>
              <w:rPr>
                <w:rFonts w:ascii="Arial" w:eastAsia="Times New Roman" w:hAnsi="Arial" w:cs="Arial"/>
                <w:sz w:val="20"/>
                <w:szCs w:val="20"/>
                <w:lang w:eastAsia="en-GB"/>
              </w:rPr>
            </w:pPr>
            <w:r w:rsidRPr="00197F8B">
              <w:rPr>
                <w:rFonts w:ascii="Arial" w:eastAsia="Times New Roman" w:hAnsi="Arial" w:cs="Arial"/>
                <w:sz w:val="20"/>
                <w:szCs w:val="20"/>
                <w:lang w:eastAsia="en-GB"/>
              </w:rPr>
              <w:t>What level of clinician is envisaged for the Clinical Advisor role specified in this contract?</w:t>
            </w:r>
          </w:p>
        </w:tc>
        <w:tc>
          <w:tcPr>
            <w:tcW w:w="4395" w:type="dxa"/>
            <w:shd w:val="clear" w:color="auto" w:fill="auto"/>
            <w:vAlign w:val="center"/>
          </w:tcPr>
          <w:p w14:paraId="49782E7F" w14:textId="6C5B6F6E" w:rsidR="00197F8B" w:rsidRPr="00C86935" w:rsidRDefault="0022506F" w:rsidP="001E2F73">
            <w:pPr>
              <w:spacing w:after="0" w:line="240" w:lineRule="auto"/>
              <w:jc w:val="both"/>
              <w:rPr>
                <w:rFonts w:ascii="Arial" w:eastAsia="Times New Roman" w:hAnsi="Arial" w:cs="Arial"/>
                <w:sz w:val="20"/>
                <w:szCs w:val="20"/>
                <w:lang w:eastAsia="en-GB"/>
              </w:rPr>
            </w:pPr>
            <w:r w:rsidRPr="0022506F">
              <w:rPr>
                <w:rFonts w:ascii="Arial" w:eastAsia="Times New Roman" w:hAnsi="Arial" w:cs="Arial"/>
                <w:sz w:val="20"/>
                <w:szCs w:val="20"/>
                <w:lang w:eastAsia="en-GB"/>
              </w:rPr>
              <w:t>There is no specific level of clinical qualifications required for this role. However, the successful candidate will be expected to have significant operational experience in casualty care in a search and rescue environment and extensive experience of advising on and setting up clinical governance within emergency service or search and rescue organisations. The candidate should be able to demonstrate suitable qualifications and experience to support this role.</w:t>
            </w:r>
            <w:bookmarkStart w:id="0" w:name="_GoBack"/>
            <w:bookmarkEnd w:id="0"/>
          </w:p>
        </w:tc>
      </w:tr>
    </w:tbl>
    <w:p w14:paraId="298D3D45" w14:textId="77777777" w:rsidR="00C86935" w:rsidRDefault="00C86935" w:rsidP="00C86935">
      <w:pPr>
        <w:rPr>
          <w:b/>
        </w:rPr>
      </w:pPr>
    </w:p>
    <w:p w14:paraId="5EBEABC4" w14:textId="692F4ECF" w:rsidR="00C86935" w:rsidRPr="00BE77C8" w:rsidRDefault="00C86935" w:rsidP="00C86935">
      <w:pPr>
        <w:rPr>
          <w:b/>
        </w:rPr>
      </w:pPr>
    </w:p>
    <w:p w14:paraId="2342982D" w14:textId="59E95D70" w:rsidR="00C86935" w:rsidRDefault="00C86935"/>
    <w:sectPr w:rsidR="00C86935" w:rsidSect="00BE77C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C8"/>
    <w:rsid w:val="00192BC4"/>
    <w:rsid w:val="00197F8B"/>
    <w:rsid w:val="0022506F"/>
    <w:rsid w:val="00353757"/>
    <w:rsid w:val="004B0A8A"/>
    <w:rsid w:val="007100E1"/>
    <w:rsid w:val="009C2C40"/>
    <w:rsid w:val="00B323A9"/>
    <w:rsid w:val="00BE77C8"/>
    <w:rsid w:val="00C43870"/>
    <w:rsid w:val="00C86935"/>
    <w:rsid w:val="00F66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DBC6"/>
  <w15:chartTrackingRefBased/>
  <w15:docId w15:val="{E5FC05F6-2E28-4710-945F-772449C9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3</cp:revision>
  <dcterms:created xsi:type="dcterms:W3CDTF">2019-03-05T15:03:00Z</dcterms:created>
  <dcterms:modified xsi:type="dcterms:W3CDTF">2019-03-05T15:05:00Z</dcterms:modified>
</cp:coreProperties>
</file>