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0AC" w:rsidRDefault="001530AC">
      <w:pPr>
        <w:widowControl w:val="0"/>
        <w:pBdr>
          <w:top w:val="nil"/>
          <w:left w:val="nil"/>
          <w:bottom w:val="nil"/>
          <w:right w:val="nil"/>
          <w:between w:val="nil"/>
        </w:pBdr>
        <w:spacing w:after="0" w:line="276" w:lineRule="auto"/>
      </w:pPr>
      <w:bookmarkStart w:id="0" w:name="_heading=h.gjdgxs" w:colFirst="0" w:colLast="0"/>
      <w:bookmarkStart w:id="1" w:name="_GoBack"/>
      <w:bookmarkEnd w:id="0"/>
      <w:bookmarkEnd w:id="1"/>
    </w:p>
    <w:p w:rsidR="001530AC" w:rsidRDefault="001530AC">
      <w:pPr>
        <w:widowControl w:val="0"/>
        <w:pBdr>
          <w:top w:val="nil"/>
          <w:left w:val="nil"/>
          <w:bottom w:val="nil"/>
          <w:right w:val="nil"/>
          <w:between w:val="nil"/>
        </w:pBdr>
        <w:spacing w:after="0" w:line="276" w:lineRule="auto"/>
      </w:pPr>
    </w:p>
    <w:p w:rsidR="001530AC" w:rsidRDefault="001530AC">
      <w:pPr>
        <w:widowControl w:val="0"/>
        <w:pBdr>
          <w:top w:val="nil"/>
          <w:left w:val="nil"/>
          <w:bottom w:val="nil"/>
          <w:right w:val="nil"/>
          <w:between w:val="nil"/>
        </w:pBdr>
        <w:spacing w:after="0" w:line="276" w:lineRule="auto"/>
      </w:pPr>
    </w:p>
    <w:p w:rsidR="001530AC" w:rsidRDefault="001530AC">
      <w:pPr>
        <w:widowControl w:val="0"/>
        <w:pBdr>
          <w:top w:val="nil"/>
          <w:left w:val="nil"/>
          <w:bottom w:val="nil"/>
          <w:right w:val="nil"/>
          <w:between w:val="nil"/>
        </w:pBdr>
        <w:spacing w:after="0" w:line="276" w:lineRule="auto"/>
      </w:pPr>
    </w:p>
    <w:p w:rsidR="001530AC" w:rsidRDefault="001530AC">
      <w:pPr>
        <w:widowControl w:val="0"/>
        <w:pBdr>
          <w:top w:val="nil"/>
          <w:left w:val="nil"/>
          <w:bottom w:val="nil"/>
          <w:right w:val="nil"/>
          <w:between w:val="nil"/>
        </w:pBdr>
        <w:spacing w:after="0" w:line="276" w:lineRule="auto"/>
      </w:pPr>
    </w:p>
    <w:p w:rsidR="001530AC" w:rsidRDefault="009D7376">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1187450" cy="927100"/>
            <wp:effectExtent l="0" t="0" r="0" b="0"/>
            <wp:wrapSquare wrapText="bothSides" distT="0" distB="0" distL="114300" distR="114300"/>
            <wp:docPr id="1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1530AC" w:rsidRDefault="001530AC">
      <w:pPr>
        <w:rPr>
          <w:rFonts w:ascii="Arial" w:eastAsia="Arial" w:hAnsi="Arial" w:cs="Arial"/>
          <w:b/>
          <w:sz w:val="56"/>
          <w:szCs w:val="56"/>
        </w:rPr>
      </w:pPr>
    </w:p>
    <w:p w:rsidR="001530AC" w:rsidRDefault="001530AC">
      <w:pPr>
        <w:rPr>
          <w:rFonts w:ascii="Arial" w:eastAsia="Arial" w:hAnsi="Arial" w:cs="Arial"/>
          <w:sz w:val="56"/>
          <w:szCs w:val="56"/>
        </w:rPr>
      </w:pPr>
    </w:p>
    <w:p w:rsidR="001530AC" w:rsidRDefault="001530AC">
      <w:pPr>
        <w:rPr>
          <w:rFonts w:ascii="Arial" w:eastAsia="Arial" w:hAnsi="Arial" w:cs="Arial"/>
          <w:sz w:val="52"/>
          <w:szCs w:val="52"/>
        </w:rPr>
      </w:pPr>
    </w:p>
    <w:p w:rsidR="001530AC" w:rsidRDefault="001530AC">
      <w:pPr>
        <w:rPr>
          <w:rFonts w:ascii="Arial" w:eastAsia="Arial" w:hAnsi="Arial" w:cs="Arial"/>
          <w:sz w:val="52"/>
          <w:szCs w:val="52"/>
        </w:rPr>
      </w:pPr>
    </w:p>
    <w:p w:rsidR="001530AC" w:rsidRDefault="009D7376">
      <w:pPr>
        <w:rPr>
          <w:rFonts w:ascii="Arial" w:eastAsia="Arial" w:hAnsi="Arial" w:cs="Arial"/>
          <w:sz w:val="52"/>
          <w:szCs w:val="52"/>
        </w:rPr>
      </w:pPr>
      <w:r>
        <w:rPr>
          <w:rFonts w:ascii="Arial" w:eastAsia="Arial" w:hAnsi="Arial" w:cs="Arial"/>
          <w:sz w:val="52"/>
          <w:szCs w:val="52"/>
        </w:rPr>
        <w:t xml:space="preserve">Invitation to Tender  </w:t>
      </w:r>
    </w:p>
    <w:p w:rsidR="001530AC" w:rsidRDefault="009D7376">
      <w:pPr>
        <w:rPr>
          <w:rFonts w:ascii="Arial" w:eastAsia="Arial" w:hAnsi="Arial" w:cs="Arial"/>
          <w:b/>
          <w:sz w:val="52"/>
          <w:szCs w:val="52"/>
        </w:rPr>
      </w:pPr>
      <w:r>
        <w:rPr>
          <w:rFonts w:ascii="Arial" w:eastAsia="Arial" w:hAnsi="Arial" w:cs="Arial"/>
          <w:sz w:val="52"/>
          <w:szCs w:val="52"/>
        </w:rPr>
        <w:t>Attachment 1 – About the Framework</w:t>
      </w:r>
    </w:p>
    <w:p w:rsidR="001530AC" w:rsidRDefault="001530AC">
      <w:pPr>
        <w:rPr>
          <w:rFonts w:ascii="Arial" w:eastAsia="Arial" w:hAnsi="Arial" w:cs="Arial"/>
          <w:b/>
          <w:sz w:val="52"/>
          <w:szCs w:val="52"/>
        </w:rPr>
      </w:pPr>
    </w:p>
    <w:p w:rsidR="001530AC" w:rsidRDefault="009D7376">
      <w:pPr>
        <w:rPr>
          <w:rFonts w:ascii="Arial" w:eastAsia="Arial" w:hAnsi="Arial" w:cs="Arial"/>
          <w:b/>
          <w:sz w:val="40"/>
          <w:szCs w:val="40"/>
        </w:rPr>
      </w:pPr>
      <w:r>
        <w:rPr>
          <w:rFonts w:ascii="Arial" w:eastAsia="Arial" w:hAnsi="Arial" w:cs="Arial"/>
          <w:b/>
          <w:sz w:val="40"/>
          <w:szCs w:val="40"/>
        </w:rPr>
        <w:t>RM6305 National Fuels 3</w:t>
      </w:r>
    </w:p>
    <w:p w:rsidR="001530AC" w:rsidRDefault="001530AC">
      <w:pPr>
        <w:spacing w:after="200" w:line="276" w:lineRule="auto"/>
      </w:pPr>
    </w:p>
    <w:p w:rsidR="001530AC" w:rsidRDefault="001530AC">
      <w:pPr>
        <w:spacing w:after="200" w:line="276" w:lineRule="auto"/>
        <w:rPr>
          <w:rFonts w:ascii="Arial" w:eastAsia="Arial" w:hAnsi="Arial" w:cs="Arial"/>
          <w:sz w:val="28"/>
          <w:szCs w:val="28"/>
        </w:rPr>
      </w:pPr>
    </w:p>
    <w:p w:rsidR="001530AC" w:rsidRDefault="001530AC">
      <w:pPr>
        <w:rPr>
          <w:rFonts w:ascii="Arial" w:eastAsia="Arial" w:hAnsi="Arial" w:cs="Arial"/>
          <w:b/>
          <w:sz w:val="48"/>
          <w:szCs w:val="48"/>
        </w:rPr>
      </w:pPr>
    </w:p>
    <w:p w:rsidR="001530AC" w:rsidRDefault="001530AC">
      <w:pPr>
        <w:rPr>
          <w:rFonts w:ascii="Arial" w:eastAsia="Arial" w:hAnsi="Arial" w:cs="Arial"/>
          <w:sz w:val="24"/>
          <w:szCs w:val="24"/>
        </w:rPr>
      </w:pPr>
    </w:p>
    <w:p w:rsidR="001530AC" w:rsidRDefault="001530AC">
      <w:pPr>
        <w:rPr>
          <w:rFonts w:ascii="Arial" w:eastAsia="Arial" w:hAnsi="Arial" w:cs="Arial"/>
          <w:sz w:val="24"/>
          <w:szCs w:val="24"/>
        </w:rPr>
      </w:pPr>
    </w:p>
    <w:p w:rsidR="001530AC" w:rsidRDefault="009D7376">
      <w:pPr>
        <w:rPr>
          <w:rFonts w:ascii="Arial" w:eastAsia="Arial" w:hAnsi="Arial" w:cs="Arial"/>
          <w:sz w:val="24"/>
          <w:szCs w:val="24"/>
        </w:rPr>
      </w:pPr>
      <w:bookmarkStart w:id="2" w:name="_heading=h.lnxbz9" w:colFirst="0" w:colLast="0"/>
      <w:bookmarkEnd w:id="2"/>
      <w:r>
        <w:br w:type="page"/>
      </w:r>
    </w:p>
    <w:p w:rsidR="001530AC" w:rsidRDefault="009D7376">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835296934"/>
        <w:docPartObj>
          <w:docPartGallery w:val="Table of Contents"/>
          <w:docPartUnique/>
        </w:docPartObj>
      </w:sdtPr>
      <w:sdtEndPr/>
      <w:sdtContent>
        <w:p w:rsidR="001530AC" w:rsidRDefault="009D7376">
          <w:pPr>
            <w:pBdr>
              <w:top w:val="nil"/>
              <w:left w:val="nil"/>
              <w:bottom w:val="nil"/>
              <w:right w:val="nil"/>
              <w:between w:val="nil"/>
            </w:pBdr>
            <w:tabs>
              <w:tab w:val="right" w:pos="8897"/>
            </w:tabs>
            <w:spacing w:after="100"/>
            <w:rPr>
              <w:color w:val="000000"/>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rPr>
              <w:t>Welcome</w:t>
            </w:r>
          </w:hyperlink>
          <w:hyperlink w:anchor="_heading=h.30j0zll">
            <w:r>
              <w:rPr>
                <w:color w:val="000000"/>
              </w:rPr>
              <w:tab/>
              <w:t>2</w:t>
            </w:r>
          </w:hyperlink>
        </w:p>
        <w:p w:rsidR="001530AC" w:rsidRDefault="009D7376">
          <w:pPr>
            <w:pBdr>
              <w:top w:val="nil"/>
              <w:left w:val="nil"/>
              <w:bottom w:val="nil"/>
              <w:right w:val="nil"/>
              <w:between w:val="nil"/>
            </w:pBdr>
            <w:tabs>
              <w:tab w:val="left" w:pos="440"/>
              <w:tab w:val="right" w:pos="8897"/>
            </w:tabs>
            <w:spacing w:after="100"/>
            <w:rPr>
              <w:color w:val="000000"/>
            </w:rPr>
          </w:pPr>
          <w:hyperlink w:anchor="_heading=h.1fob9te">
            <w:r>
              <w:rPr>
                <w:rFonts w:ascii="Arial" w:eastAsia="Arial" w:hAnsi="Arial" w:cs="Arial"/>
                <w:b/>
                <w:color w:val="000000"/>
              </w:rPr>
              <w:t>1.</w:t>
            </w:r>
          </w:hyperlink>
          <w:hyperlink w:anchor="_heading=h.1fob9te">
            <w:r>
              <w:rPr>
                <w:color w:val="000000"/>
              </w:rPr>
              <w:tab/>
            </w:r>
          </w:hyperlink>
          <w:r>
            <w:fldChar w:fldCharType="begin"/>
          </w:r>
          <w:r>
            <w:instrText xml:space="preserve"> PAGEREF _heading=h.1fob9te \h </w:instrText>
          </w:r>
          <w:r>
            <w:fldChar w:fldCharType="separate"/>
          </w:r>
          <w:r>
            <w:rPr>
              <w:rFonts w:ascii="Arial" w:eastAsia="Arial" w:hAnsi="Arial" w:cs="Arial"/>
              <w:b/>
              <w:color w:val="000000"/>
            </w:rPr>
            <w:t>What You Need to Know</w:t>
          </w:r>
          <w:r>
            <w:rPr>
              <w:color w:val="000000"/>
            </w:rPr>
            <w:tab/>
            <w:t>5</w:t>
          </w:r>
          <w:r>
            <w:fldChar w:fldCharType="end"/>
          </w:r>
        </w:p>
        <w:p w:rsidR="001530AC" w:rsidRDefault="009D7376">
          <w:pPr>
            <w:pBdr>
              <w:top w:val="nil"/>
              <w:left w:val="nil"/>
              <w:bottom w:val="nil"/>
              <w:right w:val="nil"/>
              <w:between w:val="nil"/>
            </w:pBdr>
            <w:tabs>
              <w:tab w:val="left" w:pos="440"/>
              <w:tab w:val="right" w:pos="8897"/>
            </w:tabs>
            <w:spacing w:after="100"/>
            <w:rPr>
              <w:color w:val="000000"/>
            </w:rPr>
          </w:pPr>
          <w:hyperlink w:anchor="_heading=h.tyjcwt">
            <w:r>
              <w:rPr>
                <w:rFonts w:ascii="Arial" w:eastAsia="Arial" w:hAnsi="Arial" w:cs="Arial"/>
                <w:b/>
                <w:color w:val="000000"/>
              </w:rPr>
              <w:t>2.</w:t>
            </w:r>
          </w:hyperlink>
          <w:hyperlink w:anchor="_heading=h.tyjcwt">
            <w:r>
              <w:rPr>
                <w:color w:val="000000"/>
              </w:rPr>
              <w:tab/>
            </w:r>
          </w:hyperlink>
          <w:r>
            <w:fldChar w:fldCharType="begin"/>
          </w:r>
          <w:r>
            <w:instrText xml:space="preserve"> PAGEREF _heading=h.tyjcwt \h </w:instrText>
          </w:r>
          <w:r>
            <w:fldChar w:fldCharType="separate"/>
          </w:r>
          <w:r>
            <w:rPr>
              <w:rFonts w:ascii="Arial" w:eastAsia="Arial" w:hAnsi="Arial" w:cs="Arial"/>
              <w:b/>
              <w:color w:val="000000"/>
            </w:rPr>
            <w:t>The Opportunity</w:t>
          </w:r>
          <w:r>
            <w:rPr>
              <w:color w:val="000000"/>
            </w:rPr>
            <w:tab/>
            <w:t>7</w:t>
          </w:r>
          <w:r>
            <w:fldChar w:fldCharType="end"/>
          </w:r>
        </w:p>
        <w:p w:rsidR="001530AC" w:rsidRDefault="009D7376">
          <w:pPr>
            <w:pBdr>
              <w:top w:val="nil"/>
              <w:left w:val="nil"/>
              <w:bottom w:val="nil"/>
              <w:right w:val="nil"/>
              <w:between w:val="nil"/>
            </w:pBdr>
            <w:tabs>
              <w:tab w:val="left" w:pos="440"/>
              <w:tab w:val="right" w:pos="8897"/>
            </w:tabs>
            <w:spacing w:after="100"/>
            <w:rPr>
              <w:color w:val="000000"/>
            </w:rPr>
          </w:pPr>
          <w:hyperlink w:anchor="_heading=h.5zrj6unfkdq">
            <w:r>
              <w:rPr>
                <w:rFonts w:ascii="Arial" w:eastAsia="Arial" w:hAnsi="Arial" w:cs="Arial"/>
                <w:b/>
                <w:color w:val="000000"/>
              </w:rPr>
              <w:t>3.</w:t>
            </w:r>
          </w:hyperlink>
          <w:hyperlink w:anchor="_heading=h.5zrj6unfkdq">
            <w:r>
              <w:rPr>
                <w:color w:val="000000"/>
              </w:rPr>
              <w:tab/>
            </w:r>
          </w:hyperlink>
          <w:r>
            <w:fldChar w:fldCharType="begin"/>
          </w:r>
          <w:r>
            <w:instrText xml:space="preserve"> PAGEREF _heading=h.5zrj6unfkdq \h </w:instrText>
          </w:r>
          <w:r>
            <w:fldChar w:fldCharType="separate"/>
          </w:r>
          <w:r>
            <w:rPr>
              <w:rFonts w:ascii="Arial" w:eastAsia="Arial" w:hAnsi="Arial" w:cs="Arial"/>
              <w:b/>
              <w:color w:val="000000"/>
            </w:rPr>
            <w:t>What a Framework is</w:t>
          </w:r>
          <w:r>
            <w:rPr>
              <w:color w:val="000000"/>
            </w:rPr>
            <w:tab/>
            <w:t>9</w:t>
          </w:r>
          <w:r>
            <w:fldChar w:fldCharType="end"/>
          </w:r>
        </w:p>
        <w:p w:rsidR="001530AC" w:rsidRDefault="009D7376">
          <w:pPr>
            <w:pBdr>
              <w:top w:val="nil"/>
              <w:left w:val="nil"/>
              <w:bottom w:val="nil"/>
              <w:right w:val="nil"/>
              <w:between w:val="nil"/>
            </w:pBdr>
            <w:tabs>
              <w:tab w:val="left" w:pos="440"/>
              <w:tab w:val="right" w:pos="8897"/>
            </w:tabs>
            <w:spacing w:after="100"/>
            <w:rPr>
              <w:color w:val="000000"/>
            </w:rPr>
          </w:pPr>
          <w:hyperlink w:anchor="_heading=h.2s8eyo1">
            <w:r>
              <w:rPr>
                <w:rFonts w:ascii="Arial" w:eastAsia="Arial" w:hAnsi="Arial" w:cs="Arial"/>
                <w:b/>
                <w:color w:val="000000"/>
              </w:rPr>
              <w:t>4.</w:t>
            </w:r>
          </w:hyperlink>
          <w:hyperlink w:anchor="_heading=h.2s8eyo1">
            <w:r>
              <w:rPr>
                <w:color w:val="000000"/>
              </w:rPr>
              <w:tab/>
            </w:r>
          </w:hyperlink>
          <w:r>
            <w:fldChar w:fldCharType="begin"/>
          </w:r>
          <w:r>
            <w:instrText xml:space="preserve"> PAGEREF _heading=h.2s8eyo1 \h </w:instrText>
          </w:r>
          <w:r>
            <w:fldChar w:fldCharType="separate"/>
          </w:r>
          <w:r>
            <w:rPr>
              <w:rFonts w:ascii="Arial" w:eastAsia="Arial" w:hAnsi="Arial" w:cs="Arial"/>
              <w:b/>
              <w:color w:val="000000"/>
            </w:rPr>
            <w:t>Who Can Bid</w:t>
          </w:r>
          <w:r>
            <w:rPr>
              <w:color w:val="000000"/>
            </w:rPr>
            <w:tab/>
            <w:t>11</w:t>
          </w:r>
          <w:r>
            <w:fldChar w:fldCharType="end"/>
          </w:r>
        </w:p>
        <w:p w:rsidR="001530AC" w:rsidRDefault="009D7376">
          <w:pPr>
            <w:pBdr>
              <w:top w:val="nil"/>
              <w:left w:val="nil"/>
              <w:bottom w:val="nil"/>
              <w:right w:val="nil"/>
              <w:between w:val="nil"/>
            </w:pBdr>
            <w:tabs>
              <w:tab w:val="left" w:pos="440"/>
              <w:tab w:val="right" w:pos="8897"/>
            </w:tabs>
            <w:spacing w:after="100"/>
            <w:rPr>
              <w:color w:val="000000"/>
            </w:rPr>
          </w:pPr>
          <w:hyperlink w:anchor="_heading=h.44sinio">
            <w:r>
              <w:rPr>
                <w:rFonts w:ascii="Arial" w:eastAsia="Arial" w:hAnsi="Arial" w:cs="Arial"/>
                <w:b/>
                <w:color w:val="000000"/>
              </w:rPr>
              <w:t>5.</w:t>
            </w:r>
          </w:hyperlink>
          <w:hyperlink w:anchor="_heading=h.44sinio">
            <w:r>
              <w:rPr>
                <w:color w:val="000000"/>
              </w:rPr>
              <w:tab/>
            </w:r>
          </w:hyperlink>
          <w:r>
            <w:fldChar w:fldCharType="begin"/>
          </w:r>
          <w:r>
            <w:instrText xml:space="preserve"> PAGEREF _heading=h.44sinio \h </w:instrText>
          </w:r>
          <w:r>
            <w:fldChar w:fldCharType="separate"/>
          </w:r>
          <w:r>
            <w:rPr>
              <w:rFonts w:ascii="Arial" w:eastAsia="Arial" w:hAnsi="Arial" w:cs="Arial"/>
              <w:b/>
              <w:color w:val="000000"/>
            </w:rPr>
            <w:t xml:space="preserve">Timelines for </w:t>
          </w:r>
          <w:r>
            <w:rPr>
              <w:rFonts w:ascii="Arial" w:eastAsia="Arial" w:hAnsi="Arial" w:cs="Arial"/>
              <w:b/>
              <w:color w:val="000000"/>
            </w:rPr>
            <w:t>the Competition</w:t>
          </w:r>
          <w:r>
            <w:rPr>
              <w:color w:val="000000"/>
            </w:rPr>
            <w:tab/>
            <w:t>12</w:t>
          </w:r>
          <w:r>
            <w:fldChar w:fldCharType="end"/>
          </w:r>
        </w:p>
        <w:p w:rsidR="001530AC" w:rsidRDefault="009D7376">
          <w:pPr>
            <w:pBdr>
              <w:top w:val="nil"/>
              <w:left w:val="nil"/>
              <w:bottom w:val="nil"/>
              <w:right w:val="nil"/>
              <w:between w:val="nil"/>
            </w:pBdr>
            <w:tabs>
              <w:tab w:val="left" w:pos="440"/>
              <w:tab w:val="right" w:pos="8897"/>
            </w:tabs>
            <w:spacing w:after="100"/>
            <w:rPr>
              <w:color w:val="000000"/>
            </w:rPr>
          </w:pPr>
          <w:hyperlink w:anchor="_heading=h.2jxsxqh">
            <w:r>
              <w:rPr>
                <w:rFonts w:ascii="Arial" w:eastAsia="Arial" w:hAnsi="Arial" w:cs="Arial"/>
                <w:b/>
                <w:color w:val="000000"/>
              </w:rPr>
              <w:t>6.</w:t>
            </w:r>
          </w:hyperlink>
          <w:hyperlink w:anchor="_heading=h.2jxsxqh">
            <w:r>
              <w:rPr>
                <w:color w:val="000000"/>
              </w:rPr>
              <w:tab/>
            </w:r>
          </w:hyperlink>
          <w:r>
            <w:fldChar w:fldCharType="begin"/>
          </w:r>
          <w:r>
            <w:instrText xml:space="preserve"> PAGEREF _heading=h.2jxsxqh \h </w:instrText>
          </w:r>
          <w:r>
            <w:fldChar w:fldCharType="separate"/>
          </w:r>
          <w:r>
            <w:rPr>
              <w:rFonts w:ascii="Arial" w:eastAsia="Arial" w:hAnsi="Arial" w:cs="Arial"/>
              <w:b/>
              <w:color w:val="000000"/>
            </w:rPr>
            <w:t>When and How to Ask Questions</w:t>
          </w:r>
          <w:r>
            <w:rPr>
              <w:color w:val="000000"/>
            </w:rPr>
            <w:tab/>
            <w:t>13</w:t>
          </w:r>
          <w:r>
            <w:fldChar w:fldCharType="end"/>
          </w:r>
        </w:p>
        <w:p w:rsidR="001530AC" w:rsidRDefault="009D7376">
          <w:pPr>
            <w:pBdr>
              <w:top w:val="nil"/>
              <w:left w:val="nil"/>
              <w:bottom w:val="nil"/>
              <w:right w:val="nil"/>
              <w:between w:val="nil"/>
            </w:pBdr>
            <w:tabs>
              <w:tab w:val="left" w:pos="440"/>
              <w:tab w:val="right" w:pos="8897"/>
            </w:tabs>
            <w:spacing w:after="100"/>
            <w:rPr>
              <w:color w:val="000000"/>
            </w:rPr>
          </w:pPr>
          <w:hyperlink w:anchor="_heading=h.4i7ojhp">
            <w:r>
              <w:rPr>
                <w:rFonts w:ascii="Arial" w:eastAsia="Arial" w:hAnsi="Arial" w:cs="Arial"/>
                <w:b/>
                <w:color w:val="000000"/>
              </w:rPr>
              <w:t>7.</w:t>
            </w:r>
          </w:hyperlink>
          <w:hyperlink w:anchor="_heading=h.4i7ojhp">
            <w:r>
              <w:rPr>
                <w:color w:val="000000"/>
              </w:rPr>
              <w:tab/>
            </w:r>
          </w:hyperlink>
          <w:r>
            <w:fldChar w:fldCharType="begin"/>
          </w:r>
          <w:r>
            <w:instrText xml:space="preserve"> PAGEREF _heading=h.4i7ojhp \h </w:instrText>
          </w:r>
          <w:r>
            <w:fldChar w:fldCharType="separate"/>
          </w:r>
          <w:r>
            <w:rPr>
              <w:rFonts w:ascii="Arial" w:eastAsia="Arial" w:hAnsi="Arial" w:cs="Arial"/>
              <w:b/>
              <w:color w:val="000000"/>
            </w:rPr>
            <w:t>Management Information and Management Charge</w:t>
          </w:r>
          <w:r>
            <w:rPr>
              <w:color w:val="000000"/>
            </w:rPr>
            <w:tab/>
            <w:t>13</w:t>
          </w:r>
          <w:r>
            <w:fldChar w:fldCharType="end"/>
          </w:r>
        </w:p>
        <w:p w:rsidR="001530AC" w:rsidRDefault="009D7376">
          <w:pPr>
            <w:pBdr>
              <w:top w:val="nil"/>
              <w:left w:val="nil"/>
              <w:bottom w:val="nil"/>
              <w:right w:val="nil"/>
              <w:between w:val="nil"/>
            </w:pBdr>
            <w:tabs>
              <w:tab w:val="left" w:pos="440"/>
              <w:tab w:val="right" w:pos="8897"/>
            </w:tabs>
            <w:spacing w:after="100"/>
            <w:rPr>
              <w:color w:val="000000"/>
            </w:rPr>
          </w:pPr>
          <w:hyperlink w:anchor="_heading=h.2xcytpi">
            <w:r>
              <w:rPr>
                <w:rFonts w:ascii="Arial" w:eastAsia="Arial" w:hAnsi="Arial" w:cs="Arial"/>
                <w:b/>
                <w:color w:val="000000"/>
              </w:rPr>
              <w:t>8.</w:t>
            </w:r>
          </w:hyperlink>
          <w:hyperlink w:anchor="_heading=h.2xcytpi">
            <w:r>
              <w:rPr>
                <w:color w:val="000000"/>
              </w:rPr>
              <w:tab/>
            </w:r>
          </w:hyperlink>
          <w:r>
            <w:fldChar w:fldCharType="begin"/>
          </w:r>
          <w:r>
            <w:instrText xml:space="preserve"> PAGEREF _heading=h.2xcytpi \h </w:instrText>
          </w:r>
          <w:r>
            <w:fldChar w:fldCharType="separate"/>
          </w:r>
          <w:r>
            <w:rPr>
              <w:rFonts w:ascii="Arial" w:eastAsia="Arial" w:hAnsi="Arial" w:cs="Arial"/>
              <w:b/>
              <w:color w:val="000000"/>
            </w:rPr>
            <w:t>Transfer of Undertakings (Protection of Employment) Regulations 2006 (</w:t>
          </w:r>
          <w:r>
            <w:rPr>
              <w:rFonts w:ascii="Arial" w:eastAsia="Arial" w:hAnsi="Arial" w:cs="Arial"/>
              <w:b/>
              <w:color w:val="000000"/>
            </w:rPr>
            <w:t>“TUPE”)</w:t>
          </w:r>
          <w:r>
            <w:rPr>
              <w:color w:val="000000"/>
            </w:rPr>
            <w:tab/>
            <w:t>13</w:t>
          </w:r>
          <w:r>
            <w:fldChar w:fldCharType="end"/>
          </w:r>
        </w:p>
        <w:p w:rsidR="001530AC" w:rsidRDefault="009D7376">
          <w:pPr>
            <w:pBdr>
              <w:top w:val="nil"/>
              <w:left w:val="nil"/>
              <w:bottom w:val="nil"/>
              <w:right w:val="nil"/>
              <w:between w:val="nil"/>
            </w:pBdr>
            <w:tabs>
              <w:tab w:val="left" w:pos="440"/>
              <w:tab w:val="right" w:pos="8897"/>
            </w:tabs>
            <w:spacing w:after="100"/>
            <w:rPr>
              <w:color w:val="000000"/>
            </w:rPr>
          </w:pPr>
          <w:hyperlink w:anchor="_heading=h.3whwml4">
            <w:r>
              <w:rPr>
                <w:rFonts w:ascii="Arial" w:eastAsia="Arial" w:hAnsi="Arial" w:cs="Arial"/>
                <w:b/>
                <w:color w:val="000000"/>
              </w:rPr>
              <w:t>9.</w:t>
            </w:r>
          </w:hyperlink>
          <w:hyperlink w:anchor="_heading=h.3whwml4">
            <w:r>
              <w:rPr>
                <w:color w:val="000000"/>
              </w:rPr>
              <w:tab/>
            </w:r>
          </w:hyperlink>
          <w:r>
            <w:fldChar w:fldCharType="begin"/>
          </w:r>
          <w:r>
            <w:instrText xml:space="preserve"> PAGEREF _heading=h.3whwml4 \h </w:instrText>
          </w:r>
          <w:r>
            <w:fldChar w:fldCharType="separate"/>
          </w:r>
          <w:r>
            <w:rPr>
              <w:rFonts w:ascii="Arial" w:eastAsia="Arial" w:hAnsi="Arial" w:cs="Arial"/>
              <w:b/>
              <w:color w:val="000000"/>
            </w:rPr>
            <w:t>Competition Rules</w:t>
          </w:r>
          <w:r>
            <w:rPr>
              <w:color w:val="000000"/>
            </w:rPr>
            <w:tab/>
            <w:t>14</w:t>
          </w:r>
          <w:r>
            <w:fldChar w:fldCharType="end"/>
          </w:r>
        </w:p>
        <w:p w:rsidR="001530AC" w:rsidRDefault="009D7376">
          <w:pPr>
            <w:pBdr>
              <w:top w:val="nil"/>
              <w:left w:val="nil"/>
              <w:bottom w:val="nil"/>
              <w:right w:val="nil"/>
              <w:between w:val="nil"/>
            </w:pBdr>
            <w:tabs>
              <w:tab w:val="left" w:pos="660"/>
              <w:tab w:val="right" w:pos="8897"/>
            </w:tabs>
            <w:spacing w:after="100"/>
            <w:rPr>
              <w:color w:val="000000"/>
            </w:rPr>
          </w:pPr>
          <w:hyperlink w:anchor="_heading=h.2bn6wsx">
            <w:r>
              <w:rPr>
                <w:rFonts w:ascii="Arial" w:eastAsia="Arial" w:hAnsi="Arial" w:cs="Arial"/>
                <w:b/>
                <w:color w:val="000000"/>
              </w:rPr>
              <w:t>10.</w:t>
            </w:r>
          </w:hyperlink>
          <w:hyperlink w:anchor="_heading=h.2bn6wsx">
            <w:r>
              <w:rPr>
                <w:color w:val="000000"/>
              </w:rPr>
              <w:tab/>
            </w:r>
          </w:hyperlink>
          <w:r>
            <w:fldChar w:fldCharType="begin"/>
          </w:r>
          <w:r>
            <w:instrText xml:space="preserve"> PAGEREF _heading=h.2bn6wsx \h </w:instrText>
          </w:r>
          <w:r>
            <w:fldChar w:fldCharType="separate"/>
          </w:r>
          <w:r>
            <w:rPr>
              <w:rFonts w:ascii="Arial" w:eastAsia="Arial" w:hAnsi="Arial" w:cs="Arial"/>
              <w:b/>
              <w:color w:val="000000"/>
            </w:rPr>
            <w:t>How the Framework is Structured</w:t>
          </w:r>
          <w:r>
            <w:rPr>
              <w:color w:val="000000"/>
            </w:rPr>
            <w:tab/>
            <w:t>19</w:t>
          </w:r>
          <w:r>
            <w:fldChar w:fldCharType="end"/>
          </w:r>
        </w:p>
        <w:p w:rsidR="001530AC" w:rsidRDefault="009D7376">
          <w:pPr>
            <w:pBdr>
              <w:top w:val="nil"/>
              <w:left w:val="nil"/>
              <w:bottom w:val="nil"/>
              <w:right w:val="nil"/>
              <w:between w:val="nil"/>
            </w:pBdr>
            <w:tabs>
              <w:tab w:val="left" w:pos="660"/>
              <w:tab w:val="right" w:pos="8897"/>
            </w:tabs>
            <w:spacing w:after="100"/>
            <w:rPr>
              <w:color w:val="000000"/>
            </w:rPr>
          </w:pPr>
          <w:hyperlink w:anchor="_heading=h.qsh70q">
            <w:r>
              <w:rPr>
                <w:rFonts w:ascii="Arial" w:eastAsia="Arial" w:hAnsi="Arial" w:cs="Arial"/>
                <w:b/>
                <w:color w:val="000000"/>
              </w:rPr>
              <w:t>11.</w:t>
            </w:r>
          </w:hyperlink>
          <w:hyperlink w:anchor="_heading=h.qsh70q">
            <w:r>
              <w:rPr>
                <w:color w:val="000000"/>
              </w:rPr>
              <w:tab/>
            </w:r>
          </w:hyperlink>
          <w:r>
            <w:fldChar w:fldCharType="begin"/>
          </w:r>
          <w:r>
            <w:instrText xml:space="preserve"> PAGEREF _heading=h.qsh70q \h </w:instrText>
          </w:r>
          <w:r>
            <w:fldChar w:fldCharType="separate"/>
          </w:r>
          <w:r>
            <w:rPr>
              <w:rFonts w:ascii="Arial" w:eastAsia="Arial" w:hAnsi="Arial" w:cs="Arial"/>
              <w:b/>
              <w:color w:val="000000"/>
            </w:rPr>
            <w:t>Additional Information</w:t>
          </w:r>
          <w:r>
            <w:rPr>
              <w:color w:val="000000"/>
            </w:rPr>
            <w:tab/>
            <w:t>25</w:t>
          </w:r>
          <w:r>
            <w:fldChar w:fldCharType="end"/>
          </w:r>
        </w:p>
        <w:p w:rsidR="001530AC" w:rsidRDefault="009D7376">
          <w:pPr>
            <w:pBdr>
              <w:top w:val="nil"/>
              <w:left w:val="nil"/>
              <w:bottom w:val="nil"/>
              <w:right w:val="nil"/>
              <w:between w:val="nil"/>
            </w:pBdr>
            <w:tabs>
              <w:tab w:val="left" w:pos="660"/>
              <w:tab w:val="right" w:pos="8897"/>
            </w:tabs>
            <w:spacing w:after="100"/>
            <w:rPr>
              <w:color w:val="000000"/>
            </w:rPr>
          </w:pPr>
          <w:hyperlink w:anchor="_heading=h.yoq500vewnqg">
            <w:r>
              <w:rPr>
                <w:rFonts w:ascii="Arial" w:eastAsia="Arial" w:hAnsi="Arial" w:cs="Arial"/>
                <w:b/>
                <w:color w:val="000000"/>
              </w:rPr>
              <w:t>12.</w:t>
            </w:r>
          </w:hyperlink>
          <w:hyperlink w:anchor="_heading=h.yoq500vewnqg">
            <w:r>
              <w:rPr>
                <w:color w:val="000000"/>
              </w:rPr>
              <w:tab/>
            </w:r>
          </w:hyperlink>
          <w:r>
            <w:fldChar w:fldCharType="begin"/>
          </w:r>
          <w:r>
            <w:instrText xml:space="preserve"> PAGEREF _heading=h.yoq500vewnqg \h </w:instrText>
          </w:r>
          <w:r>
            <w:fldChar w:fldCharType="separate"/>
          </w:r>
          <w:r>
            <w:rPr>
              <w:rFonts w:ascii="Arial" w:eastAsia="Arial" w:hAnsi="Arial" w:cs="Arial"/>
              <w:b/>
              <w:color w:val="000000"/>
            </w:rPr>
            <w:t>The Armed Forces Covenant</w:t>
          </w:r>
          <w:r>
            <w:rPr>
              <w:color w:val="000000"/>
            </w:rPr>
            <w:tab/>
            <w:t>25</w:t>
          </w:r>
          <w:r>
            <w:fldChar w:fldCharType="end"/>
          </w:r>
        </w:p>
        <w:p w:rsidR="001530AC" w:rsidRDefault="009D7376">
          <w:r>
            <w:fldChar w:fldCharType="end"/>
          </w:r>
        </w:p>
      </w:sdtContent>
    </w:sdt>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spacing w:after="200" w:line="276" w:lineRule="auto"/>
        <w:ind w:left="-28"/>
        <w:rPr>
          <w:rFonts w:ascii="Arial" w:eastAsia="Arial" w:hAnsi="Arial" w:cs="Arial"/>
          <w:b/>
          <w:sz w:val="24"/>
          <w:szCs w:val="24"/>
        </w:rPr>
      </w:pPr>
    </w:p>
    <w:p w:rsidR="001530AC" w:rsidRDefault="001530AC">
      <w:pPr>
        <w:pStyle w:val="Heading1"/>
        <w:spacing w:before="0" w:after="160"/>
        <w:rPr>
          <w:rFonts w:ascii="Arial" w:eastAsia="Arial" w:hAnsi="Arial" w:cs="Arial"/>
          <w:color w:val="000000"/>
        </w:rPr>
      </w:pPr>
      <w:bookmarkStart w:id="3" w:name="_heading=h.jm6q3eg3vad8" w:colFirst="0" w:colLast="0"/>
      <w:bookmarkEnd w:id="3"/>
    </w:p>
    <w:p w:rsidR="001530AC" w:rsidRDefault="001530AC"/>
    <w:p w:rsidR="001530AC" w:rsidRDefault="009D7376">
      <w:pPr>
        <w:pStyle w:val="Heading1"/>
        <w:spacing w:before="0" w:after="160"/>
        <w:rPr>
          <w:rFonts w:ascii="Arial" w:eastAsia="Arial" w:hAnsi="Arial" w:cs="Arial"/>
          <w:color w:val="000000"/>
        </w:rPr>
      </w:pPr>
      <w:bookmarkStart w:id="4" w:name="_heading=h.30j0zll" w:colFirst="0" w:colLast="0"/>
      <w:bookmarkEnd w:id="4"/>
      <w:r>
        <w:rPr>
          <w:rFonts w:ascii="Arial" w:eastAsia="Arial" w:hAnsi="Arial" w:cs="Arial"/>
          <w:color w:val="000000"/>
        </w:rPr>
        <w:lastRenderedPageBreak/>
        <w:t>Welcome</w:t>
      </w:r>
    </w:p>
    <w:p w:rsidR="001530AC" w:rsidRDefault="009D7376">
      <w:pPr>
        <w:rPr>
          <w:rFonts w:ascii="Arial" w:eastAsia="Arial" w:hAnsi="Arial" w:cs="Arial"/>
          <w:sz w:val="24"/>
          <w:szCs w:val="24"/>
        </w:rPr>
      </w:pPr>
      <w:r>
        <w:rPr>
          <w:rFonts w:ascii="Arial" w:eastAsia="Arial" w:hAnsi="Arial" w:cs="Arial"/>
          <w:sz w:val="24"/>
          <w:szCs w:val="24"/>
        </w:rPr>
        <w:t>We invite you to bid in this competition for RM6305 National Fuels 3. Our Invitation to Tender (ITT) pack comes divided into two main parts:</w:t>
      </w:r>
    </w:p>
    <w:p w:rsidR="001530AC" w:rsidRDefault="009D7376">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1530AC" w:rsidRDefault="009D7376">
      <w:pPr>
        <w:numPr>
          <w:ilvl w:val="0"/>
          <w:numId w:val="11"/>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1530AC" w:rsidRDefault="009D7376">
      <w:pPr>
        <w:numPr>
          <w:ilvl w:val="0"/>
          <w:numId w:val="11"/>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1530AC" w:rsidRDefault="009D7376">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w:t>
      </w:r>
      <w:r>
        <w:rPr>
          <w:rFonts w:ascii="Arial" w:eastAsia="Arial" w:hAnsi="Arial" w:cs="Arial"/>
          <w:sz w:val="24"/>
          <w:szCs w:val="24"/>
        </w:rPr>
        <w:t xml:space="preserve">Framework Contract award stage. </w:t>
      </w:r>
    </w:p>
    <w:p w:rsidR="001530AC" w:rsidRDefault="009D7376">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1530AC" w:rsidRDefault="009D7376">
      <w:pPr>
        <w:rPr>
          <w:rFonts w:ascii="Arial" w:eastAsia="Arial" w:hAnsi="Arial" w:cs="Arial"/>
          <w:sz w:val="24"/>
          <w:szCs w:val="24"/>
        </w:rPr>
      </w:pPr>
      <w:r>
        <w:rPr>
          <w:rFonts w:ascii="Arial" w:eastAsia="Arial" w:hAnsi="Arial" w:cs="Arial"/>
          <w:sz w:val="24"/>
          <w:szCs w:val="24"/>
        </w:rPr>
        <w:t>These attachments are:</w:t>
      </w:r>
    </w:p>
    <w:p w:rsidR="001530AC" w:rsidRDefault="009D7376">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1530AC" w:rsidRDefault="009D7376">
      <w:pPr>
        <w:rPr>
          <w:rFonts w:ascii="Arial" w:eastAsia="Arial" w:hAnsi="Arial" w:cs="Arial"/>
          <w:sz w:val="24"/>
          <w:szCs w:val="24"/>
        </w:rPr>
      </w:pPr>
      <w:r>
        <w:rPr>
          <w:rFonts w:ascii="Arial" w:eastAsia="Arial" w:hAnsi="Arial" w:cs="Arial"/>
          <w:b/>
          <w:sz w:val="24"/>
          <w:szCs w:val="24"/>
        </w:rPr>
        <w:t>Attachment</w:t>
      </w:r>
      <w:r>
        <w:rPr>
          <w:rFonts w:ascii="Arial" w:eastAsia="Arial" w:hAnsi="Arial" w:cs="Arial"/>
          <w:b/>
          <w:sz w:val="24"/>
          <w:szCs w:val="24"/>
        </w:rPr>
        <w:t xml:space="preserve">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Suite. You must complete the questions detailed in the electronic selection questionnaire online in the eSourcing suite (qualification env</w:t>
      </w:r>
      <w:r>
        <w:rPr>
          <w:rFonts w:ascii="Arial" w:eastAsia="Arial" w:hAnsi="Arial" w:cs="Arial"/>
          <w:sz w:val="24"/>
          <w:szCs w:val="24"/>
        </w:rPr>
        <w:t>elope). Please note, when viewing Attachment 2a, you should expand all of the cells to ensure you have viewed all of the evaluation guidance detailed. This is also visible in the eSourcing Suite.</w:t>
      </w:r>
    </w:p>
    <w:p w:rsidR="001530AC" w:rsidRDefault="009D7376">
      <w:pPr>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Certificate of Technical &amp; Professional Capabi</w:t>
      </w:r>
      <w:r>
        <w:rPr>
          <w:rFonts w:ascii="Arial" w:eastAsia="Arial" w:hAnsi="Arial" w:cs="Arial"/>
          <w:b/>
          <w:sz w:val="24"/>
          <w:szCs w:val="24"/>
        </w:rPr>
        <w:t xml:space="preserve">lity (COTPA) </w:t>
      </w:r>
      <w:r>
        <w:rPr>
          <w:rFonts w:ascii="Arial" w:eastAsia="Arial" w:hAnsi="Arial" w:cs="Arial"/>
          <w:sz w:val="24"/>
          <w:szCs w:val="24"/>
        </w:rPr>
        <w:t>– you must get your customer to sign this attachment for your contract example. You must then attach each certificate to the relevant selection questions in the eSourcing Suite (qualification envelope).</w:t>
      </w:r>
    </w:p>
    <w:p w:rsidR="001530AC" w:rsidRDefault="009D7376">
      <w:pPr>
        <w:rPr>
          <w:rFonts w:ascii="Arial" w:eastAsia="Arial" w:hAnsi="Arial" w:cs="Arial"/>
          <w:b/>
          <w:sz w:val="24"/>
          <w:szCs w:val="24"/>
        </w:rPr>
      </w:pPr>
      <w:r>
        <w:rPr>
          <w:rFonts w:ascii="Arial" w:eastAsia="Arial" w:hAnsi="Arial" w:cs="Arial"/>
          <w:b/>
          <w:sz w:val="24"/>
          <w:szCs w:val="24"/>
        </w:rPr>
        <w:t>Attachment 2d Certificate of Past Perfor</w:t>
      </w:r>
      <w:r>
        <w:rPr>
          <w:rFonts w:ascii="Arial" w:eastAsia="Arial" w:hAnsi="Arial" w:cs="Arial"/>
          <w:b/>
          <w:sz w:val="24"/>
          <w:szCs w:val="24"/>
        </w:rPr>
        <w:t>mance Template – Not Used</w:t>
      </w:r>
    </w:p>
    <w:p w:rsidR="001530AC" w:rsidRDefault="009D7376">
      <w:pPr>
        <w:rPr>
          <w:rFonts w:ascii="Arial" w:eastAsia="Arial" w:hAnsi="Arial" w:cs="Arial"/>
          <w:sz w:val="24"/>
          <w:szCs w:val="24"/>
        </w:rPr>
      </w:pPr>
      <w:r>
        <w:rPr>
          <w:rFonts w:ascii="Arial" w:eastAsia="Arial" w:hAnsi="Arial" w:cs="Arial"/>
          <w:b/>
          <w:sz w:val="24"/>
          <w:szCs w:val="24"/>
        </w:rPr>
        <w:t>Attachment 2e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w:t>
      </w:r>
      <w:r>
        <w:rPr>
          <w:rFonts w:ascii="Arial" w:eastAsia="Arial" w:hAnsi="Arial" w:cs="Arial"/>
          <w:sz w:val="24"/>
          <w:szCs w:val="24"/>
        </w:rPr>
        <w:t>n the eSourcing suite (qualification envelope).</w:t>
      </w:r>
    </w:p>
    <w:p w:rsidR="001530AC" w:rsidRDefault="009D7376">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eSourcing suite (commercial envelope).</w:t>
      </w:r>
    </w:p>
    <w:p w:rsidR="001530AC" w:rsidRDefault="009D7376">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Information and Declarations</w:t>
      </w:r>
      <w:r>
        <w:rPr>
          <w:rFonts w:ascii="Arial" w:eastAsia="Arial" w:hAnsi="Arial" w:cs="Arial"/>
          <w:b/>
          <w:sz w:val="24"/>
          <w:szCs w:val="24"/>
        </w:rPr>
        <w:t>_Consortium</w:t>
      </w:r>
      <w:r>
        <w:rPr>
          <w:rFonts w:ascii="Arial" w:eastAsia="Arial" w:hAnsi="Arial" w:cs="Arial"/>
          <w:sz w:val="24"/>
          <w:szCs w:val="24"/>
        </w:rPr>
        <w:t xml:space="preserve"> – if you are bidding as part of a consortium, each member of the consortium (other than the member completing the electronic Selection Questionnaire within the eSourcing Suite) must complete a copy of Attachment 4a. You must then attach each of</w:t>
      </w:r>
      <w:r>
        <w:rPr>
          <w:rFonts w:ascii="Arial" w:eastAsia="Arial" w:hAnsi="Arial" w:cs="Arial"/>
          <w:sz w:val="24"/>
          <w:szCs w:val="24"/>
        </w:rPr>
        <w:t xml:space="preserve"> the populated </w:t>
      </w:r>
      <w:r>
        <w:rPr>
          <w:rFonts w:ascii="Arial" w:eastAsia="Arial" w:hAnsi="Arial" w:cs="Arial"/>
          <w:sz w:val="24"/>
          <w:szCs w:val="24"/>
        </w:rPr>
        <w:lastRenderedPageBreak/>
        <w:t xml:space="preserve">attachments to the relevant selection questions in the eSourcing Suite (Qualification Envelope). </w:t>
      </w:r>
    </w:p>
    <w:p w:rsidR="001530AC" w:rsidRDefault="009D7376">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Information and Declarations – Key Subcontractors_Guarantor</w:t>
      </w:r>
      <w:r>
        <w:rPr>
          <w:rFonts w:ascii="Arial" w:eastAsia="Arial" w:hAnsi="Arial" w:cs="Arial"/>
          <w:sz w:val="24"/>
          <w:szCs w:val="24"/>
        </w:rPr>
        <w:t xml:space="preserve"> </w:t>
      </w:r>
    </w:p>
    <w:p w:rsidR="001530AC" w:rsidRDefault="009D7376">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w:t>
      </w:r>
      <w:r>
        <w:rPr>
          <w:rFonts w:ascii="Arial" w:eastAsia="Arial" w:hAnsi="Arial" w:cs="Arial"/>
          <w:sz w:val="24"/>
          <w:szCs w:val="24"/>
        </w:rPr>
        <w:t>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to populate this attachment and provide part 1 and 2 declarations. You must then attach each of the populated attachments to the relev</w:t>
      </w:r>
      <w:r>
        <w:rPr>
          <w:rFonts w:ascii="Arial" w:eastAsia="Arial" w:hAnsi="Arial" w:cs="Arial"/>
          <w:sz w:val="24"/>
          <w:szCs w:val="24"/>
        </w:rPr>
        <w:t xml:space="preserve">ant selection questions in the eSourcing Suite (Qualification Envelope). </w:t>
      </w:r>
    </w:p>
    <w:p w:rsidR="001530AC" w:rsidRDefault="009D7376">
      <w:pPr>
        <w:rPr>
          <w:rFonts w:ascii="Arial" w:eastAsia="Arial" w:hAnsi="Arial" w:cs="Arial"/>
          <w:sz w:val="24"/>
          <w:szCs w:val="24"/>
          <w:shd w:val="clear" w:color="auto" w:fill="FFFF99"/>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w:t>
      </w:r>
      <w:r>
        <w:rPr>
          <w:rFonts w:ascii="Arial" w:eastAsia="Arial" w:hAnsi="Arial" w:cs="Arial"/>
          <w:sz w:val="24"/>
          <w:szCs w:val="24"/>
        </w:rPr>
        <w:t xml:space="preserve"> copy of Attachment 4b on behalf of any proposed guarantor at the point of bid submission. We will communicate with you via the eSourcing Suite if this is required following FVRA assessment.</w:t>
      </w:r>
    </w:p>
    <w:p w:rsidR="001530AC" w:rsidRDefault="009D7376">
      <w:pPr>
        <w:rPr>
          <w:rFonts w:ascii="Arial" w:eastAsia="Arial" w:hAnsi="Arial" w:cs="Arial"/>
          <w:b/>
          <w:sz w:val="24"/>
          <w:szCs w:val="24"/>
        </w:rPr>
      </w:pPr>
      <w:r>
        <w:rPr>
          <w:rFonts w:ascii="Arial" w:eastAsia="Arial" w:hAnsi="Arial" w:cs="Arial"/>
          <w:b/>
          <w:color w:val="000000"/>
          <w:sz w:val="24"/>
          <w:szCs w:val="24"/>
        </w:rPr>
        <w:t>Attachment 5 Financial Viability Risk Assessment (FVRA) Instructi</w:t>
      </w:r>
      <w:r>
        <w:rPr>
          <w:rFonts w:ascii="Arial" w:eastAsia="Arial" w:hAnsi="Arial" w:cs="Arial"/>
          <w:b/>
          <w:color w:val="000000"/>
          <w:sz w:val="24"/>
          <w:szCs w:val="24"/>
        </w:rPr>
        <w:t xml:space="preserve">ons </w:t>
      </w:r>
      <w:r>
        <w:rPr>
          <w:rFonts w:ascii="Arial" w:eastAsia="Arial" w:hAnsi="Arial" w:cs="Arial"/>
          <w:color w:val="000000"/>
          <w:sz w:val="24"/>
          <w:szCs w:val="24"/>
        </w:rPr>
        <w:t>– for information only. It is important that you read this document before completing</w:t>
      </w:r>
      <w:r>
        <w:rPr>
          <w:rFonts w:ascii="Arial" w:eastAsia="Arial" w:hAnsi="Arial" w:cs="Arial"/>
          <w:sz w:val="24"/>
          <w:szCs w:val="24"/>
        </w:rPr>
        <w:t xml:space="preserve">. </w:t>
      </w:r>
    </w:p>
    <w:p w:rsidR="001530AC" w:rsidRDefault="009D737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Gold</w:t>
      </w:r>
      <w:r>
        <w:rPr>
          <w:rFonts w:ascii="Arial" w:eastAsia="Arial" w:hAnsi="Arial" w:cs="Arial"/>
          <w:b/>
          <w:color w:val="000000"/>
          <w:sz w:val="24"/>
          <w:szCs w:val="24"/>
        </w:rPr>
        <w:t xml:space="preserve"> FVRA Tool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eSourcing Suite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rsidR="001530AC" w:rsidRDefault="009D737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 FVRA Tool</w:t>
      </w:r>
      <w:r>
        <w:rPr>
          <w:rFonts w:ascii="Arial" w:eastAsia="Arial" w:hAnsi="Arial" w:cs="Arial"/>
          <w:color w:val="000000"/>
          <w:sz w:val="24"/>
          <w:szCs w:val="24"/>
        </w:rPr>
        <w:t xml:space="preserve"> copies of:</w:t>
      </w:r>
    </w:p>
    <w:p w:rsidR="001530AC" w:rsidRDefault="009D7376">
      <w:pPr>
        <w:widowControl w:val="0"/>
        <w:numPr>
          <w:ilvl w:val="1"/>
          <w:numId w:val="9"/>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rsidR="001530AC" w:rsidRDefault="009D7376">
      <w:pPr>
        <w:widowControl w:val="0"/>
        <w:numPr>
          <w:ilvl w:val="1"/>
          <w:numId w:val="9"/>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1530AC" w:rsidRDefault="009D7376">
      <w:pPr>
        <w:widowControl w:val="0"/>
        <w:numPr>
          <w:ilvl w:val="1"/>
          <w:numId w:val="9"/>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rsidR="001530AC" w:rsidRDefault="001530AC">
      <w:pPr>
        <w:widowControl w:val="0"/>
        <w:pBdr>
          <w:top w:val="nil"/>
          <w:left w:val="nil"/>
          <w:bottom w:val="nil"/>
          <w:right w:val="nil"/>
          <w:between w:val="nil"/>
        </w:pBdr>
        <w:spacing w:after="0" w:line="240" w:lineRule="auto"/>
        <w:ind w:left="1440"/>
      </w:pPr>
    </w:p>
    <w:p w:rsidR="001530AC" w:rsidRDefault="009D7376">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w:t>
      </w:r>
      <w:r>
        <w:rPr>
          <w:rFonts w:ascii="Arial" w:eastAsia="Arial" w:hAnsi="Arial" w:cs="Arial"/>
          <w:color w:val="000000"/>
          <w:sz w:val="24"/>
          <w:szCs w:val="24"/>
        </w:rPr>
        <w:t>itional scrutiny.</w:t>
      </w:r>
    </w:p>
    <w:p w:rsidR="001530AC" w:rsidRDefault="001530AC">
      <w:pPr>
        <w:widowControl w:val="0"/>
        <w:pBdr>
          <w:top w:val="nil"/>
          <w:left w:val="nil"/>
          <w:bottom w:val="nil"/>
          <w:right w:val="nil"/>
          <w:between w:val="nil"/>
        </w:pBdr>
        <w:spacing w:after="0" w:line="240" w:lineRule="auto"/>
        <w:rPr>
          <w:rFonts w:ascii="Arial" w:eastAsia="Arial" w:hAnsi="Arial" w:cs="Arial"/>
          <w:sz w:val="24"/>
          <w:szCs w:val="24"/>
        </w:rPr>
      </w:pPr>
    </w:p>
    <w:p w:rsidR="001530AC" w:rsidRDefault="009D7376">
      <w:pPr>
        <w:rPr>
          <w:rFonts w:ascii="Arial" w:eastAsia="Arial" w:hAnsi="Arial" w:cs="Arial"/>
          <w:sz w:val="24"/>
          <w:szCs w:val="24"/>
        </w:rPr>
      </w:pPr>
      <w:bookmarkStart w:id="5" w:name="_heading=h.1ci93xb" w:colFirst="0" w:colLast="0"/>
      <w:bookmarkEnd w:id="5"/>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w:t>
      </w:r>
      <w:r>
        <w:rPr>
          <w:rFonts w:ascii="Arial" w:eastAsia="Arial" w:hAnsi="Arial" w:cs="Arial"/>
          <w:sz w:val="24"/>
          <w:szCs w:val="24"/>
        </w:rPr>
        <w:t>is spreadsheet and attach to selection question 1.12.6 in the eSourcing Suite.</w:t>
      </w:r>
    </w:p>
    <w:p w:rsidR="001530AC" w:rsidRDefault="009D7376">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1.14.1 in the </w:t>
      </w:r>
      <w:r>
        <w:rPr>
          <w:rFonts w:ascii="Arial" w:eastAsia="Arial" w:hAnsi="Arial" w:cs="Arial"/>
          <w:sz w:val="24"/>
          <w:szCs w:val="24"/>
        </w:rPr>
        <w:t xml:space="preserve">eSourcing Suite (Qualification Envelope) </w:t>
      </w:r>
    </w:p>
    <w:p w:rsidR="001530AC" w:rsidRDefault="009D7376">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1530AC" w:rsidRDefault="009D7376">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1530AC" w:rsidRDefault="009D7376">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1530AC" w:rsidRDefault="009D7376">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o Framework schedules; </w:t>
      </w:r>
    </w:p>
    <w:p w:rsidR="001530AC" w:rsidRDefault="009D7376">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1530AC" w:rsidRDefault="009D7376">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1530AC" w:rsidRDefault="009D7376">
      <w:pPr>
        <w:ind w:left="720"/>
        <w:rPr>
          <w:rFonts w:ascii="Arial" w:eastAsia="Arial" w:hAnsi="Arial" w:cs="Arial"/>
          <w:sz w:val="24"/>
          <w:szCs w:val="24"/>
        </w:rPr>
      </w:pPr>
      <w:r>
        <w:rPr>
          <w:rFonts w:ascii="Arial" w:eastAsia="Arial" w:hAnsi="Arial" w:cs="Arial"/>
          <w:color w:val="000000"/>
          <w:sz w:val="24"/>
          <w:szCs w:val="24"/>
          <w:highlight w:val="white"/>
        </w:rPr>
        <w:t>o Framework award form (CCS will populate this at framework award)</w:t>
      </w:r>
    </w:p>
    <w:p w:rsidR="001530AC" w:rsidRDefault="001530AC">
      <w:pPr>
        <w:rPr>
          <w:rFonts w:ascii="Arial" w:eastAsia="Arial" w:hAnsi="Arial" w:cs="Arial"/>
          <w:sz w:val="24"/>
          <w:szCs w:val="24"/>
        </w:rPr>
      </w:pPr>
    </w:p>
    <w:p w:rsidR="001530AC" w:rsidRDefault="009D7376">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w:t>
      </w:r>
      <w:r>
        <w:rPr>
          <w:rFonts w:ascii="Arial" w:eastAsia="Arial" w:hAnsi="Arial" w:cs="Arial"/>
          <w:b/>
          <w:sz w:val="24"/>
          <w:szCs w:val="24"/>
        </w:rPr>
        <w:t xml:space="preserve">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1530AC" w:rsidRDefault="009D7376">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1530AC" w:rsidRDefault="009D7376">
      <w:pPr>
        <w:rPr>
          <w:rFonts w:ascii="Arial" w:eastAsia="Arial" w:hAnsi="Arial" w:cs="Arial"/>
          <w:color w:val="0563C1"/>
          <w:sz w:val="24"/>
          <w:szCs w:val="24"/>
          <w:u w:val="single"/>
        </w:rPr>
      </w:pPr>
      <w:r>
        <w:rPr>
          <w:rFonts w:ascii="Arial" w:eastAsia="Arial" w:hAnsi="Arial" w:cs="Arial"/>
          <w:sz w:val="24"/>
          <w:szCs w:val="24"/>
        </w:rPr>
        <w:t xml:space="preserve">You </w:t>
      </w:r>
      <w:r>
        <w:rPr>
          <w:rFonts w:ascii="Arial" w:eastAsia="Arial" w:hAnsi="Arial" w:cs="Arial"/>
          <w:sz w:val="24"/>
          <w:szCs w:val="24"/>
        </w:rPr>
        <w:t>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1530AC" w:rsidRDefault="009D7376">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w:t>
      </w:r>
      <w:r>
        <w:rPr>
          <w:rFonts w:ascii="Arial" w:eastAsia="Arial" w:hAnsi="Arial" w:cs="Arial"/>
          <w:sz w:val="24"/>
          <w:szCs w:val="24"/>
        </w:rPr>
        <w:t>r eSourcing Suite and instructions on how to submit a compliant bid:</w:t>
      </w:r>
    </w:p>
    <w:p w:rsidR="001530AC" w:rsidRDefault="009D7376">
      <w:pPr>
        <w:rPr>
          <w:rFonts w:ascii="Arial" w:eastAsia="Arial" w:hAnsi="Arial" w:cs="Arial"/>
          <w:sz w:val="24"/>
          <w:szCs w:val="24"/>
        </w:rPr>
      </w:pPr>
      <w:hyperlink r:id="rId10">
        <w:r>
          <w:rPr>
            <w:rFonts w:ascii="Arial" w:eastAsia="Arial" w:hAnsi="Arial" w:cs="Arial"/>
            <w:color w:val="0563C1"/>
            <w:sz w:val="24"/>
            <w:szCs w:val="24"/>
            <w:u w:val="single"/>
          </w:rPr>
          <w:t>https://www.gov.uk/government/publications/esourcing-tool-guidance-for-suppliers</w:t>
        </w:r>
      </w:hyperlink>
      <w:r>
        <w:rPr>
          <w:rFonts w:ascii="Arial" w:eastAsia="Arial" w:hAnsi="Arial" w:cs="Arial"/>
          <w:sz w:val="24"/>
          <w:szCs w:val="24"/>
        </w:rPr>
        <w:t xml:space="preserve"> </w:t>
      </w:r>
    </w:p>
    <w:p w:rsidR="001530AC" w:rsidRDefault="009D7376">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1">
        <w:r>
          <w:rPr>
            <w:rFonts w:ascii="Arial" w:eastAsia="Arial" w:hAnsi="Arial" w:cs="Arial"/>
            <w:color w:val="1155CC"/>
            <w:sz w:val="24"/>
            <w:szCs w:val="24"/>
            <w:u w:val="single"/>
          </w:rPr>
          <w:t>https://www.crowncommercial.gov.uk/esourcing-training</w:t>
        </w:r>
      </w:hyperlink>
    </w:p>
    <w:p w:rsidR="001530AC" w:rsidRDefault="001530AC">
      <w:pPr>
        <w:rPr>
          <w:rFonts w:ascii="Arial" w:eastAsia="Arial" w:hAnsi="Arial" w:cs="Arial"/>
          <w:sz w:val="24"/>
          <w:szCs w:val="24"/>
        </w:rPr>
      </w:pPr>
    </w:p>
    <w:p w:rsidR="001530AC" w:rsidRDefault="009D7376">
      <w:pPr>
        <w:pStyle w:val="Heading1"/>
        <w:numPr>
          <w:ilvl w:val="0"/>
          <w:numId w:val="5"/>
        </w:numPr>
      </w:pPr>
      <w:bookmarkStart w:id="6" w:name="_heading=h.1fob9te" w:colFirst="0" w:colLast="0"/>
      <w:bookmarkEnd w:id="6"/>
      <w:r>
        <w:rPr>
          <w:rFonts w:ascii="Arial" w:eastAsia="Arial" w:hAnsi="Arial" w:cs="Arial"/>
          <w:b/>
          <w:color w:val="000000"/>
        </w:rPr>
        <w:t>What You Need to Know</w:t>
      </w:r>
    </w:p>
    <w:p w:rsidR="001530AC" w:rsidRDefault="009D7376">
      <w:pPr>
        <w:numPr>
          <w:ilvl w:val="1"/>
          <w:numId w:val="4"/>
        </w:numPr>
        <w:pBdr>
          <w:top w:val="nil"/>
          <w:left w:val="nil"/>
          <w:bottom w:val="nil"/>
          <w:right w:val="nil"/>
          <w:between w:val="nil"/>
        </w:pBdr>
        <w:tabs>
          <w:tab w:val="left" w:pos="142"/>
        </w:tabs>
        <w:spacing w:before="240" w:after="240" w:line="240" w:lineRule="auto"/>
        <w:ind w:hanging="508"/>
        <w:rPr>
          <w:rFonts w:ascii="Arial" w:eastAsia="Arial" w:hAnsi="Arial" w:cs="Arial"/>
          <w:color w:val="000000"/>
        </w:rPr>
      </w:pPr>
      <w:bookmarkStart w:id="7" w:name="_heading=h.3znysh7" w:colFirst="0" w:colLast="0"/>
      <w:bookmarkEnd w:id="7"/>
      <w:r>
        <w:rPr>
          <w:rFonts w:ascii="Arial" w:eastAsia="Arial" w:hAnsi="Arial" w:cs="Arial"/>
          <w:color w:val="000000"/>
          <w:sz w:val="28"/>
          <w:szCs w:val="28"/>
        </w:rPr>
        <w:t>What ’we’ and ‘you’ means</w:t>
      </w:r>
    </w:p>
    <w:p w:rsidR="001530AC" w:rsidRDefault="009D7376">
      <w:pPr>
        <w:ind w:left="850"/>
        <w:rPr>
          <w:rFonts w:ascii="Arial" w:eastAsia="Arial" w:hAnsi="Arial" w:cs="Arial"/>
          <w:sz w:val="24"/>
          <w:szCs w:val="24"/>
        </w:rPr>
      </w:pPr>
      <w:r>
        <w:rPr>
          <w:rFonts w:ascii="Arial" w:eastAsia="Arial" w:hAnsi="Arial" w:cs="Arial"/>
          <w:sz w:val="24"/>
          <w:szCs w:val="24"/>
        </w:rPr>
        <w:t>When we use “CC</w:t>
      </w:r>
      <w:r>
        <w:rPr>
          <w:rFonts w:ascii="Arial" w:eastAsia="Arial" w:hAnsi="Arial" w:cs="Arial"/>
          <w:sz w:val="24"/>
          <w:szCs w:val="24"/>
        </w:rPr>
        <w:t>S”, “we”, “us” or “our” we mean Crown Commercial Service (the Authority);</w:t>
      </w:r>
    </w:p>
    <w:p w:rsidR="001530AC" w:rsidRDefault="009D7376">
      <w:pPr>
        <w:ind w:left="850"/>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rsidR="001530AC" w:rsidRDefault="009D7376">
      <w:pPr>
        <w:ind w:left="850"/>
        <w:rPr>
          <w:rFonts w:ascii="Arial" w:eastAsia="Arial" w:hAnsi="Arial" w:cs="Arial"/>
          <w:sz w:val="24"/>
          <w:szCs w:val="24"/>
        </w:rPr>
      </w:pPr>
      <w:r>
        <w:rPr>
          <w:rFonts w:ascii="Arial" w:eastAsia="Arial" w:hAnsi="Arial" w:cs="Arial"/>
          <w:sz w:val="24"/>
          <w:szCs w:val="24"/>
        </w:rPr>
        <w:t>We are a Central Purchasing</w:t>
      </w:r>
      <w:r>
        <w:rPr>
          <w:rFonts w:ascii="Arial" w:eastAsia="Arial" w:hAnsi="Arial" w:cs="Arial"/>
          <w:sz w:val="24"/>
          <w:szCs w:val="24"/>
        </w:rPr>
        <w:t xml:space="preserve"> Body that procures common goods and services for Buyers including Central Government departments and the wider public sector. </w:t>
      </w:r>
    </w:p>
    <w:p w:rsidR="001530AC" w:rsidRDefault="009D7376">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‘Buyers’?</w:t>
      </w:r>
    </w:p>
    <w:p w:rsidR="001530AC" w:rsidRDefault="009D7376">
      <w:pPr>
        <w:ind w:left="850"/>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rsidR="001530AC" w:rsidRDefault="009D7376">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is a ‘Lot’</w:t>
      </w:r>
      <w:r>
        <w:rPr>
          <w:rFonts w:ascii="Arial" w:eastAsia="Arial" w:hAnsi="Arial" w:cs="Arial"/>
          <w:color w:val="000000"/>
          <w:sz w:val="28"/>
          <w:szCs w:val="28"/>
        </w:rPr>
        <w:t>?</w:t>
      </w:r>
    </w:p>
    <w:p w:rsidR="001530AC" w:rsidRDefault="009D7376">
      <w:pPr>
        <w:ind w:left="850"/>
        <w:rPr>
          <w:rFonts w:ascii="Arial" w:eastAsia="Arial" w:hAnsi="Arial" w:cs="Arial"/>
          <w:sz w:val="24"/>
          <w:szCs w:val="24"/>
        </w:rPr>
      </w:pPr>
      <w:r>
        <w:rPr>
          <w:rFonts w:ascii="Arial" w:eastAsia="Arial" w:hAnsi="Arial" w:cs="Arial"/>
          <w:sz w:val="24"/>
          <w:szCs w:val="24"/>
        </w:rPr>
        <w:lastRenderedPageBreak/>
        <w:t>A Lot is a sub-division of the Deliverables which are the subject of this competition as described in the published Contract Notice.</w:t>
      </w:r>
    </w:p>
    <w:p w:rsidR="001530AC" w:rsidRDefault="009D7376">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Do We Mean by ‘Deliverables’?</w:t>
      </w:r>
    </w:p>
    <w:p w:rsidR="001530AC" w:rsidRDefault="009D7376">
      <w:pPr>
        <w:ind w:left="850"/>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w:t>
      </w:r>
      <w:r>
        <w:rPr>
          <w:rFonts w:ascii="Arial" w:eastAsia="Arial" w:hAnsi="Arial" w:cs="Arial"/>
          <w:sz w:val="24"/>
          <w:szCs w:val="24"/>
        </w:rPr>
        <w:t xml:space="preserve">Agreement as set out in Framework Schedule 1 (Specification). </w:t>
      </w:r>
    </w:p>
    <w:p w:rsidR="001530AC" w:rsidRDefault="009D7376">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‘Key Subcontractors’?</w:t>
      </w:r>
    </w:p>
    <w:p w:rsidR="001530AC" w:rsidRDefault="009D7376">
      <w:pPr>
        <w:ind w:left="850"/>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rsidR="001530AC" w:rsidRDefault="009D7376">
      <w:pPr>
        <w:numPr>
          <w:ilvl w:val="0"/>
          <w:numId w:val="11"/>
        </w:numPr>
        <w:ind w:left="1701" w:hanging="283"/>
        <w:rPr>
          <w:rFonts w:ascii="Arial" w:eastAsia="Arial" w:hAnsi="Arial" w:cs="Arial"/>
          <w:sz w:val="24"/>
          <w:szCs w:val="24"/>
        </w:rPr>
      </w:pPr>
      <w:r>
        <w:rPr>
          <w:rFonts w:ascii="Arial" w:eastAsia="Arial" w:hAnsi="Arial" w:cs="Arial"/>
          <w:sz w:val="24"/>
          <w:szCs w:val="24"/>
        </w:rPr>
        <w:t>be relied on to</w:t>
      </w:r>
      <w:r>
        <w:rPr>
          <w:rFonts w:ascii="Arial" w:eastAsia="Arial" w:hAnsi="Arial" w:cs="Arial"/>
          <w:sz w:val="24"/>
          <w:szCs w:val="24"/>
        </w:rPr>
        <w:t xml:space="preserve"> deliver any of the Deliverables under this Framework Contract in their entirety (or any part of them)</w:t>
      </w:r>
    </w:p>
    <w:p w:rsidR="001530AC" w:rsidRDefault="009D7376">
      <w:pPr>
        <w:numPr>
          <w:ilvl w:val="0"/>
          <w:numId w:val="11"/>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1530AC" w:rsidRDefault="009D7376">
      <w:pPr>
        <w:numPr>
          <w:ilvl w:val="0"/>
          <w:numId w:val="11"/>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w:t>
      </w:r>
      <w:r>
        <w:rPr>
          <w:rFonts w:ascii="Arial" w:eastAsia="Arial" w:hAnsi="Arial" w:cs="Arial"/>
          <w:sz w:val="24"/>
          <w:szCs w:val="24"/>
        </w:rPr>
        <w:t xml:space="preserve">control of the provision of the Deliverables (or any part of them). </w:t>
      </w:r>
    </w:p>
    <w:p w:rsidR="001530AC" w:rsidRDefault="009D7376">
      <w:pPr>
        <w:ind w:left="850"/>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w:t>
      </w:r>
      <w:r>
        <w:rPr>
          <w:rFonts w:ascii="Arial" w:eastAsia="Arial" w:hAnsi="Arial" w:cs="Arial"/>
          <w:sz w:val="24"/>
          <w:szCs w:val="24"/>
        </w:rPr>
        <w:t>ow about subcontractors who supply general services to you (such as window cleaners etc.) that only indirectly enable you to provide the Deliverables under the Framework.</w:t>
      </w:r>
    </w:p>
    <w:p w:rsidR="001530AC" w:rsidRDefault="009D7376">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 xml:space="preserve">What is the Difference Between a Bidder and Supplier? </w:t>
      </w:r>
    </w:p>
    <w:p w:rsidR="001530AC" w:rsidRDefault="009D7376">
      <w:pPr>
        <w:ind w:left="850"/>
        <w:rPr>
          <w:rFonts w:ascii="Arial" w:eastAsia="Arial" w:hAnsi="Arial" w:cs="Arial"/>
          <w:sz w:val="24"/>
          <w:szCs w:val="24"/>
        </w:rPr>
      </w:pPr>
      <w:r>
        <w:rPr>
          <w:rFonts w:ascii="Arial" w:eastAsia="Arial" w:hAnsi="Arial" w:cs="Arial"/>
          <w:sz w:val="24"/>
          <w:szCs w:val="24"/>
        </w:rPr>
        <w:t>Successful Bidders will become</w:t>
      </w:r>
      <w:r>
        <w:rPr>
          <w:rFonts w:ascii="Arial" w:eastAsia="Arial" w:hAnsi="Arial" w:cs="Arial"/>
          <w:sz w:val="24"/>
          <w:szCs w:val="24"/>
        </w:rPr>
        <w:t xml:space="preserve"> Suppliers.</w:t>
      </w:r>
    </w:p>
    <w:p w:rsidR="001530AC" w:rsidRDefault="009D7376">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The Public Contracts Regulations 2015</w:t>
      </w:r>
    </w:p>
    <w:p w:rsidR="001530AC" w:rsidRDefault="009D7376">
      <w:pPr>
        <w:pBdr>
          <w:top w:val="nil"/>
          <w:left w:val="nil"/>
          <w:bottom w:val="nil"/>
          <w:right w:val="nil"/>
          <w:between w:val="nil"/>
        </w:pBdr>
        <w:spacing w:before="240" w:after="120" w:line="240" w:lineRule="auto"/>
        <w:ind w:left="850" w:hanging="25"/>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1530AC" w:rsidRDefault="009D7376">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Government Security Classifications (GSC)</w:t>
      </w:r>
    </w:p>
    <w:p w:rsidR="001530AC" w:rsidRDefault="009D7376">
      <w:pPr>
        <w:ind w:left="850"/>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w:t>
      </w:r>
      <w:r>
        <w:rPr>
          <w:rFonts w:ascii="Arial" w:eastAsia="Arial" w:hAnsi="Arial" w:cs="Arial"/>
          <w:sz w:val="24"/>
          <w:szCs w:val="24"/>
          <w:highlight w:val="white"/>
        </w:rPr>
        <w:t xml:space="preserve"> July 2023</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 xml:space="preserve">and </w:t>
      </w:r>
      <w:r>
        <w:rPr>
          <w:rFonts w:ascii="Arial" w:eastAsia="Arial" w:hAnsi="Arial" w:cs="Arial"/>
          <w:color w:val="000000"/>
          <w:sz w:val="24"/>
          <w:szCs w:val="24"/>
          <w:highlight w:val="white"/>
        </w:rPr>
        <w:t>describes how HM Government</w:t>
      </w:r>
      <w:r>
        <w:rPr>
          <w:rFonts w:ascii="Arial" w:eastAsia="Arial" w:hAnsi="Arial" w:cs="Arial"/>
          <w:color w:val="000000"/>
          <w:sz w:val="24"/>
          <w:szCs w:val="24"/>
          <w:highlight w:val="white"/>
        </w:rPr>
        <w:t xml:space="preserve"> classifies information assets to ensure they are appropriately protected. It applies to all information that the Government collects, stores, processes, generates or shares to deliver services and conduct business.</w:t>
      </w:r>
    </w:p>
    <w:p w:rsidR="001530AC" w:rsidRDefault="009D7376">
      <w:pPr>
        <w:numPr>
          <w:ilvl w:val="1"/>
          <w:numId w:val="4"/>
        </w:numPr>
        <w:pBdr>
          <w:top w:val="nil"/>
          <w:left w:val="nil"/>
          <w:bottom w:val="nil"/>
          <w:right w:val="nil"/>
          <w:between w:val="nil"/>
        </w:pBdr>
        <w:tabs>
          <w:tab w:val="left" w:pos="142"/>
        </w:tabs>
        <w:spacing w:before="240" w:after="240" w:line="240" w:lineRule="auto"/>
        <w:ind w:left="850" w:hanging="708"/>
        <w:rPr>
          <w:rFonts w:ascii="Arial" w:eastAsia="Arial" w:hAnsi="Arial" w:cs="Arial"/>
          <w:color w:val="000000"/>
        </w:rPr>
      </w:pPr>
      <w:r>
        <w:rPr>
          <w:rFonts w:ascii="Arial" w:eastAsia="Arial" w:hAnsi="Arial" w:cs="Arial"/>
          <w:color w:val="000000"/>
          <w:sz w:val="28"/>
          <w:szCs w:val="28"/>
        </w:rPr>
        <w:t xml:space="preserve">Public Procurement Note 01/22 Contracts </w:t>
      </w:r>
      <w:r>
        <w:rPr>
          <w:rFonts w:ascii="Arial" w:eastAsia="Arial" w:hAnsi="Arial" w:cs="Arial"/>
          <w:color w:val="000000"/>
          <w:sz w:val="28"/>
          <w:szCs w:val="28"/>
        </w:rPr>
        <w:t>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rsidR="001530AC" w:rsidRDefault="009D7376">
      <w:pPr>
        <w:pBdr>
          <w:top w:val="nil"/>
          <w:left w:val="nil"/>
          <w:bottom w:val="nil"/>
          <w:right w:val="nil"/>
          <w:between w:val="nil"/>
        </w:pBdr>
        <w:spacing w:after="0" w:line="240" w:lineRule="auto"/>
        <w:ind w:left="850"/>
        <w:rPr>
          <w:rFonts w:ascii="Arial" w:eastAsia="Arial" w:hAnsi="Arial" w:cs="Arial"/>
          <w:color w:val="000000"/>
          <w:sz w:val="24"/>
          <w:szCs w:val="24"/>
        </w:rPr>
      </w:pPr>
      <w:r>
        <w:rPr>
          <w:rFonts w:ascii="Arial" w:eastAsia="Arial" w:hAnsi="Arial" w:cs="Arial"/>
          <w:color w:val="000000"/>
          <w:sz w:val="24"/>
          <w:szCs w:val="24"/>
        </w:rPr>
        <w:lastRenderedPageBreak/>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w:t>
      </w:r>
      <w:r>
        <w:rPr>
          <w:rFonts w:ascii="Arial" w:eastAsia="Arial" w:hAnsi="Arial" w:cs="Arial"/>
          <w:color w:val="000000"/>
          <w:sz w:val="24"/>
          <w:szCs w:val="24"/>
        </w:rPr>
        <w:t xml:space="preserve"> UK Government has introduced financial and investment sanctions aimed at encouraging Russia to cease actions which destabilise Ukraine. This PPN requires that Contracting Authorities, such as CCS, should consider how they can further cut ties with compani</w:t>
      </w:r>
      <w:r>
        <w:rPr>
          <w:rFonts w:ascii="Arial" w:eastAsia="Arial" w:hAnsi="Arial" w:cs="Arial"/>
          <w:color w:val="000000"/>
          <w:sz w:val="24"/>
          <w:szCs w:val="24"/>
        </w:rPr>
        <w:t xml:space="preserve">es backed by the states of Russia and Belarus including declining to consider tenders.  </w:t>
      </w:r>
    </w:p>
    <w:p w:rsidR="001530AC" w:rsidRDefault="001530AC">
      <w:pPr>
        <w:pBdr>
          <w:top w:val="nil"/>
          <w:left w:val="nil"/>
          <w:bottom w:val="nil"/>
          <w:right w:val="nil"/>
          <w:between w:val="nil"/>
        </w:pBdr>
        <w:spacing w:after="0" w:line="240" w:lineRule="auto"/>
        <w:ind w:left="720"/>
        <w:rPr>
          <w:rFonts w:ascii="Arial" w:eastAsia="Arial" w:hAnsi="Arial" w:cs="Arial"/>
          <w:color w:val="000000"/>
          <w:sz w:val="24"/>
          <w:szCs w:val="24"/>
        </w:rPr>
      </w:pPr>
    </w:p>
    <w:p w:rsidR="001530AC" w:rsidRDefault="009D7376">
      <w:pPr>
        <w:pBdr>
          <w:top w:val="nil"/>
          <w:left w:val="nil"/>
          <w:bottom w:val="nil"/>
          <w:right w:val="nil"/>
          <w:between w:val="nil"/>
        </w:pBdr>
        <w:spacing w:after="0" w:line="240" w:lineRule="auto"/>
        <w:ind w:left="85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1530AC" w:rsidRDefault="001530AC">
      <w:pPr>
        <w:pBdr>
          <w:top w:val="nil"/>
          <w:left w:val="nil"/>
          <w:bottom w:val="nil"/>
          <w:right w:val="nil"/>
          <w:between w:val="nil"/>
        </w:pBdr>
        <w:spacing w:after="0" w:line="240" w:lineRule="auto"/>
        <w:ind w:left="720"/>
        <w:rPr>
          <w:rFonts w:ascii="Arial" w:eastAsia="Arial" w:hAnsi="Arial" w:cs="Arial"/>
          <w:color w:val="000000"/>
          <w:sz w:val="24"/>
          <w:szCs w:val="24"/>
        </w:rPr>
      </w:pPr>
    </w:p>
    <w:p w:rsidR="001530AC" w:rsidRDefault="009D7376">
      <w:pPr>
        <w:numPr>
          <w:ilvl w:val="0"/>
          <w:numId w:val="10"/>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exclude from this competit</w:t>
      </w:r>
      <w:r>
        <w:rPr>
          <w:rFonts w:ascii="Arial" w:eastAsia="Arial" w:hAnsi="Arial" w:cs="Arial"/>
          <w:color w:val="000000"/>
          <w:sz w:val="24"/>
          <w:szCs w:val="24"/>
        </w:rPr>
        <w:t xml:space="preserve">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1530AC" w:rsidRDefault="009D7376">
      <w:pPr>
        <w:numPr>
          <w:ilvl w:val="0"/>
          <w:numId w:val="10"/>
        </w:numPr>
        <w:pBdr>
          <w:top w:val="nil"/>
          <w:left w:val="nil"/>
          <w:bottom w:val="nil"/>
          <w:right w:val="nil"/>
          <w:between w:val="nil"/>
        </w:pBdr>
        <w:spacing w:after="0" w:line="240" w:lineRule="auto"/>
        <w:ind w:left="1843"/>
      </w:pPr>
      <w:r>
        <w:rPr>
          <w:rFonts w:ascii="Arial" w:eastAsia="Arial" w:hAnsi="Arial" w:cs="Arial"/>
          <w:color w:val="0A0B0B"/>
          <w:sz w:val="24"/>
          <w:szCs w:val="24"/>
        </w:rPr>
        <w:t xml:space="preserve">request that </w:t>
      </w:r>
      <w:r>
        <w:rPr>
          <w:rFonts w:ascii="Arial" w:eastAsia="Arial" w:hAnsi="Arial" w:cs="Arial"/>
          <w:color w:val="0A0B0B"/>
          <w:sz w:val="24"/>
          <w:szCs w:val="24"/>
        </w:rPr>
        <w:t>a Bidder find a replacement subcontractor by a specified deadline before its tender can be included in this competition.</w:t>
      </w:r>
    </w:p>
    <w:p w:rsidR="001530AC" w:rsidRDefault="009D7376">
      <w:pPr>
        <w:numPr>
          <w:ilvl w:val="1"/>
          <w:numId w:val="4"/>
        </w:numPr>
        <w:pBdr>
          <w:top w:val="nil"/>
          <w:left w:val="nil"/>
          <w:bottom w:val="nil"/>
          <w:right w:val="nil"/>
          <w:between w:val="nil"/>
        </w:pBdr>
        <w:tabs>
          <w:tab w:val="left" w:pos="142"/>
        </w:tabs>
        <w:spacing w:before="240" w:after="240" w:line="240" w:lineRule="auto"/>
        <w:ind w:left="850" w:hanging="708"/>
      </w:pPr>
      <w:r>
        <w:rPr>
          <w:rFonts w:ascii="Arial" w:eastAsia="Arial" w:hAnsi="Arial" w:cs="Arial"/>
          <w:sz w:val="24"/>
          <w:szCs w:val="24"/>
        </w:rPr>
        <w:t>CCS has contracted with a supplier to support CCS with its assessment of the Selection Criteria related to Bidders’ financial status. Consequently, we may share with our supplier, Bidders’ responses to the Selection Questionnaire in respect of the Bidders’</w:t>
      </w:r>
      <w:r>
        <w:rPr>
          <w:rFonts w:ascii="Arial" w:eastAsia="Arial" w:hAnsi="Arial" w:cs="Arial"/>
          <w:sz w:val="24"/>
          <w:szCs w:val="24"/>
        </w:rPr>
        <w:t xml:space="preserve"> financial status.</w:t>
      </w:r>
    </w:p>
    <w:p w:rsidR="001530AC" w:rsidRDefault="009D7376">
      <w:pPr>
        <w:pStyle w:val="Heading1"/>
        <w:numPr>
          <w:ilvl w:val="0"/>
          <w:numId w:val="5"/>
        </w:numPr>
      </w:pPr>
      <w:bookmarkStart w:id="8" w:name="_heading=h.tyjcwt" w:colFirst="0" w:colLast="0"/>
      <w:bookmarkEnd w:id="8"/>
      <w:r>
        <w:rPr>
          <w:rFonts w:ascii="Arial" w:eastAsia="Arial" w:hAnsi="Arial" w:cs="Arial"/>
          <w:b/>
          <w:color w:val="000000"/>
        </w:rPr>
        <w:t xml:space="preserve">The Opportunity </w:t>
      </w:r>
    </w:p>
    <w:p w:rsidR="001530AC" w:rsidRDefault="009D7376">
      <w:pPr>
        <w:tabs>
          <w:tab w:val="left" w:pos="1140"/>
        </w:tabs>
        <w:spacing w:before="120" w:after="120" w:line="240" w:lineRule="auto"/>
        <w:ind w:left="425"/>
        <w:jc w:val="both"/>
        <w:rPr>
          <w:rFonts w:ascii="Arial" w:eastAsia="Arial" w:hAnsi="Arial" w:cs="Arial"/>
          <w:sz w:val="24"/>
          <w:szCs w:val="24"/>
        </w:rPr>
      </w:pPr>
      <w:r>
        <w:rPr>
          <w:rFonts w:ascii="Arial" w:eastAsia="Arial" w:hAnsi="Arial" w:cs="Arial"/>
          <w:sz w:val="24"/>
          <w:szCs w:val="24"/>
        </w:rPr>
        <w:t xml:space="preserve">Crown Commercial Service (CCS) is seeking to establish a Framework Agreement for the provision of National Fuels. </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 xml:space="preserve">The information published in the OJEU Notice FTS provides a list of the UK Central Government Departments, their Agencies and Arm’s Length Bodies and all other Buyers that shall be eligible to access this National Fuels 3 Framework. </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This Framework Agreeme</w:t>
      </w:r>
      <w:r>
        <w:rPr>
          <w:rFonts w:ascii="Arial" w:eastAsia="Arial" w:hAnsi="Arial" w:cs="Arial"/>
          <w:sz w:val="24"/>
          <w:szCs w:val="24"/>
        </w:rPr>
        <w:t>nt shall be managed centrally by CCS.</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Buyers shall manage all Call Off Contracts with the Supplier.</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Framework Agreement will comprise of five (5) overarching Lots.</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A Framework Agreement for the Lots will be awarded to multiple Suppliers with except</w:t>
      </w:r>
      <w:r>
        <w:rPr>
          <w:rFonts w:ascii="Arial" w:eastAsia="Arial" w:hAnsi="Arial" w:cs="Arial"/>
          <w:sz w:val="24"/>
          <w:szCs w:val="24"/>
        </w:rPr>
        <w:t>ion of Lot 5 Energy Bureau Services which is a single Supplier Lot.</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A summary of the Deliverables (Goods and Services) required under Lots 1 (1a -1o), 2, 3, 4 and 5 are as follows;</w:t>
      </w:r>
    </w:p>
    <w:p w:rsidR="001530AC" w:rsidRDefault="009D7376">
      <w:pPr>
        <w:tabs>
          <w:tab w:val="left" w:pos="1134"/>
        </w:tabs>
        <w:spacing w:before="120" w:after="120" w:line="240" w:lineRule="auto"/>
        <w:ind w:left="425"/>
        <w:jc w:val="both"/>
        <w:rPr>
          <w:rFonts w:ascii="Arial" w:eastAsia="Arial" w:hAnsi="Arial" w:cs="Arial"/>
          <w:b/>
          <w:sz w:val="24"/>
          <w:szCs w:val="24"/>
        </w:rPr>
      </w:pPr>
      <w:r>
        <w:rPr>
          <w:rFonts w:ascii="Arial" w:eastAsia="Arial" w:hAnsi="Arial" w:cs="Arial"/>
          <w:b/>
          <w:sz w:val="24"/>
          <w:szCs w:val="24"/>
        </w:rPr>
        <w:t>Lot 1 (1a -1o) Liquid Fuel</w:t>
      </w:r>
    </w:p>
    <w:p w:rsidR="001530AC" w:rsidRDefault="009D7376">
      <w:pPr>
        <w:tabs>
          <w:tab w:val="left" w:pos="1985"/>
          <w:tab w:val="left" w:pos="2127"/>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Supplier shall supply liquid fuels for heati</w:t>
      </w:r>
      <w:r>
        <w:rPr>
          <w:rFonts w:ascii="Arial" w:eastAsia="Arial" w:hAnsi="Arial" w:cs="Arial"/>
          <w:sz w:val="24"/>
          <w:szCs w:val="24"/>
        </w:rPr>
        <w:t>ng, automotive, marine and aviation purposes to Buyers throughout the Framework Agreement and any Call Off Contracts.</w:t>
      </w:r>
    </w:p>
    <w:p w:rsidR="001530AC" w:rsidRDefault="009D7376">
      <w:pPr>
        <w:spacing w:before="120" w:after="120" w:line="240" w:lineRule="auto"/>
        <w:ind w:left="425"/>
        <w:jc w:val="both"/>
        <w:rPr>
          <w:rFonts w:ascii="Arial" w:eastAsia="Arial" w:hAnsi="Arial" w:cs="Arial"/>
          <w:sz w:val="24"/>
          <w:szCs w:val="24"/>
        </w:rPr>
      </w:pPr>
      <w:r>
        <w:rPr>
          <w:rFonts w:ascii="Arial" w:eastAsia="Arial" w:hAnsi="Arial" w:cs="Arial"/>
          <w:sz w:val="24"/>
          <w:szCs w:val="24"/>
        </w:rPr>
        <w:lastRenderedPageBreak/>
        <w:t>There are 14 Regional Lots and 1 National Lot. Regional Areas are detailed under paragraph 3.1 of this document.</w:t>
      </w:r>
    </w:p>
    <w:p w:rsidR="001530AC" w:rsidRDefault="009D7376">
      <w:pPr>
        <w:tabs>
          <w:tab w:val="left" w:pos="1134"/>
        </w:tabs>
        <w:spacing w:before="120" w:after="120" w:line="240" w:lineRule="auto"/>
        <w:ind w:left="425"/>
        <w:jc w:val="both"/>
        <w:rPr>
          <w:rFonts w:ascii="Arial" w:eastAsia="Arial" w:hAnsi="Arial" w:cs="Arial"/>
          <w:sz w:val="24"/>
          <w:szCs w:val="24"/>
          <w:highlight w:val="yellow"/>
        </w:rPr>
      </w:pPr>
      <w:r>
        <w:rPr>
          <w:rFonts w:ascii="Arial" w:eastAsia="Arial" w:hAnsi="Arial" w:cs="Arial"/>
          <w:b/>
          <w:sz w:val="24"/>
          <w:szCs w:val="24"/>
        </w:rPr>
        <w:t xml:space="preserve">Lot 2 – Liquid Petroleum Gas (LPG) </w:t>
      </w:r>
    </w:p>
    <w:p w:rsidR="001530AC" w:rsidRDefault="009D7376">
      <w:pPr>
        <w:tabs>
          <w:tab w:val="left" w:pos="1985"/>
          <w:tab w:val="left" w:pos="2127"/>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Supplier shall supply liquefied gases to existing Buyer sites and any new sites to join the arrangement during the life of the Framework Agreement at the Buyers request.</w:t>
      </w:r>
    </w:p>
    <w:p w:rsidR="001530AC" w:rsidRDefault="009D7376">
      <w:pPr>
        <w:tabs>
          <w:tab w:val="left" w:pos="1985"/>
          <w:tab w:val="left" w:pos="2127"/>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Supplier shall supply and deliver all type</w:t>
      </w:r>
      <w:r>
        <w:rPr>
          <w:rFonts w:ascii="Arial" w:eastAsia="Arial" w:hAnsi="Arial" w:cs="Arial"/>
          <w:sz w:val="24"/>
          <w:szCs w:val="24"/>
        </w:rPr>
        <w:t>s of liquefied gas in all areas and may also be required to supply and install bulk storage tanks to various Buyers across the whole of the UK.</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b/>
          <w:sz w:val="24"/>
          <w:szCs w:val="24"/>
        </w:rPr>
        <w:t>Lot 3 – Solid Fuel &amp; Biomass</w:t>
      </w:r>
    </w:p>
    <w:p w:rsidR="001530AC" w:rsidRDefault="009D7376">
      <w:pPr>
        <w:pBdr>
          <w:top w:val="nil"/>
          <w:left w:val="nil"/>
          <w:bottom w:val="nil"/>
          <w:right w:val="nil"/>
          <w:between w:val="nil"/>
        </w:pBdr>
        <w:tabs>
          <w:tab w:val="left" w:pos="1985"/>
          <w:tab w:val="left" w:pos="2127"/>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Supplier shall supply and deliver solid fuel and biomass fuel Deliverables to v</w:t>
      </w:r>
      <w:r>
        <w:rPr>
          <w:rFonts w:ascii="Arial" w:eastAsia="Arial" w:hAnsi="Arial" w:cs="Arial"/>
          <w:sz w:val="24"/>
          <w:szCs w:val="24"/>
        </w:rPr>
        <w:t>arious Buyers across the whole of the UK.</w:t>
      </w:r>
    </w:p>
    <w:p w:rsidR="001530AC" w:rsidRDefault="009D7376">
      <w:pPr>
        <w:pBdr>
          <w:top w:val="nil"/>
          <w:left w:val="nil"/>
          <w:bottom w:val="nil"/>
          <w:right w:val="nil"/>
          <w:between w:val="nil"/>
        </w:pBdr>
        <w:tabs>
          <w:tab w:val="left" w:pos="1985"/>
          <w:tab w:val="left" w:pos="2127"/>
        </w:tabs>
        <w:spacing w:before="120" w:after="120" w:line="240" w:lineRule="auto"/>
        <w:ind w:left="425"/>
        <w:jc w:val="both"/>
        <w:rPr>
          <w:rFonts w:ascii="Arial" w:eastAsia="Arial" w:hAnsi="Arial" w:cs="Arial"/>
          <w:b/>
          <w:sz w:val="24"/>
          <w:szCs w:val="24"/>
        </w:rPr>
      </w:pPr>
      <w:r>
        <w:rPr>
          <w:rFonts w:ascii="Arial" w:eastAsia="Arial" w:hAnsi="Arial" w:cs="Arial"/>
          <w:b/>
          <w:sz w:val="24"/>
          <w:szCs w:val="24"/>
        </w:rPr>
        <w:t>Lot 4 – Associated Services</w:t>
      </w:r>
    </w:p>
    <w:p w:rsidR="001530AC" w:rsidRDefault="009D7376">
      <w:pPr>
        <w:tabs>
          <w:tab w:val="left" w:pos="1985"/>
          <w:tab w:val="left" w:pos="2127"/>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Supplier shall supply and deliver all types of additional services directly associated to the Deliverables to be delivered under Lots 1 (1a -1o) - 4 under this Framework Agreement to</w:t>
      </w:r>
      <w:r>
        <w:rPr>
          <w:rFonts w:ascii="Arial" w:eastAsia="Arial" w:hAnsi="Arial" w:cs="Arial"/>
          <w:sz w:val="24"/>
          <w:szCs w:val="24"/>
        </w:rPr>
        <w:t xml:space="preserve"> various Buyers across the whole of the UK.</w:t>
      </w:r>
    </w:p>
    <w:p w:rsidR="001530AC" w:rsidRDefault="009D7376">
      <w:pPr>
        <w:tabs>
          <w:tab w:val="left" w:pos="1985"/>
          <w:tab w:val="left" w:pos="2127"/>
        </w:tabs>
        <w:spacing w:before="120" w:after="120" w:line="240" w:lineRule="auto"/>
        <w:ind w:left="425"/>
        <w:jc w:val="both"/>
        <w:rPr>
          <w:rFonts w:ascii="Arial" w:eastAsia="Arial" w:hAnsi="Arial" w:cs="Arial"/>
          <w:b/>
          <w:sz w:val="24"/>
          <w:szCs w:val="24"/>
        </w:rPr>
      </w:pPr>
      <w:r>
        <w:rPr>
          <w:rFonts w:ascii="Arial" w:eastAsia="Arial" w:hAnsi="Arial" w:cs="Arial"/>
          <w:sz w:val="24"/>
          <w:szCs w:val="24"/>
        </w:rPr>
        <w:t>The Supplier shall provide any of the above Deliverables which they have the capability to deliver and may offer additional Deliverables which are directly associated to the use of the Deliverables covered in Lot</w:t>
      </w:r>
      <w:r>
        <w:rPr>
          <w:rFonts w:ascii="Arial" w:eastAsia="Arial" w:hAnsi="Arial" w:cs="Arial"/>
          <w:sz w:val="24"/>
          <w:szCs w:val="24"/>
        </w:rPr>
        <w:t xml:space="preserve"> 1 (1a -1o), 2, 3 and 4 of this Framework Agreement not included in the Lots above.</w:t>
      </w:r>
    </w:p>
    <w:p w:rsidR="001530AC" w:rsidRDefault="009D7376">
      <w:pPr>
        <w:tabs>
          <w:tab w:val="left" w:pos="1985"/>
          <w:tab w:val="left" w:pos="2127"/>
        </w:tabs>
        <w:spacing w:before="120" w:after="120" w:line="240" w:lineRule="auto"/>
        <w:ind w:left="425"/>
        <w:jc w:val="both"/>
        <w:rPr>
          <w:rFonts w:ascii="Arial" w:eastAsia="Arial" w:hAnsi="Arial" w:cs="Arial"/>
          <w:sz w:val="24"/>
          <w:szCs w:val="24"/>
        </w:rPr>
      </w:pPr>
      <w:r>
        <w:rPr>
          <w:rFonts w:ascii="Arial" w:eastAsia="Arial" w:hAnsi="Arial" w:cs="Arial"/>
          <w:b/>
          <w:sz w:val="24"/>
          <w:szCs w:val="24"/>
        </w:rPr>
        <w:t>Lot 5 -</w:t>
      </w:r>
      <w:r>
        <w:rPr>
          <w:rFonts w:ascii="Arial" w:eastAsia="Arial" w:hAnsi="Arial" w:cs="Arial"/>
          <w:sz w:val="24"/>
          <w:szCs w:val="24"/>
        </w:rPr>
        <w:t xml:space="preserve"> </w:t>
      </w:r>
      <w:r>
        <w:rPr>
          <w:rFonts w:ascii="Arial" w:eastAsia="Arial" w:hAnsi="Arial" w:cs="Arial"/>
          <w:b/>
          <w:sz w:val="24"/>
          <w:szCs w:val="24"/>
        </w:rPr>
        <w:t>Energy</w:t>
      </w:r>
      <w:r>
        <w:rPr>
          <w:rFonts w:ascii="Arial" w:eastAsia="Arial" w:hAnsi="Arial" w:cs="Arial"/>
          <w:sz w:val="24"/>
          <w:szCs w:val="24"/>
        </w:rPr>
        <w:t xml:space="preserve"> </w:t>
      </w:r>
      <w:r>
        <w:rPr>
          <w:rFonts w:ascii="Arial" w:eastAsia="Arial" w:hAnsi="Arial" w:cs="Arial"/>
          <w:b/>
          <w:sz w:val="24"/>
          <w:szCs w:val="24"/>
        </w:rPr>
        <w:t>Bureau Services</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Supplier shall provide Bureau Services to deliver Energy Management Services.</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 xml:space="preserve">The Supplier shall work collaboratively with the Buyers to </w:t>
      </w:r>
      <w:r>
        <w:rPr>
          <w:rFonts w:ascii="Arial" w:eastAsia="Arial" w:hAnsi="Arial" w:cs="Arial"/>
          <w:sz w:val="24"/>
          <w:szCs w:val="24"/>
        </w:rPr>
        <w:t xml:space="preserve">assist in the delivery of their Energy Management Strategy to identify areas for energy consumption reduction, efficiencies, and potential savings, and shall collaboratively support the Buyer in the delivery of the identified areas. </w:t>
      </w:r>
    </w:p>
    <w:p w:rsidR="001530AC" w:rsidRDefault="009D7376">
      <w:pPr>
        <w:tabs>
          <w:tab w:val="left" w:pos="1134"/>
        </w:tabs>
        <w:spacing w:before="120" w:after="120" w:line="240" w:lineRule="auto"/>
        <w:ind w:left="425"/>
        <w:jc w:val="both"/>
        <w:rPr>
          <w:rFonts w:ascii="Arial" w:eastAsia="Arial" w:hAnsi="Arial" w:cs="Arial"/>
          <w:sz w:val="24"/>
          <w:szCs w:val="24"/>
        </w:rPr>
      </w:pPr>
      <w:r>
        <w:rPr>
          <w:rFonts w:ascii="Arial" w:eastAsia="Arial" w:hAnsi="Arial" w:cs="Arial"/>
          <w:sz w:val="24"/>
          <w:szCs w:val="24"/>
        </w:rPr>
        <w:t>The Supplier shall mon</w:t>
      </w:r>
      <w:r>
        <w:rPr>
          <w:rFonts w:ascii="Arial" w:eastAsia="Arial" w:hAnsi="Arial" w:cs="Arial"/>
          <w:sz w:val="24"/>
          <w:szCs w:val="24"/>
        </w:rPr>
        <w:t>itor the effectiveness and performance of the Bureau Services provision throughout each Call Off Contract. The Supplier shall communicate regularly with the Buyer in order to collaboratively review, update and improve the Buyer’s Energy Management Strategy</w:t>
      </w:r>
      <w:r>
        <w:rPr>
          <w:rFonts w:ascii="Arial" w:eastAsia="Arial" w:hAnsi="Arial" w:cs="Arial"/>
          <w:sz w:val="24"/>
          <w:szCs w:val="24"/>
        </w:rPr>
        <w:t xml:space="preserve">. </w:t>
      </w:r>
    </w:p>
    <w:p w:rsidR="001530AC" w:rsidRDefault="009D7376">
      <w:pPr>
        <w:ind w:left="425"/>
        <w:rPr>
          <w:rFonts w:ascii="Arial" w:eastAsia="Arial" w:hAnsi="Arial" w:cs="Arial"/>
          <w:sz w:val="24"/>
          <w:szCs w:val="24"/>
        </w:rPr>
      </w:pPr>
      <w:r>
        <w:rPr>
          <w:rFonts w:ascii="Arial" w:eastAsia="Arial" w:hAnsi="Arial" w:cs="Arial"/>
          <w:sz w:val="24"/>
          <w:szCs w:val="24"/>
        </w:rPr>
        <w:t>The full specification is set out in Framework Schedule 1 - Specification.</w:t>
      </w:r>
    </w:p>
    <w:p w:rsidR="001530AC" w:rsidRDefault="009D7376">
      <w:pPr>
        <w:tabs>
          <w:tab w:val="left" w:pos="142"/>
        </w:tabs>
        <w:ind w:left="425"/>
        <w:rPr>
          <w:rFonts w:ascii="Arial" w:eastAsia="Arial" w:hAnsi="Arial" w:cs="Arial"/>
          <w:sz w:val="24"/>
          <w:szCs w:val="24"/>
        </w:rPr>
      </w:pPr>
      <w:r>
        <w:br w:type="page"/>
      </w:r>
    </w:p>
    <w:p w:rsidR="001530AC" w:rsidRDefault="001530AC">
      <w:pPr>
        <w:tabs>
          <w:tab w:val="left" w:pos="142"/>
        </w:tabs>
        <w:ind w:left="425"/>
        <w:rPr>
          <w:rFonts w:ascii="Arial" w:eastAsia="Arial" w:hAnsi="Arial" w:cs="Arial"/>
          <w:sz w:val="24"/>
          <w:szCs w:val="24"/>
        </w:rPr>
      </w:pPr>
    </w:p>
    <w:p w:rsidR="001530AC" w:rsidRDefault="009D7376">
      <w:pPr>
        <w:pStyle w:val="Heading1"/>
        <w:numPr>
          <w:ilvl w:val="0"/>
          <w:numId w:val="5"/>
        </w:numPr>
      </w:pPr>
      <w:bookmarkStart w:id="9" w:name="_heading=h.5zrj6unfkdq" w:colFirst="0" w:colLast="0"/>
      <w:bookmarkEnd w:id="9"/>
      <w:r>
        <w:rPr>
          <w:rFonts w:ascii="Arial" w:eastAsia="Arial" w:hAnsi="Arial" w:cs="Arial"/>
          <w:b/>
          <w:color w:val="000000"/>
        </w:rPr>
        <w:t xml:space="preserve">What a Framework is </w:t>
      </w:r>
    </w:p>
    <w:p w:rsidR="001530AC" w:rsidRDefault="009D7376">
      <w:pPr>
        <w:spacing w:before="120" w:after="120"/>
        <w:ind w:left="425"/>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 supplier Framework for Lots 1 (1a -1o) - 4 and a single Supplier on Lot 5.</w:t>
      </w:r>
    </w:p>
    <w:p w:rsidR="001530AC" w:rsidRDefault="009D7376">
      <w:pPr>
        <w:pBdr>
          <w:top w:val="nil"/>
          <w:left w:val="nil"/>
          <w:bottom w:val="nil"/>
          <w:right w:val="nil"/>
          <w:between w:val="nil"/>
        </w:pBdr>
        <w:tabs>
          <w:tab w:val="left" w:pos="1985"/>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If you are a successful Bidder, we will use the information you have provided in your bid, including your pricing to personalise your Framework Contract. Each successful Bidder will have their own Framework Contract, which will be signed by you and us. The</w:t>
      </w:r>
      <w:r>
        <w:rPr>
          <w:rFonts w:ascii="Arial" w:eastAsia="Arial" w:hAnsi="Arial" w:cs="Arial"/>
          <w:color w:val="000000"/>
          <w:sz w:val="24"/>
          <w:szCs w:val="24"/>
        </w:rPr>
        <w:t xml:space="preserve"> Framework will be managed by you and us.  </w:t>
      </w:r>
    </w:p>
    <w:p w:rsidR="001530AC" w:rsidRDefault="009D7376">
      <w:pPr>
        <w:spacing w:before="120" w:after="120"/>
        <w:ind w:left="425"/>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1530AC" w:rsidRDefault="009D7376">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w:t>
      </w:r>
      <w:r>
        <w:rPr>
          <w:rFonts w:ascii="Arial" w:eastAsia="Arial" w:hAnsi="Arial" w:cs="Arial"/>
          <w:color w:val="000000"/>
          <w:sz w:val="24"/>
          <w:szCs w:val="24"/>
        </w:rPr>
        <w:t xml:space="preserv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rsidR="001530AC" w:rsidRDefault="009D7376">
      <w:pPr>
        <w:spacing w:before="120" w:after="120"/>
        <w:ind w:left="425"/>
        <w:rPr>
          <w:rFonts w:ascii="Arial" w:eastAsia="Arial" w:hAnsi="Arial" w:cs="Arial"/>
          <w:sz w:val="24"/>
          <w:szCs w:val="24"/>
        </w:rPr>
      </w:pPr>
      <w:bookmarkStart w:id="10" w:name="_heading=h.3dy6vkm" w:colFirst="0" w:colLast="0"/>
      <w:bookmarkEnd w:id="10"/>
      <w:r>
        <w:rPr>
          <w:rFonts w:ascii="Arial" w:eastAsia="Arial" w:hAnsi="Arial" w:cs="Arial"/>
          <w:sz w:val="24"/>
          <w:szCs w:val="24"/>
        </w:rPr>
        <w:t>We cannot guarantee any business through this Framework.</w:t>
      </w:r>
      <w:r>
        <w:br w:type="page"/>
      </w:r>
    </w:p>
    <w:p w:rsidR="001530AC" w:rsidRDefault="009D7376">
      <w:pPr>
        <w:numPr>
          <w:ilvl w:val="0"/>
          <w:numId w:val="7"/>
        </w:numPr>
        <w:pBdr>
          <w:top w:val="nil"/>
          <w:left w:val="nil"/>
          <w:bottom w:val="nil"/>
          <w:right w:val="nil"/>
          <w:between w:val="nil"/>
        </w:pBdr>
        <w:spacing w:before="240" w:after="120" w:line="240" w:lineRule="auto"/>
        <w:ind w:left="708" w:hanging="566"/>
        <w:rPr>
          <w:rFonts w:ascii="Arial" w:eastAsia="Arial" w:hAnsi="Arial" w:cs="Arial"/>
          <w:b/>
          <w:color w:val="000000"/>
          <w:sz w:val="28"/>
          <w:szCs w:val="28"/>
        </w:rPr>
      </w:pPr>
      <w:r>
        <w:rPr>
          <w:rFonts w:ascii="Arial" w:eastAsia="Arial" w:hAnsi="Arial" w:cs="Arial"/>
          <w:b/>
          <w:color w:val="000000"/>
          <w:sz w:val="28"/>
          <w:szCs w:val="28"/>
        </w:rPr>
        <w:lastRenderedPageBreak/>
        <w:t>How the Framework is Structured</w:t>
      </w:r>
    </w:p>
    <w:p w:rsidR="001530AC" w:rsidRDefault="009D7376">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48</w:t>
      </w:r>
      <w:r>
        <w:rPr>
          <w:rFonts w:ascii="Arial" w:eastAsia="Arial" w:hAnsi="Arial" w:cs="Arial"/>
          <w:color w:val="000000"/>
          <w:sz w:val="24"/>
          <w:szCs w:val="24"/>
        </w:rPr>
        <w:t xml:space="preserve"> months. </w:t>
      </w:r>
    </w:p>
    <w:p w:rsidR="001530AC" w:rsidRDefault="009D7376">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w:t>
      </w:r>
      <w:r>
        <w:rPr>
          <w:rFonts w:ascii="Arial" w:eastAsia="Arial" w:hAnsi="Arial" w:cs="Arial"/>
          <w:sz w:val="24"/>
          <w:szCs w:val="24"/>
        </w:rPr>
        <w:t>5</w:t>
      </w:r>
      <w:r>
        <w:rPr>
          <w:rFonts w:ascii="Arial" w:eastAsia="Arial" w:hAnsi="Arial" w:cs="Arial"/>
          <w:color w:val="000000"/>
          <w:sz w:val="24"/>
          <w:szCs w:val="24"/>
        </w:rPr>
        <w:t xml:space="preserve"> overarching Lots</w:t>
      </w:r>
      <w:r>
        <w:rPr>
          <w:rFonts w:ascii="Arial" w:eastAsia="Arial" w:hAnsi="Arial" w:cs="Arial"/>
          <w:sz w:val="24"/>
          <w:szCs w:val="24"/>
        </w:rPr>
        <w:t>.  Lot 1 is broken down into 14 Regional Lots and 1 National Lot. Lot details are below:</w:t>
      </w:r>
    </w:p>
    <w:tbl>
      <w:tblPr>
        <w:tblStyle w:val="a"/>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1530AC">
        <w:trPr>
          <w:trHeight w:val="567"/>
        </w:trPr>
        <w:tc>
          <w:tcPr>
            <w:tcW w:w="851" w:type="dxa"/>
            <w:shd w:val="clear" w:color="auto" w:fill="DEEBF6"/>
            <w:vAlign w:val="center"/>
          </w:tcPr>
          <w:p w:rsidR="001530AC" w:rsidRDefault="009D7376">
            <w:pPr>
              <w:rPr>
                <w:b/>
              </w:rPr>
            </w:pPr>
            <w:r>
              <w:rPr>
                <w:b/>
              </w:rPr>
              <w:t xml:space="preserve">Lot </w:t>
            </w:r>
          </w:p>
        </w:tc>
        <w:tc>
          <w:tcPr>
            <w:tcW w:w="7371" w:type="dxa"/>
            <w:shd w:val="clear" w:color="auto" w:fill="DEEBF6"/>
            <w:vAlign w:val="center"/>
          </w:tcPr>
          <w:p w:rsidR="001530AC" w:rsidRDefault="009D7376">
            <w:pPr>
              <w:rPr>
                <w:b/>
              </w:rPr>
            </w:pPr>
            <w:r>
              <w:rPr>
                <w:b/>
              </w:rPr>
              <w:t xml:space="preserve">Lot Name and Description </w:t>
            </w:r>
          </w:p>
        </w:tc>
      </w:tr>
      <w:tr w:rsidR="001530AC">
        <w:trPr>
          <w:trHeight w:val="567"/>
        </w:trPr>
        <w:tc>
          <w:tcPr>
            <w:tcW w:w="851" w:type="dxa"/>
            <w:vAlign w:val="center"/>
          </w:tcPr>
          <w:p w:rsidR="001530AC" w:rsidRDefault="009D7376">
            <w:pPr>
              <w:rPr>
                <w:b/>
                <w:sz w:val="22"/>
                <w:szCs w:val="22"/>
              </w:rPr>
            </w:pPr>
            <w:r>
              <w:rPr>
                <w:b/>
                <w:sz w:val="22"/>
                <w:szCs w:val="22"/>
              </w:rPr>
              <w:t>Lot 1</w:t>
            </w:r>
          </w:p>
        </w:tc>
        <w:tc>
          <w:tcPr>
            <w:tcW w:w="7371" w:type="dxa"/>
            <w:vAlign w:val="center"/>
          </w:tcPr>
          <w:p w:rsidR="001530AC" w:rsidRDefault="009D7376">
            <w:pPr>
              <w:spacing w:before="60" w:after="60" w:line="259" w:lineRule="auto"/>
              <w:ind w:left="0"/>
              <w:rPr>
                <w:sz w:val="22"/>
                <w:szCs w:val="22"/>
              </w:rPr>
            </w:pPr>
            <w:r>
              <w:t>Liquid Fuel (14 Regional Lots and 1 National Lot)</w:t>
            </w:r>
          </w:p>
          <w:p w:rsidR="001530AC" w:rsidRDefault="009D7376">
            <w:pPr>
              <w:spacing w:before="60" w:after="60" w:line="259" w:lineRule="auto"/>
              <w:ind w:left="0"/>
              <w:rPr>
                <w:sz w:val="22"/>
                <w:szCs w:val="22"/>
              </w:rPr>
            </w:pPr>
            <w:r>
              <w:rPr>
                <w:sz w:val="22"/>
                <w:szCs w:val="22"/>
              </w:rPr>
              <w:t>Lot 1a Scotland North</w:t>
            </w:r>
          </w:p>
          <w:p w:rsidR="001530AC" w:rsidRDefault="009D7376">
            <w:pPr>
              <w:spacing w:before="60" w:after="60" w:line="259" w:lineRule="auto"/>
              <w:ind w:left="0"/>
              <w:rPr>
                <w:sz w:val="22"/>
                <w:szCs w:val="22"/>
              </w:rPr>
            </w:pPr>
            <w:r>
              <w:rPr>
                <w:sz w:val="22"/>
                <w:szCs w:val="22"/>
              </w:rPr>
              <w:t>Lot 1b Scotland West</w:t>
            </w:r>
          </w:p>
          <w:p w:rsidR="001530AC" w:rsidRDefault="009D7376">
            <w:pPr>
              <w:spacing w:before="60" w:after="60" w:line="259" w:lineRule="auto"/>
              <w:ind w:left="0"/>
              <w:rPr>
                <w:sz w:val="22"/>
                <w:szCs w:val="22"/>
              </w:rPr>
            </w:pPr>
            <w:r>
              <w:rPr>
                <w:sz w:val="22"/>
                <w:szCs w:val="22"/>
              </w:rPr>
              <w:t>Lot 1c Scotland Central</w:t>
            </w:r>
          </w:p>
          <w:p w:rsidR="001530AC" w:rsidRDefault="009D7376">
            <w:pPr>
              <w:spacing w:before="60" w:after="60" w:line="259" w:lineRule="auto"/>
              <w:ind w:left="0"/>
              <w:rPr>
                <w:sz w:val="22"/>
                <w:szCs w:val="22"/>
              </w:rPr>
            </w:pPr>
            <w:r>
              <w:rPr>
                <w:sz w:val="22"/>
                <w:szCs w:val="22"/>
              </w:rPr>
              <w:t>Lot 1d Scotland South</w:t>
            </w:r>
          </w:p>
          <w:p w:rsidR="001530AC" w:rsidRDefault="009D7376">
            <w:pPr>
              <w:spacing w:before="60" w:after="60" w:line="259" w:lineRule="auto"/>
              <w:ind w:left="0"/>
              <w:rPr>
                <w:sz w:val="22"/>
                <w:szCs w:val="22"/>
              </w:rPr>
            </w:pPr>
            <w:r>
              <w:rPr>
                <w:sz w:val="22"/>
                <w:szCs w:val="22"/>
              </w:rPr>
              <w:t>Lot 1e England North West</w:t>
            </w:r>
          </w:p>
          <w:p w:rsidR="001530AC" w:rsidRDefault="009D7376">
            <w:pPr>
              <w:spacing w:before="60" w:after="60" w:line="259" w:lineRule="auto"/>
              <w:ind w:left="0"/>
              <w:rPr>
                <w:sz w:val="22"/>
                <w:szCs w:val="22"/>
              </w:rPr>
            </w:pPr>
            <w:r>
              <w:rPr>
                <w:sz w:val="22"/>
                <w:szCs w:val="22"/>
              </w:rPr>
              <w:t>Lot 1f  England North East</w:t>
            </w:r>
          </w:p>
          <w:p w:rsidR="001530AC" w:rsidRDefault="009D7376">
            <w:pPr>
              <w:spacing w:before="60" w:after="60" w:line="259" w:lineRule="auto"/>
              <w:ind w:left="0"/>
              <w:rPr>
                <w:sz w:val="22"/>
                <w:szCs w:val="22"/>
              </w:rPr>
            </w:pPr>
            <w:r>
              <w:rPr>
                <w:sz w:val="22"/>
                <w:szCs w:val="22"/>
              </w:rPr>
              <w:t>Lot 1g England Midlands</w:t>
            </w:r>
          </w:p>
          <w:p w:rsidR="001530AC" w:rsidRDefault="009D7376">
            <w:pPr>
              <w:spacing w:before="60" w:after="60" w:line="259" w:lineRule="auto"/>
              <w:ind w:left="0"/>
              <w:rPr>
                <w:sz w:val="22"/>
                <w:szCs w:val="22"/>
              </w:rPr>
            </w:pPr>
            <w:r>
              <w:rPr>
                <w:sz w:val="22"/>
                <w:szCs w:val="22"/>
              </w:rPr>
              <w:t>Lot 1h England East Anglia</w:t>
            </w:r>
          </w:p>
          <w:p w:rsidR="001530AC" w:rsidRDefault="009D7376">
            <w:pPr>
              <w:spacing w:before="60" w:after="60" w:line="259" w:lineRule="auto"/>
              <w:ind w:left="0"/>
              <w:rPr>
                <w:sz w:val="22"/>
                <w:szCs w:val="22"/>
              </w:rPr>
            </w:pPr>
            <w:r>
              <w:rPr>
                <w:sz w:val="22"/>
                <w:szCs w:val="22"/>
              </w:rPr>
              <w:t>Lot 1i  England London and South East</w:t>
            </w:r>
          </w:p>
          <w:p w:rsidR="001530AC" w:rsidRDefault="009D7376">
            <w:pPr>
              <w:spacing w:before="60" w:after="60" w:line="259" w:lineRule="auto"/>
              <w:ind w:left="0"/>
              <w:rPr>
                <w:sz w:val="22"/>
                <w:szCs w:val="22"/>
              </w:rPr>
            </w:pPr>
            <w:r>
              <w:rPr>
                <w:sz w:val="22"/>
                <w:szCs w:val="22"/>
              </w:rPr>
              <w:t>Lot 1j  England South</w:t>
            </w:r>
          </w:p>
          <w:p w:rsidR="001530AC" w:rsidRDefault="009D7376">
            <w:pPr>
              <w:spacing w:before="60" w:after="60" w:line="259" w:lineRule="auto"/>
              <w:ind w:left="0"/>
              <w:rPr>
                <w:sz w:val="22"/>
                <w:szCs w:val="22"/>
              </w:rPr>
            </w:pPr>
            <w:r>
              <w:rPr>
                <w:sz w:val="22"/>
                <w:szCs w:val="22"/>
              </w:rPr>
              <w:t>Lot 1k England South West</w:t>
            </w:r>
          </w:p>
          <w:p w:rsidR="001530AC" w:rsidRDefault="009D7376">
            <w:pPr>
              <w:spacing w:before="60" w:after="60" w:line="259" w:lineRule="auto"/>
              <w:ind w:left="0"/>
              <w:rPr>
                <w:sz w:val="22"/>
                <w:szCs w:val="22"/>
              </w:rPr>
            </w:pPr>
            <w:r>
              <w:rPr>
                <w:sz w:val="22"/>
                <w:szCs w:val="22"/>
              </w:rPr>
              <w:t>Lot 1l  South Wales</w:t>
            </w:r>
          </w:p>
          <w:p w:rsidR="001530AC" w:rsidRDefault="009D7376">
            <w:pPr>
              <w:spacing w:before="60" w:after="60" w:line="259" w:lineRule="auto"/>
              <w:ind w:left="0"/>
              <w:rPr>
                <w:sz w:val="22"/>
                <w:szCs w:val="22"/>
              </w:rPr>
            </w:pPr>
            <w:r>
              <w:rPr>
                <w:sz w:val="22"/>
                <w:szCs w:val="22"/>
              </w:rPr>
              <w:t>Lot 1m North Wales</w:t>
            </w:r>
          </w:p>
          <w:p w:rsidR="001530AC" w:rsidRDefault="009D7376">
            <w:pPr>
              <w:spacing w:before="60" w:after="60" w:line="259" w:lineRule="auto"/>
              <w:ind w:left="0"/>
              <w:rPr>
                <w:sz w:val="22"/>
                <w:szCs w:val="22"/>
              </w:rPr>
            </w:pPr>
            <w:r>
              <w:rPr>
                <w:sz w:val="22"/>
                <w:szCs w:val="22"/>
              </w:rPr>
              <w:t>Lot 1n Northern Ireland</w:t>
            </w:r>
          </w:p>
          <w:p w:rsidR="001530AC" w:rsidRDefault="009D7376">
            <w:pPr>
              <w:spacing w:before="60" w:after="60" w:line="259" w:lineRule="auto"/>
              <w:ind w:left="0"/>
              <w:rPr>
                <w:sz w:val="22"/>
                <w:szCs w:val="22"/>
              </w:rPr>
            </w:pPr>
            <w:r>
              <w:rPr>
                <w:sz w:val="22"/>
                <w:szCs w:val="22"/>
              </w:rPr>
              <w:t xml:space="preserve">Lot 1o National Lot </w:t>
            </w:r>
          </w:p>
        </w:tc>
      </w:tr>
      <w:tr w:rsidR="001530AC">
        <w:trPr>
          <w:trHeight w:val="567"/>
        </w:trPr>
        <w:tc>
          <w:tcPr>
            <w:tcW w:w="851" w:type="dxa"/>
            <w:vAlign w:val="center"/>
          </w:tcPr>
          <w:p w:rsidR="001530AC" w:rsidRDefault="009D7376">
            <w:pPr>
              <w:rPr>
                <w:b/>
                <w:sz w:val="22"/>
                <w:szCs w:val="22"/>
              </w:rPr>
            </w:pPr>
            <w:r>
              <w:rPr>
                <w:b/>
                <w:sz w:val="22"/>
                <w:szCs w:val="22"/>
              </w:rPr>
              <w:t>Lot 2</w:t>
            </w:r>
          </w:p>
        </w:tc>
        <w:tc>
          <w:tcPr>
            <w:tcW w:w="7371" w:type="dxa"/>
            <w:vAlign w:val="center"/>
          </w:tcPr>
          <w:p w:rsidR="001530AC" w:rsidRDefault="009D7376">
            <w:pPr>
              <w:spacing w:before="60" w:after="60" w:line="259" w:lineRule="auto"/>
              <w:ind w:left="0"/>
              <w:rPr>
                <w:sz w:val="26"/>
                <w:szCs w:val="26"/>
              </w:rPr>
            </w:pPr>
            <w:r>
              <w:rPr>
                <w:sz w:val="22"/>
                <w:szCs w:val="22"/>
              </w:rPr>
              <w:t>Liquid Petroleum Gas (LPG)</w:t>
            </w:r>
          </w:p>
        </w:tc>
      </w:tr>
      <w:tr w:rsidR="001530AC">
        <w:trPr>
          <w:trHeight w:val="567"/>
        </w:trPr>
        <w:tc>
          <w:tcPr>
            <w:tcW w:w="851" w:type="dxa"/>
            <w:vAlign w:val="center"/>
          </w:tcPr>
          <w:p w:rsidR="001530AC" w:rsidRDefault="009D7376">
            <w:pPr>
              <w:rPr>
                <w:b/>
                <w:sz w:val="22"/>
                <w:szCs w:val="22"/>
              </w:rPr>
            </w:pPr>
            <w:r>
              <w:rPr>
                <w:b/>
                <w:sz w:val="22"/>
                <w:szCs w:val="22"/>
              </w:rPr>
              <w:t>Lot 3</w:t>
            </w:r>
          </w:p>
        </w:tc>
        <w:tc>
          <w:tcPr>
            <w:tcW w:w="7371" w:type="dxa"/>
            <w:vAlign w:val="center"/>
          </w:tcPr>
          <w:p w:rsidR="001530AC" w:rsidRDefault="009D7376">
            <w:pPr>
              <w:spacing w:before="60" w:after="60" w:line="259" w:lineRule="auto"/>
              <w:ind w:left="0"/>
              <w:rPr>
                <w:sz w:val="26"/>
                <w:szCs w:val="26"/>
              </w:rPr>
            </w:pPr>
            <w:r>
              <w:rPr>
                <w:sz w:val="22"/>
                <w:szCs w:val="22"/>
              </w:rPr>
              <w:t>Solid Fuel and Biomass (wood chips)</w:t>
            </w:r>
          </w:p>
        </w:tc>
      </w:tr>
      <w:tr w:rsidR="001530AC">
        <w:trPr>
          <w:trHeight w:val="567"/>
        </w:trPr>
        <w:tc>
          <w:tcPr>
            <w:tcW w:w="851" w:type="dxa"/>
            <w:vAlign w:val="center"/>
          </w:tcPr>
          <w:p w:rsidR="001530AC" w:rsidRDefault="009D7376">
            <w:pPr>
              <w:rPr>
                <w:b/>
                <w:sz w:val="22"/>
                <w:szCs w:val="22"/>
              </w:rPr>
            </w:pPr>
            <w:r>
              <w:rPr>
                <w:b/>
                <w:sz w:val="22"/>
                <w:szCs w:val="22"/>
              </w:rPr>
              <w:t>Lot 4</w:t>
            </w:r>
          </w:p>
        </w:tc>
        <w:tc>
          <w:tcPr>
            <w:tcW w:w="7371" w:type="dxa"/>
            <w:vAlign w:val="center"/>
          </w:tcPr>
          <w:p w:rsidR="001530AC" w:rsidRDefault="009D7376">
            <w:pPr>
              <w:spacing w:before="60" w:after="60" w:line="259" w:lineRule="auto"/>
              <w:ind w:left="0"/>
              <w:rPr>
                <w:sz w:val="26"/>
                <w:szCs w:val="26"/>
                <w:shd w:val="clear" w:color="auto" w:fill="FFFF99"/>
              </w:rPr>
            </w:pPr>
            <w:r>
              <w:rPr>
                <w:sz w:val="22"/>
                <w:szCs w:val="22"/>
              </w:rPr>
              <w:t>Associated Service</w:t>
            </w:r>
          </w:p>
        </w:tc>
      </w:tr>
      <w:tr w:rsidR="001530AC">
        <w:trPr>
          <w:trHeight w:val="567"/>
        </w:trPr>
        <w:tc>
          <w:tcPr>
            <w:tcW w:w="851" w:type="dxa"/>
            <w:vAlign w:val="center"/>
          </w:tcPr>
          <w:p w:rsidR="001530AC" w:rsidRDefault="009D7376">
            <w:pPr>
              <w:rPr>
                <w:b/>
                <w:sz w:val="22"/>
                <w:szCs w:val="22"/>
              </w:rPr>
            </w:pPr>
            <w:r>
              <w:rPr>
                <w:b/>
                <w:sz w:val="22"/>
                <w:szCs w:val="22"/>
              </w:rPr>
              <w:t>Lot 5</w:t>
            </w:r>
          </w:p>
        </w:tc>
        <w:tc>
          <w:tcPr>
            <w:tcW w:w="7371" w:type="dxa"/>
            <w:vAlign w:val="center"/>
          </w:tcPr>
          <w:p w:rsidR="001530AC" w:rsidRDefault="009D7376">
            <w:pPr>
              <w:rPr>
                <w:sz w:val="22"/>
                <w:szCs w:val="22"/>
                <w:shd w:val="clear" w:color="auto" w:fill="FFFF99"/>
              </w:rPr>
            </w:pPr>
            <w:r>
              <w:rPr>
                <w:sz w:val="22"/>
                <w:szCs w:val="22"/>
              </w:rPr>
              <w:t>Energy Bureau Services</w:t>
            </w:r>
            <w:r>
              <w:rPr>
                <w:sz w:val="22"/>
                <w:szCs w:val="22"/>
                <w:shd w:val="clear" w:color="auto" w:fill="FFFF99"/>
              </w:rPr>
              <w:t xml:space="preserve"> </w:t>
            </w:r>
          </w:p>
        </w:tc>
      </w:tr>
    </w:tbl>
    <w:p w:rsidR="001530AC" w:rsidRDefault="001530AC">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1530AC" w:rsidRDefault="009D7376">
      <w:pPr>
        <w:rPr>
          <w:rFonts w:ascii="Arial" w:eastAsia="Arial" w:hAnsi="Arial" w:cs="Arial"/>
          <w:color w:val="000000"/>
          <w:sz w:val="24"/>
          <w:szCs w:val="24"/>
        </w:rPr>
      </w:pPr>
      <w:r>
        <w:br w:type="page"/>
      </w:r>
    </w:p>
    <w:p w:rsidR="001530AC" w:rsidRDefault="009D7376">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Bidders can bid for one or more Lots.  </w:t>
      </w:r>
    </w:p>
    <w:p w:rsidR="001530AC" w:rsidRDefault="009D7376">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tbl>
      <w:tblPr>
        <w:tblStyle w:val="a0"/>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812"/>
      </w:tblGrid>
      <w:tr w:rsidR="001530AC">
        <w:trPr>
          <w:trHeight w:val="567"/>
        </w:trPr>
        <w:tc>
          <w:tcPr>
            <w:tcW w:w="2410" w:type="dxa"/>
            <w:shd w:val="clear" w:color="auto" w:fill="DEEBF6"/>
            <w:vAlign w:val="center"/>
          </w:tcPr>
          <w:p w:rsidR="001530AC" w:rsidRDefault="009D7376">
            <w:r>
              <w:t xml:space="preserve">Lot </w:t>
            </w:r>
          </w:p>
        </w:tc>
        <w:tc>
          <w:tcPr>
            <w:tcW w:w="5812" w:type="dxa"/>
            <w:shd w:val="clear" w:color="auto" w:fill="DEEBF6"/>
            <w:vAlign w:val="center"/>
          </w:tcPr>
          <w:p w:rsidR="001530AC" w:rsidRDefault="009D7376">
            <w:r>
              <w:t xml:space="preserve">Number of Places </w:t>
            </w:r>
          </w:p>
        </w:tc>
      </w:tr>
      <w:tr w:rsidR="001530AC">
        <w:trPr>
          <w:trHeight w:val="567"/>
        </w:trPr>
        <w:tc>
          <w:tcPr>
            <w:tcW w:w="2410" w:type="dxa"/>
            <w:vAlign w:val="center"/>
          </w:tcPr>
          <w:p w:rsidR="001530AC" w:rsidRDefault="009D7376">
            <w:r>
              <w:t>Lot 1 (including each sub-lot 1a to 1o)</w:t>
            </w:r>
          </w:p>
        </w:tc>
        <w:tc>
          <w:tcPr>
            <w:tcW w:w="5812" w:type="dxa"/>
            <w:vAlign w:val="center"/>
          </w:tcPr>
          <w:p w:rsidR="001530AC" w:rsidRDefault="009D7376">
            <w:r>
              <w:t xml:space="preserve">Uncapped </w:t>
            </w:r>
          </w:p>
        </w:tc>
      </w:tr>
      <w:tr w:rsidR="001530AC">
        <w:trPr>
          <w:trHeight w:val="567"/>
        </w:trPr>
        <w:tc>
          <w:tcPr>
            <w:tcW w:w="2410" w:type="dxa"/>
            <w:vAlign w:val="center"/>
          </w:tcPr>
          <w:p w:rsidR="001530AC" w:rsidRDefault="009D7376">
            <w:r>
              <w:t>Lot 2</w:t>
            </w:r>
          </w:p>
        </w:tc>
        <w:tc>
          <w:tcPr>
            <w:tcW w:w="5812" w:type="dxa"/>
            <w:vAlign w:val="center"/>
          </w:tcPr>
          <w:p w:rsidR="001530AC" w:rsidRDefault="009D7376">
            <w:r>
              <w:t xml:space="preserve">Uncapped </w:t>
            </w:r>
          </w:p>
        </w:tc>
      </w:tr>
      <w:tr w:rsidR="001530AC">
        <w:trPr>
          <w:trHeight w:val="567"/>
        </w:trPr>
        <w:tc>
          <w:tcPr>
            <w:tcW w:w="2410" w:type="dxa"/>
            <w:vAlign w:val="center"/>
          </w:tcPr>
          <w:p w:rsidR="001530AC" w:rsidRDefault="009D7376">
            <w:r>
              <w:t>Lot 3</w:t>
            </w:r>
          </w:p>
        </w:tc>
        <w:tc>
          <w:tcPr>
            <w:tcW w:w="5812" w:type="dxa"/>
            <w:vAlign w:val="center"/>
          </w:tcPr>
          <w:p w:rsidR="001530AC" w:rsidRDefault="009D7376">
            <w:r>
              <w:t xml:space="preserve">Uncapped </w:t>
            </w:r>
          </w:p>
        </w:tc>
      </w:tr>
      <w:tr w:rsidR="001530AC">
        <w:trPr>
          <w:trHeight w:val="567"/>
        </w:trPr>
        <w:tc>
          <w:tcPr>
            <w:tcW w:w="2410" w:type="dxa"/>
            <w:vAlign w:val="center"/>
          </w:tcPr>
          <w:p w:rsidR="001530AC" w:rsidRDefault="009D7376">
            <w:r>
              <w:t>Lot 4</w:t>
            </w:r>
          </w:p>
        </w:tc>
        <w:tc>
          <w:tcPr>
            <w:tcW w:w="5812" w:type="dxa"/>
            <w:vAlign w:val="center"/>
          </w:tcPr>
          <w:p w:rsidR="001530AC" w:rsidRDefault="009D7376">
            <w:pPr>
              <w:spacing w:before="60" w:after="60" w:line="259" w:lineRule="auto"/>
              <w:ind w:left="0"/>
            </w:pPr>
            <w:r>
              <w:t xml:space="preserve">Uncapped </w:t>
            </w:r>
          </w:p>
        </w:tc>
      </w:tr>
      <w:tr w:rsidR="001530AC">
        <w:trPr>
          <w:trHeight w:val="567"/>
        </w:trPr>
        <w:tc>
          <w:tcPr>
            <w:tcW w:w="2410" w:type="dxa"/>
            <w:vAlign w:val="center"/>
          </w:tcPr>
          <w:p w:rsidR="001530AC" w:rsidRDefault="009D7376">
            <w:r>
              <w:t>Lot 5</w:t>
            </w:r>
          </w:p>
        </w:tc>
        <w:tc>
          <w:tcPr>
            <w:tcW w:w="5812" w:type="dxa"/>
            <w:vAlign w:val="center"/>
          </w:tcPr>
          <w:p w:rsidR="001530AC" w:rsidRDefault="009D7376">
            <w:pPr>
              <w:rPr>
                <w:shd w:val="clear" w:color="auto" w:fill="FFFF99"/>
              </w:rPr>
            </w:pPr>
            <w:r>
              <w:t>1</w:t>
            </w:r>
            <w:r>
              <w:rPr>
                <w:shd w:val="clear" w:color="auto" w:fill="FFFF99"/>
              </w:rPr>
              <w:t xml:space="preserve"> </w:t>
            </w:r>
          </w:p>
        </w:tc>
      </w:tr>
    </w:tbl>
    <w:p w:rsidR="001530AC" w:rsidRDefault="009D7376">
      <w:pPr>
        <w:rPr>
          <w:rFonts w:ascii="Arial" w:eastAsia="Arial" w:hAnsi="Arial" w:cs="Arial"/>
          <w:sz w:val="24"/>
          <w:szCs w:val="24"/>
        </w:rPr>
      </w:pPr>
      <w:r>
        <w:rPr>
          <w:rFonts w:ascii="Arial" w:eastAsia="Arial" w:hAnsi="Arial" w:cs="Arial"/>
          <w:sz w:val="24"/>
          <w:szCs w:val="24"/>
        </w:rPr>
        <w:t xml:space="preserve"> </w:t>
      </w:r>
    </w:p>
    <w:p w:rsidR="001530AC" w:rsidRDefault="009D7376">
      <w:pPr>
        <w:pStyle w:val="Heading1"/>
        <w:numPr>
          <w:ilvl w:val="0"/>
          <w:numId w:val="5"/>
        </w:numPr>
      </w:pPr>
      <w:bookmarkStart w:id="11" w:name="_heading=h.2s8eyo1" w:colFirst="0" w:colLast="0"/>
      <w:bookmarkEnd w:id="11"/>
      <w:r>
        <w:rPr>
          <w:rFonts w:ascii="Arial" w:eastAsia="Arial" w:hAnsi="Arial" w:cs="Arial"/>
          <w:b/>
          <w:color w:val="000000"/>
        </w:rPr>
        <w:t>Who Can Bid</w:t>
      </w:r>
    </w:p>
    <w:p w:rsidR="001530AC" w:rsidRDefault="009D7376">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1530AC" w:rsidRDefault="009D7376">
      <w:pPr>
        <w:pBdr>
          <w:top w:val="nil"/>
          <w:left w:val="nil"/>
          <w:bottom w:val="nil"/>
          <w:right w:val="nil"/>
          <w:between w:val="nil"/>
        </w:pBdr>
        <w:tabs>
          <w:tab w:val="left" w:pos="1134"/>
        </w:tabs>
        <w:spacing w:before="120" w:after="120" w:line="240" w:lineRule="auto"/>
        <w:ind w:hanging="77"/>
        <w:rPr>
          <w:rFonts w:ascii="Arial" w:eastAsia="Arial" w:hAnsi="Arial" w:cs="Arial"/>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Roboto" w:eastAsia="Roboto" w:hAnsi="Roboto" w:cs="Roboto"/>
            <w:color w:val="0B57D0"/>
            <w:sz w:val="23"/>
            <w:szCs w:val="23"/>
            <w:u w:val="single"/>
          </w:rPr>
          <w:t>https://www.crowncommercial.gov.uk/agreements/RM6305</w:t>
        </w:r>
      </w:hyperlink>
    </w:p>
    <w:p w:rsidR="001530AC" w:rsidRDefault="009D7376">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w:t>
      </w:r>
    </w:p>
    <w:p w:rsidR="001530AC" w:rsidRDefault="009D7376">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1530AC" w:rsidRDefault="009D7376">
      <w:pPr>
        <w:numPr>
          <w:ilvl w:val="0"/>
          <w:numId w:val="11"/>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w:t>
      </w:r>
      <w:r>
        <w:rPr>
          <w:rFonts w:ascii="Arial" w:eastAsia="Arial" w:hAnsi="Arial" w:cs="Arial"/>
          <w:sz w:val="24"/>
          <w:szCs w:val="24"/>
        </w:rPr>
        <w:t>f of the consortium.</w:t>
      </w:r>
    </w:p>
    <w:p w:rsidR="001530AC" w:rsidRDefault="009D7376">
      <w:pPr>
        <w:numPr>
          <w:ilvl w:val="0"/>
          <w:numId w:val="11"/>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1530AC" w:rsidRDefault="009D7376">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same Lot.</w:t>
      </w:r>
    </w:p>
    <w:p w:rsidR="001530AC" w:rsidRDefault="009D7376">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rsidR="001530AC" w:rsidRDefault="009D737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w:t>
      </w:r>
      <w:r>
        <w:rPr>
          <w:rFonts w:ascii="Arial" w:eastAsia="Arial" w:hAnsi="Arial" w:cs="Arial"/>
          <w:color w:val="000000"/>
          <w:sz w:val="24"/>
          <w:szCs w:val="24"/>
        </w:rPr>
        <w:t>ing and consortium plans can change. You must tell us about any changes to the proposed subcontracting or to the consortium as soon as you know. If you do not, you may be excluded from this competition.</w:t>
      </w:r>
    </w:p>
    <w:p w:rsidR="001530AC" w:rsidRDefault="009D7376">
      <w:pPr>
        <w:pStyle w:val="Heading1"/>
        <w:numPr>
          <w:ilvl w:val="0"/>
          <w:numId w:val="5"/>
        </w:numPr>
      </w:pPr>
      <w:bookmarkStart w:id="12" w:name="_heading=h.44sinio" w:colFirst="0" w:colLast="0"/>
      <w:bookmarkEnd w:id="12"/>
      <w:r>
        <w:rPr>
          <w:rFonts w:ascii="Arial" w:eastAsia="Arial" w:hAnsi="Arial" w:cs="Arial"/>
          <w:b/>
          <w:color w:val="000000"/>
        </w:rPr>
        <w:lastRenderedPageBreak/>
        <w:t>Timelines for the Competition</w:t>
      </w:r>
    </w:p>
    <w:p w:rsidR="001530AC" w:rsidRDefault="009D737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1530AC">
        <w:tc>
          <w:tcPr>
            <w:tcW w:w="5665" w:type="dxa"/>
            <w:vAlign w:val="center"/>
          </w:tcPr>
          <w:p w:rsidR="001530AC" w:rsidRDefault="009D7376">
            <w:pPr>
              <w:spacing w:before="120" w:after="120"/>
            </w:pPr>
            <w:r>
              <w:t>Start Date (this is the date we submitted the Contract Notice to be published)</w:t>
            </w:r>
          </w:p>
        </w:tc>
        <w:tc>
          <w:tcPr>
            <w:tcW w:w="3351" w:type="dxa"/>
            <w:vAlign w:val="center"/>
          </w:tcPr>
          <w:p w:rsidR="001530AC" w:rsidRDefault="009D7376">
            <w:pPr>
              <w:spacing w:before="120" w:after="120"/>
            </w:pPr>
            <w:r>
              <w:t>22/03/2024</w:t>
            </w:r>
          </w:p>
        </w:tc>
      </w:tr>
      <w:tr w:rsidR="001530AC">
        <w:tc>
          <w:tcPr>
            <w:tcW w:w="5665" w:type="dxa"/>
            <w:vAlign w:val="center"/>
          </w:tcPr>
          <w:p w:rsidR="001530AC" w:rsidRDefault="009D7376">
            <w:pPr>
              <w:spacing w:before="120" w:after="120"/>
            </w:pPr>
            <w:r>
              <w:t>Publ</w:t>
            </w:r>
            <w:r>
              <w:t xml:space="preserve">ication Date (this is the date the ITT pack will be published)  </w:t>
            </w:r>
          </w:p>
        </w:tc>
        <w:tc>
          <w:tcPr>
            <w:tcW w:w="3351" w:type="dxa"/>
            <w:vAlign w:val="center"/>
          </w:tcPr>
          <w:p w:rsidR="001530AC" w:rsidRDefault="009D7376">
            <w:pPr>
              <w:spacing w:before="120" w:after="120"/>
            </w:pPr>
            <w:r>
              <w:t>22/03/2024</w:t>
            </w:r>
          </w:p>
        </w:tc>
      </w:tr>
      <w:tr w:rsidR="001530AC">
        <w:tc>
          <w:tcPr>
            <w:tcW w:w="5665" w:type="dxa"/>
            <w:vAlign w:val="center"/>
          </w:tcPr>
          <w:p w:rsidR="001530AC" w:rsidRDefault="009D7376">
            <w:pPr>
              <w:spacing w:before="120" w:after="120"/>
            </w:pPr>
            <w:r>
              <w:t>Clarification Questions Deadline</w:t>
            </w:r>
          </w:p>
        </w:tc>
        <w:tc>
          <w:tcPr>
            <w:tcW w:w="3351" w:type="dxa"/>
            <w:vAlign w:val="center"/>
          </w:tcPr>
          <w:p w:rsidR="001530AC" w:rsidRDefault="009D7376">
            <w:r>
              <w:t>17:00 05/04/2024</w:t>
            </w:r>
          </w:p>
        </w:tc>
      </w:tr>
      <w:tr w:rsidR="001530AC">
        <w:tc>
          <w:tcPr>
            <w:tcW w:w="5665" w:type="dxa"/>
            <w:vAlign w:val="center"/>
          </w:tcPr>
          <w:p w:rsidR="001530AC" w:rsidRDefault="009D7376">
            <w:pPr>
              <w:spacing w:before="120" w:after="120"/>
            </w:pPr>
            <w:r>
              <w:t>Deadline for our Responses to Clarification Questions</w:t>
            </w:r>
          </w:p>
        </w:tc>
        <w:tc>
          <w:tcPr>
            <w:tcW w:w="3351" w:type="dxa"/>
            <w:vAlign w:val="center"/>
          </w:tcPr>
          <w:p w:rsidR="001530AC" w:rsidRDefault="009D7376">
            <w:r>
              <w:t>15/04/2024</w:t>
            </w:r>
          </w:p>
        </w:tc>
      </w:tr>
      <w:tr w:rsidR="001530AC">
        <w:tc>
          <w:tcPr>
            <w:tcW w:w="5665" w:type="dxa"/>
            <w:vAlign w:val="center"/>
          </w:tcPr>
          <w:p w:rsidR="001530AC" w:rsidRDefault="009D7376">
            <w:pPr>
              <w:spacing w:before="120" w:after="120"/>
            </w:pPr>
            <w:r>
              <w:t>Bid Submission Deadline</w:t>
            </w:r>
          </w:p>
        </w:tc>
        <w:tc>
          <w:tcPr>
            <w:tcW w:w="3351" w:type="dxa"/>
            <w:vAlign w:val="center"/>
          </w:tcPr>
          <w:p w:rsidR="001530AC" w:rsidRDefault="009D7376">
            <w:r>
              <w:t>15:00 23/04/2024</w:t>
            </w:r>
          </w:p>
        </w:tc>
      </w:tr>
      <w:tr w:rsidR="001530AC">
        <w:tc>
          <w:tcPr>
            <w:tcW w:w="5665" w:type="dxa"/>
            <w:vAlign w:val="center"/>
          </w:tcPr>
          <w:p w:rsidR="001530AC" w:rsidRDefault="009D7376">
            <w:pPr>
              <w:spacing w:before="120" w:after="120"/>
            </w:pPr>
            <w:r>
              <w:t xml:space="preserve">Compliance </w:t>
            </w:r>
          </w:p>
        </w:tc>
        <w:tc>
          <w:tcPr>
            <w:tcW w:w="3351" w:type="dxa"/>
            <w:vAlign w:val="center"/>
          </w:tcPr>
          <w:p w:rsidR="001530AC" w:rsidRDefault="009D7376">
            <w:r>
              <w:t>From the bid submission deadline through to Award of Framework Contracts</w:t>
            </w:r>
          </w:p>
        </w:tc>
      </w:tr>
      <w:tr w:rsidR="001530AC">
        <w:tc>
          <w:tcPr>
            <w:tcW w:w="5665" w:type="dxa"/>
            <w:vAlign w:val="center"/>
          </w:tcPr>
          <w:p w:rsidR="001530AC" w:rsidRDefault="009D7376">
            <w:pPr>
              <w:spacing w:before="120" w:after="120"/>
            </w:pPr>
            <w:r>
              <w:t>Issue of Intention to Award Notices to Successful and Unsuccessful Bidders</w:t>
            </w:r>
          </w:p>
        </w:tc>
        <w:tc>
          <w:tcPr>
            <w:tcW w:w="3351" w:type="dxa"/>
            <w:vAlign w:val="center"/>
          </w:tcPr>
          <w:p w:rsidR="001530AC" w:rsidRDefault="009D7376">
            <w:r>
              <w:t>20/09/2024</w:t>
            </w:r>
          </w:p>
        </w:tc>
      </w:tr>
      <w:tr w:rsidR="001530AC">
        <w:trPr>
          <w:trHeight w:val="737"/>
        </w:trPr>
        <w:tc>
          <w:tcPr>
            <w:tcW w:w="5665" w:type="dxa"/>
            <w:vAlign w:val="center"/>
          </w:tcPr>
          <w:p w:rsidR="001530AC" w:rsidRDefault="009D7376">
            <w:pPr>
              <w:spacing w:before="120" w:after="120"/>
            </w:pPr>
            <w:r>
              <w:t>End of Mandatory Standstill Period</w:t>
            </w:r>
          </w:p>
        </w:tc>
        <w:tc>
          <w:tcPr>
            <w:tcW w:w="3351" w:type="dxa"/>
            <w:vAlign w:val="center"/>
          </w:tcPr>
          <w:p w:rsidR="001530AC" w:rsidRDefault="009D7376">
            <w:r>
              <w:t>midnight at the end of  30/09/2024</w:t>
            </w:r>
          </w:p>
        </w:tc>
      </w:tr>
      <w:tr w:rsidR="001530AC">
        <w:tc>
          <w:tcPr>
            <w:tcW w:w="5665" w:type="dxa"/>
            <w:vAlign w:val="center"/>
          </w:tcPr>
          <w:p w:rsidR="001530AC" w:rsidRDefault="009D7376">
            <w:pPr>
              <w:spacing w:before="120" w:after="120"/>
            </w:pPr>
            <w:r>
              <w:t xml:space="preserve">Award of Framework Contracts </w:t>
            </w:r>
          </w:p>
        </w:tc>
        <w:tc>
          <w:tcPr>
            <w:tcW w:w="3351" w:type="dxa"/>
            <w:vAlign w:val="center"/>
          </w:tcPr>
          <w:p w:rsidR="001530AC" w:rsidRDefault="009D7376">
            <w:r>
              <w:t>01/10/2024</w:t>
            </w:r>
          </w:p>
        </w:tc>
      </w:tr>
      <w:tr w:rsidR="001530AC">
        <w:tc>
          <w:tcPr>
            <w:tcW w:w="5665" w:type="dxa"/>
            <w:vAlign w:val="center"/>
          </w:tcPr>
          <w:p w:rsidR="001530AC" w:rsidRDefault="009D7376">
            <w:pPr>
              <w:spacing w:before="120" w:after="120"/>
            </w:pPr>
            <w:r>
              <w:t>Framework Start Date</w:t>
            </w:r>
          </w:p>
        </w:tc>
        <w:tc>
          <w:tcPr>
            <w:tcW w:w="3351" w:type="dxa"/>
            <w:vAlign w:val="center"/>
          </w:tcPr>
          <w:p w:rsidR="001530AC" w:rsidRDefault="009D7376">
            <w:r>
              <w:t>01/10/2024</w:t>
            </w:r>
          </w:p>
        </w:tc>
      </w:tr>
    </w:tbl>
    <w:p w:rsidR="001530AC" w:rsidRDefault="001530AC">
      <w:pPr>
        <w:rPr>
          <w:rFonts w:ascii="Arial" w:eastAsia="Arial" w:hAnsi="Arial" w:cs="Arial"/>
          <w:b/>
          <w:sz w:val="32"/>
          <w:szCs w:val="32"/>
        </w:rPr>
      </w:pPr>
      <w:bookmarkStart w:id="13" w:name="_heading=h.zfi8iwhxjbx" w:colFirst="0" w:colLast="0"/>
      <w:bookmarkEnd w:id="13"/>
    </w:p>
    <w:p w:rsidR="001530AC" w:rsidRDefault="009D7376">
      <w:pPr>
        <w:rPr>
          <w:rFonts w:ascii="Arial" w:eastAsia="Arial" w:hAnsi="Arial" w:cs="Arial"/>
          <w:b/>
          <w:sz w:val="32"/>
          <w:szCs w:val="32"/>
        </w:rPr>
      </w:pPr>
      <w:bookmarkStart w:id="14" w:name="_heading=h.equxy794n6ez" w:colFirst="0" w:colLast="0"/>
      <w:bookmarkEnd w:id="14"/>
      <w:r>
        <w:br w:type="page"/>
      </w:r>
    </w:p>
    <w:p w:rsidR="001530AC" w:rsidRDefault="009D7376">
      <w:pPr>
        <w:pStyle w:val="Heading1"/>
        <w:numPr>
          <w:ilvl w:val="0"/>
          <w:numId w:val="5"/>
        </w:numPr>
      </w:pPr>
      <w:bookmarkStart w:id="15" w:name="_heading=h.2jxsxqh" w:colFirst="0" w:colLast="0"/>
      <w:bookmarkEnd w:id="15"/>
      <w:r>
        <w:rPr>
          <w:rFonts w:ascii="Arial" w:eastAsia="Arial" w:hAnsi="Arial" w:cs="Arial"/>
          <w:b/>
          <w:color w:val="000000"/>
        </w:rPr>
        <w:lastRenderedPageBreak/>
        <w:t>When and How to Ask Questions</w:t>
      </w:r>
    </w:p>
    <w:p w:rsidR="001530AC" w:rsidRDefault="009D7376">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1530AC" w:rsidRDefault="009D7376">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1530AC" w:rsidRDefault="009D7376">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You need to send your questions to us throug</w:t>
      </w:r>
      <w:r>
        <w:rPr>
          <w:rFonts w:ascii="Arial" w:eastAsia="Arial" w:hAnsi="Arial" w:cs="Arial"/>
          <w:color w:val="000000"/>
          <w:sz w:val="24"/>
          <w:szCs w:val="24"/>
        </w:rPr>
        <w:t xml:space="preserve">h the eSourcing Suite. This is the only way we can communicate with Bidders. Try to ensure your question is specific and clear. Do not include your identity in the question. This is because we publish all the questions and our responses, to all Bidders. </w:t>
      </w:r>
    </w:p>
    <w:p w:rsidR="001530AC" w:rsidRDefault="009D7376">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f you feel that a particular question should not be published, you must tell us why when you ask the question. We will decide whether or not to publish the question and response.</w:t>
      </w:r>
    </w:p>
    <w:p w:rsidR="001530AC" w:rsidRDefault="009D7376">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 xml:space="preserve">Remember that you can ask us questions about the Framework Contract and Call </w:t>
      </w:r>
      <w:r>
        <w:rPr>
          <w:rFonts w:ascii="Arial" w:eastAsia="Arial" w:hAnsi="Arial" w:cs="Arial"/>
          <w:color w:val="000000"/>
          <w:sz w:val="24"/>
          <w:szCs w:val="24"/>
        </w:rPr>
        <w:t>Off Contract but please do not attempt to ‘negotiate’ the terms. All Framework awards will be made under identical terms.</w:t>
      </w:r>
    </w:p>
    <w:p w:rsidR="001530AC" w:rsidRDefault="009D7376">
      <w:pPr>
        <w:pStyle w:val="Heading1"/>
        <w:numPr>
          <w:ilvl w:val="0"/>
          <w:numId w:val="5"/>
        </w:numPr>
      </w:pPr>
      <w:bookmarkStart w:id="16" w:name="_heading=h.4i7ojhp" w:colFirst="0" w:colLast="0"/>
      <w:bookmarkEnd w:id="16"/>
      <w:r>
        <w:rPr>
          <w:rFonts w:ascii="Arial" w:eastAsia="Arial" w:hAnsi="Arial" w:cs="Arial"/>
          <w:b/>
          <w:color w:val="000000"/>
        </w:rPr>
        <w:t>Management Information and Management Charge</w:t>
      </w:r>
    </w:p>
    <w:p w:rsidR="001530AC" w:rsidRDefault="009D7376">
      <w:pPr>
        <w:spacing w:after="200" w:line="276" w:lineRule="auto"/>
        <w:ind w:left="425"/>
        <w:rPr>
          <w:rFonts w:ascii="Arial" w:eastAsia="Arial" w:hAnsi="Arial" w:cs="Arial"/>
          <w:sz w:val="26"/>
          <w:szCs w:val="26"/>
        </w:rPr>
      </w:pPr>
      <w:r>
        <w:rPr>
          <w:rFonts w:ascii="Arial" w:eastAsia="Arial" w:hAnsi="Arial" w:cs="Arial"/>
          <w:sz w:val="24"/>
          <w:szCs w:val="24"/>
        </w:rPr>
        <w:t>If you are awarded a Framework Contract you will need to send to us management informatio</w:t>
      </w:r>
      <w:r>
        <w:rPr>
          <w:rFonts w:ascii="Arial" w:eastAsia="Arial" w:hAnsi="Arial" w:cs="Arial"/>
          <w:sz w:val="24"/>
          <w:szCs w:val="24"/>
        </w:rPr>
        <w:t xml:space="preserve">n every month. We will use this information to calculate the management charges you must pay us for sales made through the Framework. See Framework Schedule 5 (Management Charges and Information). </w:t>
      </w:r>
      <w:hyperlink r:id="rId15">
        <w:r>
          <w:rPr>
            <w:rFonts w:ascii="Roboto" w:eastAsia="Roboto" w:hAnsi="Roboto" w:cs="Roboto"/>
            <w:color w:val="0B57D0"/>
            <w:sz w:val="23"/>
            <w:szCs w:val="23"/>
            <w:u w:val="single"/>
          </w:rPr>
          <w:t>https://www.crowncommercial.gov.uk/agreements/RM6305</w:t>
        </w:r>
      </w:hyperlink>
    </w:p>
    <w:p w:rsidR="001530AC" w:rsidRDefault="009D7376">
      <w:pPr>
        <w:spacing w:after="200" w:line="276" w:lineRule="auto"/>
        <w:ind w:left="425"/>
        <w:rPr>
          <w:rFonts w:ascii="Arial" w:eastAsia="Arial" w:hAnsi="Arial" w:cs="Arial"/>
          <w:sz w:val="24"/>
          <w:szCs w:val="24"/>
        </w:rPr>
      </w:pPr>
      <w:r>
        <w:rPr>
          <w:rFonts w:ascii="Arial" w:eastAsia="Arial" w:hAnsi="Arial" w:cs="Arial"/>
          <w:sz w:val="24"/>
          <w:szCs w:val="24"/>
        </w:rPr>
        <w:t>The percentage management charge is stated in the Framework Award Form at section 14 Management Charge and Attachment 2 How to Bid paragraph 11.1.</w:t>
      </w:r>
    </w:p>
    <w:p w:rsidR="001530AC" w:rsidRDefault="009D7376">
      <w:pPr>
        <w:pStyle w:val="Heading1"/>
        <w:numPr>
          <w:ilvl w:val="0"/>
          <w:numId w:val="5"/>
        </w:numPr>
        <w:rPr>
          <w:rFonts w:ascii="Arial" w:eastAsia="Arial" w:hAnsi="Arial" w:cs="Arial"/>
          <w:color w:val="000000"/>
          <w:sz w:val="24"/>
          <w:szCs w:val="24"/>
        </w:rPr>
      </w:pPr>
      <w:bookmarkStart w:id="17" w:name="_heading=h.2xcytpi" w:colFirst="0" w:colLast="0"/>
      <w:bookmarkEnd w:id="17"/>
      <w:r>
        <w:rPr>
          <w:rFonts w:ascii="Arial" w:eastAsia="Arial" w:hAnsi="Arial" w:cs="Arial"/>
          <w:b/>
          <w:color w:val="000000"/>
        </w:rPr>
        <w:t>Transfer of Undertakings (Protection of Emp</w:t>
      </w:r>
      <w:r>
        <w:rPr>
          <w:rFonts w:ascii="Arial" w:eastAsia="Arial" w:hAnsi="Arial" w:cs="Arial"/>
          <w:b/>
          <w:color w:val="000000"/>
        </w:rPr>
        <w:t>loyment) Regulations 2006 (“TUPE”)</w:t>
      </w:r>
    </w:p>
    <w:p w:rsidR="001530AC" w:rsidRDefault="009D7376">
      <w:pPr>
        <w:rPr>
          <w:rFonts w:ascii="Arial" w:eastAsia="Arial" w:hAnsi="Arial" w:cs="Arial"/>
          <w:color w:val="000000"/>
          <w:sz w:val="24"/>
          <w:szCs w:val="24"/>
        </w:rPr>
      </w:pPr>
      <w:r>
        <w:rPr>
          <w:rFonts w:ascii="Arial" w:eastAsia="Arial" w:hAnsi="Arial" w:cs="Arial"/>
          <w:color w:val="000000"/>
          <w:sz w:val="24"/>
          <w:szCs w:val="24"/>
        </w:rPr>
        <w:t xml:space="preserve"> </w:t>
      </w:r>
    </w:p>
    <w:p w:rsidR="001530AC" w:rsidRDefault="009D7376">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services are provided to CCS by the outgoing supplier but there is no organised grouping of employees</w:t>
      </w:r>
    </w:p>
    <w:p w:rsidR="001530AC" w:rsidRDefault="009D7376">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1530AC" w:rsidRDefault="009D7376">
      <w:pPr>
        <w:pBdr>
          <w:top w:val="nil"/>
          <w:left w:val="nil"/>
          <w:bottom w:val="nil"/>
          <w:right w:val="nil"/>
          <w:between w:val="nil"/>
        </w:pBdr>
        <w:tabs>
          <w:tab w:val="left" w:pos="1134"/>
        </w:tabs>
        <w:spacing w:after="200" w:line="276" w:lineRule="auto"/>
        <w:ind w:left="425"/>
        <w:rPr>
          <w:rFonts w:ascii="Arial" w:eastAsia="Arial" w:hAnsi="Arial" w:cs="Arial"/>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the required services are currently being provided by a supplier but there</w:t>
      </w:r>
      <w:r>
        <w:rPr>
          <w:rFonts w:ascii="Arial" w:eastAsia="Arial" w:hAnsi="Arial" w:cs="Arial"/>
          <w:sz w:val="24"/>
          <w:szCs w:val="24"/>
        </w:rPr>
        <w:t xml:space="preserve"> is no organised grouping of employees</w:t>
      </w:r>
    </w:p>
    <w:p w:rsidR="001530AC" w:rsidRDefault="009D7376">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lastRenderedPageBreak/>
        <w:t>Again, we encourage you to take your own advice on whether TUPE is likely to apply and to carry out due diligence accordingly.</w:t>
      </w:r>
    </w:p>
    <w:p w:rsidR="001530AC" w:rsidRDefault="009D7376">
      <w:pPr>
        <w:pStyle w:val="Heading1"/>
        <w:numPr>
          <w:ilvl w:val="0"/>
          <w:numId w:val="5"/>
        </w:numPr>
      </w:pPr>
      <w:bookmarkStart w:id="18" w:name="_heading=h.3whwml4" w:colFirst="0" w:colLast="0"/>
      <w:bookmarkEnd w:id="18"/>
      <w:r>
        <w:rPr>
          <w:rFonts w:ascii="Arial" w:eastAsia="Arial" w:hAnsi="Arial" w:cs="Arial"/>
          <w:b/>
          <w:color w:val="000000"/>
        </w:rPr>
        <w:t xml:space="preserve">Competition Rules </w:t>
      </w:r>
    </w:p>
    <w:p w:rsidR="001530AC" w:rsidRDefault="009D7376">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We run our competitions so that they are fair and transparent for all B</w:t>
      </w:r>
      <w:r>
        <w:rPr>
          <w:rFonts w:ascii="Arial" w:eastAsia="Arial" w:hAnsi="Arial" w:cs="Arial"/>
          <w:color w:val="000000"/>
          <w:sz w:val="24"/>
          <w:szCs w:val="24"/>
        </w:rPr>
        <w:t xml:space="preserve">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19" w:name="_heading=h.1ksv4uv" w:colFirst="0" w:colLast="0"/>
      <w:bookmarkEnd w:id="19"/>
      <w:r>
        <w:rPr>
          <w:rFonts w:ascii="Arial" w:eastAsia="Arial" w:hAnsi="Arial" w:cs="Arial"/>
          <w:color w:val="000000"/>
          <w:sz w:val="28"/>
          <w:szCs w:val="28"/>
        </w:rPr>
        <w:t>What You Can Expect From Us</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Subject to paragraph 1.10 of this document, we will not share any information from your bid which you have identified as being confidential or commercially sensitive with third parties, apart from other Central Government bodies (and their related bodies).</w:t>
      </w:r>
      <w:r>
        <w:rPr>
          <w:rFonts w:ascii="Arial" w:eastAsia="Arial" w:hAnsi="Arial" w:cs="Arial"/>
          <w:color w:val="000000"/>
          <w:sz w:val="24"/>
          <w:szCs w:val="24"/>
        </w:rPr>
        <w:t xml:space="preserve"> However, we may share this information but only in line with the Regulations, the Freedom of Information Act 2000 (FOIA) or any other law as applicable.</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0" w:name="_heading=h.1ua66z4brfst" w:colFirst="0" w:colLast="0"/>
      <w:bookmarkEnd w:id="20"/>
      <w:r>
        <w:rPr>
          <w:rFonts w:ascii="Arial" w:eastAsia="Arial" w:hAnsi="Arial" w:cs="Arial"/>
          <w:sz w:val="28"/>
          <w:szCs w:val="28"/>
        </w:rPr>
        <w:t>What</w:t>
      </w:r>
      <w:r>
        <w:rPr>
          <w:rFonts w:ascii="Arial" w:eastAsia="Arial" w:hAnsi="Arial" w:cs="Arial"/>
          <w:color w:val="000000"/>
          <w:sz w:val="28"/>
          <w:szCs w:val="28"/>
        </w:rPr>
        <w:t xml:space="preserve"> We Expect From You</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 xml:space="preserve">You must comply with these competition rules and the instructions in this ITT </w:t>
      </w:r>
      <w:r>
        <w:rPr>
          <w:rFonts w:ascii="Arial" w:eastAsia="Arial" w:hAnsi="Arial" w:cs="Arial"/>
          <w:color w:val="000000"/>
          <w:sz w:val="24"/>
          <w:szCs w:val="24"/>
        </w:rPr>
        <w:t>pack and any other instructions given by us. You must also ensure members of your consortium, Key Subcontractors or advisors comply.</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rsidR="001530AC" w:rsidRDefault="001530AC">
      <w:pPr>
        <w:pBdr>
          <w:top w:val="nil"/>
          <w:left w:val="nil"/>
          <w:bottom w:val="nil"/>
          <w:right w:val="nil"/>
          <w:between w:val="nil"/>
        </w:pBdr>
        <w:tabs>
          <w:tab w:val="left" w:pos="709"/>
        </w:tabs>
        <w:spacing w:before="120" w:after="120" w:line="240" w:lineRule="auto"/>
        <w:ind w:left="1275"/>
        <w:rPr>
          <w:rFonts w:ascii="Arial" w:eastAsia="Arial" w:hAnsi="Arial" w:cs="Arial"/>
          <w:sz w:val="24"/>
          <w:szCs w:val="24"/>
        </w:rPr>
      </w:pP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You must submit your bid in English and throug</w:t>
      </w:r>
      <w:r>
        <w:rPr>
          <w:rFonts w:ascii="Arial" w:eastAsia="Arial" w:hAnsi="Arial" w:cs="Arial"/>
          <w:color w:val="000000"/>
          <w:sz w:val="24"/>
          <w:szCs w:val="24"/>
        </w:rPr>
        <w:t>h the eSourcing suite only.</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1" w:name="_heading=h.ox7nwc6mhxso" w:colFirst="0" w:colLast="0"/>
      <w:bookmarkEnd w:id="21"/>
      <w:r>
        <w:rPr>
          <w:rFonts w:ascii="Arial" w:eastAsia="Arial" w:hAnsi="Arial" w:cs="Arial"/>
          <w:sz w:val="28"/>
          <w:szCs w:val="28"/>
        </w:rPr>
        <w:t>Involvement</w:t>
      </w:r>
      <w:r>
        <w:rPr>
          <w:rFonts w:ascii="Arial" w:eastAsia="Arial" w:hAnsi="Arial" w:cs="Arial"/>
          <w:color w:val="000000"/>
          <w:sz w:val="28"/>
          <w:szCs w:val="28"/>
        </w:rPr>
        <w:t xml:space="preserve"> in Multiple Bids</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1530AC" w:rsidRDefault="009D7376">
      <w:pPr>
        <w:numPr>
          <w:ilvl w:val="0"/>
          <w:numId w:val="11"/>
        </w:numPr>
        <w:ind w:left="1842" w:hanging="570"/>
        <w:rPr>
          <w:rFonts w:ascii="Arial" w:eastAsia="Arial" w:hAnsi="Arial" w:cs="Arial"/>
          <w:sz w:val="24"/>
          <w:szCs w:val="24"/>
        </w:rPr>
      </w:pPr>
      <w:r>
        <w:rPr>
          <w:rFonts w:ascii="Arial" w:eastAsia="Arial" w:hAnsi="Arial" w:cs="Arial"/>
          <w:sz w:val="24"/>
          <w:szCs w:val="24"/>
        </w:rPr>
        <w:t xml:space="preserve">in your own name and as a Key Subcontractor and/or </w:t>
      </w:r>
      <w:r>
        <w:rPr>
          <w:rFonts w:ascii="Arial" w:eastAsia="Arial" w:hAnsi="Arial" w:cs="Arial"/>
          <w:sz w:val="24"/>
          <w:szCs w:val="24"/>
        </w:rPr>
        <w:t>a member of a consortium connected with a separate bid</w:t>
      </w:r>
    </w:p>
    <w:p w:rsidR="001530AC" w:rsidRDefault="009D7376">
      <w:pPr>
        <w:numPr>
          <w:ilvl w:val="0"/>
          <w:numId w:val="11"/>
        </w:numPr>
        <w:pBdr>
          <w:top w:val="nil"/>
          <w:left w:val="nil"/>
          <w:bottom w:val="nil"/>
          <w:right w:val="nil"/>
          <w:between w:val="nil"/>
        </w:pBdr>
        <w:ind w:left="1842" w:hanging="570"/>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1530AC" w:rsidRDefault="009D7376">
      <w:pPr>
        <w:ind w:left="992"/>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rsidR="001530AC" w:rsidRDefault="009D7376">
      <w:pPr>
        <w:numPr>
          <w:ilvl w:val="0"/>
          <w:numId w:val="11"/>
        </w:numPr>
        <w:pBdr>
          <w:top w:val="nil"/>
          <w:left w:val="nil"/>
          <w:bottom w:val="nil"/>
          <w:right w:val="nil"/>
          <w:between w:val="nil"/>
        </w:pBdr>
        <w:ind w:left="1842" w:hanging="570"/>
        <w:rPr>
          <w:rFonts w:ascii="Arial" w:eastAsia="Arial" w:hAnsi="Arial" w:cs="Arial"/>
          <w:sz w:val="24"/>
          <w:szCs w:val="24"/>
        </w:rPr>
      </w:pPr>
      <w:r>
        <w:rPr>
          <w:rFonts w:ascii="Arial" w:eastAsia="Arial" w:hAnsi="Arial" w:cs="Arial"/>
          <w:sz w:val="24"/>
          <w:szCs w:val="24"/>
        </w:rPr>
        <w:t>potential or actual conflicts of interest</w:t>
      </w:r>
    </w:p>
    <w:p w:rsidR="001530AC" w:rsidRDefault="009D7376">
      <w:pPr>
        <w:numPr>
          <w:ilvl w:val="0"/>
          <w:numId w:val="11"/>
        </w:numPr>
        <w:pBdr>
          <w:top w:val="nil"/>
          <w:left w:val="nil"/>
          <w:bottom w:val="nil"/>
          <w:right w:val="nil"/>
          <w:between w:val="nil"/>
        </w:pBdr>
        <w:ind w:left="1842" w:hanging="570"/>
        <w:rPr>
          <w:rFonts w:ascii="Arial" w:eastAsia="Arial" w:hAnsi="Arial" w:cs="Arial"/>
          <w:sz w:val="24"/>
          <w:szCs w:val="24"/>
        </w:rPr>
      </w:pPr>
      <w:r>
        <w:rPr>
          <w:rFonts w:ascii="Arial" w:eastAsia="Arial" w:hAnsi="Arial" w:cs="Arial"/>
          <w:sz w:val="24"/>
          <w:szCs w:val="24"/>
        </w:rPr>
        <w:t>supplier capacity problems</w:t>
      </w:r>
    </w:p>
    <w:p w:rsidR="001530AC" w:rsidRDefault="009D7376">
      <w:pPr>
        <w:numPr>
          <w:ilvl w:val="0"/>
          <w:numId w:val="11"/>
        </w:numPr>
        <w:pBdr>
          <w:top w:val="nil"/>
          <w:left w:val="nil"/>
          <w:bottom w:val="nil"/>
          <w:right w:val="nil"/>
          <w:between w:val="nil"/>
        </w:pBdr>
        <w:ind w:left="1842" w:hanging="570"/>
        <w:rPr>
          <w:rFonts w:ascii="Arial" w:eastAsia="Arial" w:hAnsi="Arial" w:cs="Arial"/>
          <w:sz w:val="24"/>
          <w:szCs w:val="24"/>
        </w:rPr>
      </w:pPr>
      <w:r>
        <w:rPr>
          <w:rFonts w:ascii="Arial" w:eastAsia="Arial" w:hAnsi="Arial" w:cs="Arial"/>
          <w:sz w:val="24"/>
          <w:szCs w:val="24"/>
        </w:rPr>
        <w:t>restrictions or distortions in competition</w:t>
      </w:r>
    </w:p>
    <w:p w:rsidR="001530AC" w:rsidRDefault="009D7376">
      <w:pPr>
        <w:ind w:left="1275"/>
        <w:rPr>
          <w:rFonts w:ascii="Arial" w:eastAsia="Arial" w:hAnsi="Arial" w:cs="Arial"/>
          <w:sz w:val="24"/>
          <w:szCs w:val="24"/>
        </w:rPr>
      </w:pPr>
      <w:r>
        <w:rPr>
          <w:rFonts w:ascii="Arial" w:eastAsia="Arial" w:hAnsi="Arial" w:cs="Arial"/>
          <w:sz w:val="24"/>
          <w:szCs w:val="24"/>
        </w:rPr>
        <w:lastRenderedPageBreak/>
        <w:t>We may require you to amend or withdraw all or part of your bid if, in our reasonable opinion, any of the above issues have arisen or may arise.</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5" w:hanging="855"/>
      </w:pPr>
      <w:bookmarkStart w:id="22" w:name="_heading=h.84p2dxe64pg6" w:colFirst="0" w:colLast="0"/>
      <w:bookmarkEnd w:id="22"/>
      <w:r>
        <w:rPr>
          <w:rFonts w:ascii="Arial" w:eastAsia="Arial" w:hAnsi="Arial" w:cs="Arial"/>
          <w:sz w:val="28"/>
          <w:szCs w:val="28"/>
        </w:rPr>
        <w:t>Collusive</w:t>
      </w:r>
      <w:r>
        <w:rPr>
          <w:rFonts w:ascii="Arial" w:eastAsia="Arial" w:hAnsi="Arial" w:cs="Arial"/>
          <w:color w:val="000000"/>
          <w:sz w:val="28"/>
          <w:szCs w:val="28"/>
        </w:rPr>
        <w:t xml:space="preserve"> Behaviour</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sz w:val="24"/>
          <w:szCs w:val="24"/>
        </w:rPr>
        <w:t>You</w:t>
      </w:r>
      <w:r>
        <w:rPr>
          <w:rFonts w:ascii="Arial" w:eastAsia="Arial" w:hAnsi="Arial" w:cs="Arial"/>
          <w:b/>
          <w:color w:val="000000"/>
          <w:sz w:val="24"/>
          <w:szCs w:val="24"/>
        </w:rPr>
        <w:t xml:space="preserve">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1530AC" w:rsidRDefault="009D7376">
      <w:pPr>
        <w:numPr>
          <w:ilvl w:val="0"/>
          <w:numId w:val="11"/>
        </w:numPr>
        <w:ind w:left="1842" w:hanging="555"/>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1530AC" w:rsidRDefault="009D7376">
      <w:pPr>
        <w:numPr>
          <w:ilvl w:val="0"/>
          <w:numId w:val="11"/>
        </w:numPr>
        <w:ind w:left="1842" w:hanging="555"/>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w:t>
      </w:r>
      <w:r>
        <w:rPr>
          <w:rFonts w:ascii="Arial" w:eastAsia="Arial" w:hAnsi="Arial" w:cs="Arial"/>
          <w:sz w:val="24"/>
          <w:szCs w:val="24"/>
        </w:rPr>
        <w:t>bid or information which would enable the precise or approximate value, price or rates to be calculated by any other person except where such communication is undertaken with persons who are also participants in your bid submission, namely those where disc</w:t>
      </w:r>
      <w:r>
        <w:rPr>
          <w:rFonts w:ascii="Arial" w:eastAsia="Arial" w:hAnsi="Arial" w:cs="Arial"/>
          <w:sz w:val="24"/>
          <w:szCs w:val="24"/>
        </w:rPr>
        <w:t xml:space="preserve">losure to such person is made in confidence in order to obtain quotes necessary for your bid or to get any necessary security  </w:t>
      </w:r>
    </w:p>
    <w:p w:rsidR="001530AC" w:rsidRDefault="009D7376">
      <w:pPr>
        <w:numPr>
          <w:ilvl w:val="0"/>
          <w:numId w:val="11"/>
        </w:numPr>
        <w:ind w:left="1842" w:hanging="555"/>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1530AC" w:rsidRDefault="009D7376">
      <w:pPr>
        <w:numPr>
          <w:ilvl w:val="0"/>
          <w:numId w:val="11"/>
        </w:numPr>
        <w:ind w:left="1842" w:hanging="555"/>
        <w:rPr>
          <w:rFonts w:ascii="Arial" w:eastAsia="Arial" w:hAnsi="Arial" w:cs="Arial"/>
          <w:sz w:val="24"/>
          <w:szCs w:val="24"/>
        </w:rPr>
      </w:pPr>
      <w:r>
        <w:rPr>
          <w:rFonts w:ascii="Arial" w:eastAsia="Arial" w:hAnsi="Arial" w:cs="Arial"/>
          <w:sz w:val="24"/>
          <w:szCs w:val="24"/>
        </w:rPr>
        <w:t xml:space="preserve">share, permit or disclose </w:t>
      </w:r>
      <w:r>
        <w:rPr>
          <w:rFonts w:ascii="Arial" w:eastAsia="Arial" w:hAnsi="Arial" w:cs="Arial"/>
          <w:sz w:val="24"/>
          <w:szCs w:val="24"/>
        </w:rPr>
        <w:t>to another person, access to any information relating to your bid submission (or another bid submission to which you are party)</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w:t>
      </w:r>
      <w:r>
        <w:rPr>
          <w:rFonts w:ascii="Arial" w:eastAsia="Arial" w:hAnsi="Arial" w:cs="Arial"/>
          <w:sz w:val="24"/>
          <w:szCs w:val="24"/>
        </w:rPr>
        <w:t xml:space="preserve"> person for doing or having done or causing or having caused to be done in relation to its bid submission</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w:t>
      </w:r>
      <w:r>
        <w:rPr>
          <w:rFonts w:ascii="Arial" w:eastAsia="Arial" w:hAnsi="Arial" w:cs="Arial"/>
          <w:color w:val="000000"/>
          <w:sz w:val="24"/>
          <w:szCs w:val="24"/>
        </w:rPr>
        <w:t>pation in this competition.</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3" w:name="_heading=h.432dyn66w9nm" w:colFirst="0" w:colLast="0"/>
      <w:bookmarkEnd w:id="23"/>
      <w:r>
        <w:rPr>
          <w:rFonts w:ascii="Arial" w:eastAsia="Arial" w:hAnsi="Arial" w:cs="Arial"/>
          <w:sz w:val="28"/>
          <w:szCs w:val="28"/>
        </w:rPr>
        <w:t>Contracting</w:t>
      </w:r>
      <w:r>
        <w:rPr>
          <w:rFonts w:ascii="Arial" w:eastAsia="Arial" w:hAnsi="Arial" w:cs="Arial"/>
          <w:color w:val="000000"/>
          <w:sz w:val="28"/>
          <w:szCs w:val="28"/>
        </w:rPr>
        <w:t xml:space="preserve"> Arrangements</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sz w:val="24"/>
          <w:szCs w:val="24"/>
        </w:rPr>
        <w:t>Only</w:t>
      </w:r>
      <w:r>
        <w:rPr>
          <w:rFonts w:ascii="Arial" w:eastAsia="Arial" w:hAnsi="Arial" w:cs="Arial"/>
          <w:color w:val="000000"/>
          <w:sz w:val="24"/>
          <w:szCs w:val="24"/>
        </w:rPr>
        <w:t xml:space="preserve"> you or, as applicable,</w:t>
      </w:r>
      <w:r>
        <w:rPr>
          <w:rFonts w:ascii="Arial" w:eastAsia="Arial" w:hAnsi="Arial" w:cs="Arial"/>
          <w:color w:val="000000"/>
          <w:sz w:val="24"/>
          <w:szCs w:val="24"/>
        </w:rPr>
        <w:t xml:space="preserve"> your Key Subcontractors (as set out in your bid) or consortium members can provide the Deliverables through the Framework Contract. </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4" w:name="_heading=h.b01kwwakigf4" w:colFirst="0" w:colLast="0"/>
      <w:bookmarkEnd w:id="24"/>
      <w:r>
        <w:rPr>
          <w:rFonts w:ascii="Arial" w:eastAsia="Arial" w:hAnsi="Arial" w:cs="Arial"/>
          <w:sz w:val="28"/>
          <w:szCs w:val="28"/>
        </w:rPr>
        <w:t>Contracting</w:t>
      </w:r>
      <w:r>
        <w:rPr>
          <w:rFonts w:ascii="Arial" w:eastAsia="Arial" w:hAnsi="Arial" w:cs="Arial"/>
          <w:color w:val="000000"/>
          <w:sz w:val="28"/>
          <w:szCs w:val="28"/>
        </w:rPr>
        <w:t xml:space="preserve"> Arrangements for Consortium</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lastRenderedPageBreak/>
        <w:t xml:space="preserve">Otherwise, each member will sign the Framework Contract. </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5" w:name="_heading=h.b80ojvlqtxbr" w:colFirst="0" w:colLast="0"/>
      <w:bookmarkEnd w:id="25"/>
      <w:r>
        <w:rPr>
          <w:rFonts w:ascii="Arial" w:eastAsia="Arial" w:hAnsi="Arial" w:cs="Arial"/>
          <w:sz w:val="28"/>
          <w:szCs w:val="28"/>
        </w:rPr>
        <w:t>Bidder</w:t>
      </w:r>
      <w:r>
        <w:rPr>
          <w:rFonts w:ascii="Arial" w:eastAsia="Arial" w:hAnsi="Arial" w:cs="Arial"/>
          <w:color w:val="000000"/>
          <w:sz w:val="28"/>
          <w:szCs w:val="28"/>
        </w:rPr>
        <w:t xml:space="preserve"> Conduct and Conflicts of Interest</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w:t>
      </w:r>
      <w:r>
        <w:rPr>
          <w:rFonts w:ascii="Arial" w:eastAsia="Arial" w:hAnsi="Arial" w:cs="Arial"/>
          <w:color w:val="000000"/>
          <w:sz w:val="24"/>
          <w:szCs w:val="24"/>
        </w:rPr>
        <w:t xml:space="preserve"> For example, you must not directly or indirectly at any time:</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sz w:val="24"/>
          <w:szCs w:val="24"/>
        </w:rPr>
        <w:t>You</w:t>
      </w:r>
      <w:r>
        <w:rPr>
          <w:rFonts w:ascii="Arial" w:eastAsia="Arial" w:hAnsi="Arial" w:cs="Arial"/>
          <w:color w:val="000000"/>
          <w:sz w:val="24"/>
          <w:szCs w:val="24"/>
        </w:rPr>
        <w:t xml:space="preserve"> must ensure that no conflicts of inte</w:t>
      </w:r>
      <w:r>
        <w:rPr>
          <w:rFonts w:ascii="Arial" w:eastAsia="Arial" w:hAnsi="Arial" w:cs="Arial"/>
          <w:color w:val="000000"/>
          <w:sz w:val="24"/>
          <w:szCs w:val="24"/>
        </w:rPr>
        <w:t>rest exist between you and us. If you do not tell us about a known conflict, we may exclude you from the competition. We may also exclude you if a conflict cannot be dealt with in any other way.</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6" w:name="_heading=h.evxhcbqrkuv4" w:colFirst="0" w:colLast="0"/>
      <w:bookmarkEnd w:id="26"/>
      <w:r>
        <w:rPr>
          <w:rFonts w:ascii="Arial" w:eastAsia="Arial" w:hAnsi="Arial" w:cs="Arial"/>
          <w:sz w:val="28"/>
          <w:szCs w:val="28"/>
        </w:rPr>
        <w:t>Confidentiality</w:t>
      </w:r>
      <w:r>
        <w:rPr>
          <w:rFonts w:ascii="Arial" w:eastAsia="Arial" w:hAnsi="Arial" w:cs="Arial"/>
          <w:color w:val="000000"/>
          <w:sz w:val="28"/>
          <w:szCs w:val="28"/>
        </w:rPr>
        <w:t xml:space="preserve"> and Freedom of Information</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 xml:space="preserve">You must keep the </w:t>
      </w:r>
      <w:r>
        <w:rPr>
          <w:rFonts w:ascii="Arial" w:eastAsia="Arial" w:hAnsi="Arial" w:cs="Arial"/>
          <w:color w:val="000000"/>
          <w:sz w:val="24"/>
          <w:szCs w:val="24"/>
        </w:rPr>
        <w:t>contents of this ITT pack confidential unless it is already in the public domain, you must keep the fact you have received it confidential. This obligation does not apply to anything you have to do to:</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submit a bid</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comply with a legal obligation.</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7" w:name="_heading=h.i8g90gi9c889" w:colFirst="0" w:colLast="0"/>
      <w:bookmarkEnd w:id="27"/>
      <w:r>
        <w:rPr>
          <w:rFonts w:ascii="Arial" w:eastAsia="Arial" w:hAnsi="Arial" w:cs="Arial"/>
          <w:sz w:val="28"/>
          <w:szCs w:val="28"/>
        </w:rPr>
        <w:t>Publicity</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8" w:name="_heading=h.54xs7wppgjo6" w:colFirst="0" w:colLast="0"/>
      <w:bookmarkEnd w:id="28"/>
      <w:r>
        <w:rPr>
          <w:rFonts w:ascii="Arial" w:eastAsia="Arial" w:hAnsi="Arial" w:cs="Arial"/>
          <w:sz w:val="28"/>
          <w:szCs w:val="28"/>
        </w:rPr>
        <w:t>Our</w:t>
      </w:r>
      <w:r>
        <w:rPr>
          <w:rFonts w:ascii="Arial" w:eastAsia="Arial" w:hAnsi="Arial" w:cs="Arial"/>
          <w:color w:val="000000"/>
          <w:sz w:val="28"/>
          <w:szCs w:val="28"/>
        </w:rPr>
        <w:t xml:space="preserve"> Rights</w:t>
      </w:r>
    </w:p>
    <w:p w:rsidR="001530AC" w:rsidRDefault="009D7376">
      <w:pPr>
        <w:pBdr>
          <w:top w:val="nil"/>
          <w:left w:val="nil"/>
          <w:bottom w:val="nil"/>
          <w:right w:val="nil"/>
          <w:between w:val="nil"/>
        </w:pBdr>
        <w:tabs>
          <w:tab w:val="left" w:pos="709"/>
        </w:tabs>
        <w:spacing w:before="120" w:after="120" w:line="240" w:lineRule="auto"/>
        <w:ind w:left="1275"/>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 xml:space="preserve">verify information, seek clarification or require evidence or further information in respect of your bid. You MUST ensure you are regularly checking your messages to ensure </w:t>
      </w:r>
      <w:r>
        <w:rPr>
          <w:rFonts w:ascii="Arial" w:eastAsia="Arial" w:hAnsi="Arial" w:cs="Arial"/>
          <w:sz w:val="24"/>
          <w:szCs w:val="24"/>
        </w:rPr>
        <w:t>you are able to respond to our clarifications</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lastRenderedPageBreak/>
        <w:t>choose not to award any Framework Contract(s) or Lot(s) as a result of the competition</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rsidR="001530AC" w:rsidRDefault="009D7376">
      <w:pPr>
        <w:numPr>
          <w:ilvl w:val="0"/>
          <w:numId w:val="11"/>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carry out the evaluation stages (selection and award stages) of this pro</w:t>
      </w:r>
      <w:r>
        <w:rPr>
          <w:rFonts w:ascii="Arial" w:eastAsia="Arial" w:hAnsi="Arial" w:cs="Arial"/>
          <w:sz w:val="24"/>
          <w:szCs w:val="24"/>
        </w:rPr>
        <w:t xml:space="preserve">curement concurrently </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 xml:space="preserve">exclude you if: </w:t>
      </w:r>
    </w:p>
    <w:p w:rsidR="001530AC" w:rsidRDefault="009D7376">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1530AC" w:rsidRDefault="009D7376">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1530AC" w:rsidRDefault="009D7376">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1530AC" w:rsidRDefault="009D7376">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w:t>
      </w:r>
      <w:r>
        <w:rPr>
          <w:rFonts w:ascii="Arial" w:eastAsia="Arial" w:hAnsi="Arial" w:cs="Arial"/>
          <w:color w:val="000000"/>
          <w:sz w:val="24"/>
          <w:szCs w:val="24"/>
        </w:rPr>
        <w:t>ion and contract award</w:t>
      </w:r>
    </w:p>
    <w:p w:rsidR="001530AC" w:rsidRDefault="009D7376">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1530AC" w:rsidRDefault="009D7376">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1530AC" w:rsidRDefault="009D7376">
      <w:pPr>
        <w:numPr>
          <w:ilvl w:val="1"/>
          <w:numId w:val="6"/>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1530AC" w:rsidRDefault="001530AC">
      <w:pPr>
        <w:pBdr>
          <w:top w:val="nil"/>
          <w:left w:val="nil"/>
          <w:bottom w:val="nil"/>
          <w:right w:val="nil"/>
          <w:between w:val="nil"/>
        </w:pBdr>
        <w:spacing w:after="80"/>
        <w:rPr>
          <w:rFonts w:ascii="Arial" w:eastAsia="Arial" w:hAnsi="Arial" w:cs="Arial"/>
          <w:sz w:val="24"/>
          <w:szCs w:val="24"/>
        </w:rPr>
      </w:pP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29" w:name="_heading=h.eswwpkph8dir" w:colFirst="0" w:colLast="0"/>
      <w:bookmarkEnd w:id="29"/>
      <w:r>
        <w:rPr>
          <w:rFonts w:ascii="Arial" w:eastAsia="Arial" w:hAnsi="Arial" w:cs="Arial"/>
          <w:sz w:val="28"/>
          <w:szCs w:val="28"/>
        </w:rPr>
        <w:t>Consequences</w:t>
      </w:r>
      <w:r>
        <w:rPr>
          <w:rFonts w:ascii="Arial" w:eastAsia="Arial" w:hAnsi="Arial" w:cs="Arial"/>
          <w:color w:val="000000"/>
          <w:sz w:val="28"/>
          <w:szCs w:val="28"/>
        </w:rPr>
        <w:t xml:space="preserve"> of Misrepresentation</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1530AC" w:rsidRDefault="009D7376">
      <w:pPr>
        <w:numPr>
          <w:ilvl w:val="0"/>
          <w:numId w:val="11"/>
        </w:numPr>
        <w:ind w:left="1985" w:hanging="709"/>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1530AC" w:rsidRDefault="009D7376">
      <w:pPr>
        <w:numPr>
          <w:ilvl w:val="0"/>
          <w:numId w:val="11"/>
        </w:numPr>
        <w:pBdr>
          <w:top w:val="nil"/>
          <w:left w:val="nil"/>
          <w:bottom w:val="nil"/>
          <w:right w:val="nil"/>
          <w:between w:val="nil"/>
        </w:pBdr>
        <w:ind w:left="1985" w:hanging="709"/>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1530AC" w:rsidRDefault="009D7376">
      <w:pPr>
        <w:numPr>
          <w:ilvl w:val="0"/>
          <w:numId w:val="11"/>
        </w:numPr>
        <w:pBdr>
          <w:top w:val="nil"/>
          <w:left w:val="nil"/>
          <w:bottom w:val="nil"/>
          <w:right w:val="nil"/>
          <w:between w:val="nil"/>
        </w:pBdr>
        <w:ind w:left="1985" w:hanging="709"/>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w:t>
      </w:r>
      <w:r>
        <w:rPr>
          <w:rFonts w:ascii="Arial" w:eastAsia="Arial" w:hAnsi="Arial" w:cs="Arial"/>
          <w:sz w:val="24"/>
          <w:szCs w:val="24"/>
        </w:rPr>
        <w:t xml:space="preserve"> which can carry a sentence of up to 10 years or a fine (or both).</w:t>
      </w:r>
    </w:p>
    <w:p w:rsidR="001530AC" w:rsidRDefault="009D7376">
      <w:pPr>
        <w:numPr>
          <w:ilvl w:val="0"/>
          <w:numId w:val="11"/>
        </w:numPr>
        <w:pBdr>
          <w:top w:val="nil"/>
          <w:left w:val="nil"/>
          <w:bottom w:val="nil"/>
          <w:right w:val="nil"/>
          <w:between w:val="nil"/>
        </w:pBdr>
        <w:ind w:left="1985" w:hanging="709"/>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30" w:name="_heading=h.y4br8wreoujo" w:colFirst="0" w:colLast="0"/>
      <w:bookmarkEnd w:id="30"/>
      <w:r>
        <w:rPr>
          <w:rFonts w:ascii="Arial" w:eastAsia="Arial" w:hAnsi="Arial" w:cs="Arial"/>
          <w:sz w:val="28"/>
          <w:szCs w:val="28"/>
        </w:rPr>
        <w:t>Bid</w:t>
      </w:r>
      <w:r>
        <w:rPr>
          <w:rFonts w:ascii="Arial" w:eastAsia="Arial" w:hAnsi="Arial" w:cs="Arial"/>
          <w:color w:val="000000"/>
          <w:sz w:val="28"/>
          <w:szCs w:val="28"/>
        </w:rPr>
        <w:t xml:space="preserve"> Co</w:t>
      </w:r>
      <w:r>
        <w:rPr>
          <w:rFonts w:ascii="Arial" w:eastAsia="Arial" w:hAnsi="Arial" w:cs="Arial"/>
          <w:color w:val="000000"/>
          <w:sz w:val="28"/>
          <w:szCs w:val="28"/>
        </w:rPr>
        <w:t>sts</w:t>
      </w:r>
    </w:p>
    <w:p w:rsidR="001530AC" w:rsidRDefault="009D7376">
      <w:pPr>
        <w:pBdr>
          <w:top w:val="nil"/>
          <w:left w:val="nil"/>
          <w:bottom w:val="nil"/>
          <w:right w:val="nil"/>
          <w:between w:val="nil"/>
        </w:pBdr>
        <w:tabs>
          <w:tab w:val="left" w:pos="709"/>
        </w:tabs>
        <w:spacing w:before="120" w:after="120" w:line="240" w:lineRule="auto"/>
        <w:ind w:left="1275"/>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31" w:name="_heading=h.hy0dp7ejijam" w:colFirst="0" w:colLast="0"/>
      <w:bookmarkEnd w:id="31"/>
      <w:r>
        <w:rPr>
          <w:rFonts w:ascii="Arial" w:eastAsia="Arial" w:hAnsi="Arial" w:cs="Arial"/>
          <w:sz w:val="28"/>
          <w:szCs w:val="28"/>
        </w:rPr>
        <w:lastRenderedPageBreak/>
        <w:t>Warnings</w:t>
      </w:r>
      <w:r>
        <w:rPr>
          <w:rFonts w:ascii="Arial" w:eastAsia="Arial" w:hAnsi="Arial" w:cs="Arial"/>
          <w:color w:val="000000"/>
          <w:sz w:val="28"/>
          <w:szCs w:val="28"/>
        </w:rPr>
        <w:t xml:space="preserve"> and Disclaimers</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We will not be liable:</w:t>
      </w:r>
    </w:p>
    <w:p w:rsidR="001530AC" w:rsidRDefault="009D7376">
      <w:pPr>
        <w:numPr>
          <w:ilvl w:val="0"/>
          <w:numId w:val="11"/>
        </w:numPr>
        <w:pBdr>
          <w:top w:val="nil"/>
          <w:left w:val="nil"/>
          <w:bottom w:val="nil"/>
          <w:right w:val="nil"/>
          <w:between w:val="nil"/>
        </w:pBdr>
        <w:ind w:left="1985" w:hanging="709"/>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1530AC" w:rsidRDefault="009D7376">
      <w:pPr>
        <w:numPr>
          <w:ilvl w:val="0"/>
          <w:numId w:val="11"/>
        </w:numPr>
        <w:pBdr>
          <w:top w:val="nil"/>
          <w:left w:val="nil"/>
          <w:bottom w:val="nil"/>
          <w:right w:val="nil"/>
          <w:between w:val="nil"/>
        </w:pBdr>
        <w:ind w:left="1985" w:hanging="709"/>
        <w:rPr>
          <w:rFonts w:ascii="Arial" w:eastAsia="Arial" w:hAnsi="Arial" w:cs="Arial"/>
          <w:sz w:val="24"/>
          <w:szCs w:val="24"/>
        </w:rPr>
      </w:pPr>
      <w:r>
        <w:rPr>
          <w:rFonts w:ascii="Arial" w:eastAsia="Arial" w:hAnsi="Arial" w:cs="Arial"/>
          <w:sz w:val="24"/>
          <w:szCs w:val="24"/>
        </w:rPr>
        <w:t>for any written or verbal communications</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sz w:val="24"/>
          <w:szCs w:val="24"/>
        </w:rPr>
        <w:t>You</w:t>
      </w:r>
      <w:r>
        <w:rPr>
          <w:rFonts w:ascii="Arial" w:eastAsia="Arial" w:hAnsi="Arial" w:cs="Arial"/>
          <w:color w:val="000000"/>
          <w:sz w:val="24"/>
          <w:szCs w:val="24"/>
        </w:rPr>
        <w:t xml:space="preserve"> must carry out your own due diligence and rely on your own enquiries.</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sz w:val="24"/>
          <w:szCs w:val="24"/>
        </w:rPr>
        <w:t>This</w:t>
      </w:r>
      <w:r>
        <w:rPr>
          <w:rFonts w:ascii="Arial" w:eastAsia="Arial" w:hAnsi="Arial" w:cs="Arial"/>
          <w:color w:val="000000"/>
          <w:sz w:val="24"/>
          <w:szCs w:val="24"/>
        </w:rPr>
        <w:t xml:space="preserve"> ITT pack is not a commitment by us to enter into a contract.</w:t>
      </w: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32" w:name="_heading=h.8m5z0eucddpt" w:colFirst="0" w:colLast="0"/>
      <w:bookmarkEnd w:id="32"/>
      <w:r>
        <w:rPr>
          <w:rFonts w:ascii="Arial" w:eastAsia="Arial" w:hAnsi="Arial" w:cs="Arial"/>
          <w:sz w:val="28"/>
          <w:szCs w:val="28"/>
        </w:rPr>
        <w:t>Intellectual</w:t>
      </w:r>
      <w:r>
        <w:rPr>
          <w:rFonts w:ascii="Arial" w:eastAsia="Arial" w:hAnsi="Arial" w:cs="Arial"/>
          <w:color w:val="000000"/>
          <w:sz w:val="28"/>
          <w:szCs w:val="28"/>
        </w:rPr>
        <w:t xml:space="preserve"> Property Rights</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sz w:val="24"/>
          <w:szCs w:val="24"/>
        </w:rPr>
        <w:t>The</w:t>
      </w:r>
      <w:r>
        <w:rPr>
          <w:rFonts w:ascii="Arial" w:eastAsia="Arial" w:hAnsi="Arial" w:cs="Arial"/>
          <w:color w:val="000000"/>
          <w:sz w:val="24"/>
          <w:szCs w:val="24"/>
        </w:rPr>
        <w:t xml:space="preserve"> ITT pack remains our property. You must us</w:t>
      </w:r>
      <w:r>
        <w:rPr>
          <w:rFonts w:ascii="Arial" w:eastAsia="Arial" w:hAnsi="Arial" w:cs="Arial"/>
          <w:color w:val="000000"/>
          <w:sz w:val="24"/>
          <w:szCs w:val="24"/>
        </w:rPr>
        <w:t xml:space="preserve">e the ITT pack only for this competition. </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sz w:val="24"/>
          <w:szCs w:val="24"/>
        </w:rPr>
        <w:t>You</w:t>
      </w:r>
      <w:r>
        <w:rPr>
          <w:rFonts w:ascii="Arial" w:eastAsia="Arial" w:hAnsi="Arial" w:cs="Arial"/>
          <w:color w:val="000000"/>
          <w:sz w:val="24"/>
          <w:szCs w:val="24"/>
        </w:rPr>
        <w:t xml:space="preserve"> allow us to copy, amend and reproduce your bid so we can:</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sz w:val="24"/>
          <w:szCs w:val="24"/>
        </w:rPr>
        <w:t>Our</w:t>
      </w:r>
      <w:r>
        <w:rPr>
          <w:rFonts w:ascii="Arial" w:eastAsia="Arial" w:hAnsi="Arial" w:cs="Arial"/>
          <w:color w:val="000000"/>
          <w:sz w:val="24"/>
          <w:szCs w:val="24"/>
        </w:rPr>
        <w:t xml:space="preserve"> advisors, subcontractors and other government bodies can use your bid for the same purposes.</w:t>
      </w:r>
    </w:p>
    <w:p w:rsidR="001530AC" w:rsidRDefault="001530AC">
      <w:pPr>
        <w:pBdr>
          <w:top w:val="nil"/>
          <w:left w:val="nil"/>
          <w:bottom w:val="nil"/>
          <w:right w:val="nil"/>
          <w:between w:val="nil"/>
        </w:pBdr>
        <w:tabs>
          <w:tab w:val="left" w:pos="709"/>
        </w:tabs>
        <w:spacing w:before="120" w:after="120" w:line="240" w:lineRule="auto"/>
        <w:ind w:left="1275"/>
        <w:rPr>
          <w:rFonts w:ascii="Arial" w:eastAsia="Arial" w:hAnsi="Arial" w:cs="Arial"/>
          <w:sz w:val="24"/>
          <w:szCs w:val="24"/>
        </w:rPr>
      </w:pPr>
    </w:p>
    <w:p w:rsidR="001530AC" w:rsidRDefault="009D7376">
      <w:pPr>
        <w:numPr>
          <w:ilvl w:val="1"/>
          <w:numId w:val="3"/>
        </w:numPr>
        <w:pBdr>
          <w:top w:val="nil"/>
          <w:left w:val="nil"/>
          <w:bottom w:val="nil"/>
          <w:right w:val="nil"/>
          <w:between w:val="nil"/>
        </w:pBdr>
        <w:tabs>
          <w:tab w:val="left" w:pos="709"/>
        </w:tabs>
        <w:spacing w:before="240" w:after="120" w:line="240" w:lineRule="auto"/>
        <w:ind w:left="1276" w:hanging="850"/>
      </w:pPr>
      <w:bookmarkStart w:id="33" w:name="_heading=h.nldu6y6r544h" w:colFirst="0" w:colLast="0"/>
      <w:bookmarkEnd w:id="33"/>
      <w:r>
        <w:rPr>
          <w:rFonts w:ascii="Arial" w:eastAsia="Arial" w:hAnsi="Arial" w:cs="Arial"/>
          <w:sz w:val="28"/>
          <w:szCs w:val="28"/>
        </w:rPr>
        <w:t>Government</w:t>
      </w:r>
      <w:r>
        <w:rPr>
          <w:rFonts w:ascii="Arial" w:eastAsia="Arial" w:hAnsi="Arial" w:cs="Arial"/>
          <w:color w:val="000000"/>
          <w:sz w:val="28"/>
          <w:szCs w:val="28"/>
        </w:rPr>
        <w:t xml:space="preserve"> Security Classifications (GSC) </w:t>
      </w:r>
    </w:p>
    <w:p w:rsidR="001530AC" w:rsidRDefault="009D7376">
      <w:pPr>
        <w:pBdr>
          <w:top w:val="nil"/>
          <w:left w:val="nil"/>
          <w:bottom w:val="nil"/>
          <w:right w:val="nil"/>
          <w:between w:val="nil"/>
        </w:pBdr>
        <w:tabs>
          <w:tab w:val="left" w:pos="709"/>
        </w:tabs>
        <w:spacing w:before="120" w:after="120" w:line="240" w:lineRule="auto"/>
        <w:ind w:left="1275"/>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w:t>
      </w:r>
      <w:r>
        <w:rPr>
          <w:rFonts w:ascii="Arial" w:eastAsia="Arial" w:hAnsi="Arial" w:cs="Arial"/>
          <w:color w:val="000000"/>
          <w:sz w:val="24"/>
          <w:szCs w:val="24"/>
        </w:rPr>
        <w:t>y changes introduced by the Government Security Classifications (GSC) classifications scheme.</w:t>
      </w:r>
    </w:p>
    <w:p w:rsidR="001530AC" w:rsidRDefault="009D737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sz w:val="24"/>
          <w:szCs w:val="24"/>
        </w:rPr>
      </w:pPr>
      <w:r>
        <w:br w:type="page"/>
      </w:r>
    </w:p>
    <w:p w:rsidR="001530AC" w:rsidRDefault="001530AC">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sz w:val="24"/>
          <w:szCs w:val="24"/>
        </w:rPr>
      </w:pPr>
    </w:p>
    <w:p w:rsidR="001530AC" w:rsidRDefault="009D7376">
      <w:pPr>
        <w:pStyle w:val="Heading1"/>
        <w:numPr>
          <w:ilvl w:val="0"/>
          <w:numId w:val="5"/>
        </w:numPr>
      </w:pPr>
      <w:bookmarkStart w:id="34" w:name="_heading=h.2bn6wsx" w:colFirst="0" w:colLast="0"/>
      <w:bookmarkEnd w:id="34"/>
      <w:r>
        <w:rPr>
          <w:rFonts w:ascii="Arial" w:eastAsia="Arial" w:hAnsi="Arial" w:cs="Arial"/>
          <w:b/>
          <w:color w:val="000000"/>
        </w:rPr>
        <w:t>How the Framework is Structured</w:t>
      </w:r>
    </w:p>
    <w:p w:rsidR="001530AC" w:rsidRDefault="009D7376">
      <w:pPr>
        <w:spacing w:after="200" w:line="276" w:lineRule="auto"/>
        <w:ind w:left="708"/>
        <w:rPr>
          <w:rFonts w:ascii="Arial" w:eastAsia="Arial" w:hAnsi="Arial" w:cs="Arial"/>
          <w:sz w:val="24"/>
          <w:szCs w:val="24"/>
        </w:rPr>
      </w:pPr>
      <w:r>
        <w:rPr>
          <w:rFonts w:ascii="Arial" w:eastAsia="Arial" w:hAnsi="Arial" w:cs="Arial"/>
          <w:sz w:val="24"/>
          <w:szCs w:val="24"/>
        </w:rPr>
        <w:t xml:space="preserve">The Framework Contract is made up of four key components: </w:t>
      </w:r>
    </w:p>
    <w:p w:rsidR="001530AC" w:rsidRDefault="009D7376">
      <w:pPr>
        <w:numPr>
          <w:ilvl w:val="0"/>
          <w:numId w:val="1"/>
        </w:numPr>
        <w:pBdr>
          <w:top w:val="nil"/>
          <w:left w:val="nil"/>
          <w:bottom w:val="nil"/>
          <w:right w:val="nil"/>
          <w:between w:val="nil"/>
        </w:pBdr>
        <w:spacing w:after="120" w:line="240" w:lineRule="auto"/>
        <w:ind w:left="1133" w:hanging="425"/>
        <w:jc w:val="both"/>
        <w:rPr>
          <w:rFonts w:ascii="Arial" w:eastAsia="Arial" w:hAnsi="Arial" w:cs="Arial"/>
          <w:b/>
          <w:color w:val="000000"/>
          <w:sz w:val="28"/>
          <w:szCs w:val="28"/>
        </w:rPr>
      </w:pPr>
      <w:r>
        <w:rPr>
          <w:rFonts w:ascii="Arial" w:eastAsia="Arial" w:hAnsi="Arial" w:cs="Arial"/>
          <w:b/>
          <w:color w:val="000000"/>
          <w:sz w:val="28"/>
          <w:szCs w:val="28"/>
        </w:rPr>
        <w:t xml:space="preserve">Core Terms </w:t>
      </w:r>
    </w:p>
    <w:p w:rsidR="001530AC" w:rsidRDefault="009D737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w:t>
      </w:r>
      <w:r>
        <w:rPr>
          <w:rFonts w:ascii="Arial" w:eastAsia="Arial" w:hAnsi="Arial" w:cs="Arial"/>
          <w:color w:val="000000"/>
          <w:sz w:val="24"/>
          <w:szCs w:val="24"/>
        </w:rPr>
        <w:t>ct level.</w:t>
      </w:r>
    </w:p>
    <w:p w:rsidR="001530AC" w:rsidRDefault="001530AC">
      <w:pPr>
        <w:spacing w:after="200" w:line="276" w:lineRule="auto"/>
        <w:rPr>
          <w:rFonts w:ascii="Arial" w:eastAsia="Arial" w:hAnsi="Arial" w:cs="Arial"/>
          <w:sz w:val="24"/>
          <w:szCs w:val="24"/>
        </w:rPr>
      </w:pPr>
    </w:p>
    <w:p w:rsidR="001530AC" w:rsidRDefault="009D7376">
      <w:pPr>
        <w:numPr>
          <w:ilvl w:val="0"/>
          <w:numId w:val="1"/>
        </w:numPr>
        <w:pBdr>
          <w:top w:val="nil"/>
          <w:left w:val="nil"/>
          <w:bottom w:val="nil"/>
          <w:right w:val="nil"/>
          <w:between w:val="nil"/>
        </w:pBdr>
        <w:spacing w:after="120" w:line="240" w:lineRule="auto"/>
        <w:ind w:left="1133" w:hanging="425"/>
        <w:jc w:val="both"/>
        <w:rPr>
          <w:rFonts w:ascii="Arial" w:eastAsia="Arial" w:hAnsi="Arial" w:cs="Arial"/>
          <w:b/>
          <w:sz w:val="28"/>
          <w:szCs w:val="28"/>
        </w:rPr>
      </w:pPr>
      <w:r>
        <w:rPr>
          <w:rFonts w:ascii="Arial" w:eastAsia="Arial" w:hAnsi="Arial" w:cs="Arial"/>
          <w:b/>
          <w:color w:val="000000"/>
          <w:sz w:val="28"/>
          <w:szCs w:val="28"/>
        </w:rPr>
        <w:t xml:space="preserve">Schedules </w:t>
      </w:r>
    </w:p>
    <w:p w:rsidR="001530AC" w:rsidRDefault="009D737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Framework Schedules</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Call-Off Schedules</w:t>
      </w:r>
    </w:p>
    <w:p w:rsidR="001530AC" w:rsidRDefault="009D737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1530AC" w:rsidRDefault="001530AC">
      <w:pPr>
        <w:spacing w:after="200" w:line="276" w:lineRule="auto"/>
        <w:rPr>
          <w:rFonts w:ascii="Arial" w:eastAsia="Arial" w:hAnsi="Arial" w:cs="Arial"/>
          <w:sz w:val="24"/>
          <w:szCs w:val="24"/>
        </w:rPr>
      </w:pPr>
    </w:p>
    <w:p w:rsidR="001530AC" w:rsidRDefault="009D7376">
      <w:pPr>
        <w:numPr>
          <w:ilvl w:val="0"/>
          <w:numId w:val="1"/>
        </w:numPr>
        <w:pBdr>
          <w:top w:val="nil"/>
          <w:left w:val="nil"/>
          <w:bottom w:val="nil"/>
          <w:right w:val="nil"/>
          <w:between w:val="nil"/>
        </w:pBdr>
        <w:spacing w:after="120" w:line="240" w:lineRule="auto"/>
        <w:ind w:left="1133" w:hanging="425"/>
        <w:jc w:val="both"/>
        <w:rPr>
          <w:rFonts w:ascii="Arial" w:eastAsia="Arial" w:hAnsi="Arial" w:cs="Arial"/>
          <w:b/>
          <w:sz w:val="28"/>
          <w:szCs w:val="28"/>
        </w:rPr>
      </w:pPr>
      <w:r>
        <w:rPr>
          <w:rFonts w:ascii="Arial" w:eastAsia="Arial" w:hAnsi="Arial" w:cs="Arial"/>
          <w:b/>
          <w:color w:val="000000"/>
          <w:sz w:val="28"/>
          <w:szCs w:val="28"/>
        </w:rPr>
        <w:t>Framework Award Form</w:t>
      </w:r>
    </w:p>
    <w:p w:rsidR="001530AC" w:rsidRDefault="009D737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1530AC" w:rsidRDefault="009D737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w:t>
      </w:r>
      <w:r>
        <w:rPr>
          <w:rFonts w:ascii="Arial" w:eastAsia="Arial" w:hAnsi="Arial" w:cs="Arial"/>
          <w:color w:val="000000"/>
          <w:sz w:val="24"/>
          <w:szCs w:val="24"/>
        </w:rPr>
        <w:t>tract between the Supplier and CCS. If you are awarded a place on the Framework, the Framework Award Form will be prepared by us and personalised to you. We will use information you have submitted in your bid.</w:t>
      </w:r>
    </w:p>
    <w:p w:rsidR="001530AC" w:rsidRDefault="009D737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w:t>
      </w:r>
      <w:r>
        <w:rPr>
          <w:rFonts w:ascii="Arial" w:eastAsia="Arial" w:hAnsi="Arial" w:cs="Arial"/>
          <w:color w:val="000000"/>
          <w:sz w:val="24"/>
          <w:szCs w:val="24"/>
        </w:rPr>
        <w:t>orm within 10 days of being asked. If you do not sign and return, we will withdraw our offer of a Framework agreement.</w:t>
      </w:r>
    </w:p>
    <w:p w:rsidR="001530AC" w:rsidRDefault="009D737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r>
        <w:rPr>
          <w:rFonts w:ascii="Arial" w:eastAsia="Arial" w:hAnsi="Arial" w:cs="Arial"/>
          <w:sz w:val="24"/>
          <w:szCs w:val="24"/>
        </w:rPr>
        <w:t>eSourcing</w:t>
      </w:r>
      <w:r>
        <w:rPr>
          <w:rFonts w:ascii="Arial" w:eastAsia="Arial" w:hAnsi="Arial" w:cs="Arial"/>
          <w:color w:val="000000"/>
          <w:sz w:val="24"/>
          <w:szCs w:val="24"/>
        </w:rPr>
        <w:t xml:space="preserve"> Suite ou</w:t>
      </w:r>
      <w:r>
        <w:rPr>
          <w:rFonts w:ascii="Arial" w:eastAsia="Arial" w:hAnsi="Arial" w:cs="Arial"/>
          <w:color w:val="000000"/>
          <w:sz w:val="24"/>
          <w:szCs w:val="24"/>
        </w:rPr>
        <w:t xml:space="preserve">tlining the amendments required.  </w:t>
      </w:r>
    </w:p>
    <w:p w:rsidR="001530AC" w:rsidRDefault="001530AC">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1530AC" w:rsidRDefault="009D7376">
      <w:pPr>
        <w:numPr>
          <w:ilvl w:val="0"/>
          <w:numId w:val="1"/>
        </w:numPr>
        <w:pBdr>
          <w:top w:val="nil"/>
          <w:left w:val="nil"/>
          <w:bottom w:val="nil"/>
          <w:right w:val="nil"/>
          <w:between w:val="nil"/>
        </w:pBdr>
        <w:spacing w:after="120" w:line="240" w:lineRule="auto"/>
        <w:ind w:left="1133" w:hanging="425"/>
        <w:jc w:val="both"/>
        <w:rPr>
          <w:rFonts w:ascii="Arial" w:eastAsia="Arial" w:hAnsi="Arial" w:cs="Arial"/>
          <w:b/>
          <w:sz w:val="28"/>
          <w:szCs w:val="28"/>
        </w:rPr>
      </w:pPr>
      <w:r>
        <w:rPr>
          <w:rFonts w:ascii="Arial" w:eastAsia="Arial" w:hAnsi="Arial" w:cs="Arial"/>
          <w:b/>
          <w:color w:val="000000"/>
          <w:sz w:val="28"/>
          <w:szCs w:val="28"/>
        </w:rPr>
        <w:t>Order Form</w:t>
      </w:r>
    </w:p>
    <w:p w:rsidR="001530AC" w:rsidRDefault="009D737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w:t>
      </w:r>
      <w:r>
        <w:rPr>
          <w:rFonts w:ascii="Arial" w:eastAsia="Arial" w:hAnsi="Arial" w:cs="Arial"/>
          <w:sz w:val="24"/>
          <w:szCs w:val="24"/>
        </w:rPr>
        <w:t>Framework Schedule 6 - Order Form Template and Call-Off Schedules</w:t>
      </w:r>
      <w:r>
        <w:rPr>
          <w:rFonts w:ascii="Arial" w:eastAsia="Arial" w:hAnsi="Arial" w:cs="Arial"/>
          <w:color w:val="000000"/>
          <w:sz w:val="24"/>
          <w:szCs w:val="24"/>
        </w:rPr>
        <w:t>. You can read abo</w:t>
      </w:r>
      <w:r>
        <w:rPr>
          <w:rFonts w:ascii="Arial" w:eastAsia="Arial" w:hAnsi="Arial" w:cs="Arial"/>
          <w:color w:val="000000"/>
          <w:sz w:val="24"/>
          <w:szCs w:val="24"/>
        </w:rPr>
        <w:t xml:space="preserve">ut how Buyers will do their Call-Offs in Framework Schedule 7 (Call-Off Award Procedure). </w:t>
      </w:r>
    </w:p>
    <w:p w:rsidR="001530AC" w:rsidRDefault="009D7376">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The order form lays out:</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how it’ll be supplied</w:t>
      </w:r>
    </w:p>
    <w:p w:rsidR="001530AC" w:rsidRDefault="009D7376">
      <w:pPr>
        <w:numPr>
          <w:ilvl w:val="0"/>
          <w:numId w:val="11"/>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1530AC" w:rsidRDefault="009D737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a binding electronic purchase order which includes</w:t>
      </w:r>
      <w:r>
        <w:rPr>
          <w:rFonts w:ascii="Arial" w:eastAsia="Arial" w:hAnsi="Arial" w:cs="Arial"/>
          <w:sz w:val="24"/>
          <w:szCs w:val="24"/>
        </w:rPr>
        <w:t xml:space="preserve"> the relevant information as laid out in the order form</w:t>
      </w:r>
    </w:p>
    <w:p w:rsidR="001530AC" w:rsidRDefault="009D7376">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1530AC" w:rsidRDefault="001530AC">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1530AC" w:rsidRDefault="009D7376">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The Contract Documents</w:t>
      </w:r>
    </w:p>
    <w:p w:rsidR="001530AC" w:rsidRDefault="009D7376">
      <w:pPr>
        <w:pBdr>
          <w:top w:val="nil"/>
          <w:left w:val="nil"/>
          <w:bottom w:val="nil"/>
          <w:right w:val="nil"/>
          <w:between w:val="nil"/>
        </w:pBdr>
        <w:tabs>
          <w:tab w:val="left" w:pos="709"/>
        </w:tabs>
        <w:spacing w:before="120" w:after="120" w:line="240" w:lineRule="auto"/>
        <w:ind w:left="708"/>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p>
    <w:p w:rsidR="001530AC" w:rsidRDefault="009D7376">
      <w:pPr>
        <w:spacing w:after="200" w:line="276" w:lineRule="auto"/>
        <w:ind w:left="708"/>
        <w:rPr>
          <w:rFonts w:ascii="Arial" w:eastAsia="Arial" w:hAnsi="Arial" w:cs="Arial"/>
          <w:color w:val="000000"/>
          <w:sz w:val="24"/>
          <w:szCs w:val="24"/>
        </w:rPr>
      </w:pPr>
      <w:hyperlink r:id="rId16">
        <w:r>
          <w:rPr>
            <w:rFonts w:ascii="Arial" w:eastAsia="Arial" w:hAnsi="Arial" w:cs="Arial"/>
            <w:color w:val="1155CC"/>
            <w:sz w:val="24"/>
            <w:szCs w:val="24"/>
            <w:u w:val="single"/>
          </w:rPr>
          <w:t>https://www.crowncommercial.gov.uk/agreements/RM6305</w:t>
        </w:r>
      </w:hyperlink>
    </w:p>
    <w:p w:rsidR="001530AC" w:rsidRDefault="001530AC">
      <w:pPr>
        <w:widowControl w:val="0"/>
        <w:spacing w:after="200" w:line="276" w:lineRule="auto"/>
        <w:rPr>
          <w:rFonts w:ascii="Arial" w:eastAsia="Arial" w:hAnsi="Arial" w:cs="Arial"/>
          <w:sz w:val="24"/>
          <w:szCs w:val="24"/>
        </w:rPr>
      </w:pPr>
    </w:p>
    <w:tbl>
      <w:tblPr>
        <w:tblStyle w:val="a2"/>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1530AC">
        <w:trPr>
          <w:trHeight w:val="480"/>
        </w:trPr>
        <w:tc>
          <w:tcPr>
            <w:tcW w:w="3124" w:type="dxa"/>
            <w:shd w:val="clear" w:color="auto" w:fill="D9D9D9"/>
            <w:tcMar>
              <w:top w:w="100" w:type="dxa"/>
              <w:left w:w="100" w:type="dxa"/>
              <w:bottom w:w="100" w:type="dxa"/>
              <w:right w:w="100" w:type="dxa"/>
            </w:tcMar>
          </w:tcPr>
          <w:p w:rsidR="001530AC" w:rsidRDefault="009D7376">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1530AC" w:rsidRDefault="009D7376">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1530AC" w:rsidRDefault="009D7376">
            <w:pPr>
              <w:widowControl w:val="0"/>
              <w:spacing w:after="80" w:line="259" w:lineRule="auto"/>
              <w:ind w:left="0"/>
              <w:rPr>
                <w:sz w:val="28"/>
                <w:szCs w:val="28"/>
              </w:rPr>
            </w:pPr>
            <w:r>
              <w:rPr>
                <w:sz w:val="28"/>
                <w:szCs w:val="28"/>
              </w:rPr>
              <w:t>Optional (Y/N)</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1530AC" w:rsidRDefault="009D7376">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1530AC" w:rsidRDefault="009D7376">
            <w:pPr>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Schedule 1 (Specification)</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Deliverables CCS</w:t>
            </w:r>
            <w:r>
              <w:t xml:space="preserve"> needs the Suppliers to provide to Buyers.</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Framework Schedule 2 </w:t>
            </w:r>
            <w:r>
              <w:rPr>
                <w:b/>
              </w:rPr>
              <w:lastRenderedPageBreak/>
              <w:t>(Framework Tender)</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lastRenderedPageBreak/>
              <w:t xml:space="preserve">How the Supplier proposes to meet the </w:t>
            </w:r>
            <w:r>
              <w:lastRenderedPageBreak/>
              <w:t>requirements in the Specification.</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lastRenderedPageBreak/>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How Sup</w:t>
            </w:r>
            <w:r>
              <w:t>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rPr>
                <w:highlight w:val="yellow"/>
              </w:rPr>
            </w:pPr>
            <w:r>
              <w:t>The template documents that the Buyer needs to complete to form a Call-Off Contract.</w:t>
            </w:r>
            <w:r>
              <w:rPr>
                <w:highlight w:val="yellow"/>
              </w:rPr>
              <w:t xml:space="preserve"> </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A letter Suppliers must send to CCS each year to confirm that it has tested its own records</w:t>
            </w:r>
            <w:r>
              <w:t xml:space="preserve"> and reporting about the Framework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Obligations on the Supplier to maintain cyber security accreditation.</w:t>
            </w:r>
          </w:p>
          <w:p w:rsidR="001530AC" w:rsidRDefault="001530AC">
            <w:pPr>
              <w:widowControl w:val="0"/>
              <w:spacing w:after="80"/>
            </w:pPr>
          </w:p>
          <w:p w:rsidR="001530AC" w:rsidRDefault="009D7376">
            <w:pPr>
              <w:widowControl w:val="0"/>
              <w:spacing w:after="80" w:line="259" w:lineRule="auto"/>
              <w:ind w:left="0"/>
            </w:pPr>
            <w:r>
              <w:t xml:space="preserve">Refer to </w:t>
            </w:r>
            <w:hyperlink r:id="rId17">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lastRenderedPageBreak/>
              <w:t>Joint Schedule 4 (Commercially Sensitive Information)</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Agreement that the Supplier behaves as a goo</w:t>
            </w:r>
            <w:r>
              <w:t>d corporate citizen.</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w:t>
            </w:r>
            <w:r>
              <w:rPr>
                <w:highlight w:val="white"/>
              </w:rPr>
              <w:t>d to be used if you intend to / are required to have a guarantor.</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Restriction on the Buyer entering into Call-Off Contracts if it does not meet the standards required in the FTS Contract  Notice.</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No</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2  (Staff Transfer)</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Call-Off Schedule 3 (Continuous </w:t>
            </w:r>
            <w:r>
              <w:rPr>
                <w:b/>
              </w:rPr>
              <w:lastRenderedPageBreak/>
              <w:t>Improvement)</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lastRenderedPageBreak/>
              <w:t>The requirement that the Supplier always improves how it delivers the</w:t>
            </w:r>
            <w:r>
              <w:t xml:space="preserve"> Call-Off </w:t>
            </w:r>
            <w:r>
              <w:lastRenderedPageBreak/>
              <w:t>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lastRenderedPageBreak/>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Call-Off Schedule 4   (Call-Off Tender) </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Placeholder for pricing information additional to that contained in the</w:t>
            </w:r>
            <w:r>
              <w:t xml:space="preserve"> Order Form.</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Call-Off Schedule 6    (ICT Services) </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Call-Off Schedule 7    (Key Supplier Staff) </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What the Supplier must do to ensure that B</w:t>
            </w:r>
            <w:r>
              <w:t>uyer data and Deliverables are kept secure.</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Call-Off Schedule 10  (Exit Management) </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ag</w:t>
            </w:r>
            <w:r>
              <w:t>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The standards of service required by the Buyer and what happens when these are not met.</w:t>
            </w:r>
            <w:r>
              <w:rPr>
                <w:sz w:val="22"/>
                <w:szCs w:val="22"/>
              </w:rPr>
              <w:t xml:space="preserve"> </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lastRenderedPageBreak/>
              <w:t xml:space="preserve">Call-Off Schedule 16 (Benchmarking) </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Further details about wha</w:t>
            </w:r>
            <w:r>
              <w:t>t has been ordered under a Call-Off contract.</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rPr>
                <w:b/>
              </w:rPr>
            </w:pPr>
            <w:r>
              <w:rPr>
                <w:b/>
              </w:rPr>
              <w:t>Call-Off Schedule 21</w:t>
            </w:r>
          </w:p>
          <w:p w:rsidR="001530AC" w:rsidRDefault="009D7376">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1530AC" w:rsidRDefault="009D7376">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1530AC" w:rsidRDefault="009D7376">
            <w:pPr>
              <w:widowControl w:val="0"/>
              <w:spacing w:after="8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rPr>
                <w:b/>
              </w:rPr>
            </w:pPr>
            <w:r>
              <w:rPr>
                <w:b/>
              </w:rPr>
              <w:t>Call-Off Schedule 22</w:t>
            </w:r>
          </w:p>
          <w:p w:rsidR="001530AC" w:rsidRDefault="009D7376">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rsidR="001530AC" w:rsidRDefault="009D7376">
            <w:pPr>
              <w:widowControl w:val="0"/>
              <w:spacing w:after="80"/>
            </w:pPr>
            <w:r>
              <w:t>This schedule is for Buyers who want to lease equipment via our agreements</w:t>
            </w:r>
          </w:p>
        </w:tc>
        <w:tc>
          <w:tcPr>
            <w:tcW w:w="1418" w:type="dxa"/>
            <w:shd w:val="clear" w:color="auto" w:fill="auto"/>
            <w:tcMar>
              <w:top w:w="100" w:type="dxa"/>
              <w:left w:w="100" w:type="dxa"/>
              <w:bottom w:w="100" w:type="dxa"/>
              <w:right w:w="100" w:type="dxa"/>
            </w:tcMar>
          </w:tcPr>
          <w:p w:rsidR="001530AC" w:rsidRDefault="009D7376">
            <w:pPr>
              <w:widowControl w:val="0"/>
              <w:spacing w:after="80"/>
            </w:pPr>
            <w:r>
              <w:t>Yes</w:t>
            </w:r>
          </w:p>
        </w:tc>
      </w:tr>
      <w:tr w:rsidR="001530AC">
        <w:trPr>
          <w:trHeight w:val="440"/>
        </w:trPr>
        <w:tc>
          <w:tcPr>
            <w:tcW w:w="3124" w:type="dxa"/>
            <w:shd w:val="clear" w:color="auto" w:fill="auto"/>
            <w:tcMar>
              <w:top w:w="100" w:type="dxa"/>
              <w:left w:w="100" w:type="dxa"/>
              <w:bottom w:w="100" w:type="dxa"/>
              <w:right w:w="100" w:type="dxa"/>
            </w:tcMar>
          </w:tcPr>
          <w:p w:rsidR="001530AC" w:rsidRDefault="009D7376">
            <w:pPr>
              <w:widowControl w:val="0"/>
              <w:spacing w:after="80"/>
              <w:rPr>
                <w:b/>
              </w:rPr>
            </w:pPr>
            <w:r>
              <w:rPr>
                <w:b/>
              </w:rPr>
              <w:t>Call-Off Schedule 23</w:t>
            </w:r>
          </w:p>
          <w:p w:rsidR="001530AC" w:rsidRDefault="009D7376">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1530AC" w:rsidRDefault="009D7376">
            <w:pPr>
              <w:widowControl w:val="0"/>
              <w:spacing w:after="80"/>
            </w:pPr>
            <w:r>
              <w:t>HMRC terms</w:t>
            </w:r>
          </w:p>
        </w:tc>
        <w:tc>
          <w:tcPr>
            <w:tcW w:w="1418" w:type="dxa"/>
            <w:shd w:val="clear" w:color="auto" w:fill="auto"/>
            <w:tcMar>
              <w:top w:w="100" w:type="dxa"/>
              <w:left w:w="100" w:type="dxa"/>
              <w:bottom w:w="100" w:type="dxa"/>
              <w:right w:w="100" w:type="dxa"/>
            </w:tcMar>
          </w:tcPr>
          <w:p w:rsidR="001530AC" w:rsidRDefault="009D7376">
            <w:pPr>
              <w:widowControl w:val="0"/>
              <w:spacing w:after="80"/>
            </w:pPr>
            <w:r>
              <w:t>Yes</w:t>
            </w:r>
          </w:p>
        </w:tc>
      </w:tr>
      <w:tr w:rsidR="001530AC">
        <w:trPr>
          <w:trHeight w:val="300"/>
        </w:trPr>
        <w:tc>
          <w:tcPr>
            <w:tcW w:w="3124" w:type="dxa"/>
            <w:shd w:val="clear" w:color="auto" w:fill="auto"/>
            <w:tcMar>
              <w:top w:w="100" w:type="dxa"/>
              <w:left w:w="100" w:type="dxa"/>
              <w:bottom w:w="100" w:type="dxa"/>
              <w:right w:w="100" w:type="dxa"/>
            </w:tcMar>
          </w:tcPr>
          <w:p w:rsidR="001530AC" w:rsidRDefault="009D7376">
            <w:pPr>
              <w:widowControl w:val="0"/>
              <w:spacing w:after="80"/>
              <w:rPr>
                <w:b/>
              </w:rPr>
            </w:pPr>
            <w:r>
              <w:rPr>
                <w:b/>
              </w:rPr>
              <w:t>Call-Off Schedule 24</w:t>
            </w:r>
          </w:p>
          <w:p w:rsidR="001530AC" w:rsidRDefault="009D7376">
            <w:pPr>
              <w:widowControl w:val="0"/>
              <w:spacing w:after="80"/>
              <w:rPr>
                <w:b/>
              </w:rPr>
            </w:pPr>
            <w:r>
              <w:rPr>
                <w:b/>
              </w:rPr>
              <w:t>(Corporate Resolution Planning)</w:t>
            </w:r>
          </w:p>
        </w:tc>
        <w:tc>
          <w:tcPr>
            <w:tcW w:w="4819" w:type="dxa"/>
            <w:shd w:val="clear" w:color="auto" w:fill="auto"/>
            <w:tcMar>
              <w:top w:w="100" w:type="dxa"/>
              <w:left w:w="100" w:type="dxa"/>
              <w:bottom w:w="100" w:type="dxa"/>
              <w:right w:w="100" w:type="dxa"/>
            </w:tcMar>
          </w:tcPr>
          <w:p w:rsidR="001530AC" w:rsidRDefault="009D7376">
            <w:pPr>
              <w:widowControl w:val="0"/>
              <w:spacing w:after="80" w:line="259" w:lineRule="auto"/>
              <w:ind w:left="0"/>
              <w:rPr>
                <w:highlight w:val="yellow"/>
              </w:rPr>
            </w:pPr>
            <w:r>
              <w:t>Corporate Resolution Planning</w:t>
            </w:r>
          </w:p>
        </w:tc>
        <w:tc>
          <w:tcPr>
            <w:tcW w:w="1418" w:type="dxa"/>
            <w:shd w:val="clear" w:color="auto" w:fill="auto"/>
            <w:tcMar>
              <w:top w:w="100" w:type="dxa"/>
              <w:left w:w="100" w:type="dxa"/>
              <w:bottom w:w="100" w:type="dxa"/>
              <w:right w:w="100" w:type="dxa"/>
            </w:tcMar>
          </w:tcPr>
          <w:p w:rsidR="001530AC" w:rsidRDefault="009D7376">
            <w:pPr>
              <w:widowControl w:val="0"/>
              <w:spacing w:after="80" w:line="259" w:lineRule="auto"/>
              <w:ind w:left="0"/>
            </w:pPr>
            <w:r>
              <w:t>Yes</w:t>
            </w:r>
          </w:p>
        </w:tc>
      </w:tr>
    </w:tbl>
    <w:p w:rsidR="001530AC" w:rsidRDefault="009D7376">
      <w:pPr>
        <w:tabs>
          <w:tab w:val="left" w:pos="2290"/>
        </w:tabs>
        <w:spacing w:after="200" w:line="276" w:lineRule="auto"/>
      </w:pPr>
      <w:r>
        <w:tab/>
      </w:r>
    </w:p>
    <w:p w:rsidR="001530AC" w:rsidRDefault="001530AC">
      <w:pPr>
        <w:tabs>
          <w:tab w:val="left" w:pos="2290"/>
        </w:tabs>
        <w:spacing w:after="200" w:line="276" w:lineRule="auto"/>
      </w:pPr>
    </w:p>
    <w:p w:rsidR="001530AC" w:rsidRDefault="001530AC">
      <w:pPr>
        <w:tabs>
          <w:tab w:val="left" w:pos="2290"/>
        </w:tabs>
        <w:spacing w:after="200" w:line="276" w:lineRule="auto"/>
      </w:pPr>
    </w:p>
    <w:p w:rsidR="001530AC" w:rsidRDefault="001530AC">
      <w:pPr>
        <w:tabs>
          <w:tab w:val="left" w:pos="2290"/>
        </w:tabs>
        <w:spacing w:after="200" w:line="276" w:lineRule="auto"/>
      </w:pPr>
    </w:p>
    <w:p w:rsidR="001530AC" w:rsidRDefault="001530AC">
      <w:pPr>
        <w:tabs>
          <w:tab w:val="left" w:pos="2290"/>
        </w:tabs>
        <w:spacing w:after="200" w:line="276" w:lineRule="auto"/>
      </w:pPr>
    </w:p>
    <w:p w:rsidR="001530AC" w:rsidRDefault="001530AC">
      <w:pPr>
        <w:tabs>
          <w:tab w:val="left" w:pos="2290"/>
        </w:tabs>
        <w:spacing w:after="200" w:line="276" w:lineRule="auto"/>
      </w:pPr>
    </w:p>
    <w:p w:rsidR="001530AC" w:rsidRDefault="001530AC">
      <w:pPr>
        <w:tabs>
          <w:tab w:val="left" w:pos="2290"/>
        </w:tabs>
        <w:spacing w:after="200" w:line="276" w:lineRule="auto"/>
      </w:pPr>
    </w:p>
    <w:p w:rsidR="001530AC" w:rsidRDefault="001530AC">
      <w:pPr>
        <w:tabs>
          <w:tab w:val="left" w:pos="2290"/>
        </w:tabs>
        <w:spacing w:after="200" w:line="276" w:lineRule="auto"/>
      </w:pPr>
    </w:p>
    <w:p w:rsidR="001530AC" w:rsidRDefault="009D7376">
      <w:pPr>
        <w:pStyle w:val="Heading1"/>
        <w:numPr>
          <w:ilvl w:val="0"/>
          <w:numId w:val="5"/>
        </w:numPr>
      </w:pPr>
      <w:bookmarkStart w:id="35" w:name="_heading=h.qsh70q" w:colFirst="0" w:colLast="0"/>
      <w:bookmarkEnd w:id="35"/>
      <w:r>
        <w:rPr>
          <w:rFonts w:ascii="Arial" w:eastAsia="Arial" w:hAnsi="Arial" w:cs="Arial"/>
          <w:b/>
          <w:color w:val="000000"/>
        </w:rPr>
        <w:lastRenderedPageBreak/>
        <w:t>Additional Information</w:t>
      </w:r>
    </w:p>
    <w:p w:rsidR="001530AC" w:rsidRDefault="009D7376">
      <w:pPr>
        <w:numPr>
          <w:ilvl w:val="1"/>
          <w:numId w:val="2"/>
        </w:numPr>
        <w:pBdr>
          <w:top w:val="nil"/>
          <w:left w:val="nil"/>
          <w:bottom w:val="nil"/>
          <w:right w:val="nil"/>
          <w:between w:val="nil"/>
        </w:pBdr>
        <w:spacing w:before="240" w:after="120" w:line="240" w:lineRule="auto"/>
        <w:ind w:left="1417"/>
        <w:rPr>
          <w:rFonts w:ascii="Arial" w:eastAsia="Arial" w:hAnsi="Arial" w:cs="Arial"/>
          <w:color w:val="000000"/>
          <w:sz w:val="24"/>
          <w:szCs w:val="24"/>
        </w:rPr>
      </w:pPr>
      <w:bookmarkStart w:id="36" w:name="_heading=h.1y810tw" w:colFirst="0" w:colLast="0"/>
      <w:bookmarkEnd w:id="36"/>
      <w:r>
        <w:rPr>
          <w:rFonts w:ascii="Arial" w:eastAsia="Arial" w:hAnsi="Arial" w:cs="Arial"/>
          <w:color w:val="000000"/>
          <w:sz w:val="24"/>
          <w:szCs w:val="24"/>
        </w:rPr>
        <w:t>In this section 11, “Procurement Regulations” means each of:</w:t>
      </w:r>
    </w:p>
    <w:p w:rsidR="001530AC" w:rsidRDefault="009D7376">
      <w:pPr>
        <w:ind w:left="1417"/>
        <w:rPr>
          <w:rFonts w:ascii="Arial" w:eastAsia="Arial" w:hAnsi="Arial" w:cs="Arial"/>
          <w:sz w:val="24"/>
          <w:szCs w:val="24"/>
        </w:rPr>
      </w:pPr>
      <w:r>
        <w:rPr>
          <w:rFonts w:ascii="Arial" w:eastAsia="Arial" w:hAnsi="Arial" w:cs="Arial"/>
          <w:sz w:val="24"/>
          <w:szCs w:val="24"/>
        </w:rPr>
        <w:t>a) the Public Contracts Regulations 2015 (SI 2015/102);</w:t>
      </w:r>
    </w:p>
    <w:p w:rsidR="001530AC" w:rsidRDefault="009D7376">
      <w:pPr>
        <w:ind w:left="1417"/>
        <w:rPr>
          <w:rFonts w:ascii="Arial" w:eastAsia="Arial" w:hAnsi="Arial" w:cs="Arial"/>
          <w:sz w:val="24"/>
          <w:szCs w:val="24"/>
        </w:rPr>
      </w:pPr>
      <w:r>
        <w:rPr>
          <w:rFonts w:ascii="Arial" w:eastAsia="Arial" w:hAnsi="Arial" w:cs="Arial"/>
          <w:sz w:val="24"/>
          <w:szCs w:val="24"/>
        </w:rPr>
        <w:t>b) the Concession Contracts Regulations 2016 (SI 2016/273);</w:t>
      </w:r>
    </w:p>
    <w:p w:rsidR="001530AC" w:rsidRDefault="009D7376">
      <w:pPr>
        <w:ind w:left="1417"/>
        <w:rPr>
          <w:rFonts w:ascii="Arial" w:eastAsia="Arial" w:hAnsi="Arial" w:cs="Arial"/>
          <w:sz w:val="24"/>
          <w:szCs w:val="24"/>
        </w:rPr>
      </w:pPr>
      <w:r>
        <w:rPr>
          <w:rFonts w:ascii="Arial" w:eastAsia="Arial" w:hAnsi="Arial" w:cs="Arial"/>
          <w:sz w:val="24"/>
          <w:szCs w:val="24"/>
        </w:rPr>
        <w:t>c) the Utilities Contracts Regulations 2016 (SI 2016/274);</w:t>
      </w:r>
    </w:p>
    <w:p w:rsidR="001530AC" w:rsidRDefault="009D7376">
      <w:pPr>
        <w:ind w:left="1417"/>
        <w:rPr>
          <w:rFonts w:ascii="Arial" w:eastAsia="Arial" w:hAnsi="Arial" w:cs="Arial"/>
          <w:sz w:val="24"/>
          <w:szCs w:val="24"/>
        </w:rPr>
      </w:pPr>
      <w:r>
        <w:rPr>
          <w:rFonts w:ascii="Arial" w:eastAsia="Arial" w:hAnsi="Arial" w:cs="Arial"/>
          <w:sz w:val="24"/>
          <w:szCs w:val="24"/>
        </w:rPr>
        <w:t>d) the Defence and S</w:t>
      </w:r>
      <w:r>
        <w:rPr>
          <w:rFonts w:ascii="Arial" w:eastAsia="Arial" w:hAnsi="Arial" w:cs="Arial"/>
          <w:sz w:val="24"/>
          <w:szCs w:val="24"/>
        </w:rPr>
        <w:t>ecurity Public Contracts Regulations 2011 (SI 2011/1848);</w:t>
      </w:r>
    </w:p>
    <w:p w:rsidR="001530AC" w:rsidRDefault="009D7376">
      <w:pPr>
        <w:ind w:left="1417"/>
        <w:rPr>
          <w:rFonts w:ascii="Arial" w:eastAsia="Arial" w:hAnsi="Arial" w:cs="Arial"/>
          <w:sz w:val="24"/>
          <w:szCs w:val="24"/>
        </w:rPr>
      </w:pPr>
      <w:r>
        <w:rPr>
          <w:rFonts w:ascii="Arial" w:eastAsia="Arial" w:hAnsi="Arial" w:cs="Arial"/>
          <w:sz w:val="24"/>
          <w:szCs w:val="24"/>
        </w:rPr>
        <w:t>e) the Remedies Directive (2007/66/EC);</w:t>
      </w:r>
    </w:p>
    <w:p w:rsidR="001530AC" w:rsidRDefault="009D7376">
      <w:pPr>
        <w:ind w:left="1417"/>
        <w:rPr>
          <w:rFonts w:ascii="Arial" w:eastAsia="Arial" w:hAnsi="Arial" w:cs="Arial"/>
          <w:sz w:val="24"/>
          <w:szCs w:val="24"/>
        </w:rPr>
      </w:pPr>
      <w:r>
        <w:rPr>
          <w:rFonts w:ascii="Arial" w:eastAsia="Arial" w:hAnsi="Arial" w:cs="Arial"/>
          <w:sz w:val="24"/>
          <w:szCs w:val="24"/>
        </w:rPr>
        <w:t>f)  Directive 2014/23/EU of the European Parliament and Council;</w:t>
      </w:r>
    </w:p>
    <w:p w:rsidR="001530AC" w:rsidRDefault="009D7376">
      <w:pPr>
        <w:ind w:left="1417"/>
        <w:rPr>
          <w:rFonts w:ascii="Arial" w:eastAsia="Arial" w:hAnsi="Arial" w:cs="Arial"/>
          <w:sz w:val="24"/>
          <w:szCs w:val="24"/>
        </w:rPr>
      </w:pPr>
      <w:r>
        <w:rPr>
          <w:rFonts w:ascii="Arial" w:eastAsia="Arial" w:hAnsi="Arial" w:cs="Arial"/>
          <w:sz w:val="24"/>
          <w:szCs w:val="24"/>
        </w:rPr>
        <w:t>g) Directive 2014/24/EU of the European Parliament and Council;</w:t>
      </w:r>
    </w:p>
    <w:p w:rsidR="001530AC" w:rsidRDefault="009D7376">
      <w:pPr>
        <w:ind w:left="1417"/>
        <w:rPr>
          <w:rFonts w:ascii="Arial" w:eastAsia="Arial" w:hAnsi="Arial" w:cs="Arial"/>
          <w:sz w:val="24"/>
          <w:szCs w:val="24"/>
        </w:rPr>
      </w:pPr>
      <w:r>
        <w:rPr>
          <w:rFonts w:ascii="Arial" w:eastAsia="Arial" w:hAnsi="Arial" w:cs="Arial"/>
          <w:sz w:val="24"/>
          <w:szCs w:val="24"/>
        </w:rPr>
        <w:t>h) Directive 2014/25/EU of th</w:t>
      </w:r>
      <w:r>
        <w:rPr>
          <w:rFonts w:ascii="Arial" w:eastAsia="Arial" w:hAnsi="Arial" w:cs="Arial"/>
          <w:sz w:val="24"/>
          <w:szCs w:val="24"/>
        </w:rPr>
        <w:t>e European Parliament and Council; and</w:t>
      </w:r>
    </w:p>
    <w:p w:rsidR="001530AC" w:rsidRDefault="009D7376">
      <w:pPr>
        <w:ind w:left="1417"/>
        <w:rPr>
          <w:rFonts w:ascii="Arial" w:eastAsia="Arial" w:hAnsi="Arial" w:cs="Arial"/>
          <w:sz w:val="24"/>
          <w:szCs w:val="24"/>
        </w:rPr>
      </w:pPr>
      <w:r>
        <w:rPr>
          <w:rFonts w:ascii="Arial" w:eastAsia="Arial" w:hAnsi="Arial" w:cs="Arial"/>
          <w:sz w:val="24"/>
          <w:szCs w:val="24"/>
        </w:rPr>
        <w:t>i)  Directive 2009/81/EC of the European Parliament and Council.</w:t>
      </w:r>
    </w:p>
    <w:p w:rsidR="001530AC" w:rsidRDefault="009D7376">
      <w:pPr>
        <w:numPr>
          <w:ilvl w:val="1"/>
          <w:numId w:val="2"/>
        </w:numPr>
        <w:pBdr>
          <w:top w:val="nil"/>
          <w:left w:val="nil"/>
          <w:bottom w:val="nil"/>
          <w:right w:val="nil"/>
          <w:between w:val="nil"/>
        </w:pBdr>
        <w:spacing w:before="240" w:after="120" w:line="240" w:lineRule="auto"/>
        <w:ind w:left="1417"/>
        <w:rPr>
          <w:rFonts w:ascii="Arial" w:eastAsia="Arial" w:hAnsi="Arial" w:cs="Arial"/>
          <w:sz w:val="24"/>
          <w:szCs w:val="24"/>
        </w:rPr>
      </w:pPr>
      <w:bookmarkStart w:id="37" w:name="_heading=h.3q8g8c13as1e" w:colFirst="0" w:colLast="0"/>
      <w:bookmarkEnd w:id="37"/>
      <w:r>
        <w:rPr>
          <w:rFonts w:ascii="Arial" w:eastAsia="Arial" w:hAnsi="Arial" w:cs="Arial"/>
          <w:sz w:val="24"/>
          <w:szCs w:val="24"/>
        </w:rPr>
        <w:t>Some</w:t>
      </w:r>
      <w:r>
        <w:rPr>
          <w:rFonts w:ascii="Arial" w:eastAsia="Arial" w:hAnsi="Arial" w:cs="Arial"/>
          <w:color w:val="000000"/>
          <w:sz w:val="24"/>
          <w:szCs w:val="24"/>
        </w:rPr>
        <w:t xml:space="preserve"> purchases under this Framework may have requirements that can be met under this Framework but the purchase of which may be exempt from the Procurem</w:t>
      </w:r>
      <w:r>
        <w:rPr>
          <w:rFonts w:ascii="Arial" w:eastAsia="Arial" w:hAnsi="Arial" w:cs="Arial"/>
          <w:color w:val="000000"/>
          <w:sz w:val="24"/>
          <w:szCs w:val="24"/>
        </w:rPr>
        <w:t>ent Regulations. In such cases, Call-Offs from this Framework will be unregulated purchases for the purposes of the Procurement Regulations, and the buyers may, at their discretion, modify the terms of the Framework and any Call-Off Contracts to reflect th</w:t>
      </w:r>
      <w:r>
        <w:rPr>
          <w:rFonts w:ascii="Arial" w:eastAsia="Arial" w:hAnsi="Arial" w:cs="Arial"/>
          <w:color w:val="000000"/>
          <w:sz w:val="24"/>
          <w:szCs w:val="24"/>
        </w:rPr>
        <w:t>at Buyer’s specific needs.</w:t>
      </w:r>
    </w:p>
    <w:p w:rsidR="001530AC" w:rsidRDefault="009D7376">
      <w:pPr>
        <w:pStyle w:val="Heading1"/>
        <w:numPr>
          <w:ilvl w:val="0"/>
          <w:numId w:val="5"/>
        </w:numPr>
        <w:rPr>
          <w:rFonts w:ascii="Arial" w:eastAsia="Arial" w:hAnsi="Arial" w:cs="Arial"/>
          <w:b/>
          <w:color w:val="000000"/>
        </w:rPr>
      </w:pPr>
      <w:bookmarkStart w:id="38" w:name="_heading=h.yoq500vewnqg" w:colFirst="0" w:colLast="0"/>
      <w:bookmarkEnd w:id="38"/>
      <w:r>
        <w:rPr>
          <w:rFonts w:ascii="Arial" w:eastAsia="Arial" w:hAnsi="Arial" w:cs="Arial"/>
          <w:b/>
          <w:color w:val="000000"/>
        </w:rPr>
        <w:t>The Armed Forces Covenant</w:t>
      </w:r>
    </w:p>
    <w:p w:rsidR="001530AC" w:rsidRDefault="001530AC"/>
    <w:p w:rsidR="001530AC" w:rsidRDefault="009D7376">
      <w:pPr>
        <w:numPr>
          <w:ilvl w:val="1"/>
          <w:numId w:val="8"/>
        </w:numPr>
        <w:pBdr>
          <w:top w:val="nil"/>
          <w:left w:val="nil"/>
          <w:bottom w:val="nil"/>
          <w:right w:val="nil"/>
          <w:between w:val="nil"/>
        </w:pBdr>
        <w:tabs>
          <w:tab w:val="left" w:pos="175"/>
        </w:tabs>
        <w:spacing w:after="120" w:line="240" w:lineRule="auto"/>
        <w:ind w:left="1241"/>
        <w:jc w:val="both"/>
        <w:rPr>
          <w:rFonts w:ascii="Arial" w:eastAsia="Arial" w:hAnsi="Arial" w:cs="Arial"/>
          <w:color w:val="000000"/>
          <w:sz w:val="24"/>
          <w:szCs w:val="24"/>
        </w:rPr>
      </w:pPr>
      <w:bookmarkStart w:id="39" w:name="_heading=h.sq32d9xfjjy7" w:colFirst="0" w:colLast="0"/>
      <w:bookmarkEnd w:id="39"/>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w:t>
      </w:r>
      <w:r>
        <w:rPr>
          <w:rFonts w:ascii="Arial" w:eastAsia="Arial" w:hAnsi="Arial" w:cs="Arial"/>
          <w:color w:val="000000"/>
          <w:sz w:val="24"/>
          <w:szCs w:val="24"/>
        </w:rPr>
        <w:t>e nation has a moral obligation to redress the disadvantages the armed forces community face in comparison to other citizens, and recognise sacrifices made.</w:t>
      </w:r>
    </w:p>
    <w:p w:rsidR="001530AC" w:rsidRDefault="009D7376">
      <w:pPr>
        <w:numPr>
          <w:ilvl w:val="1"/>
          <w:numId w:val="8"/>
        </w:numPr>
        <w:pBdr>
          <w:top w:val="nil"/>
          <w:left w:val="nil"/>
          <w:bottom w:val="nil"/>
          <w:right w:val="nil"/>
          <w:between w:val="nil"/>
        </w:pBdr>
        <w:spacing w:before="240" w:after="120" w:line="240" w:lineRule="auto"/>
        <w:ind w:left="1417"/>
        <w:rPr>
          <w:rFonts w:ascii="Arial" w:eastAsia="Arial" w:hAnsi="Arial" w:cs="Arial"/>
          <w:sz w:val="24"/>
          <w:szCs w:val="24"/>
        </w:rPr>
      </w:pPr>
      <w:bookmarkStart w:id="40" w:name="_heading=h.wlwzee44447v" w:colFirst="0" w:colLast="0"/>
      <w:bookmarkEnd w:id="40"/>
      <w:r>
        <w:rPr>
          <w:rFonts w:ascii="Arial" w:eastAsia="Arial" w:hAnsi="Arial" w:cs="Arial"/>
          <w:color w:val="000000"/>
          <w:sz w:val="24"/>
          <w:szCs w:val="24"/>
        </w:rPr>
        <w:t>The Covenant’s 2 principles are that:</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w:t>
      </w:r>
      <w:r>
        <w:rPr>
          <w:rFonts w:ascii="Arial" w:eastAsia="Arial" w:hAnsi="Arial" w:cs="Arial"/>
          <w:sz w:val="24"/>
          <w:szCs w:val="24"/>
        </w:rPr>
        <w:t xml:space="preserve"> compared to other citizens in the provision of public and commercial services</w:t>
      </w:r>
    </w:p>
    <w:p w:rsidR="001530AC" w:rsidRDefault="009D7376">
      <w:pPr>
        <w:numPr>
          <w:ilvl w:val="0"/>
          <w:numId w:val="11"/>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1530AC" w:rsidRDefault="009D7376">
      <w:pPr>
        <w:pBdr>
          <w:top w:val="nil"/>
          <w:left w:val="nil"/>
          <w:bottom w:val="nil"/>
          <w:right w:val="nil"/>
          <w:between w:val="nil"/>
        </w:pBdr>
        <w:spacing w:after="0" w:line="276" w:lineRule="auto"/>
        <w:ind w:left="1417"/>
        <w:rPr>
          <w:rFonts w:ascii="Arial" w:eastAsia="Arial" w:hAnsi="Arial" w:cs="Arial"/>
          <w:color w:val="000000"/>
          <w:sz w:val="24"/>
          <w:szCs w:val="24"/>
        </w:rPr>
      </w:pPr>
      <w:r>
        <w:rPr>
          <w:rFonts w:ascii="Arial" w:eastAsia="Arial" w:hAnsi="Arial" w:cs="Arial"/>
          <w:color w:val="000000"/>
          <w:sz w:val="24"/>
          <w:szCs w:val="24"/>
        </w:rPr>
        <w:t>We encourage all Bidders, and their suppliers</w:t>
      </w:r>
      <w:r>
        <w:rPr>
          <w:rFonts w:ascii="Arial" w:eastAsia="Arial" w:hAnsi="Arial" w:cs="Arial"/>
          <w:color w:val="000000"/>
          <w:sz w:val="24"/>
          <w:szCs w:val="24"/>
        </w:rPr>
        <w:t xml:space="preserve">, to sign the Corporate Covenant, declaring their support for the Armed Forces community by </w:t>
      </w:r>
      <w:r>
        <w:rPr>
          <w:rFonts w:ascii="Arial" w:eastAsia="Arial" w:hAnsi="Arial" w:cs="Arial"/>
          <w:color w:val="000000"/>
          <w:sz w:val="24"/>
          <w:szCs w:val="24"/>
        </w:rPr>
        <w:lastRenderedPageBreak/>
        <w:t>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1530AC" w:rsidRDefault="001530AC">
      <w:pPr>
        <w:pBdr>
          <w:top w:val="nil"/>
          <w:left w:val="nil"/>
          <w:bottom w:val="nil"/>
          <w:right w:val="nil"/>
          <w:between w:val="nil"/>
        </w:pBdr>
        <w:spacing w:after="0" w:line="276" w:lineRule="auto"/>
        <w:ind w:left="567"/>
        <w:rPr>
          <w:rFonts w:ascii="Arial" w:eastAsia="Arial" w:hAnsi="Arial" w:cs="Arial"/>
          <w:color w:val="000000"/>
          <w:sz w:val="24"/>
          <w:szCs w:val="24"/>
        </w:rPr>
      </w:pPr>
    </w:p>
    <w:bookmarkStart w:id="41" w:name="_heading=h.mvv0lvyxn9sd" w:colFirst="0" w:colLast="0"/>
    <w:bookmarkEnd w:id="41"/>
    <w:p w:rsidR="001530AC" w:rsidRDefault="009D7376">
      <w:pPr>
        <w:numPr>
          <w:ilvl w:val="1"/>
          <w:numId w:val="8"/>
        </w:numPr>
        <w:pBdr>
          <w:top w:val="nil"/>
          <w:left w:val="nil"/>
          <w:bottom w:val="nil"/>
          <w:right w:val="nil"/>
          <w:between w:val="nil"/>
        </w:pBdr>
        <w:spacing w:before="240" w:after="120" w:line="240" w:lineRule="auto"/>
        <w:ind w:left="1417"/>
        <w:rPr>
          <w:rFonts w:ascii="Arial" w:eastAsia="Arial" w:hAnsi="Arial" w:cs="Arial"/>
          <w:sz w:val="24"/>
          <w:szCs w:val="24"/>
        </w:rPr>
      </w:pPr>
      <w:r>
        <w:fldChar w:fldCharType="begin"/>
      </w:r>
      <w:r>
        <w:instrText xml:space="preserve"> HYPERLINK "https://www.gov.uk/government/uploads/system/uploads/attachment_data/file/649954/20171005_Armed_Forces_Covenant_Guidance_Notes_for_Businesses.pdf" \h </w:instrText>
      </w:r>
      <w:r>
        <w:fldChar w:fldCharType="separate"/>
      </w:r>
      <w:r>
        <w:rPr>
          <w:rFonts w:ascii="Arial" w:eastAsia="Arial" w:hAnsi="Arial" w:cs="Arial"/>
          <w:color w:val="000000"/>
          <w:sz w:val="24"/>
          <w:szCs w:val="24"/>
        </w:rPr>
        <w:t>T</w:t>
      </w:r>
      <w:r>
        <w:rPr>
          <w:rFonts w:ascii="Arial" w:eastAsia="Arial" w:hAnsi="Arial" w:cs="Arial"/>
          <w:color w:val="000000"/>
          <w:sz w:val="24"/>
          <w:szCs w:val="24"/>
        </w:rPr>
        <w:fldChar w:fldCharType="end"/>
      </w:r>
      <w:hyperlink r:id="rId20">
        <w:r>
          <w:rPr>
            <w:rFonts w:ascii="Arial" w:eastAsia="Arial" w:hAnsi="Arial" w:cs="Arial"/>
            <w:sz w:val="24"/>
            <w:szCs w:val="24"/>
          </w:rPr>
          <w:t>h</w:t>
        </w:r>
      </w:hyperlink>
      <w:hyperlink r:id="rId21">
        <w:r>
          <w:rPr>
            <w:rFonts w:ascii="Arial" w:eastAsia="Arial" w:hAnsi="Arial" w:cs="Arial"/>
            <w:color w:val="000000"/>
            <w:sz w:val="24"/>
            <w:szCs w:val="24"/>
          </w:rPr>
          <w:t>e Corporate Coven</w:t>
        </w:r>
        <w:r>
          <w:rPr>
            <w:rFonts w:ascii="Arial" w:eastAsia="Arial" w:hAnsi="Arial" w:cs="Arial"/>
            <w:color w:val="000000"/>
            <w:sz w:val="24"/>
            <w:szCs w:val="24"/>
          </w:rPr>
          <w:t>ant</w:t>
        </w:r>
      </w:hyperlink>
      <w:r>
        <w:rPr>
          <w:rFonts w:ascii="Arial" w:eastAsia="Arial" w:hAnsi="Arial" w:cs="Arial"/>
          <w:color w:val="000000"/>
          <w:sz w:val="24"/>
          <w:szCs w:val="24"/>
        </w:rPr>
        <w:t xml:space="preserve"> gives guidance on the various ways you can demonstrate your support.</w:t>
      </w:r>
    </w:p>
    <w:p w:rsidR="001530AC" w:rsidRDefault="009D7376">
      <w:pPr>
        <w:numPr>
          <w:ilvl w:val="1"/>
          <w:numId w:val="8"/>
        </w:numPr>
        <w:pBdr>
          <w:top w:val="nil"/>
          <w:left w:val="nil"/>
          <w:bottom w:val="nil"/>
          <w:right w:val="nil"/>
          <w:between w:val="nil"/>
        </w:pBdr>
        <w:spacing w:before="240" w:after="120" w:line="240" w:lineRule="auto"/>
        <w:ind w:left="1417"/>
        <w:rPr>
          <w:rFonts w:ascii="Arial" w:eastAsia="Arial" w:hAnsi="Arial" w:cs="Arial"/>
          <w:sz w:val="24"/>
          <w:szCs w:val="24"/>
        </w:rPr>
      </w:pPr>
      <w:bookmarkStart w:id="42" w:name="_heading=h.29v8yesnf69a" w:colFirst="0" w:colLast="0"/>
      <w:bookmarkEnd w:id="42"/>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w:t>
      </w:r>
      <w:r>
        <w:rPr>
          <w:rFonts w:ascii="Arial" w:eastAsia="Arial" w:hAnsi="Arial" w:cs="Arial"/>
          <w:color w:val="000000"/>
          <w:sz w:val="24"/>
          <w:szCs w:val="24"/>
        </w:rPr>
        <w:t>t you to any events or initiatives in which you may wish to participate. The Covenant Team can also provide any information you require in addition to that included on the website.</w:t>
      </w:r>
    </w:p>
    <w:p w:rsidR="001530AC" w:rsidRDefault="009D7376">
      <w:pPr>
        <w:pBdr>
          <w:top w:val="nil"/>
          <w:left w:val="nil"/>
          <w:bottom w:val="nil"/>
          <w:right w:val="nil"/>
          <w:between w:val="nil"/>
        </w:pBdr>
        <w:spacing w:after="0" w:line="276" w:lineRule="auto"/>
        <w:ind w:left="1417"/>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w:t>
        </w:r>
        <w:r>
          <w:rPr>
            <w:rFonts w:ascii="Arial" w:eastAsia="Arial" w:hAnsi="Arial" w:cs="Arial"/>
            <w:color w:val="1155CC"/>
            <w:sz w:val="24"/>
            <w:szCs w:val="24"/>
            <w:u w:val="single"/>
          </w:rPr>
          <w:t>ailbox@mod.uk</w:t>
        </w:r>
      </w:hyperlink>
    </w:p>
    <w:p w:rsidR="001530AC" w:rsidRDefault="001530AC">
      <w:pPr>
        <w:pBdr>
          <w:top w:val="nil"/>
          <w:left w:val="nil"/>
          <w:bottom w:val="nil"/>
          <w:right w:val="nil"/>
          <w:between w:val="nil"/>
        </w:pBdr>
        <w:spacing w:after="0" w:line="276" w:lineRule="auto"/>
        <w:ind w:left="1417"/>
        <w:rPr>
          <w:rFonts w:ascii="Arial" w:eastAsia="Arial" w:hAnsi="Arial" w:cs="Arial"/>
          <w:color w:val="000000"/>
          <w:sz w:val="24"/>
          <w:szCs w:val="24"/>
        </w:rPr>
      </w:pPr>
    </w:p>
    <w:p w:rsidR="001530AC" w:rsidRDefault="009D7376">
      <w:pPr>
        <w:pBdr>
          <w:top w:val="nil"/>
          <w:left w:val="nil"/>
          <w:bottom w:val="nil"/>
          <w:right w:val="nil"/>
          <w:between w:val="nil"/>
        </w:pBdr>
        <w:spacing w:after="0" w:line="276" w:lineRule="auto"/>
        <w:ind w:left="1417"/>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1530AC" w:rsidRDefault="001530AC">
      <w:pPr>
        <w:pBdr>
          <w:top w:val="nil"/>
          <w:left w:val="nil"/>
          <w:bottom w:val="nil"/>
          <w:right w:val="nil"/>
          <w:between w:val="nil"/>
        </w:pBdr>
        <w:spacing w:after="0" w:line="276" w:lineRule="auto"/>
        <w:ind w:left="1134"/>
        <w:rPr>
          <w:rFonts w:ascii="Arial" w:eastAsia="Arial" w:hAnsi="Arial" w:cs="Arial"/>
          <w:color w:val="000000"/>
          <w:sz w:val="24"/>
          <w:szCs w:val="24"/>
        </w:rPr>
      </w:pPr>
    </w:p>
    <w:p w:rsidR="001530AC" w:rsidRDefault="009D7376">
      <w:pPr>
        <w:numPr>
          <w:ilvl w:val="1"/>
          <w:numId w:val="8"/>
        </w:numPr>
        <w:pBdr>
          <w:top w:val="nil"/>
          <w:left w:val="nil"/>
          <w:bottom w:val="nil"/>
          <w:right w:val="nil"/>
          <w:between w:val="nil"/>
        </w:pBdr>
        <w:spacing w:before="240" w:after="120" w:line="240" w:lineRule="auto"/>
        <w:ind w:left="1417"/>
        <w:rPr>
          <w:rFonts w:ascii="Arial" w:eastAsia="Arial" w:hAnsi="Arial" w:cs="Arial"/>
          <w:sz w:val="24"/>
          <w:szCs w:val="24"/>
        </w:rPr>
      </w:pPr>
      <w:bookmarkStart w:id="43" w:name="_heading=h.o4ep0q8f3dtu" w:colFirst="0" w:colLast="0"/>
      <w:bookmarkEnd w:id="43"/>
      <w:r>
        <w:rPr>
          <w:rFonts w:ascii="Arial" w:eastAsia="Arial" w:hAnsi="Arial" w:cs="Arial"/>
          <w:color w:val="000000"/>
          <w:sz w:val="24"/>
          <w:szCs w:val="24"/>
        </w:rPr>
        <w:t>Paragraphs 12.1 – 12.4 above are not a condition of working with CCS now or in the future, nor will this issue form any part of the tender evaluation, contract award procedure or any resulting contract. However, CCS very much hopes you will want to provide</w:t>
      </w:r>
      <w:r>
        <w:rPr>
          <w:rFonts w:ascii="Arial" w:eastAsia="Arial" w:hAnsi="Arial" w:cs="Arial"/>
          <w:color w:val="000000"/>
          <w:sz w:val="24"/>
          <w:szCs w:val="24"/>
        </w:rPr>
        <w:t xml:space="preserve"> your support. </w:t>
      </w:r>
    </w:p>
    <w:sectPr w:rsidR="001530AC">
      <w:headerReference w:type="default" r:id="rId23"/>
      <w:footerReference w:type="default" r:id="rId24"/>
      <w:footerReference w:type="first" r:id="rId25"/>
      <w:pgSz w:w="11906" w:h="16838"/>
      <w:pgMar w:top="1440" w:right="1440" w:bottom="1440" w:left="1559"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376" w:rsidRDefault="009D7376">
      <w:pPr>
        <w:spacing w:after="0" w:line="240" w:lineRule="auto"/>
      </w:pPr>
      <w:r>
        <w:separator/>
      </w:r>
    </w:p>
  </w:endnote>
  <w:endnote w:type="continuationSeparator" w:id="0">
    <w:p w:rsidR="009D7376" w:rsidRDefault="009D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0AC" w:rsidRDefault="009D7376">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530AC" w:rsidRDefault="009D7376">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E7488">
      <w:rPr>
        <w:rFonts w:ascii="Arial" w:eastAsia="Arial" w:hAnsi="Arial" w:cs="Arial"/>
        <w:color w:val="000000"/>
        <w:sz w:val="20"/>
        <w:szCs w:val="20"/>
      </w:rPr>
      <w:fldChar w:fldCharType="separate"/>
    </w:r>
    <w:r w:rsidR="004E7488">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4E7488">
      <w:rPr>
        <w:rFonts w:ascii="Arial" w:eastAsia="Arial" w:hAnsi="Arial" w:cs="Arial"/>
        <w:color w:val="000000"/>
        <w:sz w:val="20"/>
        <w:szCs w:val="20"/>
      </w:rPr>
      <w:fldChar w:fldCharType="separate"/>
    </w:r>
    <w:r w:rsidR="004E7488">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1530AC" w:rsidRDefault="009D73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v1.0</w:t>
    </w:r>
  </w:p>
  <w:p w:rsidR="001530AC" w:rsidRDefault="009D73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6305</w:t>
    </w:r>
    <w:r>
      <w:rPr>
        <w:rFonts w:ascii="Arial" w:eastAsia="Arial" w:hAnsi="Arial" w:cs="Arial"/>
        <w:color w:val="000000"/>
        <w:sz w:val="20"/>
        <w:szCs w:val="20"/>
      </w:rPr>
      <w:t xml:space="preserve"> National Fuels 3 Framework </w:t>
    </w:r>
  </w:p>
  <w:p w:rsidR="001530AC" w:rsidRDefault="009D73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rsidR="001530AC" w:rsidRDefault="009D7376">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0AC" w:rsidRDefault="009D7376">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E7488">
      <w:rPr>
        <w:rFonts w:ascii="Arial" w:eastAsia="Arial" w:hAnsi="Arial" w:cs="Arial"/>
        <w:color w:val="000000"/>
        <w:sz w:val="20"/>
        <w:szCs w:val="20"/>
      </w:rPr>
      <w:fldChar w:fldCharType="separate"/>
    </w:r>
    <w:r w:rsidR="004E7488">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4E7488">
      <w:rPr>
        <w:rFonts w:ascii="Arial" w:eastAsia="Arial" w:hAnsi="Arial" w:cs="Arial"/>
        <w:color w:val="000000"/>
        <w:sz w:val="20"/>
        <w:szCs w:val="20"/>
      </w:rPr>
      <w:fldChar w:fldCharType="separate"/>
    </w:r>
    <w:r w:rsidR="004E7488">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1530AC" w:rsidRDefault="009D73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v1.0</w:t>
    </w:r>
  </w:p>
  <w:p w:rsidR="001530AC" w:rsidRDefault="009D73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6305</w:t>
    </w:r>
    <w:r>
      <w:rPr>
        <w:rFonts w:ascii="Arial" w:eastAsia="Arial" w:hAnsi="Arial" w:cs="Arial"/>
        <w:color w:val="000000"/>
        <w:sz w:val="20"/>
        <w:szCs w:val="20"/>
      </w:rPr>
      <w:t xml:space="preserve"> </w:t>
    </w:r>
    <w:r>
      <w:rPr>
        <w:rFonts w:ascii="Arial" w:eastAsia="Arial" w:hAnsi="Arial" w:cs="Arial"/>
        <w:sz w:val="20"/>
        <w:szCs w:val="20"/>
      </w:rPr>
      <w:t>National Fuels 3</w:t>
    </w:r>
    <w:r>
      <w:rPr>
        <w:rFonts w:ascii="Arial" w:eastAsia="Arial" w:hAnsi="Arial" w:cs="Arial"/>
        <w:color w:val="000000"/>
        <w:sz w:val="20"/>
        <w:szCs w:val="20"/>
      </w:rPr>
      <w:t xml:space="preserve"> Framework </w:t>
    </w:r>
  </w:p>
  <w:p w:rsidR="001530AC" w:rsidRDefault="009D737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376" w:rsidRDefault="009D7376">
      <w:pPr>
        <w:spacing w:after="0" w:line="240" w:lineRule="auto"/>
      </w:pPr>
      <w:r>
        <w:separator/>
      </w:r>
    </w:p>
  </w:footnote>
  <w:footnote w:type="continuationSeparator" w:id="0">
    <w:p w:rsidR="009D7376" w:rsidRDefault="009D7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0AC" w:rsidRDefault="001530AC">
    <w:pPr>
      <w:pBdr>
        <w:top w:val="nil"/>
        <w:left w:val="nil"/>
        <w:bottom w:val="nil"/>
        <w:right w:val="nil"/>
        <w:between w:val="nil"/>
      </w:pBdr>
      <w:tabs>
        <w:tab w:val="center" w:pos="4513"/>
        <w:tab w:val="right" w:pos="9026"/>
      </w:tabs>
      <w:spacing w:after="0" w:line="240" w:lineRule="auto"/>
      <w:jc w:val="right"/>
      <w:rPr>
        <w:color w:val="000000"/>
      </w:rPr>
    </w:pPr>
  </w:p>
  <w:p w:rsidR="001530AC" w:rsidRDefault="001530A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639E0"/>
    <w:multiLevelType w:val="multilevel"/>
    <w:tmpl w:val="EB34E5F0"/>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331F67E4"/>
    <w:multiLevelType w:val="multilevel"/>
    <w:tmpl w:val="E814F386"/>
    <w:lvl w:ilvl="0">
      <w:start w:val="1"/>
      <w:numFmt w:val="bullet"/>
      <w:lvlText w:val="●"/>
      <w:lvlJc w:val="left"/>
      <w:pPr>
        <w:ind w:left="1264" w:hanging="360"/>
      </w:pPr>
      <w:rPr>
        <w:rFonts w:ascii="Noto Sans Symbols" w:eastAsia="Noto Sans Symbols" w:hAnsi="Noto Sans Symbols" w:cs="Noto Sans Symbols"/>
      </w:rPr>
    </w:lvl>
    <w:lvl w:ilvl="1">
      <w:start w:val="1"/>
      <w:numFmt w:val="bullet"/>
      <w:pStyle w:val="GPSL2NumberedBoldHeading"/>
      <w:lvlText w:val="o"/>
      <w:lvlJc w:val="left"/>
      <w:pPr>
        <w:ind w:left="1984" w:hanging="360"/>
      </w:pPr>
      <w:rPr>
        <w:rFonts w:ascii="Courier New" w:eastAsia="Courier New" w:hAnsi="Courier New" w:cs="Courier New"/>
      </w:rPr>
    </w:lvl>
    <w:lvl w:ilvl="2">
      <w:start w:val="1"/>
      <w:numFmt w:val="bullet"/>
      <w:pStyle w:val="GPSL3numberedclause"/>
      <w:lvlText w:val="▪"/>
      <w:lvlJc w:val="left"/>
      <w:pPr>
        <w:ind w:left="2704" w:hanging="360"/>
      </w:pPr>
      <w:rPr>
        <w:rFonts w:ascii="Noto Sans Symbols" w:eastAsia="Noto Sans Symbols" w:hAnsi="Noto Sans Symbols" w:cs="Noto Sans Symbols"/>
      </w:rPr>
    </w:lvl>
    <w:lvl w:ilvl="3">
      <w:start w:val="1"/>
      <w:numFmt w:val="bullet"/>
      <w:pStyle w:val="GPSL4numberedclause"/>
      <w:lvlText w:val="●"/>
      <w:lvlJc w:val="left"/>
      <w:pPr>
        <w:ind w:left="3424" w:hanging="360"/>
      </w:pPr>
      <w:rPr>
        <w:rFonts w:ascii="Noto Sans Symbols" w:eastAsia="Noto Sans Symbols" w:hAnsi="Noto Sans Symbols" w:cs="Noto Sans Symbols"/>
      </w:rPr>
    </w:lvl>
    <w:lvl w:ilvl="4">
      <w:start w:val="1"/>
      <w:numFmt w:val="bullet"/>
      <w:pStyle w:val="GPSL5numberedclause"/>
      <w:lvlText w:val="o"/>
      <w:lvlJc w:val="left"/>
      <w:pPr>
        <w:ind w:left="4144" w:hanging="360"/>
      </w:pPr>
      <w:rPr>
        <w:rFonts w:ascii="Courier New" w:eastAsia="Courier New" w:hAnsi="Courier New" w:cs="Courier New"/>
      </w:rPr>
    </w:lvl>
    <w:lvl w:ilvl="5">
      <w:start w:val="1"/>
      <w:numFmt w:val="bullet"/>
      <w:pStyle w:val="GPSL6numbered"/>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2" w15:restartNumberingAfterBreak="0">
    <w:nsid w:val="33CF55F1"/>
    <w:multiLevelType w:val="multilevel"/>
    <w:tmpl w:val="8D94EA2C"/>
    <w:lvl w:ilvl="0">
      <w:start w:val="1"/>
      <w:numFmt w:val="decimal"/>
      <w:lvlText w:val="%1"/>
      <w:lvlJc w:val="left"/>
      <w:pPr>
        <w:ind w:left="360" w:hanging="360"/>
      </w:pPr>
    </w:lvl>
    <w:lvl w:ilvl="1">
      <w:start w:val="1"/>
      <w:numFmt w:val="lowerLetter"/>
      <w:lvlText w:val="%2."/>
      <w:lvlJc w:val="left"/>
      <w:pPr>
        <w:ind w:left="1417" w:hanging="720"/>
      </w:pPr>
      <w:rPr>
        <w:rFonts w:ascii="Arial" w:eastAsia="Arial" w:hAnsi="Arial" w:cs="Arial"/>
        <w:b w:val="0"/>
        <w:sz w:val="24"/>
        <w:szCs w:val="24"/>
        <w:u w:val="none"/>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D676A4C"/>
    <w:multiLevelType w:val="multilevel"/>
    <w:tmpl w:val="4BCAD6AA"/>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 w15:restartNumberingAfterBreak="0">
    <w:nsid w:val="3D8D0C19"/>
    <w:multiLevelType w:val="multilevel"/>
    <w:tmpl w:val="931AE7F0"/>
    <w:lvl w:ilvl="0">
      <w:start w:val="1"/>
      <w:numFmt w:val="lowerRoman"/>
      <w:lvlText w:val="%1."/>
      <w:lvlJc w:val="right"/>
      <w:pPr>
        <w:ind w:left="2160" w:hanging="360"/>
      </w:pPr>
    </w:lvl>
    <w:lvl w:ilvl="1">
      <w:start w:val="1"/>
      <w:numFmt w:val="lowerLetter"/>
      <w:pStyle w:val="Style8"/>
      <w:lvlText w:val="%2."/>
      <w:lvlJc w:val="left"/>
      <w:pPr>
        <w:ind w:left="2880" w:hanging="360"/>
      </w:pPr>
    </w:lvl>
    <w:lvl w:ilvl="2">
      <w:start w:val="1"/>
      <w:numFmt w:val="lowerRoman"/>
      <w:pStyle w:val="Style9"/>
      <w:lvlText w:val="%3."/>
      <w:lvlJc w:val="right"/>
      <w:pPr>
        <w:ind w:left="3600" w:hanging="180"/>
      </w:pPr>
    </w:lvl>
    <w:lvl w:ilvl="3">
      <w:start w:val="1"/>
      <w:numFmt w:val="decimal"/>
      <w:pStyle w:val="Style10"/>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53EC46DC"/>
    <w:multiLevelType w:val="multilevel"/>
    <w:tmpl w:val="6A363A0E"/>
    <w:lvl w:ilvl="0">
      <w:start w:val="9"/>
      <w:numFmt w:val="decimal"/>
      <w:pStyle w:val="GPSRecitals"/>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4"/>
        <w:szCs w:val="24"/>
        <w:u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55806167"/>
    <w:multiLevelType w:val="multilevel"/>
    <w:tmpl w:val="07186BBE"/>
    <w:lvl w:ilvl="0">
      <w:start w:val="1"/>
      <w:numFmt w:val="decimal"/>
      <w:pStyle w:val="GPSSectionHeading"/>
      <w:lvlText w:val="%1."/>
      <w:lvlJc w:val="left"/>
      <w:pPr>
        <w:ind w:left="360" w:hanging="360"/>
      </w:pPr>
      <w:rPr>
        <w:b/>
        <w:i w:val="0"/>
        <w:smallCaps w:val="0"/>
        <w:strike w:val="0"/>
        <w:color w:val="000000"/>
        <w:sz w:val="28"/>
        <w:szCs w:val="28"/>
        <w:u w:val="none"/>
        <w:vertAlign w:val="baseline"/>
      </w:rPr>
    </w:lvl>
    <w:lvl w:ilvl="1">
      <w:start w:val="1"/>
      <w:numFmt w:val="decimal"/>
      <w:lvlText w:val="%1.%2."/>
      <w:lvlJc w:val="left"/>
      <w:pPr>
        <w:ind w:left="792" w:hanging="432"/>
      </w:pPr>
      <w:rPr>
        <w:rFonts w:ascii="Arial" w:eastAsia="Arial" w:hAnsi="Arial" w:cs="Arial"/>
        <w:b w:val="0"/>
        <w:i w:val="0"/>
        <w:smallCaps w:val="0"/>
        <w:strike w:val="0"/>
        <w:sz w:val="24"/>
        <w:szCs w:val="24"/>
        <w:u w:val="none"/>
        <w:vertAlign w:val="baseline"/>
      </w:rPr>
    </w:lvl>
    <w:lvl w:ilvl="2">
      <w:start w:val="1"/>
      <w:numFmt w:val="decimal"/>
      <w:lvlText w:val="%1.%2.%3."/>
      <w:lvlJc w:val="left"/>
      <w:pPr>
        <w:ind w:left="1224" w:hanging="504"/>
      </w:pPr>
      <w:rPr>
        <w:b w:val="0"/>
        <w:i w:val="0"/>
        <w:smallCaps w:val="0"/>
        <w:strike w:val="0"/>
        <w:color w:val="000000"/>
        <w:sz w:val="22"/>
        <w:szCs w:val="22"/>
        <w:u w:val="none"/>
        <w:vertAlign w:val="baseline"/>
      </w:rPr>
    </w:lvl>
    <w:lvl w:ilvl="3">
      <w:start w:val="1"/>
      <w:numFmt w:val="decimal"/>
      <w:lvlText w:val="%1.%2.%3.%4."/>
      <w:lvlJc w:val="left"/>
      <w:pPr>
        <w:ind w:left="1728" w:hanging="647"/>
      </w:pPr>
      <w:rPr>
        <w:b w:val="0"/>
        <w:i w:val="0"/>
        <w:smallCaps w:val="0"/>
        <w:strike w:val="0"/>
        <w:color w:val="000000"/>
        <w:sz w:val="22"/>
        <w:szCs w:val="22"/>
        <w:u w:val="none"/>
        <w:vertAlign w:val="baseline"/>
      </w:rPr>
    </w:lvl>
    <w:lvl w:ilvl="4">
      <w:start w:val="1"/>
      <w:numFmt w:val="decimal"/>
      <w:lvlText w:val="%1.%2.%3.%4.%5."/>
      <w:lvlJc w:val="left"/>
      <w:pPr>
        <w:ind w:left="2232" w:hanging="792"/>
      </w:pPr>
      <w:rPr>
        <w:b w:val="0"/>
        <w:i w:val="0"/>
        <w:smallCaps w:val="0"/>
        <w:strike w:val="0"/>
        <w:color w:val="000000"/>
        <w:sz w:val="2"/>
        <w:szCs w:val="2"/>
        <w:highlight w:val="black"/>
        <w:u w:val="none"/>
        <w:vertAlign w:val="baseline"/>
      </w:rPr>
    </w:lvl>
    <w:lvl w:ilvl="5">
      <w:start w:val="1"/>
      <w:numFmt w:val="decimal"/>
      <w:lvlText w:val="%1.%2.%3.%4.%5.%6."/>
      <w:lvlJc w:val="left"/>
      <w:pPr>
        <w:ind w:left="2736" w:hanging="935"/>
      </w:pPr>
      <w:rPr>
        <w:b w:val="0"/>
        <w:i w:val="0"/>
        <w:smallCaps w:val="0"/>
        <w:strike w:val="0"/>
        <w:color w:val="000000"/>
        <w:sz w:val="2"/>
        <w:szCs w:val="2"/>
        <w:highlight w:val="black"/>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F52680"/>
    <w:multiLevelType w:val="multilevel"/>
    <w:tmpl w:val="68C489AE"/>
    <w:lvl w:ilvl="0">
      <w:start w:val="1"/>
      <w:numFmt w:val="decimal"/>
      <w:pStyle w:val="GPSL1CLAUSEHEADING"/>
      <w:lvlText w:val="%1."/>
      <w:lvlJc w:val="left"/>
      <w:pPr>
        <w:ind w:left="720" w:hanging="360"/>
      </w:pPr>
    </w:lvl>
    <w:lvl w:ilvl="1">
      <w:start w:val="1"/>
      <w:numFmt w:val="lowerLetter"/>
      <w:lvlText w:val="%2."/>
      <w:lvlJc w:val="left"/>
      <w:pPr>
        <w:ind w:left="1440" w:hanging="360"/>
      </w:pPr>
      <w:rPr>
        <w:rFonts w:ascii="Arial" w:eastAsia="Arial" w:hAnsi="Arial" w:cs="Arial"/>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DA4D9E"/>
    <w:multiLevelType w:val="multilevel"/>
    <w:tmpl w:val="CE8ECE28"/>
    <w:lvl w:ilvl="0">
      <w:start w:val="1"/>
      <w:numFmt w:val="decimal"/>
      <w:pStyle w:val="GPsDefinition"/>
      <w:lvlText w:val="%1."/>
      <w:lvlJc w:val="left"/>
      <w:pPr>
        <w:ind w:left="360" w:hanging="360"/>
      </w:pPr>
      <w:rPr>
        <w:rFonts w:ascii="Arial" w:eastAsia="Arial" w:hAnsi="Arial" w:cs="Arial"/>
        <w:b/>
        <w:color w:val="000000"/>
      </w:rPr>
    </w:lvl>
    <w:lvl w:ilvl="1">
      <w:start w:val="1"/>
      <w:numFmt w:val="decimal"/>
      <w:pStyle w:val="GPSDefinitionL2"/>
      <w:lvlText w:val="%1.%2."/>
      <w:lvlJc w:val="left"/>
      <w:pPr>
        <w:ind w:left="792" w:hanging="432"/>
      </w:pPr>
    </w:lvl>
    <w:lvl w:ilvl="2">
      <w:start w:val="1"/>
      <w:numFmt w:val="decimal"/>
      <w:pStyle w:val="GPSDefinitionL3"/>
      <w:lvlText w:val="%1.%2.%3."/>
      <w:lvlJc w:val="left"/>
      <w:pPr>
        <w:ind w:left="1224" w:hanging="504"/>
      </w:pPr>
    </w:lvl>
    <w:lvl w:ilvl="3">
      <w:start w:val="1"/>
      <w:numFmt w:val="decimal"/>
      <w:pStyle w:val="GPSDefinitionL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BD6B75"/>
    <w:multiLevelType w:val="multilevel"/>
    <w:tmpl w:val="503EB4EE"/>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7A753F94"/>
    <w:multiLevelType w:val="multilevel"/>
    <w:tmpl w:val="AE2C7B62"/>
    <w:lvl w:ilvl="0">
      <w:start w:val="3"/>
      <w:numFmt w:val="decimal"/>
      <w:lvlText w:val="%1.1"/>
      <w:lvlJc w:val="left"/>
      <w:pPr>
        <w:ind w:left="720" w:hanging="360"/>
      </w:pPr>
      <w:rPr>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8"/>
  </w:num>
  <w:num w:numId="6">
    <w:abstractNumId w:val="1"/>
  </w:num>
  <w:num w:numId="7">
    <w:abstractNumId w:val="10"/>
  </w:num>
  <w:num w:numId="8">
    <w:abstractNumId w:val="9"/>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AC"/>
    <w:rsid w:val="001530AC"/>
    <w:rsid w:val="004E7488"/>
    <w:rsid w:val="009D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2B593-8A56-4721-A6B7-129F3544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adjustRightInd w:val="0"/>
      <w:spacing w:after="0" w:line="240" w:lineRule="auto"/>
      <w:jc w:val="both"/>
    </w:pPr>
    <w:rPr>
      <w:rFonts w:eastAsia="STZhongsong" w:cs="Times New Roman"/>
      <w:b/>
      <w:caps/>
      <w:lang w:eastAsia="zh-CN"/>
    </w:rPr>
  </w:style>
  <w:style w:type="paragraph" w:customStyle="1" w:styleId="ORDERFORML2Title">
    <w:name w:val="ORDER FORM L2 Title"/>
    <w:basedOn w:val="Normal"/>
    <w:qFormat/>
    <w:rsid w:val="00712F1F"/>
    <w:p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4">
    <w:name w:val="3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3">
    <w:name w:val="3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2">
    <w:name w:val="3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29">
    <w:name w:val="2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8">
    <w:name w:val="2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7">
    <w:name w:val="2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6">
    <w:name w:val="2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5">
    <w:name w:val="2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Standard">
    <w:name w:val="Standard"/>
    <w:rsid w:val="00AC23B8"/>
    <w:pPr>
      <w:suppressAutoHyphens/>
      <w:autoSpaceDN w:val="0"/>
      <w:spacing w:after="0" w:line="276" w:lineRule="auto"/>
    </w:pPr>
    <w:rPr>
      <w:rFonts w:ascii="Arial" w:eastAsia="Arial" w:hAnsi="Arial" w:cs="Arial"/>
      <w:lang w:eastAsia="zh-CN" w:bidi="hi-IN"/>
    </w:rPr>
  </w:style>
  <w:style w:type="numbering" w:customStyle="1" w:styleId="WWNum1">
    <w:name w:val="WWNum1"/>
    <w:rsid w:val="00AC23B8"/>
  </w:style>
  <w:style w:type="character" w:styleId="UnresolvedMention">
    <w:name w:val="Unresolved Mention"/>
    <w:basedOn w:val="DefaultParagraphFont"/>
    <w:uiPriority w:val="99"/>
    <w:semiHidden/>
    <w:unhideWhenUsed/>
    <w:rsid w:val="004B6CAE"/>
    <w:rPr>
      <w:color w:val="605E5C"/>
      <w:shd w:val="clear" w:color="auto" w:fill="E1DFDD"/>
    </w:rPr>
  </w:style>
  <w:style w:type="paragraph" w:styleId="NormalWeb">
    <w:name w:val="Normal (Web)"/>
    <w:basedOn w:val="Normal"/>
    <w:uiPriority w:val="99"/>
    <w:semiHidden/>
    <w:unhideWhenUsed/>
    <w:rsid w:val="00D208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4">
    <w:name w:val="2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3">
    <w:name w:val="2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2">
    <w:name w:val="2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1">
    <w:name w:val="2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0">
    <w:name w:val="2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9">
    <w:name w:val="1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8">
    <w:name w:val="1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7">
    <w:name w:val="1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6">
    <w:name w:val="1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5">
    <w:name w:val="1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4">
    <w:name w:val="1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3">
    <w:name w:val="1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2">
    <w:name w:val="1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1">
    <w:name w:val="1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0">
    <w:name w:val="1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9">
    <w:name w:val="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8">
    <w:name w:val="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7">
    <w:name w:val="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6">
    <w:name w:val="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5">
    <w:name w:val="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
    <w:name w:val="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rowncommercial.gov.uk/agreements/RM6305."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rowncommercial.gov.uk/agreements/RM6305" TargetMode="External"/><Relationship Id="rId23" Type="http://schemas.openxmlformats.org/officeDocument/2006/relationships/header" Target="head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305" TargetMode="External"/><Relationship Id="rId22" Type="http://schemas.openxmlformats.org/officeDocument/2006/relationships/hyperlink" Target="mailto:covenant-mailbox@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RRKYqMqEbk/2URHk0g62mmUBA==">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6443</Words>
  <Characters>36731</Characters>
  <Application>Microsoft Office Word</Application>
  <DocSecurity>0</DocSecurity>
  <Lines>306</Lines>
  <Paragraphs>86</Paragraphs>
  <ScaleCrop>false</ScaleCrop>
  <Company/>
  <LinksUpToDate>false</LinksUpToDate>
  <CharactersWithSpaces>43088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Adam Cureton</cp:lastModifiedBy>
  <cp:revision>2</cp:revision>
  <dcterms:created xsi:type="dcterms:W3CDTF">2023-05-30T18:43:00Z</dcterms:created>
  <dcterms:modified xsi:type="dcterms:W3CDTF">2024-03-21T09:24:00Z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