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152D" w14:textId="77777777" w:rsidR="00065306" w:rsidRPr="00F41A7B" w:rsidRDefault="00DC60D0" w:rsidP="00230343">
      <w:pPr>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05EE14C7" w14:textId="3784C753" w:rsidR="004E44DC" w:rsidRPr="00F41A7B" w:rsidRDefault="004E44DC" w:rsidP="00230343">
      <w:pPr>
        <w:rPr>
          <w:rFonts w:ascii="Arial" w:hAnsi="Arial"/>
          <w:sz w:val="24"/>
          <w:szCs w:val="24"/>
        </w:rPr>
      </w:pPr>
      <w:r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99FB6F7"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1F3AE833"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31EAA528"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11CEB72A" w14:textId="3CB66A4D"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w:t>
      </w:r>
      <w:r w:rsidR="00641BC6" w:rsidRPr="00F41A7B">
        <w:rPr>
          <w:rFonts w:ascii="Arial" w:eastAsia="Calibri" w:hAnsi="Arial"/>
          <w:sz w:val="24"/>
          <w:szCs w:val="24"/>
          <w:lang w:eastAsia="en-GB"/>
        </w:rPr>
        <w:t xml:space="preserve"> Form</w:t>
      </w:r>
      <w:r w:rsidRPr="00F41A7B">
        <w:rPr>
          <w:rFonts w:ascii="Arial" w:eastAsia="Calibri" w:hAnsi="Arial"/>
          <w:sz w:val="24"/>
          <w:szCs w:val="24"/>
          <w:lang w:eastAsia="en-GB"/>
        </w:rPr>
        <w:t xml:space="preserve"> which Annex shall apply (either D1 (CSPS), D2 (NHSPS), D3 (LGPS)</w:t>
      </w:r>
      <w:r w:rsidR="00585CC6">
        <w:rPr>
          <w:rFonts w:ascii="Arial" w:eastAsia="Calibri" w:hAnsi="Arial"/>
          <w:sz w:val="24"/>
          <w:szCs w:val="24"/>
          <w:lang w:eastAsia="en-GB"/>
        </w:rPr>
        <w:t xml:space="preserve"> or D4 (Other Schemes)</w:t>
      </w:r>
      <w:r w:rsidRPr="00F41A7B">
        <w:rPr>
          <w:rFonts w:ascii="Arial" w:eastAsia="Calibri" w:hAnsi="Arial"/>
          <w:sz w:val="24"/>
          <w:szCs w:val="24"/>
          <w:lang w:eastAsia="en-GB"/>
        </w:rPr>
        <w:t>). Part D pensions may also apply where there is not a TUPE transfer for example where the incumbent provider is successful.</w:t>
      </w:r>
    </w:p>
    <w:p w14:paraId="4255929C"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67E64808" w14:textId="77777777" w:rsidR="004E44DC" w:rsidRPr="00F41A7B" w:rsidRDefault="004E44DC" w:rsidP="00230343">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08664130" w14:textId="77777777" w:rsidR="00641BC6"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r w:rsidR="00065306" w:rsidRPr="00F41A7B">
        <w:rPr>
          <w:rFonts w:ascii="Arial" w:eastAsia="Calibri" w:hAnsi="Arial"/>
          <w:sz w:val="24"/>
          <w:szCs w:val="24"/>
          <w:lang w:eastAsia="en-GB"/>
        </w:rPr>
        <w:t>.</w:t>
      </w:r>
    </w:p>
    <w:p w14:paraId="55DF7F97" w14:textId="77777777" w:rsidR="004E44DC" w:rsidRPr="00F41A7B" w:rsidRDefault="00641BC6" w:rsidP="00230343">
      <w:pPr>
        <w:rPr>
          <w:rFonts w:ascii="Arial" w:eastAsia="Calibri" w:hAnsi="Arial"/>
          <w:sz w:val="24"/>
          <w:szCs w:val="24"/>
          <w:lang w:eastAsia="en-GB"/>
        </w:rPr>
      </w:pPr>
      <w:r w:rsidRPr="00F41A7B">
        <w:rPr>
          <w:rFonts w:ascii="Arial" w:eastAsia="Calibri" w:hAnsi="Arial"/>
          <w:sz w:val="24"/>
          <w:szCs w:val="24"/>
          <w:lang w:eastAsia="en-GB"/>
        </w:rPr>
        <w:t xml:space="preserve">For further </w:t>
      </w:r>
      <w:r w:rsidR="00065306" w:rsidRPr="00F41A7B">
        <w:rPr>
          <w:rFonts w:ascii="Arial" w:eastAsia="Calibri" w:hAnsi="Arial"/>
          <w:sz w:val="24"/>
          <w:szCs w:val="24"/>
          <w:lang w:eastAsia="en-GB"/>
        </w:rPr>
        <w:t>guidance on this S</w:t>
      </w:r>
      <w:r w:rsidRPr="00F41A7B">
        <w:rPr>
          <w:rFonts w:ascii="Arial" w:eastAsia="Calibri" w:hAnsi="Arial"/>
          <w:sz w:val="24"/>
          <w:szCs w:val="24"/>
          <w:lang w:eastAsia="en-GB"/>
        </w:rPr>
        <w:t>chedule contact Government Legal Department’s Employment Law Group</w:t>
      </w:r>
      <w:r w:rsidR="004E44DC" w:rsidRPr="00F41A7B">
        <w:rPr>
          <w:rFonts w:ascii="Arial" w:eastAsia="Calibri" w:hAnsi="Arial"/>
          <w:sz w:val="24"/>
          <w:szCs w:val="24"/>
          <w:lang w:eastAsia="en-GB"/>
        </w:rPr>
        <w:t>]</w:t>
      </w:r>
    </w:p>
    <w:p w14:paraId="7A2EA3AF" w14:textId="77777777" w:rsidR="004E44DC" w:rsidRPr="00F41A7B" w:rsidRDefault="004E44DC" w:rsidP="00230343">
      <w:pPr>
        <w:pStyle w:val="GPSSchTitleandNumber"/>
        <w:ind w:firstLine="0"/>
        <w:jc w:val="both"/>
        <w:rPr>
          <w:rFonts w:ascii="Arial" w:hAnsi="Arial" w:cs="Arial"/>
          <w:sz w:val="24"/>
          <w:szCs w:val="24"/>
        </w:rPr>
      </w:pPr>
    </w:p>
    <w:p w14:paraId="6A4A7CFD" w14:textId="77777777" w:rsidR="004A239D" w:rsidRPr="00F41A7B" w:rsidRDefault="00946463" w:rsidP="00230343">
      <w:pPr>
        <w:pStyle w:val="ScheduleL1"/>
        <w:rPr>
          <w:rFonts w:ascii="Arial Bold" w:hAnsi="Arial Bold" w:cs="Arial"/>
          <w:caps w:val="0"/>
          <w:sz w:val="24"/>
          <w:szCs w:val="24"/>
        </w:rPr>
      </w:pPr>
      <w:r w:rsidRPr="00F41A7B">
        <w:rPr>
          <w:rFonts w:ascii="Arial Bold" w:hAnsi="Arial Bold" w:cs="Arial"/>
          <w:caps w:val="0"/>
          <w:sz w:val="24"/>
          <w:szCs w:val="24"/>
        </w:rPr>
        <w:t>Definitions</w:t>
      </w:r>
    </w:p>
    <w:p w14:paraId="46A9DF09"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w:t>
      </w:r>
      <w:proofErr w:type="gramStart"/>
      <w:r w:rsidR="00DA00A8" w:rsidRPr="00F41A7B">
        <w:rPr>
          <w:rFonts w:ascii="Arial" w:hAnsi="Arial" w:cs="Arial"/>
          <w:sz w:val="24"/>
          <w:szCs w:val="24"/>
          <w:lang w:val="en-GB"/>
        </w:rPr>
        <w:t>1</w:t>
      </w:r>
      <w:r w:rsidRPr="00F41A7B">
        <w:rPr>
          <w:rFonts w:ascii="Arial" w:hAnsi="Arial" w:cs="Arial"/>
          <w:sz w:val="24"/>
          <w:szCs w:val="24"/>
          <w:lang w:val="en-GB"/>
        </w:rPr>
        <w:t>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976A43" w:rsidRPr="00F41A7B" w14:paraId="4626BD8D" w14:textId="77777777" w:rsidTr="005F2DEA">
        <w:trPr>
          <w:cantSplit/>
        </w:trPr>
        <w:tc>
          <w:tcPr>
            <w:tcW w:w="2917" w:type="dxa"/>
          </w:tcPr>
          <w:p w14:paraId="7D3BF47C" w14:textId="4A172E30" w:rsidR="00976A43" w:rsidRPr="00705D4F" w:rsidRDefault="00976A43" w:rsidP="00230343">
            <w:pPr>
              <w:pStyle w:val="Guidancenoteparagraphtext"/>
              <w:spacing w:after="0"/>
              <w:ind w:left="706"/>
              <w:rPr>
                <w:bCs/>
                <w:i w:val="0"/>
                <w:sz w:val="24"/>
              </w:rPr>
            </w:pPr>
            <w:r>
              <w:rPr>
                <w:bCs/>
                <w:i w:val="0"/>
                <w:sz w:val="24"/>
              </w:rPr>
              <w:t xml:space="preserve">“Acquired Rights Directive” </w:t>
            </w:r>
          </w:p>
        </w:tc>
        <w:tc>
          <w:tcPr>
            <w:tcW w:w="6109" w:type="dxa"/>
          </w:tcPr>
          <w:p w14:paraId="140341E0" w14:textId="27EBF2C0" w:rsidR="001C7376" w:rsidRPr="001F76AD" w:rsidRDefault="001C7376" w:rsidP="001C7376">
            <w:pPr>
              <w:numPr>
                <w:ilvl w:val="0"/>
                <w:numId w:val="13"/>
              </w:numPr>
              <w:tabs>
                <w:tab w:val="left" w:pos="-179"/>
                <w:tab w:val="left" w:pos="-9"/>
              </w:tabs>
              <w:spacing w:after="120"/>
              <w:rPr>
                <w:rFonts w:ascii="Arial" w:hAnsi="Arial"/>
                <w:sz w:val="24"/>
                <w:szCs w:val="24"/>
              </w:rPr>
            </w:pPr>
            <w:proofErr w:type="gramStart"/>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proofErr w:type="gramEnd"/>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001F26F9" w14:textId="77777777" w:rsidR="00976A43" w:rsidRPr="00705D4F" w:rsidRDefault="00976A43" w:rsidP="00F22C95">
            <w:pPr>
              <w:numPr>
                <w:ilvl w:val="0"/>
                <w:numId w:val="13"/>
              </w:numPr>
              <w:tabs>
                <w:tab w:val="left" w:pos="-179"/>
                <w:tab w:val="left" w:pos="-9"/>
              </w:tabs>
              <w:spacing w:after="120"/>
              <w:rPr>
                <w:rFonts w:ascii="Arial" w:hAnsi="Arial"/>
                <w:sz w:val="24"/>
                <w:szCs w:val="24"/>
              </w:rPr>
            </w:pPr>
          </w:p>
        </w:tc>
      </w:tr>
      <w:tr w:rsidR="004E44DC" w:rsidRPr="00F41A7B" w14:paraId="43BBA998" w14:textId="77777777" w:rsidTr="005F2DEA">
        <w:trPr>
          <w:cantSplit/>
        </w:trPr>
        <w:tc>
          <w:tcPr>
            <w:tcW w:w="2917" w:type="dxa"/>
          </w:tcPr>
          <w:p w14:paraId="7DDE3009" w14:textId="77777777" w:rsidR="004E44DC" w:rsidRPr="00705D4F" w:rsidRDefault="004E44DC" w:rsidP="00230343">
            <w:pPr>
              <w:pStyle w:val="Guidancenoteparagraphtext"/>
              <w:spacing w:after="0"/>
              <w:ind w:left="706"/>
              <w:rPr>
                <w:bCs/>
                <w:i w:val="0"/>
                <w:sz w:val="24"/>
              </w:rPr>
            </w:pPr>
            <w:r w:rsidRPr="00705D4F">
              <w:rPr>
                <w:bCs/>
                <w:i w:val="0"/>
                <w:sz w:val="24"/>
              </w:rPr>
              <w:lastRenderedPageBreak/>
              <w:t>"Employee Liability"</w:t>
            </w:r>
          </w:p>
        </w:tc>
        <w:tc>
          <w:tcPr>
            <w:tcW w:w="6109" w:type="dxa"/>
          </w:tcPr>
          <w:p w14:paraId="4FE5CC52" w14:textId="77777777" w:rsidR="004E44DC" w:rsidRPr="00705D4F" w:rsidRDefault="004E44DC" w:rsidP="00F22C95">
            <w:pPr>
              <w:numPr>
                <w:ilvl w:val="0"/>
                <w:numId w:val="13"/>
              </w:numPr>
              <w:tabs>
                <w:tab w:val="left" w:pos="-179"/>
                <w:tab w:val="left" w:pos="-9"/>
              </w:tabs>
              <w:spacing w:after="120"/>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DDC33CA" w14:textId="77777777" w:rsidR="004E44DC" w:rsidRPr="00705D4F" w:rsidRDefault="004E44DC" w:rsidP="00F22C95">
            <w:pPr>
              <w:numPr>
                <w:ilvl w:val="1"/>
                <w:numId w:val="13"/>
              </w:numPr>
              <w:tabs>
                <w:tab w:val="left" w:pos="-576"/>
                <w:tab w:val="left" w:pos="144"/>
              </w:tabs>
              <w:spacing w:after="120"/>
              <w:ind w:hanging="545"/>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4E44DC" w:rsidRPr="00F41A7B" w14:paraId="04191BD8" w14:textId="77777777" w:rsidTr="005F2DEA">
        <w:trPr>
          <w:cantSplit/>
        </w:trPr>
        <w:tc>
          <w:tcPr>
            <w:tcW w:w="2917" w:type="dxa"/>
          </w:tcPr>
          <w:p w14:paraId="11660490" w14:textId="77777777" w:rsidR="004E44DC" w:rsidRPr="00705D4F" w:rsidRDefault="004E44DC" w:rsidP="00230343">
            <w:pPr>
              <w:pStyle w:val="Guidancenoteparagraphtext"/>
              <w:spacing w:after="0"/>
              <w:ind w:left="706"/>
              <w:rPr>
                <w:bCs/>
                <w:i w:val="0"/>
                <w:sz w:val="24"/>
              </w:rPr>
            </w:pPr>
          </w:p>
        </w:tc>
        <w:tc>
          <w:tcPr>
            <w:tcW w:w="6109" w:type="dxa"/>
          </w:tcPr>
          <w:p w14:paraId="11C9C1B6"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unfair, wrongful or constructive dismissal </w:t>
            </w:r>
            <w:r w:rsidRPr="00705D4F">
              <w:rPr>
                <w:rFonts w:ascii="Arial" w:hAnsi="Arial"/>
                <w:color w:val="000000"/>
                <w:sz w:val="24"/>
                <w:szCs w:val="24"/>
              </w:rPr>
              <w:t>compensation</w:t>
            </w:r>
            <w:r w:rsidRPr="00705D4F">
              <w:rPr>
                <w:rFonts w:ascii="Arial" w:hAnsi="Arial"/>
                <w:sz w:val="24"/>
                <w:szCs w:val="24"/>
              </w:rPr>
              <w:t>;</w:t>
            </w:r>
          </w:p>
        </w:tc>
      </w:tr>
      <w:tr w:rsidR="004E44DC" w:rsidRPr="00F41A7B" w14:paraId="2A775AC4" w14:textId="77777777" w:rsidTr="005F2DEA">
        <w:trPr>
          <w:cantSplit/>
        </w:trPr>
        <w:tc>
          <w:tcPr>
            <w:tcW w:w="2917" w:type="dxa"/>
          </w:tcPr>
          <w:p w14:paraId="524DCDD6" w14:textId="77777777" w:rsidR="004E44DC" w:rsidRPr="00705D4F" w:rsidRDefault="004E44DC" w:rsidP="00230343">
            <w:pPr>
              <w:pStyle w:val="Guidancenoteparagraphtext"/>
              <w:spacing w:after="0"/>
              <w:ind w:left="706"/>
              <w:rPr>
                <w:bCs/>
                <w:i w:val="0"/>
                <w:sz w:val="24"/>
              </w:rPr>
            </w:pPr>
          </w:p>
        </w:tc>
        <w:tc>
          <w:tcPr>
            <w:tcW w:w="6109" w:type="dxa"/>
          </w:tcPr>
          <w:p w14:paraId="0DDE7691"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compensation for discrimination on grounds </w:t>
            </w:r>
            <w:proofErr w:type="gramStart"/>
            <w:r w:rsidRPr="00705D4F">
              <w:rPr>
                <w:rFonts w:ascii="Arial" w:hAnsi="Arial"/>
                <w:sz w:val="24"/>
                <w:szCs w:val="24"/>
              </w:rPr>
              <w:t>of  sex</w:t>
            </w:r>
            <w:proofErr w:type="gramEnd"/>
            <w:r w:rsidRPr="00705D4F">
              <w:rPr>
                <w:rFonts w:ascii="Arial" w:hAnsi="Arial"/>
                <w:sz w:val="24"/>
                <w:szCs w:val="24"/>
              </w:rPr>
              <w:t xml:space="preserve">, race, disability, age, religion or belief, gender reassignment, marriage or civil partnership, pregnancy and maternity  or sexual orientation or claims for equal pay; </w:t>
            </w:r>
          </w:p>
        </w:tc>
      </w:tr>
      <w:tr w:rsidR="004E44DC" w:rsidRPr="00F41A7B" w14:paraId="794647E6" w14:textId="77777777" w:rsidTr="005F2DEA">
        <w:trPr>
          <w:cantSplit/>
        </w:trPr>
        <w:tc>
          <w:tcPr>
            <w:tcW w:w="2917" w:type="dxa"/>
          </w:tcPr>
          <w:p w14:paraId="3FE1CC9F" w14:textId="77777777" w:rsidR="004E44DC" w:rsidRPr="00705D4F" w:rsidRDefault="004E44DC" w:rsidP="00230343">
            <w:pPr>
              <w:pStyle w:val="Guidancenoteparagraphtext"/>
              <w:spacing w:after="0"/>
              <w:ind w:left="706"/>
              <w:rPr>
                <w:bCs/>
                <w:i w:val="0"/>
                <w:sz w:val="24"/>
              </w:rPr>
            </w:pPr>
          </w:p>
        </w:tc>
        <w:tc>
          <w:tcPr>
            <w:tcW w:w="6109" w:type="dxa"/>
          </w:tcPr>
          <w:p w14:paraId="5473CB2C"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compensation for less favourable treatment of part-time workers or fixed term employees;</w:t>
            </w:r>
          </w:p>
        </w:tc>
      </w:tr>
      <w:tr w:rsidR="004E44DC" w:rsidRPr="00F41A7B" w14:paraId="247045EB" w14:textId="77777777" w:rsidTr="005F2DEA">
        <w:trPr>
          <w:cantSplit/>
        </w:trPr>
        <w:tc>
          <w:tcPr>
            <w:tcW w:w="2917" w:type="dxa"/>
          </w:tcPr>
          <w:p w14:paraId="1841387F" w14:textId="77777777" w:rsidR="004E44DC" w:rsidRPr="00705D4F" w:rsidRDefault="004E44DC" w:rsidP="00230343">
            <w:pPr>
              <w:pStyle w:val="Guidancenoteparagraphtext"/>
              <w:spacing w:after="0"/>
              <w:ind w:left="706"/>
              <w:rPr>
                <w:bCs/>
                <w:i w:val="0"/>
                <w:sz w:val="24"/>
              </w:rPr>
            </w:pPr>
          </w:p>
        </w:tc>
        <w:tc>
          <w:tcPr>
            <w:tcW w:w="6109" w:type="dxa"/>
          </w:tcPr>
          <w:p w14:paraId="19211005" w14:textId="46046CAF" w:rsidR="004E44DC" w:rsidRPr="00705D4F" w:rsidRDefault="004E44DC" w:rsidP="00705D4F">
            <w:pPr>
              <w:numPr>
                <w:ilvl w:val="1"/>
                <w:numId w:val="13"/>
              </w:numPr>
              <w:tabs>
                <w:tab w:val="left" w:pos="-576"/>
                <w:tab w:val="left" w:pos="144"/>
              </w:tabs>
              <w:spacing w:after="120"/>
              <w:ind w:hanging="545"/>
              <w:rPr>
                <w:rFonts w:ascii="Arial" w:hAnsi="Arial"/>
                <w:b/>
                <w:i/>
                <w:sz w:val="24"/>
                <w:szCs w:val="24"/>
              </w:rPr>
            </w:pPr>
            <w:r w:rsidRPr="00705D4F">
              <w:rPr>
                <w:rFonts w:ascii="Arial" w:hAnsi="Arial"/>
                <w:sz w:val="24"/>
                <w:szCs w:val="24"/>
              </w:rPr>
              <w:t xml:space="preserve">outstanding </w:t>
            </w:r>
            <w:r w:rsidR="00705D4F">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4E44DC" w:rsidRPr="00F41A7B" w14:paraId="2F311B2A" w14:textId="77777777" w:rsidTr="005F2DEA">
        <w:trPr>
          <w:cantSplit/>
        </w:trPr>
        <w:tc>
          <w:tcPr>
            <w:tcW w:w="2917" w:type="dxa"/>
          </w:tcPr>
          <w:p w14:paraId="02370165" w14:textId="77777777" w:rsidR="004E44DC" w:rsidRPr="00705D4F" w:rsidRDefault="004E44DC" w:rsidP="00230343">
            <w:pPr>
              <w:pStyle w:val="Guidancenoteparagraphtext"/>
              <w:keepNext/>
              <w:spacing w:after="0"/>
              <w:ind w:left="706"/>
              <w:rPr>
                <w:bCs/>
                <w:i w:val="0"/>
                <w:sz w:val="24"/>
              </w:rPr>
            </w:pPr>
          </w:p>
        </w:tc>
        <w:tc>
          <w:tcPr>
            <w:tcW w:w="6109" w:type="dxa"/>
          </w:tcPr>
          <w:p w14:paraId="133D3BF0" w14:textId="5FA15FBD" w:rsidR="004E44DC" w:rsidRPr="00705D4F" w:rsidRDefault="00705D4F" w:rsidP="00F22C95">
            <w:pPr>
              <w:numPr>
                <w:ilvl w:val="1"/>
                <w:numId w:val="13"/>
              </w:numPr>
              <w:tabs>
                <w:tab w:val="left" w:pos="-576"/>
                <w:tab w:val="left" w:pos="144"/>
              </w:tabs>
              <w:spacing w:after="120"/>
              <w:ind w:hanging="545"/>
              <w:rPr>
                <w:rFonts w:ascii="Arial" w:hAnsi="Arial"/>
                <w:b/>
                <w:i/>
                <w:sz w:val="24"/>
                <w:szCs w:val="24"/>
              </w:rPr>
            </w:pPr>
            <w:r>
              <w:rPr>
                <w:rFonts w:ascii="Arial" w:hAnsi="Arial"/>
                <w:sz w:val="24"/>
                <w:szCs w:val="24"/>
              </w:rPr>
              <w:t xml:space="preserve">employment </w:t>
            </w:r>
            <w:r w:rsidR="004E44DC" w:rsidRPr="00705D4F">
              <w:rPr>
                <w:rFonts w:ascii="Arial" w:hAnsi="Arial"/>
                <w:sz w:val="24"/>
                <w:szCs w:val="24"/>
              </w:rPr>
              <w:t>claims whether in tort, contract or statute or otherwise;</w:t>
            </w:r>
          </w:p>
        </w:tc>
      </w:tr>
      <w:tr w:rsidR="004E44DC" w:rsidRPr="00F41A7B" w14:paraId="3DB4CC69" w14:textId="77777777" w:rsidTr="005F2DEA">
        <w:trPr>
          <w:cantSplit/>
        </w:trPr>
        <w:tc>
          <w:tcPr>
            <w:tcW w:w="2917" w:type="dxa"/>
          </w:tcPr>
          <w:p w14:paraId="09EBF4DA" w14:textId="77777777" w:rsidR="004E44DC" w:rsidRPr="00705D4F" w:rsidRDefault="004E44DC" w:rsidP="00705D4F">
            <w:pPr>
              <w:pStyle w:val="Guidancenoteparagraphtext"/>
              <w:keepNext/>
              <w:spacing w:after="0"/>
              <w:ind w:left="706"/>
              <w:rPr>
                <w:bCs/>
                <w:i w:val="0"/>
                <w:sz w:val="24"/>
              </w:rPr>
            </w:pPr>
          </w:p>
        </w:tc>
        <w:tc>
          <w:tcPr>
            <w:tcW w:w="6109" w:type="dxa"/>
          </w:tcPr>
          <w:p w14:paraId="3C1CF376" w14:textId="4814A502" w:rsidR="004E44DC" w:rsidRPr="00705D4F" w:rsidRDefault="004E44DC" w:rsidP="00705D4F">
            <w:pPr>
              <w:numPr>
                <w:ilvl w:val="1"/>
                <w:numId w:val="13"/>
              </w:numPr>
              <w:tabs>
                <w:tab w:val="left" w:pos="-576"/>
                <w:tab w:val="left" w:pos="144"/>
              </w:tabs>
              <w:spacing w:after="120"/>
              <w:ind w:hanging="545"/>
              <w:rPr>
                <w:rFonts w:eastAsia="STZhongsong"/>
                <w:bCs/>
                <w:i/>
                <w:sz w:val="24"/>
              </w:rPr>
            </w:pPr>
            <w:r w:rsidRPr="00705D4F">
              <w:rPr>
                <w:rFonts w:ascii="Arial" w:hAnsi="Arial"/>
                <w:sz w:val="24"/>
                <w:szCs w:val="24"/>
              </w:rPr>
              <w:t xml:space="preserve">any investigation </w:t>
            </w:r>
            <w:proofErr w:type="gramStart"/>
            <w:r w:rsidR="00705D4F" w:rsidRPr="00705D4F">
              <w:rPr>
                <w:rFonts w:ascii="Arial" w:hAnsi="Arial"/>
                <w:sz w:val="24"/>
                <w:szCs w:val="24"/>
              </w:rPr>
              <w:t>relating  to</w:t>
            </w:r>
            <w:proofErr w:type="gramEnd"/>
            <w:r w:rsidR="00705D4F" w:rsidRPr="00705D4F">
              <w:rPr>
                <w:rFonts w:ascii="Arial" w:hAnsi="Arial"/>
                <w:sz w:val="24"/>
                <w:szCs w:val="24"/>
              </w:rPr>
              <w:t xml:space="preserve">  employment matters </w:t>
            </w:r>
            <w:r w:rsidRPr="00705D4F">
              <w:rPr>
                <w:rFonts w:ascii="Arial" w:hAnsi="Arial"/>
                <w:sz w:val="24"/>
                <w:szCs w:val="24"/>
              </w:rPr>
              <w:t>by the Equality and Human Rights Commission or other enforcement, regulatory or supervisory body and of implementing any requirements which may arise from such investigation;</w:t>
            </w:r>
          </w:p>
        </w:tc>
      </w:tr>
      <w:tr w:rsidR="004E44DC" w:rsidRPr="00F41A7B" w14:paraId="6A0BE936" w14:textId="77777777" w:rsidTr="005F2DEA">
        <w:trPr>
          <w:cantSplit/>
        </w:trPr>
        <w:tc>
          <w:tcPr>
            <w:tcW w:w="2917" w:type="dxa"/>
          </w:tcPr>
          <w:p w14:paraId="5C12AA1D" w14:textId="77777777" w:rsidR="004E44DC" w:rsidRPr="00F41A7B" w:rsidRDefault="004E44DC" w:rsidP="00230343">
            <w:pPr>
              <w:pStyle w:val="Guidancenoteparagraphtext"/>
              <w:spacing w:before="120" w:after="120"/>
              <w:rPr>
                <w:bCs/>
                <w:i w:val="0"/>
                <w:sz w:val="24"/>
              </w:rPr>
            </w:pPr>
            <w:r w:rsidRPr="00F41A7B">
              <w:rPr>
                <w:bCs/>
                <w:i w:val="0"/>
                <w:sz w:val="24"/>
              </w:rPr>
              <w:t>"Former Supplier"</w:t>
            </w:r>
          </w:p>
        </w:tc>
        <w:tc>
          <w:tcPr>
            <w:tcW w:w="6109" w:type="dxa"/>
          </w:tcPr>
          <w:p w14:paraId="53150FCC" w14:textId="5AA3E885" w:rsidR="004E44DC" w:rsidRPr="00F41A7B" w:rsidRDefault="004E44DC" w:rsidP="00895EA7">
            <w:pPr>
              <w:pStyle w:val="Guidancenoteparagraphtext"/>
              <w:tabs>
                <w:tab w:val="left" w:pos="235"/>
              </w:tabs>
              <w:spacing w:before="120" w:after="120"/>
              <w:ind w:left="0"/>
              <w:rPr>
                <w:b w:val="0"/>
                <w:bCs/>
                <w:i w:val="0"/>
                <w:sz w:val="24"/>
              </w:rPr>
            </w:pPr>
            <w:r w:rsidRPr="00F41A7B">
              <w:rPr>
                <w:b w:val="0"/>
                <w:bCs/>
                <w:i w:val="0"/>
                <w:sz w:val="24"/>
              </w:rPr>
              <w:t>a supplier supplying</w:t>
            </w:r>
            <w:r w:rsidR="00895EA7">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sidR="00895EA7">
              <w:rPr>
                <w:b w:val="0"/>
                <w:bCs/>
                <w:i w:val="0"/>
                <w:sz w:val="24"/>
              </w:rPr>
              <w:t>Services</w:t>
            </w:r>
            <w:r w:rsidR="00895EA7" w:rsidRPr="00F41A7B">
              <w:rPr>
                <w:b w:val="0"/>
                <w:bCs/>
                <w:i w:val="0"/>
                <w:sz w:val="24"/>
              </w:rPr>
              <w:t xml:space="preserve"> </w:t>
            </w:r>
            <w:r w:rsidRPr="00F41A7B">
              <w:rPr>
                <w:b w:val="0"/>
                <w:bCs/>
                <w:i w:val="0"/>
                <w:sz w:val="24"/>
              </w:rPr>
              <w:t xml:space="preserve">(or any part of the </w:t>
            </w:r>
            <w:r w:rsidR="00895EA7">
              <w:rPr>
                <w:b w:val="0"/>
                <w:bCs/>
                <w:i w:val="0"/>
                <w:sz w:val="24"/>
              </w:rPr>
              <w:t>Services</w:t>
            </w:r>
            <w:r w:rsidRPr="00F41A7B">
              <w:rPr>
                <w:b w:val="0"/>
                <w:bCs/>
                <w:i w:val="0"/>
                <w:sz w:val="24"/>
              </w:rPr>
              <w:t xml:space="preserve">) and shall include any </w:t>
            </w:r>
            <w:r w:rsidR="00562FCD">
              <w:rPr>
                <w:b w:val="0"/>
                <w:bCs/>
                <w:i w:val="0"/>
                <w:sz w:val="24"/>
              </w:rPr>
              <w:t>Subcontractor</w:t>
            </w:r>
            <w:r w:rsidRPr="00F41A7B">
              <w:rPr>
                <w:b w:val="0"/>
                <w:bCs/>
                <w:i w:val="0"/>
                <w:sz w:val="24"/>
              </w:rPr>
              <w:t xml:space="preserve"> of such supplier (or any </w:t>
            </w:r>
            <w:r w:rsidR="00562FCD">
              <w:rPr>
                <w:b w:val="0"/>
                <w:bCs/>
                <w:i w:val="0"/>
                <w:sz w:val="24"/>
              </w:rPr>
              <w:t>Subcontractor</w:t>
            </w:r>
            <w:r w:rsidRPr="00F41A7B">
              <w:rPr>
                <w:b w:val="0"/>
                <w:bCs/>
                <w:i w:val="0"/>
                <w:sz w:val="24"/>
              </w:rPr>
              <w:t xml:space="preserve"> of any such </w:t>
            </w:r>
            <w:r w:rsidR="00562FCD">
              <w:rPr>
                <w:b w:val="0"/>
                <w:bCs/>
                <w:i w:val="0"/>
                <w:sz w:val="24"/>
              </w:rPr>
              <w:t>Subcontractor</w:t>
            </w:r>
            <w:r w:rsidRPr="00F41A7B">
              <w:rPr>
                <w:b w:val="0"/>
                <w:bCs/>
                <w:i w:val="0"/>
                <w:sz w:val="24"/>
              </w:rPr>
              <w:t>);</w:t>
            </w:r>
          </w:p>
        </w:tc>
      </w:tr>
      <w:tr w:rsidR="000A6AA3" w:rsidRPr="00F41A7B" w14:paraId="1B729036" w14:textId="77777777" w:rsidTr="00AE1CC7">
        <w:trPr>
          <w:cantSplit/>
          <w:trHeight w:val="3560"/>
        </w:trPr>
        <w:tc>
          <w:tcPr>
            <w:tcW w:w="2917" w:type="dxa"/>
          </w:tcPr>
          <w:p w14:paraId="17468D20" w14:textId="52B13625" w:rsidR="000A6AA3" w:rsidRPr="00F41A7B" w:rsidRDefault="000A6AA3" w:rsidP="000A6AA3">
            <w:pPr>
              <w:pStyle w:val="Guidancenoteparagraphtext"/>
              <w:spacing w:before="120" w:after="120"/>
              <w:rPr>
                <w:bCs/>
                <w:i w:val="0"/>
                <w:sz w:val="24"/>
              </w:rPr>
            </w:pPr>
            <w:r w:rsidRPr="000A6AA3">
              <w:rPr>
                <w:bCs/>
                <w:i w:val="0"/>
                <w:sz w:val="24"/>
              </w:rPr>
              <w:lastRenderedPageBreak/>
              <w:t>"New Fair Deal"</w:t>
            </w:r>
          </w:p>
        </w:tc>
        <w:tc>
          <w:tcPr>
            <w:tcW w:w="6109" w:type="dxa"/>
          </w:tcPr>
          <w:p w14:paraId="737714F6" w14:textId="77777777" w:rsidR="000A6AA3" w:rsidRPr="00F41A7B" w:rsidRDefault="000A6AA3" w:rsidP="000A6AA3">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3938676D" w14:textId="77777777" w:rsidR="000A6AA3" w:rsidRDefault="000A6AA3" w:rsidP="00AE1CC7">
            <w:pPr>
              <w:pStyle w:val="BodyTextIndent"/>
              <w:numPr>
                <w:ilvl w:val="5"/>
                <w:numId w:val="13"/>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08A0CA03" w14:textId="1A4B46AB" w:rsidR="00AE1CC7" w:rsidRPr="000A6AA3" w:rsidRDefault="00AE1CC7" w:rsidP="00AE1CC7">
            <w:pPr>
              <w:pStyle w:val="BodyTextIndent"/>
              <w:numPr>
                <w:ilvl w:val="5"/>
                <w:numId w:val="13"/>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AE1CC7" w:rsidRPr="00F41A7B" w14:paraId="46CEB97D" w14:textId="77777777" w:rsidTr="00AE1CC7">
        <w:trPr>
          <w:cantSplit/>
          <w:trHeight w:val="1824"/>
        </w:trPr>
        <w:tc>
          <w:tcPr>
            <w:tcW w:w="2917" w:type="dxa"/>
          </w:tcPr>
          <w:p w14:paraId="65512048" w14:textId="57E65BC1" w:rsidR="00AE1CC7" w:rsidRPr="000A6AA3" w:rsidRDefault="00AE1CC7" w:rsidP="00AE1CC7">
            <w:pPr>
              <w:pStyle w:val="Guidancenoteparagraphtext"/>
              <w:spacing w:before="120" w:after="120"/>
              <w:rPr>
                <w:bCs/>
                <w:i w:val="0"/>
                <w:sz w:val="24"/>
              </w:rPr>
            </w:pPr>
            <w:r w:rsidRPr="00AE1CC7">
              <w:rPr>
                <w:bCs/>
                <w:i w:val="0"/>
                <w:sz w:val="24"/>
              </w:rPr>
              <w:t>“Old Fair Deal”</w:t>
            </w:r>
          </w:p>
        </w:tc>
        <w:tc>
          <w:tcPr>
            <w:tcW w:w="6109" w:type="dxa"/>
          </w:tcPr>
          <w:p w14:paraId="7450475D" w14:textId="3B5AE390" w:rsidR="00AE1CC7" w:rsidRPr="00F41A7B" w:rsidRDefault="00AE1CC7" w:rsidP="00AE1CC7">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4E44DC" w:rsidRPr="00F41A7B" w14:paraId="18B65A21" w14:textId="77777777" w:rsidTr="005F2DEA">
        <w:trPr>
          <w:cantSplit/>
        </w:trPr>
        <w:tc>
          <w:tcPr>
            <w:tcW w:w="2917" w:type="dxa"/>
          </w:tcPr>
          <w:p w14:paraId="65FEB03B" w14:textId="77777777" w:rsidR="004E44DC" w:rsidRPr="00705D4F" w:rsidRDefault="004E44DC" w:rsidP="00230343">
            <w:pPr>
              <w:pStyle w:val="Guidancenoteparagraphtext"/>
              <w:spacing w:before="120" w:after="120"/>
              <w:rPr>
                <w:i w:val="0"/>
                <w:sz w:val="24"/>
              </w:rPr>
            </w:pPr>
            <w:r w:rsidRPr="00705D4F">
              <w:rPr>
                <w:i w:val="0"/>
                <w:sz w:val="24"/>
              </w:rPr>
              <w:t>"Partial Termination"</w:t>
            </w:r>
          </w:p>
        </w:tc>
        <w:tc>
          <w:tcPr>
            <w:tcW w:w="6109" w:type="dxa"/>
          </w:tcPr>
          <w:p w14:paraId="76BBABAF" w14:textId="5D1C0D02" w:rsidR="004E44DC" w:rsidRPr="00705D4F" w:rsidRDefault="004E44DC" w:rsidP="00230343">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w:t>
            </w:r>
            <w:r w:rsidR="00DA00A8" w:rsidRPr="000D1078">
              <w:rPr>
                <w:b w:val="0"/>
                <w:i w:val="0"/>
                <w:sz w:val="24"/>
              </w:rPr>
              <w:t xml:space="preserve">her provided for in </w:t>
            </w:r>
            <w:r w:rsidRPr="000D1078">
              <w:rPr>
                <w:b w:val="0"/>
                <w:i w:val="0"/>
                <w:sz w:val="24"/>
              </w:rPr>
              <w:t>Clause 10.4 (When CCS or the Buyer can end this contract) or 10.6 (When the Supplier can end the contract);</w:t>
            </w:r>
          </w:p>
        </w:tc>
      </w:tr>
      <w:tr w:rsidR="004E44DC" w:rsidRPr="00F41A7B" w14:paraId="70C17D06" w14:textId="77777777" w:rsidTr="005F2DEA">
        <w:trPr>
          <w:cantSplit/>
        </w:trPr>
        <w:tc>
          <w:tcPr>
            <w:tcW w:w="2917" w:type="dxa"/>
          </w:tcPr>
          <w:p w14:paraId="26AC59B7" w14:textId="77777777" w:rsidR="004E44DC" w:rsidRPr="00F41A7B" w:rsidRDefault="004E44DC" w:rsidP="00230343">
            <w:pPr>
              <w:pStyle w:val="Guidancenoteparagraphtext"/>
              <w:spacing w:before="120" w:after="120"/>
              <w:rPr>
                <w:bCs/>
                <w:i w:val="0"/>
                <w:sz w:val="24"/>
              </w:rPr>
            </w:pPr>
            <w:r w:rsidRPr="00F41A7B">
              <w:rPr>
                <w:bCs/>
                <w:i w:val="0"/>
                <w:sz w:val="24"/>
              </w:rPr>
              <w:t>"Relevant Transfer"</w:t>
            </w:r>
          </w:p>
        </w:tc>
        <w:tc>
          <w:tcPr>
            <w:tcW w:w="6109" w:type="dxa"/>
          </w:tcPr>
          <w:p w14:paraId="3CFA7E06" w14:textId="77777777" w:rsidR="004E44DC" w:rsidRPr="00F41A7B" w:rsidRDefault="004E44DC" w:rsidP="00230343">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4E44DC" w:rsidRPr="00F41A7B" w14:paraId="6107E91B" w14:textId="77777777" w:rsidTr="005F2DEA">
        <w:trPr>
          <w:cantSplit/>
        </w:trPr>
        <w:tc>
          <w:tcPr>
            <w:tcW w:w="2917" w:type="dxa"/>
          </w:tcPr>
          <w:p w14:paraId="49E64F02" w14:textId="77777777" w:rsidR="004E44DC" w:rsidRPr="00F41A7B" w:rsidRDefault="004E44DC" w:rsidP="00230343">
            <w:pPr>
              <w:pStyle w:val="Guidancenoteparagraphtext"/>
              <w:spacing w:before="120" w:after="120"/>
              <w:rPr>
                <w:bCs/>
                <w:i w:val="0"/>
                <w:sz w:val="24"/>
              </w:rPr>
            </w:pPr>
            <w:r w:rsidRPr="00F41A7B">
              <w:rPr>
                <w:bCs/>
                <w:i w:val="0"/>
                <w:sz w:val="24"/>
              </w:rPr>
              <w:t>"Relevant Transfer Date"</w:t>
            </w:r>
          </w:p>
        </w:tc>
        <w:tc>
          <w:tcPr>
            <w:tcW w:w="6109" w:type="dxa"/>
          </w:tcPr>
          <w:p w14:paraId="2371D512" w14:textId="51A779FE" w:rsidR="004E44DC" w:rsidRPr="00F41A7B" w:rsidRDefault="004E44DC" w:rsidP="003B08D3">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sidR="000D60BF">
              <w:rPr>
                <w:rFonts w:ascii="Arial" w:hAnsi="Arial"/>
                <w:sz w:val="24"/>
                <w:szCs w:val="24"/>
              </w:rPr>
              <w:t>. F</w:t>
            </w:r>
            <w:r w:rsidRPr="00F41A7B">
              <w:rPr>
                <w:rFonts w:ascii="Arial" w:hAnsi="Arial"/>
                <w:sz w:val="24"/>
                <w:szCs w:val="24"/>
              </w:rPr>
              <w:t>or the purposes of Part D: Pensions</w:t>
            </w:r>
            <w:r w:rsidR="000D60BF">
              <w:rPr>
                <w:rFonts w:ascii="Arial" w:hAnsi="Arial"/>
                <w:sz w:val="24"/>
                <w:szCs w:val="24"/>
              </w:rPr>
              <w:t xml:space="preserve"> and its Annexes, where the Supplier or a </w:t>
            </w:r>
            <w:r w:rsidR="00562FCD">
              <w:rPr>
                <w:rFonts w:ascii="Arial" w:hAnsi="Arial"/>
                <w:sz w:val="24"/>
                <w:szCs w:val="24"/>
              </w:rPr>
              <w:t>Subcontractor</w:t>
            </w:r>
            <w:r w:rsidR="000D60BF">
              <w:rPr>
                <w:rFonts w:ascii="Arial" w:hAnsi="Arial"/>
                <w:sz w:val="24"/>
                <w:szCs w:val="24"/>
              </w:rPr>
              <w:t xml:space="preserve"> was the Former Supplier and there is no Relevant Transfer of the Fair Deal Employees because they remain continuously employed by the Su</w:t>
            </w:r>
            <w:r w:rsidR="000D60BF" w:rsidRPr="00562FCD">
              <w:rPr>
                <w:rFonts w:ascii="Arial" w:hAnsi="Arial"/>
                <w:sz w:val="24"/>
                <w:szCs w:val="24"/>
              </w:rPr>
              <w:t xml:space="preserve">pplier (or </w:t>
            </w:r>
            <w:r w:rsidR="00562FCD">
              <w:rPr>
                <w:rFonts w:ascii="Arial" w:hAnsi="Arial"/>
                <w:sz w:val="24"/>
                <w:szCs w:val="24"/>
              </w:rPr>
              <w:t>Subcontractor</w:t>
            </w:r>
            <w:r w:rsidR="000D60BF">
              <w:rPr>
                <w:rFonts w:ascii="Arial" w:hAnsi="Arial"/>
                <w:sz w:val="24"/>
                <w:szCs w:val="24"/>
              </w:rPr>
              <w:t xml:space="preserve">), references to the Relevant Transfer Date </w:t>
            </w:r>
            <w:r w:rsidR="000D60BF" w:rsidRPr="001F186A">
              <w:rPr>
                <w:rFonts w:ascii="Arial" w:hAnsi="Arial"/>
                <w:sz w:val="24"/>
                <w:szCs w:val="24"/>
              </w:rPr>
              <w:t xml:space="preserve">shall become references to </w:t>
            </w:r>
            <w:r w:rsidRPr="001F186A">
              <w:rPr>
                <w:rFonts w:ascii="Arial" w:hAnsi="Arial"/>
                <w:sz w:val="24"/>
                <w:szCs w:val="24"/>
              </w:rPr>
              <w:t xml:space="preserve">the </w:t>
            </w:r>
            <w:r w:rsidR="003B08D3" w:rsidRPr="001F186A">
              <w:rPr>
                <w:rFonts w:ascii="Arial" w:hAnsi="Arial"/>
                <w:sz w:val="24"/>
                <w:szCs w:val="24"/>
              </w:rPr>
              <w:t xml:space="preserve">Start </w:t>
            </w:r>
            <w:r w:rsidRPr="001F186A">
              <w:rPr>
                <w:rFonts w:ascii="Arial" w:hAnsi="Arial"/>
                <w:sz w:val="24"/>
                <w:szCs w:val="24"/>
              </w:rPr>
              <w:t>Date</w:t>
            </w:r>
            <w:r w:rsidRPr="00F41A7B">
              <w:rPr>
                <w:rFonts w:ascii="Arial" w:hAnsi="Arial"/>
                <w:sz w:val="24"/>
                <w:szCs w:val="24"/>
              </w:rPr>
              <w:t>;</w:t>
            </w:r>
          </w:p>
        </w:tc>
      </w:tr>
      <w:tr w:rsidR="004E44DC" w:rsidRPr="00F41A7B" w14:paraId="031F2DDC" w14:textId="77777777" w:rsidTr="005F2DEA">
        <w:trPr>
          <w:cantSplit/>
        </w:trPr>
        <w:tc>
          <w:tcPr>
            <w:tcW w:w="2917" w:type="dxa"/>
          </w:tcPr>
          <w:p w14:paraId="07869B49" w14:textId="77777777" w:rsidR="004E44DC" w:rsidRPr="00F41A7B" w:rsidRDefault="004E44DC" w:rsidP="00230343">
            <w:pPr>
              <w:pStyle w:val="Guidancenoteparagraphtext"/>
              <w:keepNext/>
              <w:spacing w:before="120" w:after="120"/>
              <w:rPr>
                <w:i w:val="0"/>
                <w:sz w:val="24"/>
              </w:rPr>
            </w:pPr>
            <w:r w:rsidRPr="00F41A7B">
              <w:rPr>
                <w:bCs/>
                <w:i w:val="0"/>
                <w:sz w:val="24"/>
              </w:rPr>
              <w:lastRenderedPageBreak/>
              <w:t>"Staffing Information"</w:t>
            </w:r>
          </w:p>
        </w:tc>
        <w:tc>
          <w:tcPr>
            <w:tcW w:w="6109" w:type="dxa"/>
          </w:tcPr>
          <w:p w14:paraId="51FFF744" w14:textId="1258D622" w:rsidR="004E44DC" w:rsidRPr="00F41A7B" w:rsidRDefault="004E44DC" w:rsidP="00230343">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 xml:space="preserve">ovisions of the Data Protection </w:t>
            </w:r>
            <w:r w:rsidR="00562FCD" w:rsidRPr="00562FCD">
              <w:rPr>
                <w:b w:val="0"/>
                <w:i w:val="0"/>
                <w:sz w:val="24"/>
              </w:rPr>
              <w:t>Legislation</w:t>
            </w:r>
            <w:r w:rsidRPr="00562FCD">
              <w:rPr>
                <w:b w:val="0"/>
                <w:i w:val="0"/>
                <w:sz w:val="24"/>
              </w:rPr>
              <w:t>), but</w:t>
            </w:r>
            <w:r w:rsidRPr="00F41A7B">
              <w:rPr>
                <w:b w:val="0"/>
                <w:i w:val="0"/>
                <w:sz w:val="24"/>
              </w:rPr>
              <w:t xml:space="preserve"> including in an anonymised format:</w:t>
            </w:r>
          </w:p>
          <w:p w14:paraId="63BDCAEF" w14:textId="77777777" w:rsidR="004E44DC" w:rsidRPr="00F41A7B" w:rsidRDefault="004E44DC" w:rsidP="00230343">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44DA2BC0" w14:textId="77777777" w:rsidTr="005F2DEA">
        <w:trPr>
          <w:cantSplit/>
        </w:trPr>
        <w:tc>
          <w:tcPr>
            <w:tcW w:w="2917" w:type="dxa"/>
          </w:tcPr>
          <w:p w14:paraId="5E2F0E23" w14:textId="77777777" w:rsidR="004E44DC" w:rsidRPr="00F41A7B" w:rsidRDefault="004E44DC" w:rsidP="00230343">
            <w:pPr>
              <w:pStyle w:val="Guidancenoteparagraphtext"/>
              <w:spacing w:before="120" w:after="120"/>
              <w:rPr>
                <w:bCs/>
                <w:i w:val="0"/>
                <w:sz w:val="24"/>
              </w:rPr>
            </w:pPr>
          </w:p>
        </w:tc>
        <w:tc>
          <w:tcPr>
            <w:tcW w:w="6109" w:type="dxa"/>
          </w:tcPr>
          <w:p w14:paraId="4E3E3DE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31E41786" w14:textId="77777777" w:rsidTr="005F2DEA">
        <w:trPr>
          <w:cantSplit/>
        </w:trPr>
        <w:tc>
          <w:tcPr>
            <w:tcW w:w="2917" w:type="dxa"/>
          </w:tcPr>
          <w:p w14:paraId="00CD3441" w14:textId="77777777" w:rsidR="004E44DC" w:rsidRPr="00F41A7B" w:rsidRDefault="004E44DC" w:rsidP="00230343">
            <w:pPr>
              <w:pStyle w:val="Guidancenoteparagraphtext"/>
              <w:spacing w:before="120" w:after="120"/>
              <w:rPr>
                <w:bCs/>
                <w:i w:val="0"/>
                <w:sz w:val="24"/>
              </w:rPr>
            </w:pPr>
          </w:p>
        </w:tc>
        <w:tc>
          <w:tcPr>
            <w:tcW w:w="6109" w:type="dxa"/>
          </w:tcPr>
          <w:p w14:paraId="5B5A4A5F" w14:textId="77777777" w:rsidR="004E44DC" w:rsidRPr="00F41A7B" w:rsidRDefault="004E44DC" w:rsidP="005F2DEA">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17ED02FC" w14:textId="77777777" w:rsidTr="005F2DEA">
        <w:trPr>
          <w:cantSplit/>
        </w:trPr>
        <w:tc>
          <w:tcPr>
            <w:tcW w:w="2917" w:type="dxa"/>
          </w:tcPr>
          <w:p w14:paraId="16673C09" w14:textId="77777777" w:rsidR="004E44DC" w:rsidRPr="00F41A7B" w:rsidRDefault="004E44DC" w:rsidP="00230343">
            <w:pPr>
              <w:pStyle w:val="Guidancenoteparagraphtext"/>
              <w:spacing w:before="120" w:after="120"/>
              <w:rPr>
                <w:bCs/>
                <w:i w:val="0"/>
                <w:sz w:val="24"/>
              </w:rPr>
            </w:pPr>
          </w:p>
        </w:tc>
        <w:tc>
          <w:tcPr>
            <w:tcW w:w="6109" w:type="dxa"/>
          </w:tcPr>
          <w:p w14:paraId="1176DC45"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4A77A60C" w14:textId="77777777" w:rsidTr="005F2DEA">
        <w:trPr>
          <w:cantSplit/>
        </w:trPr>
        <w:tc>
          <w:tcPr>
            <w:tcW w:w="2917" w:type="dxa"/>
          </w:tcPr>
          <w:p w14:paraId="7A982EB2" w14:textId="77777777" w:rsidR="004E44DC" w:rsidRPr="00F41A7B" w:rsidRDefault="004E44DC" w:rsidP="00230343">
            <w:pPr>
              <w:pStyle w:val="Guidancenoteparagraphtext"/>
              <w:spacing w:before="120" w:after="120"/>
              <w:rPr>
                <w:bCs/>
                <w:i w:val="0"/>
                <w:sz w:val="24"/>
              </w:rPr>
            </w:pPr>
          </w:p>
        </w:tc>
        <w:tc>
          <w:tcPr>
            <w:tcW w:w="6109" w:type="dxa"/>
          </w:tcPr>
          <w:p w14:paraId="3B4468D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(e)</w:t>
            </w:r>
            <w:r w:rsidRPr="00F41A7B">
              <w:rPr>
                <w:b w:val="0"/>
                <w:i w:val="0"/>
                <w:sz w:val="24"/>
              </w:rPr>
              <w:tab/>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004E44DC" w:rsidRPr="00F41A7B" w14:paraId="373FF5BD" w14:textId="77777777" w:rsidTr="005F2DEA">
        <w:trPr>
          <w:cantSplit/>
        </w:trPr>
        <w:tc>
          <w:tcPr>
            <w:tcW w:w="2917" w:type="dxa"/>
          </w:tcPr>
          <w:p w14:paraId="6B2A0A4D" w14:textId="77777777" w:rsidR="004E44DC" w:rsidRPr="00F41A7B" w:rsidRDefault="004E44DC" w:rsidP="00230343">
            <w:pPr>
              <w:pStyle w:val="Guidancenoteparagraphtext"/>
              <w:spacing w:before="120" w:after="120"/>
              <w:rPr>
                <w:bCs/>
                <w:i w:val="0"/>
                <w:sz w:val="24"/>
              </w:rPr>
            </w:pPr>
          </w:p>
        </w:tc>
        <w:tc>
          <w:tcPr>
            <w:tcW w:w="6109" w:type="dxa"/>
          </w:tcPr>
          <w:p w14:paraId="46DA140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4155E5D3" w14:textId="77777777" w:rsidTr="005F2DEA">
        <w:trPr>
          <w:cantSplit/>
        </w:trPr>
        <w:tc>
          <w:tcPr>
            <w:tcW w:w="2917" w:type="dxa"/>
          </w:tcPr>
          <w:p w14:paraId="2BC32449" w14:textId="77777777" w:rsidR="004E44DC" w:rsidRPr="00F41A7B" w:rsidRDefault="004E44DC" w:rsidP="00230343">
            <w:pPr>
              <w:pStyle w:val="Guidancenoteparagraphtext"/>
              <w:spacing w:before="120" w:after="120"/>
              <w:rPr>
                <w:bCs/>
                <w:i w:val="0"/>
                <w:sz w:val="24"/>
              </w:rPr>
            </w:pPr>
          </w:p>
        </w:tc>
        <w:tc>
          <w:tcPr>
            <w:tcW w:w="6109" w:type="dxa"/>
          </w:tcPr>
          <w:p w14:paraId="7853C913"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36E1C2CB" w14:textId="77777777" w:rsidTr="005F2DEA">
        <w:trPr>
          <w:cantSplit/>
        </w:trPr>
        <w:tc>
          <w:tcPr>
            <w:tcW w:w="2917" w:type="dxa"/>
          </w:tcPr>
          <w:p w14:paraId="175E9650" w14:textId="77777777" w:rsidR="004E44DC" w:rsidRPr="00F41A7B" w:rsidRDefault="004E44DC" w:rsidP="00230343">
            <w:pPr>
              <w:pStyle w:val="Guidancenoteparagraphtext"/>
              <w:spacing w:before="120" w:after="120"/>
              <w:rPr>
                <w:bCs/>
                <w:i w:val="0"/>
                <w:sz w:val="24"/>
              </w:rPr>
            </w:pPr>
          </w:p>
        </w:tc>
        <w:tc>
          <w:tcPr>
            <w:tcW w:w="6109" w:type="dxa"/>
          </w:tcPr>
          <w:p w14:paraId="22B9398E"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004E44DC" w:rsidRPr="00F41A7B" w14:paraId="4FD87E9B" w14:textId="77777777" w:rsidTr="005F2DEA">
        <w:trPr>
          <w:cantSplit/>
        </w:trPr>
        <w:tc>
          <w:tcPr>
            <w:tcW w:w="2917" w:type="dxa"/>
          </w:tcPr>
          <w:p w14:paraId="0DFAC728" w14:textId="77777777" w:rsidR="004E44DC" w:rsidRPr="00F41A7B" w:rsidRDefault="004E44DC" w:rsidP="00230343">
            <w:pPr>
              <w:pStyle w:val="Guidancenoteparagraphtext"/>
              <w:spacing w:before="120" w:after="120"/>
              <w:rPr>
                <w:bCs/>
                <w:i w:val="0"/>
                <w:sz w:val="24"/>
              </w:rPr>
            </w:pPr>
          </w:p>
        </w:tc>
        <w:tc>
          <w:tcPr>
            <w:tcW w:w="6109" w:type="dxa"/>
          </w:tcPr>
          <w:p w14:paraId="68B7021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65176D7E" w14:textId="77777777" w:rsidTr="005F2DEA">
        <w:trPr>
          <w:cantSplit/>
        </w:trPr>
        <w:tc>
          <w:tcPr>
            <w:tcW w:w="2917" w:type="dxa"/>
          </w:tcPr>
          <w:p w14:paraId="3F7DCE02" w14:textId="77777777" w:rsidR="004E44DC" w:rsidRDefault="004E44DC" w:rsidP="00230343">
            <w:pPr>
              <w:pStyle w:val="Guidancenoteparagraphtext"/>
              <w:spacing w:before="120" w:after="120"/>
              <w:rPr>
                <w:bCs/>
                <w:i w:val="0"/>
                <w:sz w:val="24"/>
              </w:rPr>
            </w:pPr>
          </w:p>
          <w:p w14:paraId="58550A6D" w14:textId="77777777" w:rsidR="00D4428A" w:rsidRPr="00F41A7B" w:rsidRDefault="00D4428A" w:rsidP="00C20BB2">
            <w:pPr>
              <w:pStyle w:val="Guidancenoteparagraphtext"/>
              <w:spacing w:before="120" w:after="120"/>
              <w:ind w:left="0"/>
              <w:rPr>
                <w:bCs/>
                <w:i w:val="0"/>
                <w:sz w:val="24"/>
              </w:rPr>
            </w:pPr>
          </w:p>
        </w:tc>
        <w:tc>
          <w:tcPr>
            <w:tcW w:w="6109" w:type="dxa"/>
          </w:tcPr>
          <w:p w14:paraId="517DE06C" w14:textId="1AE319DB" w:rsidR="00D4428A" w:rsidRPr="00F41A7B" w:rsidRDefault="004E44DC" w:rsidP="005F2DEA">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sidR="004D0E44">
              <w:rPr>
                <w:b w:val="0"/>
                <w:i w:val="0"/>
                <w:sz w:val="24"/>
              </w:rPr>
              <w:t xml:space="preserve"> </w:t>
            </w:r>
          </w:p>
        </w:tc>
      </w:tr>
      <w:tr w:rsidR="005F2DEA" w:rsidRPr="00F41A7B" w14:paraId="5AF89CEF" w14:textId="77777777" w:rsidTr="005F2DEA">
        <w:trPr>
          <w:cantSplit/>
        </w:trPr>
        <w:tc>
          <w:tcPr>
            <w:tcW w:w="2917" w:type="dxa"/>
          </w:tcPr>
          <w:p w14:paraId="4ED067F2" w14:textId="77777777" w:rsidR="005F2DEA" w:rsidRPr="00F41A7B" w:rsidRDefault="005F2DEA" w:rsidP="005F2DEA">
            <w:pPr>
              <w:pStyle w:val="Guidancenoteparagraphtext"/>
              <w:spacing w:before="120" w:after="120"/>
              <w:rPr>
                <w:i w:val="0"/>
                <w:sz w:val="24"/>
              </w:rPr>
            </w:pPr>
            <w:r w:rsidRPr="00F41A7B">
              <w:rPr>
                <w:i w:val="0"/>
                <w:sz w:val="24"/>
              </w:rPr>
              <w:t>"Supplier's Final Supplier Personnel List"</w:t>
            </w:r>
          </w:p>
        </w:tc>
        <w:tc>
          <w:tcPr>
            <w:tcW w:w="6109" w:type="dxa"/>
          </w:tcPr>
          <w:p w14:paraId="2C307B58" w14:textId="751B992F" w:rsidR="005F2DEA" w:rsidRPr="00F41A7B" w:rsidRDefault="005F2DEA" w:rsidP="001B56F2">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sidR="001B56F2">
              <w:rPr>
                <w:rFonts w:ascii="Arial" w:hAnsi="Arial"/>
                <w:sz w:val="24"/>
                <w:szCs w:val="24"/>
              </w:rPr>
              <w:t>Staff</w:t>
            </w:r>
            <w:r w:rsidR="001B56F2" w:rsidRPr="00FF1990">
              <w:rPr>
                <w:rFonts w:ascii="Arial" w:hAnsi="Arial"/>
                <w:sz w:val="24"/>
                <w:szCs w:val="24"/>
              </w:rPr>
              <w:t xml:space="preserve"> </w:t>
            </w:r>
            <w:r w:rsidRPr="00FF1990">
              <w:rPr>
                <w:rFonts w:ascii="Arial" w:hAnsi="Arial"/>
                <w:sz w:val="24"/>
                <w:szCs w:val="24"/>
              </w:rPr>
              <w:t>whose will transfer under the Employment</w:t>
            </w:r>
            <w:r w:rsidRPr="00F41A7B">
              <w:rPr>
                <w:rFonts w:ascii="Arial" w:hAnsi="Arial"/>
                <w:sz w:val="24"/>
                <w:szCs w:val="24"/>
              </w:rPr>
              <w:t xml:space="preserve"> Regulations on the Service Transfer Date;</w:t>
            </w:r>
          </w:p>
        </w:tc>
      </w:tr>
      <w:tr w:rsidR="005F2DEA" w:rsidRPr="00F41A7B" w14:paraId="29230437" w14:textId="77777777" w:rsidTr="005F2DEA">
        <w:trPr>
          <w:cantSplit/>
        </w:trPr>
        <w:tc>
          <w:tcPr>
            <w:tcW w:w="2917" w:type="dxa"/>
          </w:tcPr>
          <w:p w14:paraId="0EA95EFC" w14:textId="77777777" w:rsidR="005F2DEA" w:rsidRPr="00F41A7B" w:rsidRDefault="005F2DEA" w:rsidP="005F2DEA">
            <w:pPr>
              <w:pStyle w:val="Guidancenoteparagraphtext"/>
              <w:spacing w:before="120" w:after="120"/>
              <w:rPr>
                <w:i w:val="0"/>
                <w:sz w:val="24"/>
              </w:rPr>
            </w:pPr>
            <w:r w:rsidRPr="00F41A7B">
              <w:rPr>
                <w:i w:val="0"/>
                <w:sz w:val="24"/>
              </w:rPr>
              <w:t>"Supplier's Provisional Supplier Personnel List"</w:t>
            </w:r>
          </w:p>
        </w:tc>
        <w:tc>
          <w:tcPr>
            <w:tcW w:w="6109" w:type="dxa"/>
          </w:tcPr>
          <w:p w14:paraId="12AD9B14" w14:textId="3ED0A12D" w:rsidR="005F2DEA" w:rsidRPr="00F41A7B" w:rsidRDefault="005F2DEA" w:rsidP="009C348C">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sidR="009C348C">
              <w:rPr>
                <w:rFonts w:ascii="Arial" w:hAnsi="Arial"/>
                <w:sz w:val="24"/>
                <w:szCs w:val="24"/>
              </w:rPr>
              <w:t xml:space="preserve">Staff </w:t>
            </w:r>
            <w:r w:rsidRPr="00F41A7B">
              <w:rPr>
                <w:rFonts w:ascii="Arial" w:hAnsi="Arial"/>
                <w:sz w:val="24"/>
                <w:szCs w:val="24"/>
              </w:rPr>
              <w:t xml:space="preserve">who are at the date of the </w:t>
            </w:r>
            <w:proofErr w:type="gramStart"/>
            <w:r w:rsidRPr="00F41A7B">
              <w:rPr>
                <w:rFonts w:ascii="Arial" w:hAnsi="Arial"/>
                <w:sz w:val="24"/>
                <w:szCs w:val="24"/>
              </w:rPr>
              <w:t>list  wholly</w:t>
            </w:r>
            <w:proofErr w:type="gramEnd"/>
            <w:r w:rsidRPr="00F41A7B">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4E44DC" w:rsidRPr="00F41A7B" w14:paraId="41A90B01" w14:textId="77777777" w:rsidTr="005F2DEA">
        <w:trPr>
          <w:cantSplit/>
        </w:trPr>
        <w:tc>
          <w:tcPr>
            <w:tcW w:w="2917" w:type="dxa"/>
          </w:tcPr>
          <w:p w14:paraId="3F65836E" w14:textId="77777777" w:rsidR="004E44DC" w:rsidRPr="00FF1990" w:rsidRDefault="004E44DC" w:rsidP="00230343">
            <w:pPr>
              <w:pStyle w:val="Guidancenoteparagraphtext"/>
              <w:spacing w:before="120" w:after="120"/>
              <w:rPr>
                <w:bCs/>
                <w:i w:val="0"/>
                <w:sz w:val="24"/>
              </w:rPr>
            </w:pPr>
            <w:r w:rsidRPr="00FF1990">
              <w:rPr>
                <w:bCs/>
                <w:i w:val="0"/>
                <w:sz w:val="24"/>
              </w:rPr>
              <w:t>"Term"</w:t>
            </w:r>
          </w:p>
        </w:tc>
        <w:tc>
          <w:tcPr>
            <w:tcW w:w="6109" w:type="dxa"/>
          </w:tcPr>
          <w:p w14:paraId="346FD772" w14:textId="77777777" w:rsidR="004E44DC" w:rsidRPr="00FF1990" w:rsidRDefault="004E44DC" w:rsidP="00230343">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4E44DC" w:rsidRPr="00F41A7B" w14:paraId="4F0B58E6" w14:textId="77777777" w:rsidTr="005F2DEA">
        <w:trPr>
          <w:cantSplit/>
        </w:trPr>
        <w:tc>
          <w:tcPr>
            <w:tcW w:w="2917" w:type="dxa"/>
          </w:tcPr>
          <w:p w14:paraId="0D17EFFF" w14:textId="77777777" w:rsidR="004E44DC" w:rsidRPr="00F41A7B" w:rsidRDefault="004E44DC" w:rsidP="00230343">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A5EB9D0" w14:textId="64C413FC" w:rsidR="004E44DC" w:rsidRPr="00F41A7B" w:rsidRDefault="004E44DC" w:rsidP="00895EA7">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4E44DC" w:rsidRPr="00F41A7B" w14:paraId="5C3E5A23" w14:textId="77777777" w:rsidTr="005F2DEA">
        <w:trPr>
          <w:cantSplit/>
        </w:trPr>
        <w:tc>
          <w:tcPr>
            <w:tcW w:w="2917" w:type="dxa"/>
          </w:tcPr>
          <w:p w14:paraId="015E3E75" w14:textId="77777777" w:rsidR="004E44DC" w:rsidRPr="00F41A7B" w:rsidRDefault="004E44DC" w:rsidP="00230343">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178ECC3F" w14:textId="513FA62E" w:rsidR="004E44DC" w:rsidRPr="00F41A7B" w:rsidRDefault="004E44DC" w:rsidP="00895EA7">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5F14E078"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INTERPRETATION</w:t>
      </w:r>
    </w:p>
    <w:p w14:paraId="13B31118" w14:textId="4775D59E" w:rsidR="00103D5F" w:rsidRPr="00E601A2" w:rsidRDefault="004E44DC" w:rsidP="00E601A2">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w:t>
      </w:r>
      <w:r w:rsidR="00562FCD" w:rsidRPr="00103D5F">
        <w:rPr>
          <w:rFonts w:ascii="Arial" w:hAnsi="Arial" w:cs="Arial"/>
          <w:sz w:val="24"/>
          <w:szCs w:val="24"/>
          <w:lang w:val="en-GB"/>
        </w:rPr>
        <w:t>Subcontractor</w:t>
      </w:r>
      <w:r w:rsidRPr="00103D5F">
        <w:rPr>
          <w:rFonts w:ascii="Arial" w:hAnsi="Arial" w:cs="Arial"/>
          <w:sz w:val="24"/>
          <w:szCs w:val="24"/>
          <w:lang w:val="en-GB"/>
        </w:rPr>
        <w:t>s shall comply with such obligation and provide such indemnity</w:t>
      </w:r>
      <w:r w:rsidR="00851CFC" w:rsidRPr="00103D5F">
        <w:rPr>
          <w:rFonts w:ascii="Arial" w:hAnsi="Arial" w:cs="Arial"/>
          <w:sz w:val="24"/>
          <w:szCs w:val="24"/>
          <w:lang w:val="en-GB"/>
        </w:rPr>
        <w:t>, undertaking or warranty to</w:t>
      </w:r>
      <w:r w:rsidRPr="00103D5F">
        <w:rPr>
          <w:rFonts w:ascii="Arial" w:hAnsi="Arial" w:cs="Arial"/>
          <w:sz w:val="24"/>
          <w:szCs w:val="24"/>
          <w:lang w:val="en-GB"/>
        </w:rPr>
        <w:t xml:space="preserve"> CCS, the Buyer, Former Supplier, Replacement Supplier or Replacement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as the case may be and where the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fails to satisfy any claims under such indemnities the Supplier will be liable for satisfying any such claim as if it had provided the indemnity itself.</w:t>
      </w:r>
    </w:p>
    <w:p w14:paraId="73DBDA1C" w14:textId="508E1CA1" w:rsidR="00103D5F" w:rsidRPr="00E601A2" w:rsidRDefault="00103D5F" w:rsidP="008B34B7">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w:t>
      </w:r>
      <w:r w:rsidR="00C311BF" w:rsidRPr="00E601A2">
        <w:rPr>
          <w:rFonts w:ascii="Arial" w:hAnsi="Arial" w:cs="Arial"/>
          <w:sz w:val="24"/>
          <w:szCs w:val="24"/>
          <w:lang w:val="en-GB"/>
        </w:rPr>
        <w:t>2.1 and 2.6 of Part</w:t>
      </w:r>
      <w:r w:rsidR="00C16DE2" w:rsidRPr="00E601A2">
        <w:rPr>
          <w:rFonts w:ascii="Arial" w:hAnsi="Arial" w:cs="Arial"/>
          <w:sz w:val="24"/>
          <w:szCs w:val="24"/>
          <w:lang w:val="en-GB"/>
        </w:rPr>
        <w:t xml:space="preserve"> A, Paragraph 3.1 of Part B</w:t>
      </w:r>
      <w:r w:rsidR="00EB5742" w:rsidRPr="00E601A2">
        <w:rPr>
          <w:rFonts w:ascii="Arial" w:hAnsi="Arial" w:cs="Arial"/>
          <w:sz w:val="24"/>
          <w:szCs w:val="24"/>
          <w:lang w:val="en-GB"/>
        </w:rPr>
        <w:t>,</w:t>
      </w:r>
      <w:r w:rsidR="005E60E5" w:rsidRPr="00E601A2">
        <w:rPr>
          <w:rFonts w:ascii="Arial" w:hAnsi="Arial" w:cs="Arial"/>
          <w:sz w:val="24"/>
          <w:szCs w:val="24"/>
          <w:lang w:val="en-GB"/>
        </w:rPr>
        <w:t xml:space="preserve"> Paragraph</w:t>
      </w:r>
      <w:r w:rsidR="0083180C" w:rsidRPr="00E601A2">
        <w:rPr>
          <w:rFonts w:ascii="Arial" w:hAnsi="Arial" w:cs="Arial"/>
          <w:sz w:val="24"/>
          <w:szCs w:val="24"/>
          <w:lang w:val="en-GB"/>
        </w:rPr>
        <w:t>s</w:t>
      </w:r>
      <w:r w:rsidR="005E60E5" w:rsidRPr="00E601A2">
        <w:rPr>
          <w:rFonts w:ascii="Arial" w:hAnsi="Arial" w:cs="Arial"/>
          <w:sz w:val="24"/>
          <w:szCs w:val="24"/>
          <w:lang w:val="en-GB"/>
        </w:rPr>
        <w:t xml:space="preserve"> 1.5, 1.7 and 1.9 of Part C, </w:t>
      </w:r>
      <w:r w:rsidR="008B3F41" w:rsidRPr="00E601A2">
        <w:rPr>
          <w:rFonts w:ascii="Arial" w:hAnsi="Arial" w:cs="Arial"/>
          <w:sz w:val="24"/>
          <w:szCs w:val="24"/>
          <w:lang w:val="en-GB"/>
        </w:rPr>
        <w:t>Part D</w:t>
      </w:r>
      <w:r w:rsidR="0083180C" w:rsidRPr="00E601A2">
        <w:rPr>
          <w:rFonts w:ascii="Arial" w:hAnsi="Arial" w:cs="Arial"/>
          <w:sz w:val="24"/>
          <w:szCs w:val="24"/>
          <w:lang w:val="en-GB"/>
        </w:rPr>
        <w:t xml:space="preserve"> and Paragraphs 1.4, 2.3 and 2.8 of Part E</w:t>
      </w:r>
      <w:r w:rsidR="00A9618E" w:rsidRPr="00E601A2">
        <w:rPr>
          <w:rFonts w:ascii="Arial" w:hAnsi="Arial" w:cs="Arial"/>
          <w:sz w:val="24"/>
          <w:szCs w:val="24"/>
          <w:lang w:val="en-GB"/>
        </w:rPr>
        <w:t xml:space="preserve"> of this Schedule</w:t>
      </w:r>
      <w:r w:rsidR="008B34B7" w:rsidRPr="00E601A2">
        <w:rPr>
          <w:rFonts w:ascii="Arial" w:hAnsi="Arial" w:cs="Arial"/>
          <w:sz w:val="24"/>
          <w:szCs w:val="24"/>
          <w:lang w:val="en-GB"/>
        </w:rPr>
        <w:t xml:space="preserve"> (together “Third Party Provisions”)</w:t>
      </w:r>
      <w:r w:rsidRPr="00E601A2">
        <w:rPr>
          <w:rFonts w:ascii="Arial" w:hAnsi="Arial" w:cs="Arial"/>
          <w:sz w:val="24"/>
          <w:szCs w:val="24"/>
          <w:lang w:val="en-GB"/>
        </w:rPr>
        <w:t xml:space="preserve"> confer benefits on third parties</w:t>
      </w:r>
      <w:r w:rsidR="00DD12A0" w:rsidRPr="00E601A2">
        <w:rPr>
          <w:rFonts w:ascii="Arial" w:hAnsi="Arial" w:cs="Arial"/>
          <w:sz w:val="24"/>
          <w:szCs w:val="24"/>
          <w:lang w:val="en-GB"/>
        </w:rPr>
        <w:t xml:space="preserve"> (each such person a “Third Party Beneficiary”)</w:t>
      </w:r>
      <w:r w:rsidRPr="00E601A2">
        <w:rPr>
          <w:rFonts w:ascii="Arial" w:hAnsi="Arial" w:cs="Arial"/>
          <w:sz w:val="24"/>
          <w:szCs w:val="24"/>
          <w:lang w:val="en-GB"/>
        </w:rPr>
        <w:t xml:space="preserve"> and are intended to be enforceable by </w:t>
      </w:r>
      <w:r w:rsidR="00DD12A0" w:rsidRPr="00E601A2">
        <w:rPr>
          <w:rFonts w:ascii="Arial" w:hAnsi="Arial" w:cs="Arial"/>
          <w:sz w:val="24"/>
          <w:szCs w:val="24"/>
          <w:lang w:val="en-GB"/>
        </w:rPr>
        <w:t>Third Party Beneficiaries</w:t>
      </w:r>
      <w:r w:rsidRPr="00E601A2">
        <w:rPr>
          <w:rFonts w:ascii="Arial" w:hAnsi="Arial" w:cs="Arial"/>
          <w:sz w:val="24"/>
          <w:szCs w:val="24"/>
          <w:lang w:val="en-GB"/>
        </w:rPr>
        <w:t xml:space="preserve"> by virtue of the CRTPA. </w:t>
      </w:r>
      <w:r w:rsidR="008B34B7" w:rsidRPr="00E601A2">
        <w:rPr>
          <w:rFonts w:ascii="Arial" w:hAnsi="Arial" w:cs="Arial"/>
          <w:sz w:val="24"/>
          <w:szCs w:val="24"/>
          <w:lang w:val="en-GB"/>
        </w:rPr>
        <w:t xml:space="preserve"> </w:t>
      </w:r>
    </w:p>
    <w:p w14:paraId="29759113" w14:textId="67E00C10"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E4B4286" w14:textId="01030008"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lastRenderedPageBreak/>
        <w:t xml:space="preserve">No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may enforce, or take any step to enforce, any Third Party Provision without the prior written consent of the Buyer, which may, if given, be given on and subject to such terms as the Buyer may determine.</w:t>
      </w:r>
    </w:p>
    <w:p w14:paraId="4843C022" w14:textId="226E459D"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w:t>
      </w:r>
    </w:p>
    <w:p w14:paraId="5640EEA3" w14:textId="77777777" w:rsidR="003B7834" w:rsidRPr="00F41A7B" w:rsidRDefault="003B7834" w:rsidP="00230343">
      <w:pPr>
        <w:ind w:left="357"/>
        <w:rPr>
          <w:rFonts w:ascii="Arial" w:hAnsi="Arial"/>
          <w:sz w:val="24"/>
          <w:szCs w:val="24"/>
        </w:rPr>
      </w:pPr>
      <w:bookmarkStart w:id="0" w:name="_GoBack"/>
      <w:bookmarkEnd w:id="0"/>
    </w:p>
    <w:p w14:paraId="546E149F" w14:textId="0B18F67B" w:rsidR="004E44DC" w:rsidRDefault="004E44DC" w:rsidP="00B0364E">
      <w:pPr>
        <w:pStyle w:val="Heading1"/>
        <w:keepNext/>
        <w:jc w:val="both"/>
        <w:rPr>
          <w:rFonts w:ascii="Arial" w:hAnsi="Arial" w:cs="Arial"/>
          <w:sz w:val="24"/>
          <w:szCs w:val="24"/>
        </w:rPr>
      </w:pPr>
      <w:r w:rsidRPr="00F41A7B">
        <w:rPr>
          <w:rFonts w:ascii="Arial" w:hAnsi="Arial" w:cs="Arial"/>
          <w:sz w:val="24"/>
          <w:szCs w:val="24"/>
        </w:rPr>
        <w:br w:type="page"/>
      </w:r>
      <w:r w:rsidR="00B0364E">
        <w:rPr>
          <w:rFonts w:ascii="Arial" w:hAnsi="Arial" w:cs="Arial"/>
          <w:sz w:val="24"/>
          <w:szCs w:val="24"/>
        </w:rPr>
        <w:lastRenderedPageBreak/>
        <w:t xml:space="preserve"> </w:t>
      </w:r>
    </w:p>
    <w:sectPr w:rsidR="004E44DC" w:rsidSect="00F41A7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DF9E8" w14:textId="77777777" w:rsidR="002C6728" w:rsidRDefault="002C6728">
      <w:pPr>
        <w:spacing w:after="0"/>
      </w:pPr>
      <w:r>
        <w:separator/>
      </w:r>
    </w:p>
  </w:endnote>
  <w:endnote w:type="continuationSeparator" w:id="0">
    <w:p w14:paraId="17052E3B" w14:textId="77777777" w:rsidR="002C6728" w:rsidRDefault="002C6728">
      <w:pPr>
        <w:spacing w:after="0"/>
      </w:pPr>
      <w:r>
        <w:continuationSeparator/>
      </w:r>
    </w:p>
  </w:endnote>
  <w:endnote w:type="continuationNotice" w:id="1">
    <w:p w14:paraId="5F8859A8" w14:textId="77777777" w:rsidR="002C6728" w:rsidRDefault="002C67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7E39" w14:textId="77777777" w:rsidR="00CE2E72" w:rsidRPr="00851CFC" w:rsidRDefault="00CE2E72" w:rsidP="00851CFC">
    <w:pPr>
      <w:tabs>
        <w:tab w:val="center" w:pos="4513"/>
        <w:tab w:val="right" w:pos="9026"/>
      </w:tabs>
      <w:spacing w:after="0"/>
      <w:rPr>
        <w:rFonts w:ascii="Arial" w:hAnsi="Arial"/>
        <w:color w:val="A6A6A6"/>
        <w:sz w:val="20"/>
      </w:rPr>
    </w:pPr>
  </w:p>
  <w:p w14:paraId="498622E8" w14:textId="17D023B2" w:rsidR="00CE2E72" w:rsidRPr="00C25BF9" w:rsidRDefault="00CE2E72" w:rsidP="00851CFC">
    <w:pPr>
      <w:tabs>
        <w:tab w:val="center" w:pos="4513"/>
        <w:tab w:val="right" w:pos="9026"/>
      </w:tabs>
      <w:spacing w:after="0"/>
      <w:rPr>
        <w:rFonts w:ascii="Arial" w:hAnsi="Arial"/>
        <w:sz w:val="20"/>
      </w:rPr>
    </w:pPr>
    <w:r w:rsidRPr="00C25BF9">
      <w:rPr>
        <w:rFonts w:ascii="Arial" w:hAnsi="Arial"/>
        <w:sz w:val="20"/>
      </w:rPr>
      <w:t>Framework Ref: RM</w:t>
    </w:r>
    <w:r w:rsidR="00A847CB">
      <w:rPr>
        <w:rFonts w:ascii="Arial" w:hAnsi="Arial"/>
        <w:sz w:val="20"/>
      </w:rPr>
      <w:t>6179</w:t>
    </w:r>
  </w:p>
  <w:p w14:paraId="39F5F2BA" w14:textId="37A1D534" w:rsidR="00CE2E72" w:rsidRPr="00C25BF9" w:rsidRDefault="00CE2E72" w:rsidP="00851CFC">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A847CB">
      <w:rPr>
        <w:rFonts w:ascii="Arial" w:hAnsi="Arial"/>
        <w:noProof/>
        <w:sz w:val="20"/>
      </w:rPr>
      <w:t>1</w:t>
    </w:r>
    <w:r w:rsidRPr="00C25BF9">
      <w:rPr>
        <w:rFonts w:ascii="Arial" w:hAnsi="Arial"/>
        <w:noProof/>
        <w:sz w:val="20"/>
      </w:rPr>
      <w:fldChar w:fldCharType="end"/>
    </w:r>
  </w:p>
  <w:p w14:paraId="2B6D983F" w14:textId="607798F8" w:rsidR="00CE2E72" w:rsidRPr="00851CFC" w:rsidRDefault="00CE2E72" w:rsidP="00851CFC">
    <w:pPr>
      <w:spacing w:after="0"/>
      <w:rPr>
        <w:rFonts w:ascii="Arial" w:hAnsi="Arial"/>
        <w:color w:val="A6A6A6"/>
        <w:sz w:val="20"/>
      </w:rPr>
    </w:pPr>
    <w:r w:rsidRPr="00C25BF9">
      <w:rPr>
        <w:rFonts w:ascii="Arial" w:hAnsi="Arial"/>
        <w:sz w:val="20"/>
      </w:rPr>
      <w:t>Model Version: v3.</w:t>
    </w:r>
    <w:r w:rsidR="00540518">
      <w:rPr>
        <w:rFonts w:ascii="Arial" w:hAnsi="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767C" w14:textId="77777777" w:rsidR="00CE2E72" w:rsidRPr="00851CFC" w:rsidRDefault="00CE2E72" w:rsidP="00851CFC">
    <w:pPr>
      <w:tabs>
        <w:tab w:val="center" w:pos="4513"/>
        <w:tab w:val="right" w:pos="9026"/>
      </w:tabs>
      <w:spacing w:after="0"/>
      <w:rPr>
        <w:rFonts w:ascii="Arial" w:hAnsi="Arial"/>
        <w:color w:val="A6A6A6"/>
        <w:sz w:val="20"/>
      </w:rPr>
    </w:pPr>
  </w:p>
  <w:p w14:paraId="14BC567B" w14:textId="77777777" w:rsidR="00CE2E72" w:rsidRPr="00851CFC" w:rsidRDefault="00CE2E72"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184E61A9" w14:textId="77777777" w:rsidR="00CE2E72" w:rsidRPr="00851CFC" w:rsidRDefault="00CE2E72"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14:paraId="120553FC" w14:textId="77777777" w:rsidR="00CE2E72" w:rsidRPr="00851CFC" w:rsidRDefault="00CE2E72" w:rsidP="00851CFC">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9423B" w14:textId="77777777" w:rsidR="002C6728" w:rsidRDefault="002C6728">
      <w:pPr>
        <w:spacing w:after="0"/>
      </w:pPr>
      <w:r>
        <w:separator/>
      </w:r>
    </w:p>
  </w:footnote>
  <w:footnote w:type="continuationSeparator" w:id="0">
    <w:p w14:paraId="227B5114" w14:textId="77777777" w:rsidR="002C6728" w:rsidRDefault="002C6728">
      <w:pPr>
        <w:spacing w:after="0"/>
      </w:pPr>
      <w:r>
        <w:continuationSeparator/>
      </w:r>
    </w:p>
  </w:footnote>
  <w:footnote w:type="continuationNotice" w:id="1">
    <w:p w14:paraId="538EEF2C" w14:textId="77777777" w:rsidR="002C6728" w:rsidRDefault="002C67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13DE" w14:textId="77777777" w:rsidR="00CE2E72" w:rsidRPr="00F41A7B" w:rsidRDefault="00CE2E72">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1BC1FADA" w14:textId="77777777" w:rsidR="00CE2E72" w:rsidRPr="00F41A7B" w:rsidRDefault="00CE2E72">
    <w:pPr>
      <w:pStyle w:val="Header"/>
    </w:pPr>
    <w:r w:rsidRPr="00F41A7B">
      <w:rPr>
        <w:rFonts w:ascii="Arial" w:hAnsi="Arial"/>
        <w:sz w:val="20"/>
      </w:rPr>
      <w:t xml:space="preserve">Call-Off Ref: </w:t>
    </w:r>
  </w:p>
  <w:p w14:paraId="7BC13071" w14:textId="77777777" w:rsidR="00CE2E72" w:rsidRPr="00F41A7B" w:rsidRDefault="00CE2E72">
    <w:pPr>
      <w:pStyle w:val="Header"/>
      <w:rPr>
        <w:rFonts w:ascii="Arial" w:hAnsi="Arial"/>
        <w:sz w:val="20"/>
      </w:rPr>
    </w:pPr>
    <w:r w:rsidRPr="00F41A7B">
      <w:rPr>
        <w:rFonts w:ascii="Arial" w:hAnsi="Arial"/>
        <w:sz w:val="20"/>
      </w:rPr>
      <w:t>Crown Copyright</w:t>
    </w:r>
    <w:r w:rsidRPr="00F41A7B">
      <w:rPr>
        <w:rFonts w:ascii="Arial" w:hAnsi="Arial"/>
        <w:sz w:val="20"/>
        <w:lang w:eastAsia="en-GB"/>
      </w:rPr>
      <w:t xml:space="preserve"> 2018</w:t>
    </w:r>
    <w:r w:rsidRPr="00F41A7B">
      <w:rPr>
        <w:rFonts w:ascii="Arial" w:hAnsi="Arial"/>
        <w:sz w:val="20"/>
      </w:rPr>
      <w:t xml:space="preserve"> </w:t>
    </w:r>
  </w:p>
  <w:p w14:paraId="3D6C688B" w14:textId="77777777" w:rsidR="00CE2E72" w:rsidRDefault="00CE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BD9C" w14:textId="77777777" w:rsidR="00CE2E72" w:rsidRDefault="00CE2E72">
    <w:pPr>
      <w:pStyle w:val="Header"/>
    </w:pPr>
  </w:p>
  <w:p w14:paraId="071BC671" w14:textId="77777777" w:rsidR="00CE2E72" w:rsidRDefault="00CE2E72">
    <w:pPr>
      <w:pStyle w:val="Header"/>
    </w:pPr>
  </w:p>
  <w:p w14:paraId="4F989C71" w14:textId="77777777" w:rsidR="00CE2E72" w:rsidRDefault="00CE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0"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6"/>
  </w:num>
  <w:num w:numId="4">
    <w:abstractNumId w:val="12"/>
  </w:num>
  <w:num w:numId="5">
    <w:abstractNumId w:val="13"/>
  </w:num>
  <w:num w:numId="6">
    <w:abstractNumId w:val="2"/>
  </w:num>
  <w:num w:numId="7">
    <w:abstractNumId w:val="17"/>
  </w:num>
  <w:num w:numId="8">
    <w:abstractNumId w:val="9"/>
  </w:num>
  <w:num w:numId="9">
    <w:abstractNumId w:val="11"/>
  </w:num>
  <w:num w:numId="10">
    <w:abstractNumId w:val="14"/>
  </w:num>
  <w:num w:numId="11">
    <w:abstractNumId w:val="21"/>
  </w:num>
  <w:num w:numId="12">
    <w:abstractNumId w:val="7"/>
  </w:num>
  <w:num w:numId="13">
    <w:abstractNumId w:val="4"/>
  </w:num>
  <w:num w:numId="14">
    <w:abstractNumId w:val="4"/>
  </w:num>
  <w:num w:numId="15">
    <w:abstractNumId w:val="2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7"/>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num>
  <w:num w:numId="34">
    <w:abstractNumId w:val="10"/>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5"/>
  </w:num>
  <w:num w:numId="41">
    <w:abstractNumId w:val="10"/>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76589"/>
    <w:docVar w:name="CLIENTID" w:val="4275"/>
    <w:docVar w:name="COMPANYID" w:val="2122615613"/>
    <w:docVar w:name="DOCID" w:val=" "/>
    <w:docVar w:name="EDITION" w:val="FM"/>
    <w:docVar w:name="FILEID" w:val="268975"/>
    <w:docVar w:name="SERIALNO" w:val="11311"/>
  </w:docVars>
  <w:rsids>
    <w:rsidRoot w:val="00DC2B86"/>
    <w:rsid w:val="0000544D"/>
    <w:rsid w:val="00030689"/>
    <w:rsid w:val="0003162D"/>
    <w:rsid w:val="0003284E"/>
    <w:rsid w:val="0004088D"/>
    <w:rsid w:val="00041F76"/>
    <w:rsid w:val="00061C3F"/>
    <w:rsid w:val="00065306"/>
    <w:rsid w:val="00080C5E"/>
    <w:rsid w:val="000950CE"/>
    <w:rsid w:val="00096FE6"/>
    <w:rsid w:val="000A6AA3"/>
    <w:rsid w:val="000D1078"/>
    <w:rsid w:val="000D60BF"/>
    <w:rsid w:val="000E69EF"/>
    <w:rsid w:val="000F743E"/>
    <w:rsid w:val="00103D5F"/>
    <w:rsid w:val="001061D5"/>
    <w:rsid w:val="00114291"/>
    <w:rsid w:val="0011760D"/>
    <w:rsid w:val="0012084B"/>
    <w:rsid w:val="00126B80"/>
    <w:rsid w:val="00132C86"/>
    <w:rsid w:val="00145856"/>
    <w:rsid w:val="00175E67"/>
    <w:rsid w:val="00184126"/>
    <w:rsid w:val="00185359"/>
    <w:rsid w:val="00187538"/>
    <w:rsid w:val="001918E3"/>
    <w:rsid w:val="001A19F6"/>
    <w:rsid w:val="001B1432"/>
    <w:rsid w:val="001B56F2"/>
    <w:rsid w:val="001C7376"/>
    <w:rsid w:val="001D5EEF"/>
    <w:rsid w:val="001D61C7"/>
    <w:rsid w:val="001D6D16"/>
    <w:rsid w:val="001E2B78"/>
    <w:rsid w:val="001E735C"/>
    <w:rsid w:val="001F186A"/>
    <w:rsid w:val="002070FC"/>
    <w:rsid w:val="002240DF"/>
    <w:rsid w:val="00225A1D"/>
    <w:rsid w:val="00230343"/>
    <w:rsid w:val="002423CD"/>
    <w:rsid w:val="00245B61"/>
    <w:rsid w:val="002466A9"/>
    <w:rsid w:val="00266777"/>
    <w:rsid w:val="002713D7"/>
    <w:rsid w:val="002823CE"/>
    <w:rsid w:val="002B34CA"/>
    <w:rsid w:val="002B7FA1"/>
    <w:rsid w:val="002C6309"/>
    <w:rsid w:val="002C6728"/>
    <w:rsid w:val="002E1350"/>
    <w:rsid w:val="00307A54"/>
    <w:rsid w:val="003106DC"/>
    <w:rsid w:val="00325A44"/>
    <w:rsid w:val="0033764C"/>
    <w:rsid w:val="00377AE5"/>
    <w:rsid w:val="003B08D3"/>
    <w:rsid w:val="003B3D1A"/>
    <w:rsid w:val="003B7834"/>
    <w:rsid w:val="003D5318"/>
    <w:rsid w:val="003D77AC"/>
    <w:rsid w:val="004032F5"/>
    <w:rsid w:val="004148E9"/>
    <w:rsid w:val="004164C9"/>
    <w:rsid w:val="00425605"/>
    <w:rsid w:val="004545EB"/>
    <w:rsid w:val="004626EA"/>
    <w:rsid w:val="00464A83"/>
    <w:rsid w:val="0048530D"/>
    <w:rsid w:val="004A0FE0"/>
    <w:rsid w:val="004A239D"/>
    <w:rsid w:val="004D0E44"/>
    <w:rsid w:val="004E44DC"/>
    <w:rsid w:val="004F5217"/>
    <w:rsid w:val="005110E9"/>
    <w:rsid w:val="00527B08"/>
    <w:rsid w:val="00531946"/>
    <w:rsid w:val="00533935"/>
    <w:rsid w:val="00540518"/>
    <w:rsid w:val="00556AAF"/>
    <w:rsid w:val="00562FCD"/>
    <w:rsid w:val="00585624"/>
    <w:rsid w:val="00585CC6"/>
    <w:rsid w:val="005866A6"/>
    <w:rsid w:val="00593E02"/>
    <w:rsid w:val="005A6149"/>
    <w:rsid w:val="005D60C9"/>
    <w:rsid w:val="005D7A36"/>
    <w:rsid w:val="005E60E5"/>
    <w:rsid w:val="005F2DEA"/>
    <w:rsid w:val="005F6FC4"/>
    <w:rsid w:val="0062133B"/>
    <w:rsid w:val="00633D10"/>
    <w:rsid w:val="00637996"/>
    <w:rsid w:val="00641BC6"/>
    <w:rsid w:val="00652AD9"/>
    <w:rsid w:val="006630B3"/>
    <w:rsid w:val="0067745A"/>
    <w:rsid w:val="00683D6B"/>
    <w:rsid w:val="00685684"/>
    <w:rsid w:val="00686366"/>
    <w:rsid w:val="00695D2E"/>
    <w:rsid w:val="006C3260"/>
    <w:rsid w:val="006C5F98"/>
    <w:rsid w:val="006C6B59"/>
    <w:rsid w:val="006D681A"/>
    <w:rsid w:val="006E1584"/>
    <w:rsid w:val="00702073"/>
    <w:rsid w:val="00705D4F"/>
    <w:rsid w:val="00727830"/>
    <w:rsid w:val="0074037D"/>
    <w:rsid w:val="0077341E"/>
    <w:rsid w:val="007750A1"/>
    <w:rsid w:val="00782D58"/>
    <w:rsid w:val="0078607F"/>
    <w:rsid w:val="007A54BB"/>
    <w:rsid w:val="007D2B5C"/>
    <w:rsid w:val="007E2C04"/>
    <w:rsid w:val="007E3114"/>
    <w:rsid w:val="00802080"/>
    <w:rsid w:val="00820FEC"/>
    <w:rsid w:val="00822BFA"/>
    <w:rsid w:val="0083180C"/>
    <w:rsid w:val="0083182E"/>
    <w:rsid w:val="00841ED5"/>
    <w:rsid w:val="008435B3"/>
    <w:rsid w:val="00845F5D"/>
    <w:rsid w:val="00851CFC"/>
    <w:rsid w:val="00876FAA"/>
    <w:rsid w:val="0088797D"/>
    <w:rsid w:val="00892DCC"/>
    <w:rsid w:val="00895EA7"/>
    <w:rsid w:val="008B34B7"/>
    <w:rsid w:val="008B3F41"/>
    <w:rsid w:val="008C0284"/>
    <w:rsid w:val="008C76D4"/>
    <w:rsid w:val="008D4C8F"/>
    <w:rsid w:val="008E124D"/>
    <w:rsid w:val="008E784C"/>
    <w:rsid w:val="008F4D1D"/>
    <w:rsid w:val="00910D8E"/>
    <w:rsid w:val="00912AE8"/>
    <w:rsid w:val="009172F7"/>
    <w:rsid w:val="00945EEF"/>
    <w:rsid w:val="009463D6"/>
    <w:rsid w:val="00946463"/>
    <w:rsid w:val="00947F18"/>
    <w:rsid w:val="00976A43"/>
    <w:rsid w:val="009A75D5"/>
    <w:rsid w:val="009B2E90"/>
    <w:rsid w:val="009C348C"/>
    <w:rsid w:val="009D6875"/>
    <w:rsid w:val="009D6B7B"/>
    <w:rsid w:val="009E2951"/>
    <w:rsid w:val="009E4376"/>
    <w:rsid w:val="00A04F2D"/>
    <w:rsid w:val="00A0752E"/>
    <w:rsid w:val="00A11F4A"/>
    <w:rsid w:val="00A452FA"/>
    <w:rsid w:val="00A45BA7"/>
    <w:rsid w:val="00A4745C"/>
    <w:rsid w:val="00A73DA9"/>
    <w:rsid w:val="00A8248B"/>
    <w:rsid w:val="00A8382D"/>
    <w:rsid w:val="00A847CB"/>
    <w:rsid w:val="00A91575"/>
    <w:rsid w:val="00A9618E"/>
    <w:rsid w:val="00AA4812"/>
    <w:rsid w:val="00AB4B82"/>
    <w:rsid w:val="00AE1CC7"/>
    <w:rsid w:val="00B020C0"/>
    <w:rsid w:val="00B0364E"/>
    <w:rsid w:val="00B42E7B"/>
    <w:rsid w:val="00B43285"/>
    <w:rsid w:val="00B515D9"/>
    <w:rsid w:val="00B63FC9"/>
    <w:rsid w:val="00B74C41"/>
    <w:rsid w:val="00B950F7"/>
    <w:rsid w:val="00B95223"/>
    <w:rsid w:val="00BC4A14"/>
    <w:rsid w:val="00BE1D48"/>
    <w:rsid w:val="00BE7F36"/>
    <w:rsid w:val="00BF6D1C"/>
    <w:rsid w:val="00C03297"/>
    <w:rsid w:val="00C132E8"/>
    <w:rsid w:val="00C16D2F"/>
    <w:rsid w:val="00C16DE2"/>
    <w:rsid w:val="00C20BB2"/>
    <w:rsid w:val="00C25BF9"/>
    <w:rsid w:val="00C310C2"/>
    <w:rsid w:val="00C311BF"/>
    <w:rsid w:val="00C40DFE"/>
    <w:rsid w:val="00C45146"/>
    <w:rsid w:val="00C77548"/>
    <w:rsid w:val="00C822E3"/>
    <w:rsid w:val="00C87A26"/>
    <w:rsid w:val="00CA2D5B"/>
    <w:rsid w:val="00CA6639"/>
    <w:rsid w:val="00CD2E0A"/>
    <w:rsid w:val="00CE2E72"/>
    <w:rsid w:val="00D3196C"/>
    <w:rsid w:val="00D4428A"/>
    <w:rsid w:val="00D72C87"/>
    <w:rsid w:val="00D836A3"/>
    <w:rsid w:val="00D93E18"/>
    <w:rsid w:val="00DA00A8"/>
    <w:rsid w:val="00DA0AF1"/>
    <w:rsid w:val="00DA2DE2"/>
    <w:rsid w:val="00DB3552"/>
    <w:rsid w:val="00DC03C9"/>
    <w:rsid w:val="00DC1AF3"/>
    <w:rsid w:val="00DC2B86"/>
    <w:rsid w:val="00DC60D0"/>
    <w:rsid w:val="00DD12A0"/>
    <w:rsid w:val="00E06A87"/>
    <w:rsid w:val="00E43D65"/>
    <w:rsid w:val="00E4608D"/>
    <w:rsid w:val="00E577DB"/>
    <w:rsid w:val="00E601A2"/>
    <w:rsid w:val="00E71435"/>
    <w:rsid w:val="00E8566B"/>
    <w:rsid w:val="00EA7C45"/>
    <w:rsid w:val="00EB3C0A"/>
    <w:rsid w:val="00EB5742"/>
    <w:rsid w:val="00EF6D6A"/>
    <w:rsid w:val="00F07411"/>
    <w:rsid w:val="00F22C95"/>
    <w:rsid w:val="00F41A7B"/>
    <w:rsid w:val="00F4524A"/>
    <w:rsid w:val="00F56146"/>
    <w:rsid w:val="00F71E67"/>
    <w:rsid w:val="00F92655"/>
    <w:rsid w:val="00F92B73"/>
    <w:rsid w:val="00FB615C"/>
    <w:rsid w:val="00FD4452"/>
    <w:rsid w:val="00FF1990"/>
    <w:rsid w:val="00FF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50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ｺﾞｼｯｸ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ｺﾞｼｯｸ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ｺﾞｼｯｸ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444155396">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C63B-9BE4-4690-8B42-5DCD3AED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Z1905090</cp:keywords>
  <dc:description> </dc:description>
  <cp:lastModifiedBy/>
  <cp:revision>1</cp:revision>
  <dcterms:created xsi:type="dcterms:W3CDTF">2020-09-21T08:37:00Z</dcterms:created>
  <dcterms:modified xsi:type="dcterms:W3CDTF">2024-06-27T09:26:00Z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