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407" w:rsidRPr="001A0407" w:rsidRDefault="001A0407" w:rsidP="001A0407">
      <w:pPr>
        <w:jc w:val="center"/>
        <w:rPr>
          <w:rFonts w:eastAsia="Times New Roman" w:cs="Times New Roman"/>
          <w:b/>
          <w:sz w:val="22"/>
          <w:szCs w:val="22"/>
          <w:lang w:eastAsia="en-GB"/>
        </w:rPr>
      </w:pPr>
    </w:p>
    <w:p w:rsidR="003C4C87" w:rsidRDefault="003C4C87" w:rsidP="003C4C87">
      <w:pPr>
        <w:pStyle w:val="Heading2"/>
        <w:numPr>
          <w:ilvl w:val="0"/>
          <w:numId w:val="0"/>
        </w:numPr>
        <w:jc w:val="right"/>
      </w:pPr>
      <w:r>
        <w:rPr>
          <w:noProof/>
        </w:rPr>
        <w:drawing>
          <wp:inline distT="0" distB="0" distL="0" distR="0" wp14:anchorId="2CC4E0B4" wp14:editId="17ED255F">
            <wp:extent cx="4048125" cy="445770"/>
            <wp:effectExtent l="0" t="0" r="9525"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48125" cy="445770"/>
                    </a:xfrm>
                    <a:prstGeom prst="rect">
                      <a:avLst/>
                    </a:prstGeom>
                    <a:noFill/>
                    <a:ln>
                      <a:noFill/>
                    </a:ln>
                  </pic:spPr>
                </pic:pic>
              </a:graphicData>
            </a:graphic>
          </wp:inline>
        </w:drawing>
      </w:r>
    </w:p>
    <w:p w:rsidR="003C4C87" w:rsidRPr="001A5876" w:rsidRDefault="003C4C87" w:rsidP="003C4C87">
      <w:pPr>
        <w:tabs>
          <w:tab w:val="left" w:pos="3600"/>
          <w:tab w:val="center" w:pos="4153"/>
          <w:tab w:val="left" w:pos="4680"/>
          <w:tab w:val="left" w:pos="5040"/>
          <w:tab w:val="left" w:pos="6946"/>
          <w:tab w:val="right" w:pos="8306"/>
        </w:tabs>
        <w:jc w:val="right"/>
        <w:rPr>
          <w:rFonts w:eastAsia="Times New Roman" w:cs="Times New Roman"/>
          <w:color w:val="3366FF"/>
          <w:sz w:val="16"/>
          <w:szCs w:val="16"/>
        </w:rPr>
      </w:pPr>
      <w:r w:rsidRPr="001A5876">
        <w:rPr>
          <w:rFonts w:eastAsia="Times New Roman" w:cs="Times New Roman"/>
          <w:color w:val="3366FF"/>
          <w:sz w:val="16"/>
          <w:szCs w:val="16"/>
        </w:rPr>
        <w:t>Procurement Department working on behalf of:</w:t>
      </w:r>
    </w:p>
    <w:p w:rsidR="003C4C87" w:rsidRPr="001A5876" w:rsidRDefault="003C4C87" w:rsidP="003C4C87">
      <w:pPr>
        <w:tabs>
          <w:tab w:val="left" w:pos="3600"/>
          <w:tab w:val="center" w:pos="4153"/>
          <w:tab w:val="left" w:pos="4680"/>
          <w:tab w:val="left" w:pos="5040"/>
          <w:tab w:val="left" w:pos="6946"/>
          <w:tab w:val="right" w:pos="8306"/>
        </w:tabs>
        <w:jc w:val="right"/>
        <w:rPr>
          <w:rFonts w:eastAsia="Times New Roman" w:cs="Times New Roman"/>
          <w:color w:val="3366FF"/>
          <w:sz w:val="16"/>
          <w:szCs w:val="16"/>
        </w:rPr>
      </w:pPr>
      <w:r w:rsidRPr="001A5876">
        <w:rPr>
          <w:rFonts w:eastAsia="Times New Roman" w:cs="Times New Roman"/>
          <w:color w:val="3366FF"/>
          <w:sz w:val="16"/>
          <w:szCs w:val="16"/>
        </w:rPr>
        <w:t>Lincolnshire Community Health Services NHS Trust</w:t>
      </w:r>
    </w:p>
    <w:p w:rsidR="003C4C87" w:rsidRPr="001A5876" w:rsidRDefault="003C4C87" w:rsidP="003C4C87">
      <w:pPr>
        <w:tabs>
          <w:tab w:val="left" w:pos="3600"/>
          <w:tab w:val="center" w:pos="4153"/>
          <w:tab w:val="left" w:pos="4680"/>
          <w:tab w:val="left" w:pos="5040"/>
          <w:tab w:val="left" w:pos="6946"/>
          <w:tab w:val="right" w:pos="8306"/>
        </w:tabs>
        <w:jc w:val="right"/>
        <w:rPr>
          <w:rFonts w:eastAsia="Times New Roman" w:cs="Times New Roman"/>
          <w:color w:val="3366FF"/>
          <w:sz w:val="16"/>
          <w:szCs w:val="16"/>
        </w:rPr>
      </w:pPr>
      <w:r w:rsidRPr="001A5876">
        <w:rPr>
          <w:rFonts w:eastAsia="Times New Roman" w:cs="Times New Roman"/>
          <w:color w:val="3366FF"/>
          <w:sz w:val="16"/>
          <w:szCs w:val="16"/>
        </w:rPr>
        <w:t xml:space="preserve">Lincolnshire Partnership NHS Foundation Trust </w:t>
      </w:r>
    </w:p>
    <w:p w:rsidR="003C4C87" w:rsidRDefault="003C4C87" w:rsidP="003C4C87">
      <w:pPr>
        <w:pStyle w:val="Heading2"/>
        <w:numPr>
          <w:ilvl w:val="0"/>
          <w:numId w:val="0"/>
        </w:numPr>
        <w:jc w:val="right"/>
      </w:pPr>
    </w:p>
    <w:p w:rsidR="0024092F" w:rsidRDefault="0024092F" w:rsidP="0024092F">
      <w:pPr>
        <w:pStyle w:val="Heading2"/>
        <w:numPr>
          <w:ilvl w:val="0"/>
          <w:numId w:val="0"/>
        </w:numPr>
        <w:spacing w:after="0"/>
        <w:jc w:val="center"/>
        <w:rPr>
          <w:b/>
          <w:sz w:val="24"/>
          <w:szCs w:val="24"/>
        </w:rPr>
      </w:pPr>
    </w:p>
    <w:p w:rsidR="001008E4" w:rsidRPr="0024092F" w:rsidRDefault="001008E4" w:rsidP="001008E4">
      <w:pPr>
        <w:pStyle w:val="Heading2"/>
        <w:numPr>
          <w:ilvl w:val="0"/>
          <w:numId w:val="0"/>
        </w:numPr>
        <w:spacing w:after="0"/>
        <w:jc w:val="center"/>
        <w:rPr>
          <w:b/>
          <w:sz w:val="24"/>
          <w:szCs w:val="24"/>
        </w:rPr>
      </w:pPr>
      <w:r w:rsidRPr="0024092F">
        <w:rPr>
          <w:b/>
          <w:sz w:val="24"/>
          <w:szCs w:val="24"/>
        </w:rPr>
        <w:t>Invitation to Tender (ITT) Section A</w:t>
      </w:r>
    </w:p>
    <w:p w:rsidR="001008E4" w:rsidRDefault="001008E4" w:rsidP="001008E4">
      <w:pPr>
        <w:pStyle w:val="Heading2"/>
        <w:numPr>
          <w:ilvl w:val="0"/>
          <w:numId w:val="0"/>
        </w:numPr>
        <w:spacing w:after="0"/>
      </w:pPr>
    </w:p>
    <w:p w:rsidR="001008E4" w:rsidRDefault="001008E4" w:rsidP="001008E4">
      <w:pPr>
        <w:pStyle w:val="Heading2"/>
        <w:numPr>
          <w:ilvl w:val="0"/>
          <w:numId w:val="0"/>
        </w:numPr>
        <w:spacing w:after="0"/>
        <w:jc w:val="center"/>
        <w:rPr>
          <w:b/>
          <w:color w:val="auto"/>
          <w:sz w:val="32"/>
          <w:szCs w:val="32"/>
        </w:rPr>
      </w:pPr>
      <w:r w:rsidRPr="0024092F">
        <w:rPr>
          <w:b/>
          <w:color w:val="auto"/>
          <w:sz w:val="32"/>
          <w:szCs w:val="32"/>
        </w:rPr>
        <w:t xml:space="preserve">United Lincolnshire Hospitals Trust </w:t>
      </w:r>
      <w:r>
        <w:rPr>
          <w:b/>
          <w:color w:val="auto"/>
          <w:sz w:val="32"/>
          <w:szCs w:val="32"/>
        </w:rPr>
        <w:t>(ULHT)</w:t>
      </w:r>
    </w:p>
    <w:p w:rsidR="001008E4" w:rsidRDefault="001008E4" w:rsidP="001008E4">
      <w:pPr>
        <w:pStyle w:val="Heading2"/>
        <w:numPr>
          <w:ilvl w:val="0"/>
          <w:numId w:val="0"/>
        </w:numPr>
        <w:spacing w:after="0"/>
        <w:jc w:val="center"/>
        <w:rPr>
          <w:b/>
          <w:sz w:val="32"/>
          <w:szCs w:val="32"/>
        </w:rPr>
      </w:pPr>
    </w:p>
    <w:p w:rsidR="001008E4" w:rsidRPr="0024092F" w:rsidRDefault="001008E4" w:rsidP="001008E4">
      <w:pPr>
        <w:pStyle w:val="Heading2"/>
        <w:numPr>
          <w:ilvl w:val="0"/>
          <w:numId w:val="0"/>
        </w:numPr>
        <w:spacing w:after="0"/>
        <w:jc w:val="center"/>
        <w:rPr>
          <w:b/>
          <w:sz w:val="32"/>
          <w:szCs w:val="32"/>
        </w:rPr>
      </w:pPr>
    </w:p>
    <w:p w:rsidR="001008E4" w:rsidRDefault="001008E4" w:rsidP="001008E4">
      <w:pPr>
        <w:pStyle w:val="Heading2"/>
        <w:numPr>
          <w:ilvl w:val="0"/>
          <w:numId w:val="0"/>
        </w:numPr>
        <w:spacing w:after="0"/>
        <w:jc w:val="center"/>
        <w:rPr>
          <w:b/>
          <w:color w:val="auto"/>
          <w:sz w:val="22"/>
          <w:szCs w:val="22"/>
          <w:shd w:val="clear" w:color="auto" w:fill="FFFFFF" w:themeFill="background1"/>
        </w:rPr>
      </w:pPr>
      <w:r w:rsidRPr="0024092F">
        <w:rPr>
          <w:b/>
          <w:color w:val="auto"/>
          <w:sz w:val="22"/>
          <w:szCs w:val="22"/>
        </w:rPr>
        <w:t xml:space="preserve">Invitation to tender for the </w:t>
      </w:r>
      <w:r w:rsidRPr="0024092F">
        <w:rPr>
          <w:b/>
          <w:color w:val="auto"/>
          <w:sz w:val="22"/>
          <w:szCs w:val="22"/>
          <w:shd w:val="clear" w:color="auto" w:fill="FFFFFF" w:themeFill="background1"/>
        </w:rPr>
        <w:t>provision of</w:t>
      </w:r>
      <w:r>
        <w:rPr>
          <w:b/>
          <w:color w:val="auto"/>
          <w:sz w:val="22"/>
          <w:szCs w:val="22"/>
          <w:shd w:val="clear" w:color="auto" w:fill="FFFFFF" w:themeFill="background1"/>
        </w:rPr>
        <w:t xml:space="preserve"> an</w:t>
      </w:r>
      <w:r w:rsidRPr="0024092F">
        <w:rPr>
          <w:b/>
          <w:color w:val="auto"/>
          <w:sz w:val="22"/>
          <w:szCs w:val="22"/>
          <w:shd w:val="clear" w:color="auto" w:fill="FFFFFF" w:themeFill="background1"/>
        </w:rPr>
        <w:t xml:space="preserve">: </w:t>
      </w:r>
    </w:p>
    <w:p w:rsidR="001008E4" w:rsidRDefault="001008E4" w:rsidP="001008E4">
      <w:pPr>
        <w:pStyle w:val="Heading2"/>
        <w:numPr>
          <w:ilvl w:val="0"/>
          <w:numId w:val="0"/>
        </w:numPr>
        <w:spacing w:after="0"/>
        <w:jc w:val="center"/>
        <w:rPr>
          <w:b/>
          <w:color w:val="auto"/>
          <w:sz w:val="22"/>
          <w:szCs w:val="22"/>
          <w:shd w:val="clear" w:color="auto" w:fill="FFFFFF" w:themeFill="background1"/>
        </w:rPr>
      </w:pPr>
    </w:p>
    <w:p w:rsidR="001008E4" w:rsidRDefault="001008E4" w:rsidP="001008E4">
      <w:pPr>
        <w:pStyle w:val="Heading2"/>
        <w:numPr>
          <w:ilvl w:val="0"/>
          <w:numId w:val="0"/>
        </w:numPr>
        <w:spacing w:after="0"/>
        <w:jc w:val="center"/>
        <w:rPr>
          <w:b/>
          <w:color w:val="auto"/>
          <w:sz w:val="28"/>
          <w:szCs w:val="28"/>
          <w:shd w:val="clear" w:color="auto" w:fill="FFFFFF" w:themeFill="background1"/>
        </w:rPr>
      </w:pPr>
      <w:r w:rsidRPr="0024092F">
        <w:rPr>
          <w:b/>
          <w:color w:val="auto"/>
          <w:sz w:val="28"/>
          <w:szCs w:val="28"/>
          <w:shd w:val="clear" w:color="auto" w:fill="FFFFFF" w:themeFill="background1"/>
        </w:rPr>
        <w:t>Energy Monitoring and Targeting Suite</w:t>
      </w:r>
    </w:p>
    <w:p w:rsidR="001008E4" w:rsidRPr="008F2898" w:rsidRDefault="001008E4" w:rsidP="001008E4">
      <w:pPr>
        <w:pStyle w:val="Heading2"/>
        <w:numPr>
          <w:ilvl w:val="0"/>
          <w:numId w:val="0"/>
        </w:numPr>
        <w:spacing w:after="0"/>
        <w:jc w:val="center"/>
        <w:rPr>
          <w:rFonts w:cs="Arial"/>
          <w:b/>
          <w:sz w:val="24"/>
          <w:szCs w:val="24"/>
        </w:rPr>
      </w:pPr>
      <w:r w:rsidRPr="008F2898">
        <w:rPr>
          <w:b/>
          <w:sz w:val="24"/>
          <w:szCs w:val="24"/>
        </w:rPr>
        <w:t xml:space="preserve">Authority's reference number: </w:t>
      </w:r>
      <w:r w:rsidRPr="008F2898">
        <w:rPr>
          <w:rFonts w:cs="Arial"/>
          <w:b/>
          <w:sz w:val="24"/>
          <w:szCs w:val="24"/>
        </w:rPr>
        <w:t xml:space="preserve">DN217336 </w:t>
      </w:r>
    </w:p>
    <w:p w:rsidR="001008E4" w:rsidRPr="0024092F" w:rsidRDefault="001008E4" w:rsidP="001008E4">
      <w:pPr>
        <w:pStyle w:val="Heading2"/>
        <w:numPr>
          <w:ilvl w:val="0"/>
          <w:numId w:val="0"/>
        </w:numPr>
        <w:spacing w:after="0"/>
        <w:jc w:val="center"/>
        <w:rPr>
          <w:rFonts w:cs="Arial"/>
          <w:b/>
          <w:sz w:val="24"/>
          <w:szCs w:val="24"/>
        </w:rPr>
      </w:pPr>
    </w:p>
    <w:p w:rsidR="008F2898" w:rsidRDefault="008F2898" w:rsidP="001008E4">
      <w:pPr>
        <w:pStyle w:val="Heading2"/>
        <w:numPr>
          <w:ilvl w:val="0"/>
          <w:numId w:val="0"/>
        </w:numPr>
        <w:spacing w:after="0"/>
        <w:jc w:val="center"/>
        <w:rPr>
          <w:b/>
          <w:sz w:val="24"/>
          <w:szCs w:val="24"/>
        </w:rPr>
      </w:pPr>
    </w:p>
    <w:p w:rsidR="001008E4" w:rsidRPr="0024092F" w:rsidRDefault="001008E4" w:rsidP="001008E4">
      <w:pPr>
        <w:pStyle w:val="Heading2"/>
        <w:numPr>
          <w:ilvl w:val="0"/>
          <w:numId w:val="0"/>
        </w:numPr>
        <w:spacing w:after="0"/>
        <w:jc w:val="center"/>
        <w:rPr>
          <w:b/>
          <w:sz w:val="24"/>
          <w:szCs w:val="24"/>
        </w:rPr>
      </w:pPr>
      <w:r w:rsidRPr="0024092F">
        <w:rPr>
          <w:b/>
          <w:sz w:val="24"/>
          <w:szCs w:val="24"/>
        </w:rPr>
        <w:t xml:space="preserve">Deadline for Tenders to be received:  </w:t>
      </w:r>
      <w:r w:rsidR="001A6027">
        <w:rPr>
          <w:b/>
          <w:sz w:val="24"/>
          <w:szCs w:val="24"/>
        </w:rPr>
        <w:t xml:space="preserve">12:00 noon </w:t>
      </w:r>
      <w:r w:rsidRPr="001A6027">
        <w:rPr>
          <w:b/>
          <w:sz w:val="24"/>
          <w:szCs w:val="24"/>
        </w:rPr>
        <w:t xml:space="preserve">Friday </w:t>
      </w:r>
      <w:r w:rsidR="00A56FA1" w:rsidRPr="001A6027">
        <w:rPr>
          <w:b/>
          <w:sz w:val="24"/>
          <w:szCs w:val="24"/>
        </w:rPr>
        <w:t>20</w:t>
      </w:r>
      <w:r w:rsidRPr="001A6027">
        <w:rPr>
          <w:b/>
          <w:sz w:val="24"/>
          <w:szCs w:val="24"/>
          <w:vertAlign w:val="superscript"/>
        </w:rPr>
        <w:t>th</w:t>
      </w:r>
      <w:r w:rsidRPr="001A6027">
        <w:rPr>
          <w:b/>
          <w:sz w:val="24"/>
          <w:szCs w:val="24"/>
        </w:rPr>
        <w:t xml:space="preserve"> January 2017</w:t>
      </w:r>
    </w:p>
    <w:p w:rsidR="00B45130" w:rsidRPr="00B45130" w:rsidRDefault="001008E4" w:rsidP="008F2898">
      <w:pPr>
        <w:jc w:val="center"/>
        <w:rPr>
          <w:b/>
        </w:rPr>
      </w:pPr>
      <w:r>
        <w:rPr>
          <w:b/>
        </w:rPr>
        <w:br w:type="page"/>
      </w:r>
      <w:r w:rsidR="00AD0C96">
        <w:rPr>
          <w:b/>
        </w:rPr>
        <w:lastRenderedPageBreak/>
        <w:t>SECTION</w:t>
      </w:r>
      <w:r w:rsidR="00B45130">
        <w:rPr>
          <w:b/>
        </w:rPr>
        <w:t xml:space="preserve"> A – INSTRUCTIONS </w:t>
      </w:r>
      <w:r w:rsidR="00647144">
        <w:rPr>
          <w:b/>
        </w:rPr>
        <w:t>AND INFORMATION</w:t>
      </w:r>
    </w:p>
    <w:p w:rsidR="006E50AF" w:rsidRDefault="006E50AF" w:rsidP="006E50AF">
      <w:pPr>
        <w:pStyle w:val="TOC1"/>
      </w:pPr>
    </w:p>
    <w:p w:rsidR="005B59B7" w:rsidRPr="008F2898" w:rsidRDefault="005B59B7" w:rsidP="006E50AF">
      <w:pPr>
        <w:pStyle w:val="TOC1"/>
        <w:rPr>
          <w:color w:val="auto"/>
        </w:rPr>
      </w:pPr>
      <w:r w:rsidRPr="008F2898">
        <w:rPr>
          <w:color w:val="auto"/>
        </w:rPr>
        <w:t>TABLE OF CONTENTS</w:t>
      </w:r>
    </w:p>
    <w:p w:rsidR="00520787" w:rsidRPr="008F2898" w:rsidRDefault="00520787" w:rsidP="002F3A0F">
      <w:pPr>
        <w:pStyle w:val="TOC1"/>
        <w:rPr>
          <w:rFonts w:asciiTheme="minorHAnsi" w:eastAsiaTheme="minorEastAsia" w:hAnsiTheme="minorHAnsi" w:cstheme="minorBidi"/>
          <w:b/>
          <w:color w:val="auto"/>
          <w:sz w:val="22"/>
          <w:szCs w:val="22"/>
        </w:rPr>
      </w:pPr>
      <w:r w:rsidRPr="008F2898">
        <w:rPr>
          <w:b/>
          <w:color w:val="auto"/>
        </w:rPr>
        <w:fldChar w:fldCharType="begin"/>
      </w:r>
      <w:r w:rsidRPr="008F2898">
        <w:rPr>
          <w:color w:val="auto"/>
        </w:rPr>
        <w:instrText xml:space="preserve"> TOC \h \z \t "Main Heading,1,M&amp;R Numbered Heading 1,1" </w:instrText>
      </w:r>
      <w:r w:rsidRPr="008F2898">
        <w:rPr>
          <w:b/>
          <w:color w:val="auto"/>
        </w:rPr>
        <w:fldChar w:fldCharType="separate"/>
      </w:r>
      <w:hyperlink w:anchor="_Toc412715221" w:history="1">
        <w:r w:rsidRPr="008F2898">
          <w:rPr>
            <w:rStyle w:val="Hyperlink"/>
            <w:color w:val="auto"/>
            <w14:scene3d>
              <w14:camera w14:prst="orthographicFront"/>
              <w14:lightRig w14:rig="threePt" w14:dir="t">
                <w14:rot w14:lat="0" w14:lon="0" w14:rev="0"/>
              </w14:lightRig>
            </w14:scene3d>
          </w:rPr>
          <w:t>1</w:t>
        </w:r>
        <w:r w:rsidRPr="008F2898">
          <w:rPr>
            <w:rFonts w:asciiTheme="minorHAnsi" w:eastAsiaTheme="minorEastAsia" w:hAnsiTheme="minorHAnsi" w:cstheme="minorBidi"/>
            <w:color w:val="auto"/>
            <w:sz w:val="22"/>
            <w:szCs w:val="22"/>
          </w:rPr>
          <w:tab/>
        </w:r>
        <w:r w:rsidRPr="008F2898">
          <w:rPr>
            <w:rStyle w:val="Hyperlink"/>
            <w:color w:val="auto"/>
          </w:rPr>
          <w:t>INTRODUCTION AND BACKGROUND</w:t>
        </w:r>
        <w:r w:rsidRPr="008F2898">
          <w:rPr>
            <w:webHidden/>
            <w:color w:val="auto"/>
          </w:rPr>
          <w:tab/>
        </w:r>
        <w:r w:rsidRPr="008F2898">
          <w:rPr>
            <w:b/>
            <w:webHidden/>
            <w:color w:val="auto"/>
          </w:rPr>
          <w:fldChar w:fldCharType="begin"/>
        </w:r>
        <w:r w:rsidRPr="008F2898">
          <w:rPr>
            <w:b/>
            <w:webHidden/>
            <w:color w:val="auto"/>
          </w:rPr>
          <w:instrText xml:space="preserve"> PAGEREF _Toc412715221 \h </w:instrText>
        </w:r>
        <w:r w:rsidRPr="008F2898">
          <w:rPr>
            <w:b/>
            <w:webHidden/>
            <w:color w:val="auto"/>
          </w:rPr>
        </w:r>
        <w:r w:rsidRPr="008F2898">
          <w:rPr>
            <w:b/>
            <w:webHidden/>
            <w:color w:val="auto"/>
          </w:rPr>
          <w:fldChar w:fldCharType="separate"/>
        </w:r>
        <w:r w:rsidRPr="008F2898">
          <w:rPr>
            <w:b/>
            <w:webHidden/>
            <w:color w:val="auto"/>
          </w:rPr>
          <w:t>1</w:t>
        </w:r>
        <w:r w:rsidRPr="008F2898">
          <w:rPr>
            <w:b/>
            <w:webHidden/>
            <w:color w:val="auto"/>
          </w:rPr>
          <w:fldChar w:fldCharType="end"/>
        </w:r>
      </w:hyperlink>
    </w:p>
    <w:p w:rsidR="00520787" w:rsidRPr="008F2898" w:rsidRDefault="009A4827" w:rsidP="002F3A0F">
      <w:pPr>
        <w:pStyle w:val="TOC1"/>
        <w:rPr>
          <w:rFonts w:asciiTheme="minorHAnsi" w:eastAsiaTheme="minorEastAsia" w:hAnsiTheme="minorHAnsi" w:cstheme="minorBidi"/>
          <w:b/>
          <w:color w:val="auto"/>
          <w:sz w:val="22"/>
          <w:szCs w:val="22"/>
        </w:rPr>
      </w:pPr>
      <w:hyperlink w:anchor="_Toc412715222" w:history="1">
        <w:r w:rsidR="00520787" w:rsidRPr="008F2898">
          <w:rPr>
            <w:rStyle w:val="Hyperlink"/>
            <w:color w:val="auto"/>
            <w14:scene3d>
              <w14:camera w14:prst="orthographicFront"/>
              <w14:lightRig w14:rig="threePt" w14:dir="t">
                <w14:rot w14:lat="0" w14:lon="0" w14:rev="0"/>
              </w14:lightRig>
            </w14:scene3d>
          </w:rPr>
          <w:t>2</w:t>
        </w:r>
        <w:r w:rsidR="00520787" w:rsidRPr="008F2898">
          <w:rPr>
            <w:rFonts w:asciiTheme="minorHAnsi" w:eastAsiaTheme="minorEastAsia" w:hAnsiTheme="minorHAnsi" w:cstheme="minorBidi"/>
            <w:color w:val="auto"/>
            <w:sz w:val="22"/>
            <w:szCs w:val="22"/>
          </w:rPr>
          <w:tab/>
        </w:r>
        <w:r w:rsidR="00520787" w:rsidRPr="008F2898">
          <w:rPr>
            <w:rStyle w:val="Hyperlink"/>
            <w:color w:val="auto"/>
          </w:rPr>
          <w:t>TENDER TIMETABLE</w:t>
        </w:r>
        <w:r w:rsidR="00520787" w:rsidRPr="008F2898">
          <w:rPr>
            <w:webHidden/>
            <w:color w:val="auto"/>
          </w:rPr>
          <w:tab/>
        </w:r>
        <w:r w:rsidR="008F2898" w:rsidRPr="008F2898">
          <w:rPr>
            <w:b/>
            <w:webHidden/>
            <w:color w:val="auto"/>
          </w:rPr>
          <w:t>4</w:t>
        </w:r>
      </w:hyperlink>
    </w:p>
    <w:p w:rsidR="00520787" w:rsidRPr="008F2898" w:rsidRDefault="009A4827" w:rsidP="002F3A0F">
      <w:pPr>
        <w:pStyle w:val="TOC1"/>
        <w:rPr>
          <w:rFonts w:asciiTheme="minorHAnsi" w:eastAsiaTheme="minorEastAsia" w:hAnsiTheme="minorHAnsi" w:cstheme="minorBidi"/>
          <w:b/>
          <w:color w:val="auto"/>
          <w:sz w:val="22"/>
          <w:szCs w:val="22"/>
        </w:rPr>
      </w:pPr>
      <w:hyperlink w:anchor="_Toc412715223" w:history="1">
        <w:r w:rsidR="00520787" w:rsidRPr="008F2898">
          <w:rPr>
            <w:rStyle w:val="Hyperlink"/>
            <w:color w:val="auto"/>
            <w14:scene3d>
              <w14:camera w14:prst="orthographicFront"/>
              <w14:lightRig w14:rig="threePt" w14:dir="t">
                <w14:rot w14:lat="0" w14:lon="0" w14:rev="0"/>
              </w14:lightRig>
            </w14:scene3d>
          </w:rPr>
          <w:t>3</w:t>
        </w:r>
        <w:r w:rsidR="00520787" w:rsidRPr="008F2898">
          <w:rPr>
            <w:rFonts w:asciiTheme="minorHAnsi" w:eastAsiaTheme="minorEastAsia" w:hAnsiTheme="minorHAnsi" w:cstheme="minorBidi"/>
            <w:color w:val="auto"/>
            <w:sz w:val="22"/>
            <w:szCs w:val="22"/>
          </w:rPr>
          <w:tab/>
        </w:r>
        <w:r w:rsidR="00520787" w:rsidRPr="008F2898">
          <w:rPr>
            <w:rStyle w:val="Hyperlink"/>
            <w:color w:val="auto"/>
          </w:rPr>
          <w:t>INSTRUCTIONS TO BIDDERS</w:t>
        </w:r>
        <w:r w:rsidR="00520787" w:rsidRPr="008F2898">
          <w:rPr>
            <w:webHidden/>
            <w:color w:val="auto"/>
          </w:rPr>
          <w:tab/>
        </w:r>
        <w:r w:rsidR="00520787" w:rsidRPr="008F2898">
          <w:rPr>
            <w:b/>
            <w:webHidden/>
            <w:color w:val="auto"/>
          </w:rPr>
          <w:fldChar w:fldCharType="begin"/>
        </w:r>
        <w:r w:rsidR="00520787" w:rsidRPr="008F2898">
          <w:rPr>
            <w:b/>
            <w:webHidden/>
            <w:color w:val="auto"/>
          </w:rPr>
          <w:instrText xml:space="preserve"> PAGEREF _Toc412715223 \h </w:instrText>
        </w:r>
        <w:r w:rsidR="00520787" w:rsidRPr="008F2898">
          <w:rPr>
            <w:b/>
            <w:webHidden/>
            <w:color w:val="auto"/>
          </w:rPr>
        </w:r>
        <w:r w:rsidR="00520787" w:rsidRPr="008F2898">
          <w:rPr>
            <w:b/>
            <w:webHidden/>
            <w:color w:val="auto"/>
          </w:rPr>
          <w:fldChar w:fldCharType="separate"/>
        </w:r>
        <w:r w:rsidR="00520787" w:rsidRPr="008F2898">
          <w:rPr>
            <w:b/>
            <w:webHidden/>
            <w:color w:val="auto"/>
          </w:rPr>
          <w:t>6</w:t>
        </w:r>
        <w:r w:rsidR="00520787" w:rsidRPr="008F2898">
          <w:rPr>
            <w:b/>
            <w:webHidden/>
            <w:color w:val="auto"/>
          </w:rPr>
          <w:fldChar w:fldCharType="end"/>
        </w:r>
      </w:hyperlink>
    </w:p>
    <w:p w:rsidR="00520787" w:rsidRPr="008F2898" w:rsidRDefault="009A4827" w:rsidP="002F3A0F">
      <w:pPr>
        <w:pStyle w:val="TOC1"/>
        <w:rPr>
          <w:rFonts w:asciiTheme="minorHAnsi" w:eastAsiaTheme="minorEastAsia" w:hAnsiTheme="minorHAnsi" w:cstheme="minorBidi"/>
          <w:b/>
          <w:color w:val="auto"/>
          <w:sz w:val="22"/>
          <w:szCs w:val="22"/>
        </w:rPr>
      </w:pPr>
      <w:hyperlink w:anchor="_Toc412715224" w:history="1">
        <w:r w:rsidR="00520787" w:rsidRPr="008F2898">
          <w:rPr>
            <w:rStyle w:val="Hyperlink"/>
            <w:color w:val="auto"/>
            <w14:scene3d>
              <w14:camera w14:prst="orthographicFront"/>
              <w14:lightRig w14:rig="threePt" w14:dir="t">
                <w14:rot w14:lat="0" w14:lon="0" w14:rev="0"/>
              </w14:lightRig>
            </w14:scene3d>
          </w:rPr>
          <w:t>4</w:t>
        </w:r>
        <w:r w:rsidR="00520787" w:rsidRPr="008F2898">
          <w:rPr>
            <w:rFonts w:asciiTheme="minorHAnsi" w:eastAsiaTheme="minorEastAsia" w:hAnsiTheme="minorHAnsi" w:cstheme="minorBidi"/>
            <w:color w:val="auto"/>
            <w:sz w:val="22"/>
            <w:szCs w:val="22"/>
          </w:rPr>
          <w:tab/>
        </w:r>
        <w:r w:rsidR="00520787" w:rsidRPr="008F2898">
          <w:rPr>
            <w:rStyle w:val="Hyperlink"/>
            <w:color w:val="auto"/>
          </w:rPr>
          <w:t>TENDER EVALUATION METHODOLOGY AND CRITERIA</w:t>
        </w:r>
        <w:r w:rsidR="00520787" w:rsidRPr="008F2898">
          <w:rPr>
            <w:webHidden/>
            <w:color w:val="auto"/>
          </w:rPr>
          <w:tab/>
        </w:r>
        <w:r w:rsidR="00520787" w:rsidRPr="008F2898">
          <w:rPr>
            <w:b/>
            <w:webHidden/>
            <w:color w:val="auto"/>
          </w:rPr>
          <w:fldChar w:fldCharType="begin"/>
        </w:r>
        <w:r w:rsidR="00520787" w:rsidRPr="008F2898">
          <w:rPr>
            <w:b/>
            <w:webHidden/>
            <w:color w:val="auto"/>
          </w:rPr>
          <w:instrText xml:space="preserve"> PAGEREF _Toc412715224 \h </w:instrText>
        </w:r>
        <w:r w:rsidR="00520787" w:rsidRPr="008F2898">
          <w:rPr>
            <w:b/>
            <w:webHidden/>
            <w:color w:val="auto"/>
          </w:rPr>
        </w:r>
        <w:r w:rsidR="00520787" w:rsidRPr="008F2898">
          <w:rPr>
            <w:b/>
            <w:webHidden/>
            <w:color w:val="auto"/>
          </w:rPr>
          <w:fldChar w:fldCharType="separate"/>
        </w:r>
        <w:r w:rsidR="00520787" w:rsidRPr="008F2898">
          <w:rPr>
            <w:b/>
            <w:webHidden/>
            <w:color w:val="auto"/>
          </w:rPr>
          <w:t>10</w:t>
        </w:r>
        <w:r w:rsidR="00520787" w:rsidRPr="008F2898">
          <w:rPr>
            <w:b/>
            <w:webHidden/>
            <w:color w:val="auto"/>
          </w:rPr>
          <w:fldChar w:fldCharType="end"/>
        </w:r>
      </w:hyperlink>
    </w:p>
    <w:p w:rsidR="00520787" w:rsidRPr="008F2898" w:rsidRDefault="009A4827" w:rsidP="002F3A0F">
      <w:pPr>
        <w:pStyle w:val="TOC1"/>
        <w:rPr>
          <w:rFonts w:asciiTheme="minorHAnsi" w:eastAsiaTheme="minorEastAsia" w:hAnsiTheme="minorHAnsi" w:cstheme="minorBidi"/>
          <w:b/>
          <w:color w:val="auto"/>
          <w:sz w:val="22"/>
          <w:szCs w:val="22"/>
        </w:rPr>
      </w:pPr>
      <w:hyperlink w:anchor="_Toc412715226" w:history="1">
        <w:r w:rsidR="00520787" w:rsidRPr="008F2898">
          <w:rPr>
            <w:rStyle w:val="Hyperlink"/>
            <w:color w:val="auto"/>
          </w:rPr>
          <w:t>ANNEX A1 NHS TERMS AND CONDITIONS</w:t>
        </w:r>
        <w:r w:rsidR="00520787" w:rsidRPr="008F2898">
          <w:rPr>
            <w:webHidden/>
            <w:color w:val="auto"/>
          </w:rPr>
          <w:tab/>
        </w:r>
        <w:r w:rsidR="00520787" w:rsidRPr="008F2898">
          <w:rPr>
            <w:b/>
            <w:webHidden/>
            <w:color w:val="auto"/>
          </w:rPr>
          <w:fldChar w:fldCharType="begin"/>
        </w:r>
        <w:r w:rsidR="00520787" w:rsidRPr="008F2898">
          <w:rPr>
            <w:b/>
            <w:webHidden/>
            <w:color w:val="auto"/>
          </w:rPr>
          <w:instrText xml:space="preserve"> PAGEREF _Toc412715226 \h </w:instrText>
        </w:r>
        <w:r w:rsidR="00520787" w:rsidRPr="008F2898">
          <w:rPr>
            <w:b/>
            <w:webHidden/>
            <w:color w:val="auto"/>
          </w:rPr>
        </w:r>
        <w:r w:rsidR="00520787" w:rsidRPr="008F2898">
          <w:rPr>
            <w:b/>
            <w:webHidden/>
            <w:color w:val="auto"/>
          </w:rPr>
          <w:fldChar w:fldCharType="separate"/>
        </w:r>
        <w:r w:rsidR="00520787" w:rsidRPr="008F2898">
          <w:rPr>
            <w:b/>
            <w:webHidden/>
            <w:color w:val="auto"/>
          </w:rPr>
          <w:t>14</w:t>
        </w:r>
        <w:r w:rsidR="00520787" w:rsidRPr="008F2898">
          <w:rPr>
            <w:b/>
            <w:webHidden/>
            <w:color w:val="auto"/>
          </w:rPr>
          <w:fldChar w:fldCharType="end"/>
        </w:r>
      </w:hyperlink>
    </w:p>
    <w:p w:rsidR="00AD0C96" w:rsidRPr="001F110F" w:rsidRDefault="00520787" w:rsidP="008A00B3">
      <w:pPr>
        <w:pStyle w:val="Heading2"/>
        <w:numPr>
          <w:ilvl w:val="0"/>
          <w:numId w:val="0"/>
        </w:numPr>
        <w:spacing w:line="240" w:lineRule="atLeast"/>
      </w:pPr>
      <w:r w:rsidRPr="008F2898">
        <w:rPr>
          <w:color w:val="auto"/>
        </w:rPr>
        <w:fldChar w:fldCharType="end"/>
      </w:r>
    </w:p>
    <w:p w:rsidR="008306CC" w:rsidRDefault="008306CC" w:rsidP="008306CC">
      <w:pPr>
        <w:pStyle w:val="TOC3"/>
        <w:ind w:left="0"/>
      </w:pPr>
    </w:p>
    <w:p w:rsidR="00897556" w:rsidRDefault="00897556" w:rsidP="00AD0C96">
      <w:pPr>
        <w:pStyle w:val="Heading2"/>
        <w:numPr>
          <w:ilvl w:val="0"/>
          <w:numId w:val="0"/>
        </w:numPr>
        <w:jc w:val="center"/>
        <w:rPr>
          <w:i/>
          <w:shd w:val="clear" w:color="auto" w:fill="FFFF66"/>
        </w:rPr>
      </w:pPr>
    </w:p>
    <w:p w:rsidR="00897556" w:rsidRDefault="00897556" w:rsidP="00897556">
      <w:pPr>
        <w:rPr>
          <w:shd w:val="clear" w:color="auto" w:fill="FFFF66"/>
        </w:rPr>
      </w:pPr>
    </w:p>
    <w:p w:rsidR="00ED0968" w:rsidRDefault="00ED0968" w:rsidP="00200E60">
      <w:pPr>
        <w:pStyle w:val="Heading2"/>
        <w:numPr>
          <w:ilvl w:val="0"/>
          <w:numId w:val="0"/>
        </w:numPr>
        <w:jc w:val="center"/>
      </w:pPr>
    </w:p>
    <w:p w:rsidR="00ED0968" w:rsidRDefault="00ED0968" w:rsidP="00200E60">
      <w:pPr>
        <w:pStyle w:val="Heading2"/>
        <w:numPr>
          <w:ilvl w:val="0"/>
          <w:numId w:val="0"/>
        </w:numPr>
        <w:jc w:val="center"/>
      </w:pPr>
    </w:p>
    <w:p w:rsidR="00B02442" w:rsidRDefault="00727643">
      <w:pPr>
        <w:spacing w:after="240"/>
        <w:jc w:val="left"/>
        <w:sectPr w:rsidR="00B02442" w:rsidSect="00B02442">
          <w:footerReference w:type="default" r:id="rId11"/>
          <w:footerReference w:type="first" r:id="rId12"/>
          <w:type w:val="continuous"/>
          <w:pgSz w:w="11907" w:h="16840" w:code="9"/>
          <w:pgMar w:top="1418" w:right="1418" w:bottom="1418" w:left="1418" w:header="709" w:footer="567" w:gutter="0"/>
          <w:pgNumType w:start="1"/>
          <w:cols w:space="708"/>
          <w:titlePg/>
          <w:docGrid w:linePitch="360"/>
        </w:sectPr>
      </w:pPr>
      <w:r>
        <w:br w:type="page"/>
      </w:r>
    </w:p>
    <w:p w:rsidR="003E3276" w:rsidRPr="008F3D2C" w:rsidRDefault="003E3276" w:rsidP="004270D9">
      <w:pPr>
        <w:pStyle w:val="MRNumberedHeading1"/>
        <w:numPr>
          <w:ilvl w:val="0"/>
          <w:numId w:val="24"/>
        </w:numPr>
        <w:ind w:hanging="798"/>
        <w:jc w:val="both"/>
        <w:rPr>
          <w:sz w:val="20"/>
          <w:szCs w:val="20"/>
        </w:rPr>
      </w:pPr>
      <w:bookmarkStart w:id="0" w:name="_Toc403556501"/>
      <w:bookmarkStart w:id="1" w:name="_Toc403556506"/>
      <w:bookmarkStart w:id="2" w:name="_Toc406674969"/>
      <w:bookmarkStart w:id="3" w:name="_Toc412621211"/>
      <w:bookmarkStart w:id="4" w:name="_Toc412715221"/>
      <w:r w:rsidRPr="008F3D2C">
        <w:rPr>
          <w:sz w:val="20"/>
          <w:szCs w:val="20"/>
        </w:rPr>
        <w:lastRenderedPageBreak/>
        <w:t>INTRODUCTION AND BACKGROUND</w:t>
      </w:r>
      <w:bookmarkEnd w:id="0"/>
      <w:bookmarkEnd w:id="1"/>
      <w:bookmarkEnd w:id="2"/>
      <w:bookmarkEnd w:id="3"/>
      <w:bookmarkEnd w:id="4"/>
    </w:p>
    <w:p w:rsidR="003E3276" w:rsidRPr="007724D1" w:rsidRDefault="003E3276" w:rsidP="004270D9">
      <w:pPr>
        <w:pStyle w:val="MRNumberedHeading2"/>
      </w:pPr>
      <w:bookmarkStart w:id="5" w:name="_Toc403555077"/>
      <w:r w:rsidRPr="0024092F">
        <w:t>The</w:t>
      </w:r>
      <w:r w:rsidR="006B25EE" w:rsidRPr="0024092F">
        <w:t xml:space="preserve"> </w:t>
      </w:r>
      <w:r w:rsidR="0024092F" w:rsidRPr="0024092F">
        <w:t xml:space="preserve">United Lincolnshire Hospitals Trust (ULHT) </w:t>
      </w:r>
      <w:r w:rsidRPr="0024092F">
        <w:t>(</w:t>
      </w:r>
      <w:r w:rsidRPr="007724D1">
        <w:t>the "</w:t>
      </w:r>
      <w:r w:rsidRPr="007724D1">
        <w:rPr>
          <w:b/>
        </w:rPr>
        <w:t>Authority</w:t>
      </w:r>
      <w:r w:rsidR="004F02F9">
        <w:t>") is issuing this invitation to t</w:t>
      </w:r>
      <w:r w:rsidRPr="007724D1">
        <w:t>ender ("</w:t>
      </w:r>
      <w:r w:rsidRPr="007724D1">
        <w:rPr>
          <w:b/>
        </w:rPr>
        <w:t>ITT</w:t>
      </w:r>
      <w:r w:rsidRPr="007724D1">
        <w:t>") in connection wit</w:t>
      </w:r>
      <w:r w:rsidR="0024092F">
        <w:t xml:space="preserve">h the competitive procurement of an </w:t>
      </w:r>
      <w:r w:rsidR="0024092F" w:rsidRPr="0024092F">
        <w:rPr>
          <w:b/>
        </w:rPr>
        <w:t xml:space="preserve">Energy Monitoring </w:t>
      </w:r>
      <w:r w:rsidR="0024092F">
        <w:rPr>
          <w:b/>
        </w:rPr>
        <w:t xml:space="preserve"> &amp; Targeting </w:t>
      </w:r>
      <w:r w:rsidR="0024092F" w:rsidRPr="0024092F">
        <w:rPr>
          <w:b/>
        </w:rPr>
        <w:t>Suite.</w:t>
      </w:r>
      <w:r w:rsidRPr="007724D1">
        <w:t xml:space="preserve">  </w:t>
      </w:r>
      <w:bookmarkEnd w:id="5"/>
    </w:p>
    <w:p w:rsidR="003E3276" w:rsidRPr="007724D1" w:rsidRDefault="003E3276" w:rsidP="004270D9">
      <w:pPr>
        <w:pStyle w:val="MRNumberedHeading2"/>
      </w:pPr>
      <w:bookmarkStart w:id="6" w:name="_Toc403555078"/>
      <w:r w:rsidRPr="007724D1">
        <w:t xml:space="preserve">This ITT Section A contains further </w:t>
      </w:r>
      <w:r w:rsidRPr="003E3276">
        <w:t>information</w:t>
      </w:r>
      <w:r w:rsidRPr="007724D1">
        <w:t xml:space="preserve"> about the procurement process.</w:t>
      </w:r>
      <w:bookmarkEnd w:id="6"/>
      <w:r w:rsidRPr="007724D1">
        <w:t xml:space="preserve">  </w:t>
      </w:r>
    </w:p>
    <w:p w:rsidR="003E3276" w:rsidRDefault="003E3276" w:rsidP="004270D9">
      <w:pPr>
        <w:pStyle w:val="MRNumberedHeading2"/>
      </w:pPr>
      <w:bookmarkStart w:id="7" w:name="_Toc403555079"/>
      <w:r>
        <w:t>ITT Section B contains the questions that Bidders must complete. Each Bidder's response ("</w:t>
      </w:r>
      <w:r w:rsidRPr="00951656">
        <w:rPr>
          <w:b/>
          <w:bCs/>
        </w:rPr>
        <w:t>Tender</w:t>
      </w:r>
      <w:r>
        <w:rPr>
          <w:bCs/>
        </w:rPr>
        <w:t>"</w:t>
      </w:r>
      <w:r>
        <w:t>) should be detailed enough to allow the Authority to make an informed award decision.</w:t>
      </w:r>
      <w:bookmarkEnd w:id="7"/>
    </w:p>
    <w:p w:rsidR="003E3276" w:rsidRPr="00FB2FE9" w:rsidRDefault="0034181A" w:rsidP="004270D9">
      <w:pPr>
        <w:pStyle w:val="MRNumberedHeading2"/>
      </w:pPr>
      <w:bookmarkStart w:id="8" w:name="_Toc403555080"/>
      <w:r>
        <w:t>All T</w:t>
      </w:r>
      <w:r w:rsidR="003E3276">
        <w:t>enders must be returned no later tha</w:t>
      </w:r>
      <w:r>
        <w:t>n the deadline for receipt of T</w:t>
      </w:r>
      <w:r w:rsidR="003E3276">
        <w:t>ender</w:t>
      </w:r>
      <w:r w:rsidR="00BD5DCC">
        <w:t>s</w:t>
      </w:r>
      <w:r w:rsidR="003E3276">
        <w:t xml:space="preserve"> specified on the front cover of this ITT.</w:t>
      </w:r>
      <w:bookmarkEnd w:id="8"/>
    </w:p>
    <w:bookmarkStart w:id="9" w:name="_Toc403555081"/>
    <w:bookmarkStart w:id="10" w:name="_Ref406062423"/>
    <w:p w:rsidR="00416A00" w:rsidRDefault="004230E7" w:rsidP="004270D9">
      <w:pPr>
        <w:pStyle w:val="MRNumberedHeading2"/>
      </w:pPr>
      <w:r>
        <w:rPr>
          <w:noProof/>
        </w:rPr>
        <mc:AlternateContent>
          <mc:Choice Requires="wps">
            <w:drawing>
              <wp:anchor distT="0" distB="0" distL="114300" distR="114300" simplePos="0" relativeHeight="251721728" behindDoc="0" locked="0" layoutInCell="1" allowOverlap="1" wp14:anchorId="65B736A2" wp14:editId="40B7DE3C">
                <wp:simplePos x="0" y="0"/>
                <wp:positionH relativeFrom="column">
                  <wp:posOffset>5957570</wp:posOffset>
                </wp:positionH>
                <wp:positionV relativeFrom="paragraph">
                  <wp:posOffset>178435</wp:posOffset>
                </wp:positionV>
                <wp:extent cx="361950" cy="40005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361950" cy="400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7359C" w:rsidRPr="00CF60B2" w:rsidRDefault="0067359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left:0;text-align:left;margin-left:469.1pt;margin-top:14.05pt;width:28.5pt;height:31.5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" fillcolor="white [3201]" stroked="f" strokeweight=".5pt">
                <v:textbox>
                  <w:txbxContent>
                    <w:p w:rsidR="0067359C" w:rsidRPr="00CF60B2" w:rsidRDefault="0067359C">
                      <w:pPr>
                        <w:rPr>
                          <w:color w:val="FF0000"/>
                        </w:rPr>
                      </w:pPr>
                    </w:p>
                  </w:txbxContent>
                </v:textbox>
              </v:shape>
            </w:pict>
          </mc:Fallback>
        </mc:AlternateContent>
      </w:r>
      <w:r w:rsidR="003E3276">
        <w:t>The Authority is using the</w:t>
      </w:r>
      <w:r w:rsidR="00416A00">
        <w:t xml:space="preserve"> Due North</w:t>
      </w:r>
      <w:r w:rsidR="003E3276">
        <w:t xml:space="preserve"> </w:t>
      </w:r>
      <w:r w:rsidR="004F02F9">
        <w:t>e-t</w:t>
      </w:r>
      <w:r w:rsidR="006C6F4A">
        <w:t xml:space="preserve">endering </w:t>
      </w:r>
      <w:r w:rsidR="004F02F9">
        <w:t>p</w:t>
      </w:r>
      <w:r>
        <w:t>ortal</w:t>
      </w:r>
      <w:r w:rsidR="003E3276">
        <w:t xml:space="preserve"> to conduct the procurement process</w:t>
      </w:r>
      <w:r w:rsidR="00A60BD1">
        <w:t xml:space="preserve"> ("</w:t>
      </w:r>
      <w:r w:rsidR="00A60BD1" w:rsidRPr="003219DA">
        <w:rPr>
          <w:b/>
        </w:rPr>
        <w:t>the</w:t>
      </w:r>
      <w:r w:rsidR="006C6F4A">
        <w:rPr>
          <w:b/>
        </w:rPr>
        <w:t xml:space="preserve"> e-Tendering</w:t>
      </w:r>
      <w:r w:rsidR="00A60BD1" w:rsidRPr="003219DA">
        <w:rPr>
          <w:b/>
        </w:rPr>
        <w:t xml:space="preserve"> Portal</w:t>
      </w:r>
      <w:r w:rsidR="00A60BD1">
        <w:t>"). The</w:t>
      </w:r>
      <w:r w:rsidR="006C6F4A">
        <w:t xml:space="preserve"> e-Tendering</w:t>
      </w:r>
      <w:r w:rsidR="00A60BD1">
        <w:t xml:space="preserve"> Portal</w:t>
      </w:r>
      <w:r w:rsidR="003E3276">
        <w:t xml:space="preserve"> can be accessed</w:t>
      </w:r>
      <w:r w:rsidR="00416A00">
        <w:t>:</w:t>
      </w:r>
    </w:p>
    <w:p w:rsidR="00416A00" w:rsidRDefault="009A4827" w:rsidP="00416A00">
      <w:pPr>
        <w:pStyle w:val="MRNumberedHeading2"/>
        <w:numPr>
          <w:ilvl w:val="0"/>
          <w:numId w:val="0"/>
        </w:numPr>
        <w:ind w:left="851"/>
      </w:pPr>
      <w:hyperlink r:id="rId13" w:history="1">
        <w:r w:rsidR="00416A00" w:rsidRPr="001B5F32">
          <w:rPr>
            <w:rStyle w:val="Hyperlink"/>
          </w:rPr>
          <w:t>https://www.supplying2nhs.com/procontract/healthservice/supplier.nsf</w:t>
        </w:r>
      </w:hyperlink>
    </w:p>
    <w:p w:rsidR="003E3276" w:rsidRDefault="003E3276" w:rsidP="000E4654">
      <w:pPr>
        <w:pStyle w:val="MRNumberedHeading2"/>
        <w:numPr>
          <w:ilvl w:val="0"/>
          <w:numId w:val="0"/>
        </w:numPr>
        <w:ind w:left="851" w:hanging="1"/>
      </w:pPr>
      <w:r>
        <w:t>All communications (including</w:t>
      </w:r>
      <w:r w:rsidR="0034181A">
        <w:t xml:space="preserve"> submission of T</w:t>
      </w:r>
      <w:r>
        <w:t xml:space="preserve">enders) should be carried out via the </w:t>
      </w:r>
      <w:r w:rsidR="006C6F4A">
        <w:t xml:space="preserve">e-Tendering </w:t>
      </w:r>
      <w:r w:rsidR="004230E7">
        <w:t>Portal</w:t>
      </w:r>
      <w:r>
        <w:t>.</w:t>
      </w:r>
      <w:bookmarkEnd w:id="9"/>
      <w:bookmarkEnd w:id="10"/>
    </w:p>
    <w:p w:rsidR="007D253B" w:rsidRDefault="007D253B" w:rsidP="007D253B">
      <w:pPr>
        <w:pStyle w:val="MRNumberedHeading2"/>
      </w:pPr>
      <w:bookmarkStart w:id="11" w:name="_Toc403555083"/>
      <w:bookmarkStart w:id="12" w:name="_Ref405452631"/>
      <w:r w:rsidRPr="007D253B">
        <w:t>This procurement process is not regulated by Parts 2 and 3 of the Public Contracts Regulations 2015.</w:t>
      </w:r>
    </w:p>
    <w:p w:rsidR="007D253B" w:rsidRPr="007D253B" w:rsidRDefault="007D253B" w:rsidP="007D253B">
      <w:pPr>
        <w:pStyle w:val="MRNumberedHeading2"/>
        <w:numPr>
          <w:ilvl w:val="0"/>
          <w:numId w:val="0"/>
        </w:numPr>
        <w:ind w:left="851"/>
        <w:rPr>
          <w:b/>
        </w:rPr>
      </w:pPr>
      <w:r w:rsidRPr="007D253B">
        <w:rPr>
          <w:b/>
        </w:rPr>
        <w:t>Contents of the ITT</w:t>
      </w:r>
    </w:p>
    <w:p w:rsidR="00AD3446" w:rsidRPr="003E3276" w:rsidRDefault="00AD3446" w:rsidP="004270D9">
      <w:pPr>
        <w:pStyle w:val="MRNumberedHeading2"/>
        <w:rPr>
          <w:b/>
        </w:rPr>
      </w:pPr>
      <w:r>
        <w:t>This ITT document consists of:</w:t>
      </w:r>
      <w:bookmarkEnd w:id="11"/>
      <w:bookmarkEnd w:id="12"/>
    </w:p>
    <w:p w:rsidR="003E3276" w:rsidRPr="00951656" w:rsidRDefault="003E3276" w:rsidP="006B54D6">
      <w:pPr>
        <w:pStyle w:val="MRNumberedHeading2"/>
        <w:numPr>
          <w:ilvl w:val="0"/>
          <w:numId w:val="0"/>
        </w:numPr>
        <w:ind w:left="720"/>
      </w:pPr>
    </w:p>
    <w:tbl>
      <w:tblPr>
        <w:tblStyle w:val="TableGrid"/>
        <w:tblW w:w="8930" w:type="dxa"/>
        <w:tblInd w:w="1101" w:type="dxa"/>
        <w:tblLook w:val="04A0" w:firstRow="1" w:lastRow="0" w:firstColumn="1" w:lastColumn="0" w:noHBand="0" w:noVBand="1"/>
      </w:tblPr>
      <w:tblGrid>
        <w:gridCol w:w="1417"/>
        <w:gridCol w:w="6379"/>
        <w:gridCol w:w="1134"/>
      </w:tblGrid>
      <w:tr w:rsidR="00653DCC" w:rsidTr="001B5ED9">
        <w:trPr>
          <w:gridAfter w:val="1"/>
          <w:wAfter w:w="1134" w:type="dxa"/>
        </w:trPr>
        <w:tc>
          <w:tcPr>
            <w:tcW w:w="7796" w:type="dxa"/>
            <w:gridSpan w:val="2"/>
            <w:shd w:val="clear" w:color="auto" w:fill="BFBFBF" w:themeFill="background1" w:themeFillShade="BF"/>
          </w:tcPr>
          <w:p w:rsidR="005957B2" w:rsidRPr="00953B6C" w:rsidRDefault="00AD0C96" w:rsidP="00AD3446">
            <w:pPr>
              <w:pStyle w:val="Heading2"/>
              <w:numPr>
                <w:ilvl w:val="0"/>
                <w:numId w:val="0"/>
              </w:numPr>
              <w:outlineLvl w:val="1"/>
              <w:rPr>
                <w:b/>
              </w:rPr>
            </w:pPr>
            <w:r>
              <w:rPr>
                <w:b/>
              </w:rPr>
              <w:t>Section</w:t>
            </w:r>
            <w:r w:rsidR="00653DCC" w:rsidRPr="00953B6C">
              <w:rPr>
                <w:b/>
              </w:rPr>
              <w:t xml:space="preserve"> A</w:t>
            </w:r>
            <w:r w:rsidR="00953B6C" w:rsidRPr="00953B6C">
              <w:rPr>
                <w:b/>
              </w:rPr>
              <w:t xml:space="preserve"> – Instructions and information</w:t>
            </w:r>
          </w:p>
        </w:tc>
      </w:tr>
      <w:tr w:rsidR="00653DCC" w:rsidTr="001B5ED9">
        <w:trPr>
          <w:gridAfter w:val="1"/>
          <w:wAfter w:w="1134" w:type="dxa"/>
        </w:trPr>
        <w:tc>
          <w:tcPr>
            <w:tcW w:w="1417" w:type="dxa"/>
          </w:tcPr>
          <w:p w:rsidR="00653DCC" w:rsidRPr="001B5ED9" w:rsidRDefault="00653DCC" w:rsidP="00AD3446">
            <w:pPr>
              <w:pStyle w:val="Heading2"/>
              <w:numPr>
                <w:ilvl w:val="0"/>
                <w:numId w:val="0"/>
              </w:numPr>
              <w:jc w:val="center"/>
              <w:outlineLvl w:val="1"/>
              <w:rPr>
                <w:b/>
              </w:rPr>
            </w:pPr>
            <w:r w:rsidRPr="001B5ED9">
              <w:rPr>
                <w:b/>
              </w:rPr>
              <w:t>1</w:t>
            </w:r>
          </w:p>
        </w:tc>
        <w:tc>
          <w:tcPr>
            <w:tcW w:w="6379" w:type="dxa"/>
          </w:tcPr>
          <w:p w:rsidR="00653DCC" w:rsidRDefault="00653DCC" w:rsidP="00AD3446">
            <w:pPr>
              <w:pStyle w:val="Heading2"/>
              <w:numPr>
                <w:ilvl w:val="0"/>
                <w:numId w:val="0"/>
              </w:numPr>
              <w:outlineLvl w:val="1"/>
            </w:pPr>
            <w:r>
              <w:t>Introduction and background</w:t>
            </w:r>
          </w:p>
          <w:p w:rsidR="009464EA" w:rsidRDefault="009464EA" w:rsidP="00AD3446">
            <w:pPr>
              <w:pStyle w:val="Heading2"/>
              <w:numPr>
                <w:ilvl w:val="0"/>
                <w:numId w:val="0"/>
              </w:numPr>
              <w:outlineLvl w:val="1"/>
            </w:pPr>
          </w:p>
        </w:tc>
      </w:tr>
      <w:tr w:rsidR="00653DCC" w:rsidTr="001B5ED9">
        <w:trPr>
          <w:gridAfter w:val="1"/>
          <w:wAfter w:w="1134" w:type="dxa"/>
        </w:trPr>
        <w:tc>
          <w:tcPr>
            <w:tcW w:w="1417" w:type="dxa"/>
          </w:tcPr>
          <w:p w:rsidR="00653DCC" w:rsidRPr="001B5ED9" w:rsidRDefault="00653DCC" w:rsidP="00AD3446">
            <w:pPr>
              <w:pStyle w:val="Heading2"/>
              <w:numPr>
                <w:ilvl w:val="0"/>
                <w:numId w:val="0"/>
              </w:numPr>
              <w:jc w:val="center"/>
              <w:outlineLvl w:val="1"/>
              <w:rPr>
                <w:b/>
              </w:rPr>
            </w:pPr>
            <w:r w:rsidRPr="001B5ED9">
              <w:rPr>
                <w:b/>
              </w:rPr>
              <w:t>2</w:t>
            </w:r>
          </w:p>
        </w:tc>
        <w:tc>
          <w:tcPr>
            <w:tcW w:w="6379" w:type="dxa"/>
          </w:tcPr>
          <w:p w:rsidR="00653DCC" w:rsidRDefault="00653DCC" w:rsidP="00AD3446">
            <w:pPr>
              <w:pStyle w:val="Heading2"/>
              <w:numPr>
                <w:ilvl w:val="0"/>
                <w:numId w:val="0"/>
              </w:numPr>
              <w:outlineLvl w:val="1"/>
            </w:pPr>
            <w:r>
              <w:t>Tender timetable</w:t>
            </w:r>
            <w:r w:rsidR="00A57D02">
              <w:t xml:space="preserve"> </w:t>
            </w:r>
          </w:p>
          <w:p w:rsidR="009464EA" w:rsidRDefault="009464EA" w:rsidP="00AD3446">
            <w:pPr>
              <w:pStyle w:val="Heading2"/>
              <w:numPr>
                <w:ilvl w:val="0"/>
                <w:numId w:val="0"/>
              </w:numPr>
              <w:outlineLvl w:val="1"/>
            </w:pPr>
          </w:p>
        </w:tc>
      </w:tr>
      <w:tr w:rsidR="00653DCC" w:rsidTr="001B5ED9">
        <w:trPr>
          <w:gridAfter w:val="1"/>
          <w:wAfter w:w="1134" w:type="dxa"/>
        </w:trPr>
        <w:tc>
          <w:tcPr>
            <w:tcW w:w="1417" w:type="dxa"/>
          </w:tcPr>
          <w:p w:rsidR="00653DCC" w:rsidRPr="001B5ED9" w:rsidRDefault="00653DCC" w:rsidP="00AD3446">
            <w:pPr>
              <w:pStyle w:val="Heading2"/>
              <w:numPr>
                <w:ilvl w:val="0"/>
                <w:numId w:val="0"/>
              </w:numPr>
              <w:jc w:val="center"/>
              <w:outlineLvl w:val="1"/>
              <w:rPr>
                <w:b/>
              </w:rPr>
            </w:pPr>
            <w:r w:rsidRPr="001B5ED9">
              <w:rPr>
                <w:b/>
              </w:rPr>
              <w:t>3</w:t>
            </w:r>
          </w:p>
        </w:tc>
        <w:tc>
          <w:tcPr>
            <w:tcW w:w="6379" w:type="dxa"/>
          </w:tcPr>
          <w:p w:rsidR="00653DCC" w:rsidRDefault="00223555" w:rsidP="00AD3446">
            <w:pPr>
              <w:pStyle w:val="Heading2"/>
              <w:numPr>
                <w:ilvl w:val="0"/>
                <w:numId w:val="0"/>
              </w:numPr>
              <w:outlineLvl w:val="1"/>
            </w:pPr>
            <w:r>
              <w:t xml:space="preserve">Instructions to </w:t>
            </w:r>
            <w:r w:rsidR="00E7163F">
              <w:t>Bidders</w:t>
            </w:r>
            <w:r>
              <w:t xml:space="preserve"> </w:t>
            </w:r>
          </w:p>
          <w:p w:rsidR="009464EA" w:rsidRDefault="009464EA" w:rsidP="00AD3446">
            <w:pPr>
              <w:pStyle w:val="Heading2"/>
              <w:numPr>
                <w:ilvl w:val="0"/>
                <w:numId w:val="0"/>
              </w:numPr>
              <w:outlineLvl w:val="1"/>
            </w:pPr>
          </w:p>
        </w:tc>
      </w:tr>
      <w:tr w:rsidR="00653DCC" w:rsidTr="001B5ED9">
        <w:trPr>
          <w:gridAfter w:val="1"/>
          <w:wAfter w:w="1134" w:type="dxa"/>
        </w:trPr>
        <w:tc>
          <w:tcPr>
            <w:tcW w:w="1417" w:type="dxa"/>
          </w:tcPr>
          <w:p w:rsidR="00653DCC" w:rsidRPr="001B5ED9" w:rsidRDefault="00653DCC" w:rsidP="00AD3446">
            <w:pPr>
              <w:pStyle w:val="Heading2"/>
              <w:numPr>
                <w:ilvl w:val="0"/>
                <w:numId w:val="0"/>
              </w:numPr>
              <w:jc w:val="center"/>
              <w:outlineLvl w:val="1"/>
              <w:rPr>
                <w:b/>
              </w:rPr>
            </w:pPr>
            <w:r w:rsidRPr="001B5ED9">
              <w:rPr>
                <w:b/>
              </w:rPr>
              <w:t>4</w:t>
            </w:r>
          </w:p>
        </w:tc>
        <w:tc>
          <w:tcPr>
            <w:tcW w:w="6379" w:type="dxa"/>
          </w:tcPr>
          <w:p w:rsidR="009464EA" w:rsidRDefault="008731E8" w:rsidP="00AD3446">
            <w:pPr>
              <w:pStyle w:val="Heading2"/>
              <w:numPr>
                <w:ilvl w:val="0"/>
                <w:numId w:val="0"/>
              </w:numPr>
              <w:outlineLvl w:val="1"/>
            </w:pPr>
            <w:r>
              <w:t>Tender evaluation methodology and criteria</w:t>
            </w:r>
          </w:p>
          <w:p w:rsidR="00653DCC" w:rsidRDefault="008731E8" w:rsidP="00AD3446">
            <w:pPr>
              <w:pStyle w:val="Heading2"/>
              <w:numPr>
                <w:ilvl w:val="0"/>
                <w:numId w:val="0"/>
              </w:numPr>
              <w:outlineLvl w:val="1"/>
            </w:pPr>
            <w:r>
              <w:t xml:space="preserve"> </w:t>
            </w:r>
          </w:p>
        </w:tc>
      </w:tr>
      <w:tr w:rsidR="00953B6C" w:rsidTr="001B5ED9">
        <w:trPr>
          <w:gridAfter w:val="1"/>
          <w:wAfter w:w="1134" w:type="dxa"/>
        </w:trPr>
        <w:tc>
          <w:tcPr>
            <w:tcW w:w="1417" w:type="dxa"/>
          </w:tcPr>
          <w:p w:rsidR="00953B6C" w:rsidRPr="001B5ED9" w:rsidRDefault="00953B6C" w:rsidP="00AD3446">
            <w:pPr>
              <w:pStyle w:val="Heading2"/>
              <w:numPr>
                <w:ilvl w:val="0"/>
                <w:numId w:val="0"/>
              </w:numPr>
              <w:jc w:val="center"/>
              <w:outlineLvl w:val="1"/>
              <w:rPr>
                <w:b/>
              </w:rPr>
            </w:pPr>
            <w:bookmarkStart w:id="13" w:name="_Ref405453364"/>
            <w:r w:rsidRPr="001B5ED9">
              <w:rPr>
                <w:b/>
              </w:rPr>
              <w:t xml:space="preserve">Annex </w:t>
            </w:r>
            <w:r w:rsidR="006E3892" w:rsidRPr="001B5ED9">
              <w:rPr>
                <w:b/>
              </w:rPr>
              <w:t>A</w:t>
            </w:r>
            <w:r w:rsidRPr="001B5ED9">
              <w:rPr>
                <w:b/>
              </w:rPr>
              <w:t>1</w:t>
            </w:r>
            <w:bookmarkEnd w:id="13"/>
          </w:p>
        </w:tc>
        <w:tc>
          <w:tcPr>
            <w:tcW w:w="6379" w:type="dxa"/>
          </w:tcPr>
          <w:p w:rsidR="009464EA" w:rsidRDefault="006E3892" w:rsidP="00AD3446">
            <w:pPr>
              <w:pStyle w:val="Heading2"/>
              <w:numPr>
                <w:ilvl w:val="0"/>
                <w:numId w:val="0"/>
              </w:numPr>
              <w:outlineLvl w:val="1"/>
            </w:pPr>
            <w:r>
              <w:t xml:space="preserve">NHS Terms and Conditions </w:t>
            </w:r>
          </w:p>
          <w:p w:rsidR="006E3892" w:rsidRDefault="006E3892" w:rsidP="00AD3446">
            <w:pPr>
              <w:pStyle w:val="Heading2"/>
              <w:numPr>
                <w:ilvl w:val="0"/>
                <w:numId w:val="0"/>
              </w:numPr>
              <w:outlineLvl w:val="1"/>
            </w:pPr>
          </w:p>
        </w:tc>
      </w:tr>
      <w:tr w:rsidR="00953B6C" w:rsidTr="001B5ED9">
        <w:trPr>
          <w:gridAfter w:val="1"/>
          <w:wAfter w:w="1134" w:type="dxa"/>
        </w:trPr>
        <w:tc>
          <w:tcPr>
            <w:tcW w:w="7796" w:type="dxa"/>
            <w:gridSpan w:val="2"/>
            <w:shd w:val="clear" w:color="auto" w:fill="BFBFBF" w:themeFill="background1" w:themeFillShade="BF"/>
          </w:tcPr>
          <w:p w:rsidR="005957B2" w:rsidRPr="001B5ED9" w:rsidRDefault="00AD0C96" w:rsidP="00AD3446">
            <w:pPr>
              <w:pStyle w:val="Heading2"/>
              <w:numPr>
                <w:ilvl w:val="0"/>
                <w:numId w:val="0"/>
              </w:numPr>
              <w:outlineLvl w:val="1"/>
              <w:rPr>
                <w:b/>
              </w:rPr>
            </w:pPr>
            <w:r w:rsidRPr="001B5ED9">
              <w:rPr>
                <w:b/>
              </w:rPr>
              <w:t>Section</w:t>
            </w:r>
            <w:r w:rsidR="00953B6C" w:rsidRPr="001B5ED9">
              <w:rPr>
                <w:b/>
              </w:rPr>
              <w:t xml:space="preserve"> B – Tender Schedules (to be returned by </w:t>
            </w:r>
            <w:r w:rsidR="00C52D6B" w:rsidRPr="001B5ED9">
              <w:rPr>
                <w:b/>
              </w:rPr>
              <w:t>B</w:t>
            </w:r>
            <w:r w:rsidR="00CF6B32" w:rsidRPr="001B5ED9">
              <w:rPr>
                <w:b/>
              </w:rPr>
              <w:t>idder</w:t>
            </w:r>
            <w:r w:rsidR="00953B6C" w:rsidRPr="001B5ED9">
              <w:rPr>
                <w:b/>
              </w:rPr>
              <w:t>s)</w:t>
            </w:r>
          </w:p>
        </w:tc>
      </w:tr>
      <w:tr w:rsidR="00953B6C" w:rsidTr="001B5ED9">
        <w:trPr>
          <w:gridAfter w:val="1"/>
          <w:wAfter w:w="1134" w:type="dxa"/>
        </w:trPr>
        <w:tc>
          <w:tcPr>
            <w:tcW w:w="1417" w:type="dxa"/>
          </w:tcPr>
          <w:p w:rsidR="00953B6C" w:rsidRPr="001B5ED9" w:rsidRDefault="006E3892" w:rsidP="00AD3446">
            <w:pPr>
              <w:pStyle w:val="Heading2"/>
              <w:numPr>
                <w:ilvl w:val="0"/>
                <w:numId w:val="0"/>
              </w:numPr>
              <w:jc w:val="center"/>
              <w:outlineLvl w:val="1"/>
              <w:rPr>
                <w:b/>
              </w:rPr>
            </w:pPr>
            <w:r w:rsidRPr="001B5ED9">
              <w:rPr>
                <w:b/>
              </w:rPr>
              <w:t>Annex B</w:t>
            </w:r>
            <w:r w:rsidR="00953B6C" w:rsidRPr="001B5ED9">
              <w:rPr>
                <w:b/>
              </w:rPr>
              <w:t>1</w:t>
            </w:r>
          </w:p>
        </w:tc>
        <w:tc>
          <w:tcPr>
            <w:tcW w:w="6379" w:type="dxa"/>
          </w:tcPr>
          <w:p w:rsidR="00953B6C" w:rsidRDefault="006E3892" w:rsidP="00AD3446">
            <w:pPr>
              <w:pStyle w:val="Heading2"/>
              <w:numPr>
                <w:ilvl w:val="0"/>
                <w:numId w:val="0"/>
              </w:numPr>
              <w:outlineLvl w:val="1"/>
            </w:pPr>
            <w:r>
              <w:t>Eligibility</w:t>
            </w:r>
            <w:r w:rsidR="00C573A4">
              <w:t xml:space="preserve"> questions and response</w:t>
            </w:r>
            <w:r w:rsidR="00706A06">
              <w:t>s</w:t>
            </w:r>
          </w:p>
          <w:p w:rsidR="009464EA" w:rsidRDefault="009464EA" w:rsidP="00AD3446">
            <w:pPr>
              <w:pStyle w:val="Heading2"/>
              <w:numPr>
                <w:ilvl w:val="0"/>
                <w:numId w:val="0"/>
              </w:numPr>
              <w:outlineLvl w:val="1"/>
            </w:pPr>
          </w:p>
        </w:tc>
      </w:tr>
      <w:tr w:rsidR="00C573A4" w:rsidTr="001B5ED9">
        <w:trPr>
          <w:gridAfter w:val="1"/>
          <w:wAfter w:w="1134" w:type="dxa"/>
        </w:trPr>
        <w:tc>
          <w:tcPr>
            <w:tcW w:w="1417" w:type="dxa"/>
          </w:tcPr>
          <w:p w:rsidR="00C573A4" w:rsidRPr="001B5ED9" w:rsidRDefault="006E3892" w:rsidP="00AD3446">
            <w:pPr>
              <w:pStyle w:val="Heading2"/>
              <w:numPr>
                <w:ilvl w:val="0"/>
                <w:numId w:val="0"/>
              </w:numPr>
              <w:jc w:val="center"/>
              <w:outlineLvl w:val="1"/>
              <w:rPr>
                <w:b/>
              </w:rPr>
            </w:pPr>
            <w:r w:rsidRPr="001B5ED9">
              <w:rPr>
                <w:b/>
              </w:rPr>
              <w:t>Annex B</w:t>
            </w:r>
            <w:r w:rsidR="00C573A4" w:rsidRPr="001B5ED9">
              <w:rPr>
                <w:b/>
              </w:rPr>
              <w:t>2</w:t>
            </w:r>
          </w:p>
        </w:tc>
        <w:tc>
          <w:tcPr>
            <w:tcW w:w="6379" w:type="dxa"/>
          </w:tcPr>
          <w:p w:rsidR="009464EA" w:rsidRDefault="00636468" w:rsidP="00AD3446">
            <w:pPr>
              <w:pStyle w:val="Heading2"/>
              <w:numPr>
                <w:ilvl w:val="0"/>
                <w:numId w:val="0"/>
              </w:numPr>
              <w:outlineLvl w:val="1"/>
            </w:pPr>
            <w:r>
              <w:t>S</w:t>
            </w:r>
            <w:r w:rsidR="006E3892">
              <w:t>pecification</w:t>
            </w:r>
          </w:p>
          <w:p w:rsidR="009464EA" w:rsidRDefault="009464EA" w:rsidP="00AD3446">
            <w:pPr>
              <w:pStyle w:val="Heading2"/>
              <w:numPr>
                <w:ilvl w:val="0"/>
                <w:numId w:val="0"/>
              </w:numPr>
              <w:outlineLvl w:val="1"/>
            </w:pPr>
          </w:p>
        </w:tc>
      </w:tr>
      <w:tr w:rsidR="00C573A4" w:rsidTr="001B5ED9">
        <w:trPr>
          <w:gridAfter w:val="1"/>
          <w:wAfter w:w="1134" w:type="dxa"/>
        </w:trPr>
        <w:tc>
          <w:tcPr>
            <w:tcW w:w="1417" w:type="dxa"/>
          </w:tcPr>
          <w:p w:rsidR="00C573A4" w:rsidRPr="001B5ED9" w:rsidRDefault="006E3892" w:rsidP="00AD3446">
            <w:pPr>
              <w:pStyle w:val="Heading2"/>
              <w:numPr>
                <w:ilvl w:val="0"/>
                <w:numId w:val="0"/>
              </w:numPr>
              <w:jc w:val="center"/>
              <w:outlineLvl w:val="1"/>
              <w:rPr>
                <w:b/>
              </w:rPr>
            </w:pPr>
            <w:r w:rsidRPr="001B5ED9">
              <w:rPr>
                <w:b/>
              </w:rPr>
              <w:t>Annex B3</w:t>
            </w:r>
          </w:p>
        </w:tc>
        <w:tc>
          <w:tcPr>
            <w:tcW w:w="6379" w:type="dxa"/>
          </w:tcPr>
          <w:p w:rsidR="00C573A4" w:rsidRDefault="0035766D" w:rsidP="00AD3446">
            <w:pPr>
              <w:pStyle w:val="Heading2"/>
              <w:numPr>
                <w:ilvl w:val="0"/>
                <w:numId w:val="0"/>
              </w:numPr>
              <w:outlineLvl w:val="1"/>
            </w:pPr>
            <w:r>
              <w:t>Tender Response Do</w:t>
            </w:r>
            <w:r w:rsidR="00A66B5D">
              <w:t>cument</w:t>
            </w:r>
          </w:p>
          <w:p w:rsidR="009464EA" w:rsidRDefault="009464EA" w:rsidP="00AD3446">
            <w:pPr>
              <w:pStyle w:val="Heading2"/>
              <w:numPr>
                <w:ilvl w:val="0"/>
                <w:numId w:val="0"/>
              </w:numPr>
              <w:outlineLvl w:val="1"/>
            </w:pPr>
          </w:p>
        </w:tc>
      </w:tr>
      <w:tr w:rsidR="00C573A4" w:rsidTr="001B5ED9">
        <w:trPr>
          <w:gridAfter w:val="1"/>
          <w:wAfter w:w="1134" w:type="dxa"/>
        </w:trPr>
        <w:tc>
          <w:tcPr>
            <w:tcW w:w="1417" w:type="dxa"/>
          </w:tcPr>
          <w:p w:rsidR="00C573A4" w:rsidRPr="001B5ED9" w:rsidRDefault="006E3892" w:rsidP="00AD3446">
            <w:pPr>
              <w:pStyle w:val="Heading2"/>
              <w:numPr>
                <w:ilvl w:val="0"/>
                <w:numId w:val="0"/>
              </w:numPr>
              <w:jc w:val="center"/>
              <w:outlineLvl w:val="1"/>
              <w:rPr>
                <w:b/>
              </w:rPr>
            </w:pPr>
            <w:r w:rsidRPr="001B5ED9">
              <w:rPr>
                <w:b/>
              </w:rPr>
              <w:t>Annex B</w:t>
            </w:r>
            <w:r w:rsidR="00C573A4" w:rsidRPr="001B5ED9">
              <w:rPr>
                <w:b/>
              </w:rPr>
              <w:t>4</w:t>
            </w:r>
          </w:p>
        </w:tc>
        <w:tc>
          <w:tcPr>
            <w:tcW w:w="6379" w:type="dxa"/>
            <w:tcBorders>
              <w:bottom w:val="single" w:sz="4" w:space="0" w:color="auto"/>
            </w:tcBorders>
          </w:tcPr>
          <w:p w:rsidR="00C573A4" w:rsidRDefault="00490EBA" w:rsidP="00AD3446">
            <w:pPr>
              <w:pStyle w:val="Heading2"/>
              <w:numPr>
                <w:ilvl w:val="0"/>
                <w:numId w:val="0"/>
              </w:numPr>
              <w:outlineLvl w:val="1"/>
            </w:pPr>
            <w:r>
              <w:t>Commercial S</w:t>
            </w:r>
            <w:r w:rsidR="00A66B5D">
              <w:t>chedule</w:t>
            </w:r>
          </w:p>
          <w:p w:rsidR="009464EA" w:rsidRDefault="009464EA" w:rsidP="00AD3446">
            <w:pPr>
              <w:pStyle w:val="Heading2"/>
              <w:numPr>
                <w:ilvl w:val="0"/>
                <w:numId w:val="0"/>
              </w:numPr>
              <w:outlineLvl w:val="1"/>
            </w:pPr>
          </w:p>
        </w:tc>
      </w:tr>
      <w:tr w:rsidR="009A3E29" w:rsidTr="001B5ED9">
        <w:tc>
          <w:tcPr>
            <w:tcW w:w="1417" w:type="dxa"/>
          </w:tcPr>
          <w:p w:rsidR="009A3E29" w:rsidRPr="001B5ED9" w:rsidRDefault="006E3892" w:rsidP="00AD3446">
            <w:pPr>
              <w:pStyle w:val="Heading2"/>
              <w:numPr>
                <w:ilvl w:val="0"/>
                <w:numId w:val="0"/>
              </w:numPr>
              <w:jc w:val="center"/>
              <w:outlineLvl w:val="1"/>
              <w:rPr>
                <w:b/>
              </w:rPr>
            </w:pPr>
            <w:r w:rsidRPr="001B5ED9">
              <w:rPr>
                <w:b/>
              </w:rPr>
              <w:t>Annex B</w:t>
            </w:r>
            <w:r w:rsidR="009A3E29" w:rsidRPr="001B5ED9">
              <w:rPr>
                <w:b/>
              </w:rPr>
              <w:t>5</w:t>
            </w:r>
          </w:p>
        </w:tc>
        <w:tc>
          <w:tcPr>
            <w:tcW w:w="6379" w:type="dxa"/>
            <w:tcBorders>
              <w:right w:val="single" w:sz="4" w:space="0" w:color="auto"/>
            </w:tcBorders>
          </w:tcPr>
          <w:p w:rsidR="009A3E29" w:rsidRDefault="00A66B5D" w:rsidP="00AD3446">
            <w:pPr>
              <w:pStyle w:val="Heading2"/>
              <w:numPr>
                <w:ilvl w:val="0"/>
                <w:numId w:val="0"/>
              </w:numPr>
              <w:outlineLvl w:val="1"/>
            </w:pPr>
            <w:r>
              <w:t>Confidential and commercially sensitive information</w:t>
            </w:r>
          </w:p>
          <w:p w:rsidR="009A3E29" w:rsidRDefault="009A3E29" w:rsidP="00AD3446">
            <w:pPr>
              <w:pStyle w:val="Heading2"/>
              <w:numPr>
                <w:ilvl w:val="0"/>
                <w:numId w:val="0"/>
              </w:numPr>
              <w:outlineLvl w:val="1"/>
            </w:pPr>
          </w:p>
        </w:tc>
        <w:tc>
          <w:tcPr>
            <w:tcW w:w="1134" w:type="dxa"/>
            <w:tcBorders>
              <w:top w:val="nil"/>
              <w:left w:val="single" w:sz="4" w:space="0" w:color="auto"/>
              <w:bottom w:val="nil"/>
              <w:right w:val="nil"/>
            </w:tcBorders>
          </w:tcPr>
          <w:p w:rsidR="009A3E29" w:rsidRPr="00A52A19" w:rsidRDefault="009A3E29" w:rsidP="00AD3446">
            <w:pPr>
              <w:pStyle w:val="Heading2"/>
              <w:numPr>
                <w:ilvl w:val="0"/>
                <w:numId w:val="0"/>
              </w:numPr>
              <w:jc w:val="right"/>
              <w:outlineLvl w:val="1"/>
              <w:rPr>
                <w:rFonts w:ascii="Arial Bold" w:hAnsi="Arial Bold"/>
                <w:color w:val="auto"/>
              </w:rPr>
            </w:pPr>
            <w:bookmarkStart w:id="14" w:name="handonesix"/>
            <w:bookmarkEnd w:id="14"/>
          </w:p>
        </w:tc>
      </w:tr>
      <w:tr w:rsidR="006E3892" w:rsidTr="001B5ED9">
        <w:tc>
          <w:tcPr>
            <w:tcW w:w="1417" w:type="dxa"/>
          </w:tcPr>
          <w:p w:rsidR="006E3892" w:rsidRPr="001B5ED9" w:rsidRDefault="006E3892" w:rsidP="00AD3446">
            <w:pPr>
              <w:pStyle w:val="Heading2"/>
              <w:numPr>
                <w:ilvl w:val="0"/>
                <w:numId w:val="0"/>
              </w:numPr>
              <w:jc w:val="center"/>
              <w:outlineLvl w:val="1"/>
              <w:rPr>
                <w:b/>
              </w:rPr>
            </w:pPr>
            <w:r w:rsidRPr="001B5ED9">
              <w:rPr>
                <w:b/>
              </w:rPr>
              <w:t>Annex B6</w:t>
            </w:r>
          </w:p>
          <w:p w:rsidR="006E3892" w:rsidRPr="001B5ED9" w:rsidRDefault="006E3892" w:rsidP="00AD3446">
            <w:pPr>
              <w:pStyle w:val="Heading2"/>
              <w:numPr>
                <w:ilvl w:val="0"/>
                <w:numId w:val="0"/>
              </w:numPr>
              <w:jc w:val="center"/>
              <w:outlineLvl w:val="1"/>
              <w:rPr>
                <w:b/>
              </w:rPr>
            </w:pPr>
          </w:p>
        </w:tc>
        <w:tc>
          <w:tcPr>
            <w:tcW w:w="6379" w:type="dxa"/>
            <w:tcBorders>
              <w:right w:val="single" w:sz="4" w:space="0" w:color="auto"/>
            </w:tcBorders>
          </w:tcPr>
          <w:p w:rsidR="006E3892" w:rsidRDefault="006E3892" w:rsidP="00AD3446">
            <w:pPr>
              <w:pStyle w:val="Heading2"/>
              <w:numPr>
                <w:ilvl w:val="0"/>
                <w:numId w:val="0"/>
              </w:numPr>
              <w:outlineLvl w:val="1"/>
            </w:pPr>
            <w:r>
              <w:t>Administrative instructions</w:t>
            </w:r>
          </w:p>
        </w:tc>
        <w:tc>
          <w:tcPr>
            <w:tcW w:w="1134" w:type="dxa"/>
            <w:tcBorders>
              <w:top w:val="nil"/>
              <w:left w:val="single" w:sz="4" w:space="0" w:color="auto"/>
              <w:bottom w:val="nil"/>
              <w:right w:val="nil"/>
            </w:tcBorders>
          </w:tcPr>
          <w:p w:rsidR="006E3892" w:rsidRDefault="006E3892" w:rsidP="00AD3446">
            <w:pPr>
              <w:pStyle w:val="Heading2"/>
              <w:numPr>
                <w:ilvl w:val="0"/>
                <w:numId w:val="0"/>
              </w:numPr>
              <w:jc w:val="right"/>
              <w:outlineLvl w:val="1"/>
            </w:pPr>
          </w:p>
        </w:tc>
      </w:tr>
      <w:tr w:rsidR="006E3892" w:rsidTr="001B5ED9">
        <w:tc>
          <w:tcPr>
            <w:tcW w:w="1417" w:type="dxa"/>
          </w:tcPr>
          <w:p w:rsidR="006E3892" w:rsidRPr="001B5ED9" w:rsidRDefault="006E3892" w:rsidP="00AD3446">
            <w:pPr>
              <w:pStyle w:val="Heading2"/>
              <w:numPr>
                <w:ilvl w:val="0"/>
                <w:numId w:val="0"/>
              </w:numPr>
              <w:jc w:val="center"/>
              <w:outlineLvl w:val="1"/>
              <w:rPr>
                <w:b/>
              </w:rPr>
            </w:pPr>
            <w:r w:rsidRPr="001B5ED9">
              <w:rPr>
                <w:b/>
              </w:rPr>
              <w:t>Annex B7</w:t>
            </w:r>
          </w:p>
          <w:p w:rsidR="006E3892" w:rsidRPr="001B5ED9" w:rsidRDefault="006E3892" w:rsidP="00AD3446">
            <w:pPr>
              <w:pStyle w:val="Heading2"/>
              <w:numPr>
                <w:ilvl w:val="0"/>
                <w:numId w:val="0"/>
              </w:numPr>
              <w:jc w:val="center"/>
              <w:outlineLvl w:val="1"/>
              <w:rPr>
                <w:b/>
              </w:rPr>
            </w:pPr>
          </w:p>
        </w:tc>
        <w:tc>
          <w:tcPr>
            <w:tcW w:w="6379" w:type="dxa"/>
            <w:tcBorders>
              <w:right w:val="single" w:sz="4" w:space="0" w:color="auto"/>
            </w:tcBorders>
          </w:tcPr>
          <w:p w:rsidR="006E3892" w:rsidRDefault="006E3892" w:rsidP="00AD3446">
            <w:pPr>
              <w:pStyle w:val="Heading2"/>
              <w:numPr>
                <w:ilvl w:val="0"/>
                <w:numId w:val="0"/>
              </w:numPr>
              <w:outlineLvl w:val="1"/>
            </w:pPr>
            <w:r>
              <w:t>Form of Tender</w:t>
            </w:r>
          </w:p>
        </w:tc>
        <w:tc>
          <w:tcPr>
            <w:tcW w:w="1134" w:type="dxa"/>
            <w:tcBorders>
              <w:top w:val="nil"/>
              <w:left w:val="single" w:sz="4" w:space="0" w:color="auto"/>
              <w:bottom w:val="nil"/>
              <w:right w:val="nil"/>
            </w:tcBorders>
          </w:tcPr>
          <w:p w:rsidR="006E3892" w:rsidRDefault="006E3892" w:rsidP="00AD3446">
            <w:pPr>
              <w:pStyle w:val="Heading2"/>
              <w:numPr>
                <w:ilvl w:val="0"/>
                <w:numId w:val="0"/>
              </w:numPr>
              <w:jc w:val="right"/>
              <w:outlineLvl w:val="1"/>
            </w:pPr>
          </w:p>
        </w:tc>
      </w:tr>
    </w:tbl>
    <w:p w:rsidR="003E3276" w:rsidRDefault="003E3276" w:rsidP="00247F0F">
      <w:pPr>
        <w:pStyle w:val="Heading2"/>
        <w:numPr>
          <w:ilvl w:val="0"/>
          <w:numId w:val="0"/>
        </w:numPr>
        <w:ind w:left="851"/>
        <w:rPr>
          <w:b/>
        </w:rPr>
      </w:pPr>
    </w:p>
    <w:p w:rsidR="00247F0F" w:rsidRDefault="00247F0F" w:rsidP="004270D9">
      <w:pPr>
        <w:pStyle w:val="Heading1"/>
        <w:spacing w:before="240" w:after="0"/>
        <w:ind w:left="851"/>
        <w:rPr>
          <w:b w:val="0"/>
        </w:rPr>
      </w:pPr>
      <w:bookmarkStart w:id="15" w:name="_Toc403555084"/>
      <w:r>
        <w:lastRenderedPageBreak/>
        <w:t xml:space="preserve">Introduction to the </w:t>
      </w:r>
      <w:r w:rsidR="00740C0F">
        <w:t>procurement</w:t>
      </w:r>
      <w:bookmarkEnd w:id="15"/>
      <w:r>
        <w:t xml:space="preserve"> </w:t>
      </w:r>
    </w:p>
    <w:p w:rsidR="006040A1" w:rsidRPr="00EE2245" w:rsidRDefault="0067359C" w:rsidP="0067359C">
      <w:pPr>
        <w:pStyle w:val="MRNumberedHeading2"/>
      </w:pPr>
      <w:bookmarkStart w:id="16" w:name="_Toc403555085"/>
      <w:bookmarkStart w:id="17" w:name="_Ref405466279"/>
      <w:bookmarkStart w:id="18" w:name="_Ref405466286"/>
      <w:r w:rsidRPr="00EE2245">
        <w:t xml:space="preserve">United </w:t>
      </w:r>
      <w:r w:rsidR="006040A1" w:rsidRPr="00EE2245">
        <w:t>Lincolnshire</w:t>
      </w:r>
      <w:r w:rsidRPr="00EE2245">
        <w:t xml:space="preserve"> Hospitals NHS Trust was formed in April 2000 by the merger of the three former acute hospitals trusts in Lincolnshire, creating one of the largest hospital trusts in the country. It provides secondary care services in both acute and community settings operating out of three main hospital sites; Lincoln County Hospital, Pilgrim Hospital, Boston and Grantham and District Hospital.  Together the three sites have over 7,500 highly trained staff and volunteers and more than 1,400 beds. The Trust primarily services the 757,000 residents of Lincolnshire which is one of the fastest growing populations in England.  The Trust also provides a wide variety of outpatient, day cases and inpatient services from a range of other community hospitals operated by Lincolnshire Community Health Services or local GP clusters.  These include: Louth County Hospital, John </w:t>
      </w:r>
      <w:proofErr w:type="spellStart"/>
      <w:r w:rsidRPr="00EE2245">
        <w:t>Coupland</w:t>
      </w:r>
      <w:proofErr w:type="spellEnd"/>
      <w:r w:rsidRPr="00EE2245">
        <w:t xml:space="preserve"> Hospital (Gainsborough), Johnson Community Hospital (Spalding) and Skegness and District General Hospital</w:t>
      </w:r>
    </w:p>
    <w:bookmarkEnd w:id="16"/>
    <w:bookmarkEnd w:id="17"/>
    <w:bookmarkEnd w:id="18"/>
    <w:p w:rsidR="0024092F" w:rsidRDefault="006B6347" w:rsidP="006B6347">
      <w:pPr>
        <w:pStyle w:val="MRNumberedHeading2"/>
      </w:pPr>
      <w:r w:rsidRPr="006B6347">
        <w:t xml:space="preserve">The Authority seeks a </w:t>
      </w:r>
      <w:r w:rsidRPr="0024092F">
        <w:t xml:space="preserve">Contractor </w:t>
      </w:r>
      <w:r w:rsidRPr="006B6347">
        <w:t xml:space="preserve">to provide </w:t>
      </w:r>
      <w:r w:rsidR="00832A66">
        <w:t xml:space="preserve"> </w:t>
      </w:r>
      <w:r w:rsidR="0024092F">
        <w:t xml:space="preserve">an </w:t>
      </w:r>
      <w:r w:rsidR="0024092F" w:rsidRPr="00A56FA1">
        <w:t>Energy Monitoring  &amp; Targeting Suite.</w:t>
      </w:r>
      <w:r w:rsidR="00A734FF" w:rsidRPr="00A56FA1">
        <w:t xml:space="preserve">  The Trust wish to consider an online or installed to site system</w:t>
      </w:r>
      <w:r w:rsidR="009831ED" w:rsidRPr="00A56FA1">
        <w:t>, which can be accessed from any location via the Trust network.</w:t>
      </w:r>
      <w:r w:rsidR="00BD4D21">
        <w:t xml:space="preserve"> </w:t>
      </w:r>
      <w:r w:rsidR="009831ED" w:rsidRPr="00A56FA1">
        <w:t>The drivers for change Financial, Legislative &amp; Environmental.  Data needs to be Accessible, Reliable and Accurate</w:t>
      </w:r>
      <w:r w:rsidR="009831ED">
        <w:rPr>
          <w:b/>
        </w:rPr>
        <w:t>.</w:t>
      </w:r>
    </w:p>
    <w:p w:rsidR="00EE2245" w:rsidRDefault="00EE2245" w:rsidP="00EE2245">
      <w:pPr>
        <w:pStyle w:val="MRNumberedHeading2"/>
        <w:numPr>
          <w:ilvl w:val="0"/>
          <w:numId w:val="0"/>
        </w:numPr>
        <w:spacing w:before="0"/>
        <w:ind w:left="851"/>
      </w:pPr>
    </w:p>
    <w:p w:rsidR="006B6347" w:rsidRDefault="006B6347" w:rsidP="00EE2245">
      <w:pPr>
        <w:pStyle w:val="MRNumberedHeading2"/>
        <w:numPr>
          <w:ilvl w:val="0"/>
          <w:numId w:val="0"/>
        </w:numPr>
        <w:spacing w:before="0"/>
        <w:ind w:left="851"/>
      </w:pPr>
      <w:r w:rsidRPr="006B6347">
        <w:t>The key objectives are:</w:t>
      </w:r>
    </w:p>
    <w:p w:rsidR="00EE2245" w:rsidRDefault="00EE2245" w:rsidP="00EE2245">
      <w:pPr>
        <w:ind w:left="851"/>
        <w:rPr>
          <w:rFonts w:cs="Arial"/>
        </w:rPr>
      </w:pPr>
    </w:p>
    <w:p w:rsidR="00EE2245" w:rsidRPr="00EE2245" w:rsidRDefault="0024092F" w:rsidP="00EE2245">
      <w:pPr>
        <w:pStyle w:val="ListParagraph"/>
        <w:numPr>
          <w:ilvl w:val="1"/>
          <w:numId w:val="42"/>
        </w:numPr>
        <w:rPr>
          <w:rFonts w:cs="Arial"/>
        </w:rPr>
      </w:pPr>
      <w:r w:rsidRPr="00EE2245">
        <w:rPr>
          <w:rFonts w:cs="Arial"/>
        </w:rPr>
        <w:t xml:space="preserve">To provide comprehensive analysis of energy data using a range of powerful techniques. </w:t>
      </w:r>
    </w:p>
    <w:p w:rsidR="00EE2245" w:rsidRDefault="00EE2245" w:rsidP="00EE2245">
      <w:pPr>
        <w:ind w:left="851"/>
        <w:rPr>
          <w:rFonts w:cs="Arial"/>
        </w:rPr>
      </w:pPr>
    </w:p>
    <w:p w:rsidR="00EE2245" w:rsidRPr="00EE2245" w:rsidRDefault="0024092F" w:rsidP="00EE2245">
      <w:pPr>
        <w:pStyle w:val="ListParagraph"/>
        <w:numPr>
          <w:ilvl w:val="1"/>
          <w:numId w:val="42"/>
        </w:numPr>
        <w:rPr>
          <w:rFonts w:cs="Arial"/>
        </w:rPr>
      </w:pPr>
      <w:r w:rsidRPr="00EE2245">
        <w:rPr>
          <w:rFonts w:cs="Arial"/>
        </w:rPr>
        <w:t>Quickly and easily analyse data, create graphs, view data tables and save reports for future use.</w:t>
      </w:r>
    </w:p>
    <w:p w:rsidR="00EE2245" w:rsidRDefault="00EE2245" w:rsidP="00EE2245">
      <w:pPr>
        <w:ind w:left="851"/>
        <w:rPr>
          <w:rFonts w:cs="Arial"/>
        </w:rPr>
      </w:pPr>
    </w:p>
    <w:p w:rsidR="0024092F" w:rsidRPr="00EE2245" w:rsidRDefault="0024092F" w:rsidP="00EE2245">
      <w:pPr>
        <w:pStyle w:val="ListParagraph"/>
        <w:numPr>
          <w:ilvl w:val="1"/>
          <w:numId w:val="42"/>
        </w:numPr>
        <w:rPr>
          <w:rFonts w:cs="Arial"/>
        </w:rPr>
      </w:pPr>
      <w:r w:rsidRPr="00EE2245">
        <w:rPr>
          <w:rFonts w:cs="Arial"/>
        </w:rPr>
        <w:t xml:space="preserve">Utilise techniques to monitor data from main &amp; sub meters, utility contracts, carry out performance analysis such as regression, </w:t>
      </w:r>
      <w:r w:rsidR="00083F6D">
        <w:rPr>
          <w:rFonts w:cs="Arial"/>
        </w:rPr>
        <w:t xml:space="preserve">CUSUM </w:t>
      </w:r>
      <w:r w:rsidRPr="00EE2245">
        <w:rPr>
          <w:rFonts w:cs="Arial"/>
        </w:rPr>
        <w:t>and deviation analysis and normalisation of data etc.</w:t>
      </w:r>
    </w:p>
    <w:p w:rsidR="00EE2245" w:rsidRPr="0024092F" w:rsidRDefault="00EE2245" w:rsidP="00EE2245">
      <w:pPr>
        <w:ind w:left="851"/>
        <w:rPr>
          <w:rFonts w:cs="Arial"/>
        </w:rPr>
      </w:pPr>
    </w:p>
    <w:p w:rsidR="0024092F" w:rsidRPr="00EE2245" w:rsidRDefault="0024092F" w:rsidP="00EE2245">
      <w:pPr>
        <w:pStyle w:val="ListParagraph"/>
        <w:numPr>
          <w:ilvl w:val="1"/>
          <w:numId w:val="42"/>
        </w:numPr>
        <w:rPr>
          <w:rFonts w:cs="Arial"/>
        </w:rPr>
      </w:pPr>
      <w:r w:rsidRPr="00EE2245">
        <w:rPr>
          <w:rFonts w:cs="Arial"/>
        </w:rPr>
        <w:t>The solution should have the ability to analyse the data in a variety of ways. These include as a minimum the areas covered below:</w:t>
      </w:r>
    </w:p>
    <w:p w:rsidR="0024092F" w:rsidRPr="0024092F" w:rsidRDefault="0024092F" w:rsidP="0024092F">
      <w:pPr>
        <w:ind w:left="851"/>
        <w:rPr>
          <w:rFonts w:cs="Arial"/>
        </w:rPr>
      </w:pPr>
    </w:p>
    <w:p w:rsidR="0024092F" w:rsidRDefault="0024092F" w:rsidP="00EE2245">
      <w:pPr>
        <w:pStyle w:val="ListParagraph"/>
        <w:numPr>
          <w:ilvl w:val="1"/>
          <w:numId w:val="42"/>
        </w:numPr>
        <w:tabs>
          <w:tab w:val="left" w:pos="851"/>
        </w:tabs>
        <w:spacing w:after="200" w:line="276" w:lineRule="auto"/>
        <w:rPr>
          <w:rFonts w:cs="Arial"/>
          <w:b/>
        </w:rPr>
      </w:pPr>
      <w:r w:rsidRPr="00EE2245">
        <w:rPr>
          <w:rFonts w:cs="Arial"/>
        </w:rPr>
        <w:t xml:space="preserve">Analysis of energy and water consumption in graphical form. This should include a flexible range of intervals including 30 minutes, 1 hour, 1 day, 1 week and 1 month with a flexible range of periods including 1 day, 1 week, 1 month and 1or more years. </w:t>
      </w:r>
      <w:r w:rsidRPr="00EE2245">
        <w:rPr>
          <w:rFonts w:cs="Arial"/>
          <w:b/>
        </w:rPr>
        <w:t>It should be possible to analyse multiple traces on the same chart.</w:t>
      </w:r>
    </w:p>
    <w:p w:rsidR="00EE2245" w:rsidRPr="00EE2245" w:rsidRDefault="00EE2245" w:rsidP="00EE2245">
      <w:pPr>
        <w:pStyle w:val="ListParagraph"/>
        <w:rPr>
          <w:rFonts w:cs="Arial"/>
          <w:b/>
        </w:rPr>
      </w:pPr>
    </w:p>
    <w:p w:rsidR="0024092F" w:rsidRPr="00EE2245" w:rsidRDefault="0024092F" w:rsidP="00EE2245">
      <w:pPr>
        <w:pStyle w:val="ListParagraph"/>
        <w:numPr>
          <w:ilvl w:val="1"/>
          <w:numId w:val="42"/>
        </w:numPr>
        <w:tabs>
          <w:tab w:val="left" w:pos="851"/>
        </w:tabs>
        <w:spacing w:after="200" w:line="276" w:lineRule="auto"/>
        <w:rPr>
          <w:rFonts w:cs="Arial"/>
        </w:rPr>
      </w:pPr>
      <w:r w:rsidRPr="00EE2245">
        <w:rPr>
          <w:rFonts w:cs="Arial"/>
        </w:rPr>
        <w:t>Display the processed energy data in both graphical and tabular form.</w:t>
      </w:r>
    </w:p>
    <w:p w:rsidR="0024092F" w:rsidRPr="00EE2245" w:rsidRDefault="0024092F" w:rsidP="00EE2245">
      <w:pPr>
        <w:pStyle w:val="ListParagraph"/>
        <w:numPr>
          <w:ilvl w:val="1"/>
          <w:numId w:val="42"/>
        </w:numPr>
        <w:tabs>
          <w:tab w:val="left" w:pos="851"/>
        </w:tabs>
        <w:spacing w:after="200" w:line="276" w:lineRule="auto"/>
        <w:rPr>
          <w:rFonts w:cs="Arial"/>
        </w:rPr>
      </w:pPr>
      <w:r w:rsidRPr="00EE2245">
        <w:rPr>
          <w:rFonts w:cs="Arial"/>
        </w:rPr>
        <w:t>League table analysis</w:t>
      </w:r>
    </w:p>
    <w:p w:rsidR="0024092F" w:rsidRPr="00EE2245" w:rsidRDefault="0024092F" w:rsidP="00EE2245">
      <w:pPr>
        <w:pStyle w:val="ListParagraph"/>
        <w:numPr>
          <w:ilvl w:val="1"/>
          <w:numId w:val="42"/>
        </w:numPr>
        <w:tabs>
          <w:tab w:val="left" w:pos="851"/>
        </w:tabs>
        <w:spacing w:after="200" w:line="276" w:lineRule="auto"/>
        <w:rPr>
          <w:rFonts w:cs="Arial"/>
        </w:rPr>
      </w:pPr>
      <w:r w:rsidRPr="00EE2245">
        <w:rPr>
          <w:rFonts w:cs="Arial"/>
        </w:rPr>
        <w:t>Degree day normalisation</w:t>
      </w:r>
    </w:p>
    <w:p w:rsidR="0024092F" w:rsidRPr="00EE2245" w:rsidRDefault="0024092F" w:rsidP="00EE2245">
      <w:pPr>
        <w:pStyle w:val="ListParagraph"/>
        <w:numPr>
          <w:ilvl w:val="1"/>
          <w:numId w:val="42"/>
        </w:numPr>
        <w:tabs>
          <w:tab w:val="left" w:pos="851"/>
        </w:tabs>
        <w:spacing w:after="200" w:line="276" w:lineRule="auto"/>
        <w:rPr>
          <w:rFonts w:cs="Arial"/>
        </w:rPr>
      </w:pPr>
      <w:r w:rsidRPr="00EE2245">
        <w:rPr>
          <w:rFonts w:cs="Arial"/>
        </w:rPr>
        <w:t>Regression and CUSUM analysis</w:t>
      </w:r>
    </w:p>
    <w:p w:rsidR="0024092F" w:rsidRPr="00EE2245" w:rsidRDefault="0024092F" w:rsidP="00EE2245">
      <w:pPr>
        <w:pStyle w:val="ListParagraph"/>
        <w:numPr>
          <w:ilvl w:val="1"/>
          <w:numId w:val="42"/>
        </w:numPr>
        <w:tabs>
          <w:tab w:val="left" w:pos="851"/>
        </w:tabs>
        <w:spacing w:after="200" w:line="276" w:lineRule="auto"/>
        <w:rPr>
          <w:rFonts w:cs="Arial"/>
        </w:rPr>
      </w:pPr>
      <w:r w:rsidRPr="00EE2245">
        <w:rPr>
          <w:rFonts w:cs="Arial"/>
        </w:rPr>
        <w:t>Cost analysis</w:t>
      </w:r>
    </w:p>
    <w:p w:rsidR="0024092F" w:rsidRPr="00EE2245" w:rsidRDefault="0024092F" w:rsidP="00EE2245">
      <w:pPr>
        <w:pStyle w:val="ListParagraph"/>
        <w:numPr>
          <w:ilvl w:val="1"/>
          <w:numId w:val="42"/>
        </w:numPr>
        <w:tabs>
          <w:tab w:val="left" w:pos="851"/>
        </w:tabs>
        <w:spacing w:after="200" w:line="276" w:lineRule="auto"/>
        <w:rPr>
          <w:rFonts w:cs="Arial"/>
        </w:rPr>
      </w:pPr>
      <w:r w:rsidRPr="00EE2245">
        <w:rPr>
          <w:rFonts w:cs="Arial"/>
        </w:rPr>
        <w:t>Maximum demand analysis</w:t>
      </w:r>
    </w:p>
    <w:p w:rsidR="0024092F" w:rsidRPr="00EE2245" w:rsidRDefault="0024092F" w:rsidP="00EE2245">
      <w:pPr>
        <w:pStyle w:val="ListParagraph"/>
        <w:numPr>
          <w:ilvl w:val="1"/>
          <w:numId w:val="42"/>
        </w:numPr>
        <w:tabs>
          <w:tab w:val="left" w:pos="851"/>
        </w:tabs>
        <w:spacing w:after="200" w:line="276" w:lineRule="auto"/>
        <w:rPr>
          <w:rFonts w:cs="Arial"/>
        </w:rPr>
      </w:pPr>
      <w:r w:rsidRPr="00EE2245">
        <w:rPr>
          <w:rFonts w:cs="Arial"/>
        </w:rPr>
        <w:t>Base load analysis</w:t>
      </w:r>
    </w:p>
    <w:p w:rsidR="0024092F" w:rsidRPr="00EE2245" w:rsidRDefault="0024092F" w:rsidP="00EE2245">
      <w:pPr>
        <w:pStyle w:val="ListParagraph"/>
        <w:numPr>
          <w:ilvl w:val="1"/>
          <w:numId w:val="42"/>
        </w:numPr>
        <w:tabs>
          <w:tab w:val="left" w:pos="851"/>
        </w:tabs>
        <w:spacing w:after="200" w:line="276" w:lineRule="auto"/>
        <w:rPr>
          <w:rFonts w:cs="Arial"/>
        </w:rPr>
      </w:pPr>
      <w:r w:rsidRPr="00EE2245">
        <w:rPr>
          <w:rFonts w:cs="Arial"/>
        </w:rPr>
        <w:t>Exception Reporting</w:t>
      </w:r>
    </w:p>
    <w:p w:rsidR="0024092F" w:rsidRPr="00EE2245" w:rsidRDefault="0024092F" w:rsidP="00EE2245">
      <w:pPr>
        <w:pStyle w:val="ListParagraph"/>
        <w:numPr>
          <w:ilvl w:val="1"/>
          <w:numId w:val="42"/>
        </w:numPr>
        <w:spacing w:after="200" w:line="276" w:lineRule="auto"/>
        <w:rPr>
          <w:rFonts w:cs="Arial"/>
        </w:rPr>
      </w:pPr>
      <w:r w:rsidRPr="00EE2245">
        <w:rPr>
          <w:rFonts w:cs="Arial"/>
        </w:rPr>
        <w:t>Diary tool to link noted events to performance plots.</w:t>
      </w:r>
    </w:p>
    <w:p w:rsidR="0024092F" w:rsidRPr="00EE2245" w:rsidRDefault="0024092F" w:rsidP="00EE2245">
      <w:pPr>
        <w:pStyle w:val="ListParagraph"/>
        <w:numPr>
          <w:ilvl w:val="1"/>
          <w:numId w:val="42"/>
        </w:numPr>
        <w:rPr>
          <w:rFonts w:cs="Arial"/>
        </w:rPr>
      </w:pPr>
      <w:r w:rsidRPr="00EE2245">
        <w:rPr>
          <w:rFonts w:cs="Arial"/>
        </w:rPr>
        <w:t>It should be possible for any chart or table to be scheduled for automatic distribution by email.</w:t>
      </w:r>
    </w:p>
    <w:p w:rsidR="009F6CF6" w:rsidRDefault="009F6CF6" w:rsidP="001D4048">
      <w:pPr>
        <w:ind w:left="851" w:hanging="1"/>
      </w:pPr>
    </w:p>
    <w:p w:rsidR="001D4048" w:rsidRPr="009F6CF6" w:rsidRDefault="006B6347" w:rsidP="001D4048">
      <w:pPr>
        <w:ind w:left="851" w:hanging="1"/>
      </w:pPr>
      <w:r w:rsidRPr="00A56FA1">
        <w:t xml:space="preserve">The </w:t>
      </w:r>
      <w:r w:rsidR="0048567B" w:rsidRPr="00A56FA1">
        <w:t>Contract</w:t>
      </w:r>
      <w:r w:rsidRPr="00A56FA1">
        <w:t xml:space="preserve"> for </w:t>
      </w:r>
      <w:r w:rsidR="009F6CF6" w:rsidRPr="00A56FA1">
        <w:rPr>
          <w:b/>
        </w:rPr>
        <w:t xml:space="preserve">Energy Monitoring  &amp; Targeting Suite </w:t>
      </w:r>
      <w:r w:rsidRPr="00A56FA1">
        <w:t xml:space="preserve">is scheduled to commence on the </w:t>
      </w:r>
      <w:r w:rsidR="001B5ED9" w:rsidRPr="00826340">
        <w:t>8</w:t>
      </w:r>
      <w:r w:rsidR="00826340" w:rsidRPr="00826340">
        <w:rPr>
          <w:vertAlign w:val="superscript"/>
        </w:rPr>
        <w:t>th</w:t>
      </w:r>
      <w:r w:rsidR="00826340" w:rsidRPr="00826340">
        <w:t xml:space="preserve"> </w:t>
      </w:r>
      <w:r w:rsidR="001B5ED9" w:rsidRPr="00826340">
        <w:t>February 201</w:t>
      </w:r>
      <w:r w:rsidR="002A0B08">
        <w:t xml:space="preserve">7 for five years </w:t>
      </w:r>
      <w:r w:rsidRPr="00A56FA1">
        <w:rPr>
          <w:rFonts w:eastAsia="Times New Roman" w:cs="Times New Roman"/>
          <w:lang w:eastAsia="en-GB"/>
        </w:rPr>
        <w:t>(with an option to extend for</w:t>
      </w:r>
      <w:r w:rsidR="00826340">
        <w:rPr>
          <w:rFonts w:eastAsia="Times New Roman" w:cs="Times New Roman"/>
          <w:lang w:eastAsia="en-GB"/>
        </w:rPr>
        <w:t xml:space="preserve"> 1 + 1 years).</w:t>
      </w:r>
    </w:p>
    <w:bookmarkStart w:id="19" w:name="_Toc403555087"/>
    <w:p w:rsidR="00603A0D" w:rsidRDefault="00BD5DCC" w:rsidP="004270D9">
      <w:pPr>
        <w:pStyle w:val="MRNumberedHeading2"/>
      </w:pPr>
      <w:r>
        <w:rPr>
          <w:noProof/>
        </w:rPr>
        <mc:AlternateContent>
          <mc:Choice Requires="wps">
            <w:drawing>
              <wp:anchor distT="0" distB="0" distL="114300" distR="114300" simplePos="0" relativeHeight="251699200" behindDoc="0" locked="0" layoutInCell="1" allowOverlap="1" wp14:anchorId="3A7B31C8" wp14:editId="23318B7E">
                <wp:simplePos x="0" y="0"/>
                <wp:positionH relativeFrom="column">
                  <wp:posOffset>5854065</wp:posOffset>
                </wp:positionH>
                <wp:positionV relativeFrom="paragraph">
                  <wp:posOffset>5080</wp:posOffset>
                </wp:positionV>
                <wp:extent cx="479425" cy="379095"/>
                <wp:effectExtent l="0" t="0" r="0" b="1905"/>
                <wp:wrapSquare wrapText="bothSides"/>
                <wp:docPr id="2" name="Text Box 2"/>
                <wp:cNvGraphicFramePr/>
                <a:graphic xmlns:a="http://schemas.openxmlformats.org/drawingml/2006/main">
                  <a:graphicData uri="http://schemas.microsoft.com/office/word/2010/wordprocessingShape">
                    <wps:wsp>
                      <wps:cNvSpPr txBox="1"/>
                      <wps:spPr>
                        <a:xfrm>
                          <a:off x="0" y="0"/>
                          <a:ext cx="479425" cy="379095"/>
                        </a:xfrm>
                        <a:prstGeom prst="rect">
                          <a:avLst/>
                        </a:prstGeom>
                        <a:noFill/>
                        <a:ln w="6350">
                          <a:noFill/>
                        </a:ln>
                        <a:effectLst/>
                      </wps:spPr>
                      <wps:txbx>
                        <w:txbxContent>
                          <w:p w:rsidR="0067359C" w:rsidRPr="00AF3418" w:rsidRDefault="0067359C" w:rsidP="00425400">
                            <w:pPr>
                              <w:pStyle w:val="Heading2"/>
                              <w:numPr>
                                <w:ilvl w:val="0"/>
                                <w:numId w:val="0"/>
                              </w:numPr>
                              <w:spacing w:after="0"/>
                              <w:ind w:left="851" w:hanging="851"/>
                              <w:jc w:val="lef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460.95pt;margin-top:.4pt;width:37.75pt;height:29.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" filled="f" stroked="f" strokeweight=".5pt">
                <v:textbox>
                  <w:txbxContent>
                    <w:p w:rsidR="0067359C" w:rsidRPr="00AF3418" w:rsidRDefault="0067359C" w:rsidP="00425400">
                      <w:pPr>
                        <w:pStyle w:val="Heading2"/>
                        <w:numPr>
                          <w:ilvl w:val="0"/>
                          <w:numId w:val="0"/>
                        </w:numPr>
                        <w:spacing w:after="0"/>
                        <w:ind w:left="851" w:hanging="851"/>
                        <w:jc w:val="left"/>
                        <w:rPr>
                          <w:color w:val="FF0000"/>
                        </w:rPr>
                      </w:pPr>
                    </w:p>
                  </w:txbxContent>
                </v:textbox>
                <w10:wrap type="square"/>
              </v:shape>
            </w:pict>
          </mc:Fallback>
        </mc:AlternateContent>
      </w:r>
      <w:r w:rsidR="00603A0D" w:rsidRPr="00533CB2">
        <w:t xml:space="preserve">Full details of the Authority's requirements are set out in the Specification in </w:t>
      </w:r>
      <w:r w:rsidR="007F5F02">
        <w:t xml:space="preserve">Annex </w:t>
      </w:r>
      <w:r>
        <w:t>B</w:t>
      </w:r>
      <w:r w:rsidR="007F5F02">
        <w:t>2</w:t>
      </w:r>
      <w:r w:rsidR="009D5F0B">
        <w:t xml:space="preserve"> of Section B</w:t>
      </w:r>
      <w:r w:rsidR="007F5F02">
        <w:t>.</w:t>
      </w:r>
      <w:bookmarkEnd w:id="19"/>
      <w:r w:rsidR="007F5F02">
        <w:t xml:space="preserve"> </w:t>
      </w:r>
    </w:p>
    <w:p w:rsidR="005275E6" w:rsidRPr="00A273D4" w:rsidRDefault="00184371" w:rsidP="004270D9">
      <w:pPr>
        <w:pStyle w:val="MRNumberedHeading2"/>
      </w:pPr>
      <w:bookmarkStart w:id="20" w:name="_Toc403555089"/>
      <w:r w:rsidRPr="00A273D4">
        <w:rPr>
          <w:shd w:val="clear" w:color="auto" w:fill="FFFFFF" w:themeFill="background1"/>
        </w:rPr>
        <w:lastRenderedPageBreak/>
        <w:t>The Authority is committed to supporting the Government’s small and medium-sized enterprise (SME) initiative; its aspiration</w:t>
      </w:r>
      <w:r w:rsidR="00BD5DCC" w:rsidRPr="00A273D4">
        <w:rPr>
          <w:shd w:val="clear" w:color="auto" w:fill="FFFFFF" w:themeFill="background1"/>
        </w:rPr>
        <w:t xml:space="preserve"> is </w:t>
      </w:r>
      <w:r w:rsidRPr="00A273D4">
        <w:rPr>
          <w:shd w:val="clear" w:color="auto" w:fill="FFFFFF" w:themeFill="background1"/>
        </w:rPr>
        <w:t xml:space="preserve">that 25% of spend, direct and through the supply chain, goes to SMEs by 2015.  Suppliers are </w:t>
      </w:r>
      <w:r w:rsidR="00BA0984" w:rsidRPr="00A273D4">
        <w:rPr>
          <w:shd w:val="clear" w:color="auto" w:fill="FFFFFF" w:themeFill="background1"/>
        </w:rPr>
        <w:t xml:space="preserve">encouraged to work with the Authority </w:t>
      </w:r>
      <w:r w:rsidRPr="00A273D4">
        <w:rPr>
          <w:shd w:val="clear" w:color="auto" w:fill="FFFFFF" w:themeFill="background1"/>
        </w:rPr>
        <w:t>to support the wider SME initiative</w:t>
      </w:r>
      <w:r w:rsidRPr="00A273D4">
        <w:t>.</w:t>
      </w:r>
      <w:bookmarkEnd w:id="20"/>
    </w:p>
    <w:bookmarkStart w:id="21" w:name="_Toc403555090"/>
    <w:bookmarkStart w:id="22" w:name="_Ref405452851"/>
    <w:p w:rsidR="00603A0D" w:rsidRPr="00A273D4" w:rsidRDefault="00603A0D" w:rsidP="00E02FBA">
      <w:pPr>
        <w:pStyle w:val="MRNumberedHeading2"/>
      </w:pPr>
      <w:r w:rsidRPr="00A273D4">
        <w:rPr>
          <w:noProof/>
          <w:shd w:val="clear" w:color="auto" w:fill="FFFFFF" w:themeFill="background1"/>
        </w:rPr>
        <mc:AlternateContent>
          <mc:Choice Requires="wps">
            <w:drawing>
              <wp:anchor distT="0" distB="0" distL="114300" distR="114300" simplePos="0" relativeHeight="251701248" behindDoc="0" locked="0" layoutInCell="1" allowOverlap="1" wp14:anchorId="798530D0" wp14:editId="05AE934D">
                <wp:simplePos x="0" y="0"/>
                <wp:positionH relativeFrom="column">
                  <wp:posOffset>5916930</wp:posOffset>
                </wp:positionH>
                <wp:positionV relativeFrom="paragraph">
                  <wp:posOffset>22225</wp:posOffset>
                </wp:positionV>
                <wp:extent cx="1828800" cy="1828800"/>
                <wp:effectExtent l="0" t="0" r="0" b="0"/>
                <wp:wrapSquare wrapText="bothSides"/>
                <wp:docPr id="19" name="Text Box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67359C" w:rsidRPr="00AF3418" w:rsidRDefault="0067359C" w:rsidP="00C9108B">
                            <w:pPr>
                              <w:rPr>
                                <w:color w:val="FF000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9" o:spid="_x0000_s1028" type="#_x0000_t202" style="position:absolute;left:0;text-align:left;margin-left:465.9pt;margin-top:1.75pt;width:2in;height:2in;z-index:2517012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" filled="f" stroked="f" strokeweight=".5pt">
                <v:textbox style="mso-fit-shape-to-text:t">
                  <w:txbxContent>
                    <w:p w:rsidR="0067359C" w:rsidRPr="00AF3418" w:rsidRDefault="0067359C" w:rsidP="00C9108B">
                      <w:pPr>
                        <w:rPr>
                          <w:color w:val="FF0000"/>
                        </w:rPr>
                      </w:pPr>
                    </w:p>
                  </w:txbxContent>
                </v:textbox>
                <w10:wrap type="square"/>
              </v:shape>
            </w:pict>
          </mc:Fallback>
        </mc:AlternateContent>
      </w:r>
      <w:r w:rsidRPr="00A273D4">
        <w:rPr>
          <w:shd w:val="clear" w:color="auto" w:fill="FFFFFF" w:themeFill="background1"/>
        </w:rPr>
        <w:t>The link below to the Cabinet Office website provides information on the Government’s Crown Representative for SMEs</w:t>
      </w:r>
      <w:r w:rsidR="00E82493" w:rsidRPr="00A273D4">
        <w:rPr>
          <w:shd w:val="clear" w:color="auto" w:fill="FFFFFF" w:themeFill="background1"/>
        </w:rPr>
        <w:t>,</w:t>
      </w:r>
      <w:r w:rsidRPr="00A273D4">
        <w:rPr>
          <w:shd w:val="clear" w:color="auto" w:fill="FFFFFF" w:themeFill="background1"/>
        </w:rPr>
        <w:t xml:space="preserve"> a link to the definition of an SME and details on the SME initiative:  </w:t>
      </w:r>
      <w:r w:rsidR="00E02FBA" w:rsidRPr="00A273D4">
        <w:rPr>
          <w:shd w:val="clear" w:color="auto" w:fill="FFFFFF" w:themeFill="background1"/>
        </w:rPr>
        <w:t>https://www.gov.uk/government/policies/buying-and-managing-government-goods-and-services-more-efficiently-and-effectively/supporting-pages/making-sure-government-gets-full-value-from-small-and-medium-sized-enterprises</w:t>
      </w:r>
      <w:r w:rsidR="004F391B" w:rsidRPr="00A273D4">
        <w:rPr>
          <w:shd w:val="clear" w:color="auto" w:fill="FFFFFF" w:themeFill="background1"/>
        </w:rPr>
        <w:t>.</w:t>
      </w:r>
      <w:bookmarkEnd w:id="21"/>
      <w:bookmarkEnd w:id="22"/>
    </w:p>
    <w:p w:rsidR="00247F0F" w:rsidRDefault="005F3F33" w:rsidP="004270D9">
      <w:pPr>
        <w:pStyle w:val="Heading1"/>
        <w:spacing w:before="240" w:after="0"/>
        <w:ind w:left="851"/>
        <w:rPr>
          <w:b w:val="0"/>
        </w:rPr>
      </w:pPr>
      <w:bookmarkStart w:id="23" w:name="_Toc403555091"/>
      <w:r>
        <w:t>Purpose and scope of this ITT</w:t>
      </w:r>
      <w:bookmarkEnd w:id="23"/>
    </w:p>
    <w:p w:rsidR="005F3F33" w:rsidRDefault="005F3F33" w:rsidP="004270D9">
      <w:pPr>
        <w:pStyle w:val="MRNumberedHeading2"/>
      </w:pPr>
      <w:bookmarkStart w:id="24" w:name="_Toc403555092"/>
      <w:r>
        <w:t>This ITT:</w:t>
      </w:r>
      <w:bookmarkEnd w:id="24"/>
    </w:p>
    <w:p w:rsidR="00343763" w:rsidRPr="00343763" w:rsidRDefault="00343763" w:rsidP="004270D9">
      <w:pPr>
        <w:pStyle w:val="MRNumberedHeading3"/>
        <w:numPr>
          <w:ilvl w:val="2"/>
          <w:numId w:val="23"/>
        </w:numPr>
        <w:tabs>
          <w:tab w:val="num" w:pos="1794"/>
        </w:tabs>
        <w:spacing w:line="240" w:lineRule="auto"/>
        <w:ind w:left="1702" w:hanging="851"/>
        <w:jc w:val="both"/>
        <w:rPr>
          <w:szCs w:val="20"/>
        </w:rPr>
      </w:pPr>
      <w:r w:rsidRPr="00343763">
        <w:rPr>
          <w:szCs w:val="20"/>
        </w:rPr>
        <w:t xml:space="preserve">invites Bidders to submit their Tenders in accordance with the instructions set out in the remainder of this ITT; </w:t>
      </w:r>
    </w:p>
    <w:p w:rsidR="00343763" w:rsidRPr="00343763" w:rsidRDefault="00343763" w:rsidP="004270D9">
      <w:pPr>
        <w:pStyle w:val="MRNumberedHeading3"/>
        <w:numPr>
          <w:ilvl w:val="2"/>
          <w:numId w:val="23"/>
        </w:numPr>
        <w:tabs>
          <w:tab w:val="num" w:pos="1794"/>
        </w:tabs>
        <w:spacing w:line="240" w:lineRule="auto"/>
        <w:ind w:left="1702" w:hanging="851"/>
        <w:jc w:val="both"/>
        <w:rPr>
          <w:szCs w:val="20"/>
        </w:rPr>
      </w:pPr>
      <w:r w:rsidRPr="00343763">
        <w:rPr>
          <w:szCs w:val="20"/>
        </w:rPr>
        <w:t xml:space="preserve">sets out the overall timetable and process for the procurement; </w:t>
      </w:r>
    </w:p>
    <w:p w:rsidR="00343763" w:rsidRPr="00343763" w:rsidRDefault="00343763" w:rsidP="004270D9">
      <w:pPr>
        <w:pStyle w:val="MRNumberedHeading3"/>
        <w:numPr>
          <w:ilvl w:val="2"/>
          <w:numId w:val="23"/>
        </w:numPr>
        <w:tabs>
          <w:tab w:val="num" w:pos="1794"/>
        </w:tabs>
        <w:spacing w:line="240" w:lineRule="auto"/>
        <w:ind w:left="1702" w:hanging="851"/>
        <w:jc w:val="both"/>
        <w:rPr>
          <w:szCs w:val="20"/>
        </w:rPr>
      </w:pPr>
      <w:r w:rsidRPr="00343763">
        <w:rPr>
          <w:szCs w:val="20"/>
        </w:rPr>
        <w:t xml:space="preserve">provides Bidders with sufficient information to enable them to submit a compliant Tender; </w:t>
      </w:r>
    </w:p>
    <w:p w:rsidR="00343763" w:rsidRPr="00343763" w:rsidRDefault="00343763" w:rsidP="004270D9">
      <w:pPr>
        <w:pStyle w:val="MRNumberedHeading3"/>
        <w:numPr>
          <w:ilvl w:val="2"/>
          <w:numId w:val="23"/>
        </w:numPr>
        <w:tabs>
          <w:tab w:val="num" w:pos="1794"/>
        </w:tabs>
        <w:spacing w:line="240" w:lineRule="auto"/>
        <w:ind w:left="1702" w:hanging="851"/>
        <w:jc w:val="both"/>
        <w:rPr>
          <w:szCs w:val="20"/>
        </w:rPr>
      </w:pPr>
      <w:r w:rsidRPr="00343763">
        <w:rPr>
          <w:szCs w:val="20"/>
        </w:rPr>
        <w:t>s</w:t>
      </w:r>
      <w:r w:rsidR="0034181A">
        <w:rPr>
          <w:szCs w:val="20"/>
        </w:rPr>
        <w:t>ets out the award criteria and T</w:t>
      </w:r>
      <w:r w:rsidRPr="00343763">
        <w:rPr>
          <w:szCs w:val="20"/>
        </w:rPr>
        <w:t>ender evaluation model</w:t>
      </w:r>
      <w:r w:rsidR="00CE369C">
        <w:rPr>
          <w:szCs w:val="20"/>
        </w:rPr>
        <w:t xml:space="preserve"> that will be used to evaluate</w:t>
      </w:r>
      <w:r w:rsidRPr="00343763">
        <w:rPr>
          <w:szCs w:val="20"/>
        </w:rPr>
        <w:t xml:space="preserve"> the Tenders; and </w:t>
      </w:r>
    </w:p>
    <w:p w:rsidR="00343763" w:rsidRPr="00343763" w:rsidRDefault="00343763" w:rsidP="004270D9">
      <w:pPr>
        <w:pStyle w:val="MRNumberedHeading3"/>
        <w:numPr>
          <w:ilvl w:val="2"/>
          <w:numId w:val="23"/>
        </w:numPr>
        <w:tabs>
          <w:tab w:val="num" w:pos="1794"/>
        </w:tabs>
        <w:spacing w:line="240" w:lineRule="auto"/>
        <w:ind w:left="1702" w:hanging="851"/>
        <w:jc w:val="both"/>
        <w:rPr>
          <w:szCs w:val="20"/>
        </w:rPr>
      </w:pPr>
      <w:r w:rsidRPr="00343763">
        <w:rPr>
          <w:szCs w:val="20"/>
        </w:rPr>
        <w:t xml:space="preserve">explains the administrative arrangements for the receipt of Tenders. </w:t>
      </w:r>
    </w:p>
    <w:bookmarkStart w:id="25" w:name="_Toc403555093"/>
    <w:p w:rsidR="006534CF" w:rsidRDefault="009A3E29" w:rsidP="004270D9">
      <w:pPr>
        <w:pStyle w:val="Heading1"/>
        <w:spacing w:before="240" w:after="0"/>
        <w:ind w:left="851"/>
        <w:rPr>
          <w:b w:val="0"/>
        </w:rPr>
      </w:pPr>
      <w:r w:rsidRPr="00276E1B">
        <w:rPr>
          <w:noProof/>
        </w:rPr>
        <mc:AlternateContent>
          <mc:Choice Requires="wps">
            <w:drawing>
              <wp:anchor distT="0" distB="0" distL="114300" distR="114300" simplePos="0" relativeHeight="251660288" behindDoc="0" locked="0" layoutInCell="1" allowOverlap="1" wp14:anchorId="20E1A34B" wp14:editId="0B423DE7">
                <wp:simplePos x="0" y="0"/>
                <wp:positionH relativeFrom="column">
                  <wp:posOffset>5913755</wp:posOffset>
                </wp:positionH>
                <wp:positionV relativeFrom="paragraph">
                  <wp:posOffset>178628</wp:posOffset>
                </wp:positionV>
                <wp:extent cx="508883" cy="461175"/>
                <wp:effectExtent l="0" t="0" r="5715" b="0"/>
                <wp:wrapNone/>
                <wp:docPr id="1" name="Text Box 1"/>
                <wp:cNvGraphicFramePr/>
                <a:graphic xmlns:a="http://schemas.openxmlformats.org/drawingml/2006/main">
                  <a:graphicData uri="http://schemas.microsoft.com/office/word/2010/wordprocessingShape">
                    <wps:wsp>
                      <wps:cNvSpPr txBox="1"/>
                      <wps:spPr>
                        <a:xfrm>
                          <a:off x="0" y="0"/>
                          <a:ext cx="508883" cy="461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7359C" w:rsidRPr="00CC3915" w:rsidRDefault="0067359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9" type="#_x0000_t202" style="position:absolute;left:0;text-align:left;margin-left:465.65pt;margin-top:14.05pt;width:40.05pt;height:36.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" fillcolor="white [3201]" stroked="f" strokeweight=".5pt">
                <v:textbox>
                  <w:txbxContent>
                    <w:p w:rsidR="0067359C" w:rsidRPr="00CC3915" w:rsidRDefault="0067359C">
                      <w:pPr>
                        <w:rPr>
                          <w:color w:val="FF0000"/>
                        </w:rPr>
                      </w:pPr>
                    </w:p>
                  </w:txbxContent>
                </v:textbox>
              </v:shape>
            </w:pict>
          </mc:Fallback>
        </mc:AlternateContent>
      </w:r>
      <w:r w:rsidR="00825FC5" w:rsidRPr="00276E1B">
        <w:t>Questions</w:t>
      </w:r>
      <w:r w:rsidR="00825FC5">
        <w:rPr>
          <w:b w:val="0"/>
        </w:rPr>
        <w:t xml:space="preserve"> </w:t>
      </w:r>
      <w:r w:rsidR="00825FC5" w:rsidRPr="00276E1B">
        <w:t>about this ITT</w:t>
      </w:r>
      <w:bookmarkEnd w:id="25"/>
    </w:p>
    <w:p w:rsidR="009F6CF6" w:rsidRPr="001A6027" w:rsidRDefault="00825FC5" w:rsidP="004270D9">
      <w:pPr>
        <w:pStyle w:val="MRNumberedHeading2"/>
      </w:pPr>
      <w:bookmarkStart w:id="26" w:name="_Toc403555094"/>
      <w:bookmarkStart w:id="27" w:name="_Ref405452872"/>
      <w:r>
        <w:t>Yo</w:t>
      </w:r>
      <w:r w:rsidR="00CC1E58">
        <w:t>u m</w:t>
      </w:r>
      <w:r w:rsidR="001A6027">
        <w:t xml:space="preserve">ust </w:t>
      </w:r>
      <w:r w:rsidR="00CC1E58">
        <w:t>submit</w:t>
      </w:r>
      <w:r w:rsidR="00826340">
        <w:t xml:space="preserve"> </w:t>
      </w:r>
      <w:r>
        <w:t>any queries that you have relating to this ITT</w:t>
      </w:r>
      <w:r w:rsidR="00826340">
        <w:t xml:space="preserve"> by the </w:t>
      </w:r>
      <w:r w:rsidR="001A6027">
        <w:t>1</w:t>
      </w:r>
      <w:r w:rsidR="002A0B08">
        <w:t>3</w:t>
      </w:r>
      <w:r w:rsidR="001A6027" w:rsidRPr="001A6027">
        <w:rPr>
          <w:vertAlign w:val="superscript"/>
        </w:rPr>
        <w:t>th</w:t>
      </w:r>
      <w:r w:rsidR="001A6027">
        <w:t xml:space="preserve"> December 2016</w:t>
      </w:r>
      <w:r>
        <w:t xml:space="preserve">.  </w:t>
      </w:r>
      <w:r w:rsidR="00CF3C3F">
        <w:t xml:space="preserve">via the </w:t>
      </w:r>
      <w:r w:rsidR="006C6F4A">
        <w:t xml:space="preserve">e-Tendering </w:t>
      </w:r>
      <w:r w:rsidR="004230E7">
        <w:t>Portal</w:t>
      </w:r>
      <w:r w:rsidR="001A6027">
        <w:t xml:space="preserve"> (Due North)</w:t>
      </w:r>
      <w:r w:rsidR="00CF3C3F">
        <w:t>.</w:t>
      </w:r>
      <w:bookmarkEnd w:id="26"/>
      <w:bookmarkEnd w:id="27"/>
      <w:r w:rsidR="00416E53">
        <w:t xml:space="preserve"> </w:t>
      </w:r>
      <w:r w:rsidR="00416E53" w:rsidRPr="009F6CF6">
        <w:rPr>
          <w:color w:val="FF00FF"/>
          <w:shd w:val="clear" w:color="auto" w:fill="FFFFFF" w:themeFill="background1"/>
        </w:rPr>
        <w:t xml:space="preserve"> </w:t>
      </w:r>
      <w:bookmarkStart w:id="28" w:name="_Toc403555095"/>
      <w:r w:rsidR="001A6027" w:rsidRPr="001A6027">
        <w:rPr>
          <w:shd w:val="clear" w:color="auto" w:fill="FFFFFF" w:themeFill="background1"/>
        </w:rPr>
        <w:t>We sha</w:t>
      </w:r>
      <w:r w:rsidR="002A0B08">
        <w:rPr>
          <w:shd w:val="clear" w:color="auto" w:fill="FFFFFF" w:themeFill="background1"/>
        </w:rPr>
        <w:t>ll endeavour to respond by the 16</w:t>
      </w:r>
      <w:r w:rsidR="002A0B08" w:rsidRPr="002A0B08">
        <w:rPr>
          <w:shd w:val="clear" w:color="auto" w:fill="FFFFFF" w:themeFill="background1"/>
          <w:vertAlign w:val="superscript"/>
        </w:rPr>
        <w:t>th</w:t>
      </w:r>
      <w:r w:rsidR="002A0B08">
        <w:rPr>
          <w:shd w:val="clear" w:color="auto" w:fill="FFFFFF" w:themeFill="background1"/>
        </w:rPr>
        <w:t xml:space="preserve"> </w:t>
      </w:r>
      <w:r w:rsidR="001A6027" w:rsidRPr="001A6027">
        <w:rPr>
          <w:shd w:val="clear" w:color="auto" w:fill="FFFFFF" w:themeFill="background1"/>
        </w:rPr>
        <w:t>December 2016 but cannot guarantee this.</w:t>
      </w:r>
    </w:p>
    <w:p w:rsidR="00825FC5" w:rsidRDefault="00825FC5" w:rsidP="004270D9">
      <w:pPr>
        <w:pStyle w:val="MRNumberedHeading2"/>
      </w:pPr>
      <w:r>
        <w:t>Any specific queries should clearly reference the appropriate paragraph in the</w:t>
      </w:r>
      <w:r w:rsidR="006032F2">
        <w:t xml:space="preserve"> ITT</w:t>
      </w:r>
      <w:r>
        <w:t xml:space="preserve"> documentation and, to the extent possible, should be aggregated </w:t>
      </w:r>
      <w:r w:rsidR="006032F2">
        <w:t>rather than sent individually.</w:t>
      </w:r>
      <w:r>
        <w:t xml:space="preserve"> </w:t>
      </w:r>
      <w:r w:rsidR="006032F2">
        <w:t xml:space="preserve"> </w:t>
      </w:r>
      <w:r w:rsidR="002E072D">
        <w:t>The Authority may decline to answer</w:t>
      </w:r>
      <w:r>
        <w:t xml:space="preserve"> queries received after the above deadline.</w:t>
      </w:r>
      <w:bookmarkEnd w:id="28"/>
    </w:p>
    <w:p w:rsidR="004E71FF" w:rsidRPr="005A2E47" w:rsidRDefault="00825FC5" w:rsidP="004270D9">
      <w:pPr>
        <w:pStyle w:val="MRNumberedHeading2"/>
      </w:pPr>
      <w:bookmarkStart w:id="29" w:name="_Toc403555096"/>
      <w:r>
        <w:t xml:space="preserve">Answers to the questions received by the Authority will be circulated to all </w:t>
      </w:r>
      <w:r w:rsidR="00DC0F21">
        <w:t>Bidders</w:t>
      </w:r>
      <w:r w:rsidR="006032F2">
        <w:t xml:space="preserve"> via the </w:t>
      </w:r>
      <w:r w:rsidR="006C6F4A">
        <w:t xml:space="preserve">e-Tendering </w:t>
      </w:r>
      <w:r w:rsidR="004230E7">
        <w:t>Portal</w:t>
      </w:r>
      <w:r w:rsidR="00DC0F21">
        <w:t xml:space="preserve">. Answers will not </w:t>
      </w:r>
      <w:r w:rsidR="00A4489A">
        <w:t>reveal</w:t>
      </w:r>
      <w:r w:rsidR="00DC0F21">
        <w:t xml:space="preserve"> the identity</w:t>
      </w:r>
      <w:r w:rsidR="001065C5">
        <w:t xml:space="preserve"> of the individual B</w:t>
      </w:r>
      <w:r w:rsidR="00DC0F21">
        <w:t xml:space="preserve">idder that </w:t>
      </w:r>
      <w:r w:rsidR="006032F2">
        <w:t>asked</w:t>
      </w:r>
      <w:r w:rsidR="00DC0F21">
        <w:t xml:space="preserve"> a particular question.  The Authority </w:t>
      </w:r>
      <w:r w:rsidR="006032F2">
        <w:t>may decide not to</w:t>
      </w:r>
      <w:r w:rsidR="00113020">
        <w:t xml:space="preserve"> disc</w:t>
      </w:r>
      <w:r w:rsidR="00AD0C96">
        <w:t>lose</w:t>
      </w:r>
      <w:r w:rsidR="00113020">
        <w:t xml:space="preserve"> answers, or parts of answers,</w:t>
      </w:r>
      <w:r w:rsidR="00DC0F21">
        <w:t xml:space="preserve"> which would reveal</w:t>
      </w:r>
      <w:r w:rsidR="00A4489A">
        <w:t xml:space="preserve"> confidential or commercially sensitive information in relation to a</w:t>
      </w:r>
      <w:r w:rsidR="0097584E">
        <w:t xml:space="preserve"> particular</w:t>
      </w:r>
      <w:r w:rsidR="00A4489A">
        <w:t xml:space="preserve"> Bidder.</w:t>
      </w:r>
      <w:bookmarkEnd w:id="29"/>
      <w:r w:rsidR="004E71FF">
        <w:br w:type="page"/>
      </w:r>
      <w:bookmarkStart w:id="30" w:name="_GoBack"/>
      <w:bookmarkEnd w:id="30"/>
    </w:p>
    <w:p w:rsidR="008D3217" w:rsidRPr="008F3D2C" w:rsidRDefault="008D3217" w:rsidP="004270D9">
      <w:pPr>
        <w:pStyle w:val="MRNumberedHeading1"/>
        <w:numPr>
          <w:ilvl w:val="0"/>
          <w:numId w:val="24"/>
        </w:numPr>
        <w:ind w:hanging="798"/>
        <w:jc w:val="both"/>
        <w:rPr>
          <w:sz w:val="20"/>
          <w:szCs w:val="20"/>
        </w:rPr>
      </w:pPr>
      <w:bookmarkStart w:id="31" w:name="_Toc403556502"/>
      <w:bookmarkStart w:id="32" w:name="_Toc403556507"/>
      <w:bookmarkStart w:id="33" w:name="_Toc406674970"/>
      <w:bookmarkStart w:id="34" w:name="_Toc412621212"/>
      <w:bookmarkStart w:id="35" w:name="_Toc412715222"/>
      <w:r w:rsidRPr="008F3D2C">
        <w:rPr>
          <w:sz w:val="20"/>
          <w:szCs w:val="20"/>
        </w:rPr>
        <w:lastRenderedPageBreak/>
        <w:t>TENDER TIMETABLE</w:t>
      </w:r>
      <w:bookmarkEnd w:id="31"/>
      <w:bookmarkEnd w:id="32"/>
      <w:bookmarkEnd w:id="33"/>
      <w:bookmarkEnd w:id="34"/>
      <w:bookmarkEnd w:id="35"/>
    </w:p>
    <w:p w:rsidR="008D3217" w:rsidRPr="00276E1B" w:rsidRDefault="008D3217" w:rsidP="004270D9">
      <w:pPr>
        <w:pStyle w:val="Heading1"/>
        <w:spacing w:before="240" w:after="0"/>
        <w:ind w:left="851"/>
      </w:pPr>
      <w:bookmarkStart w:id="36" w:name="_Toc403555097"/>
      <w:r w:rsidRPr="00276E1B">
        <w:t>Key dates</w:t>
      </w:r>
      <w:bookmarkEnd w:id="36"/>
    </w:p>
    <w:p w:rsidR="008D3217" w:rsidRDefault="008D3217" w:rsidP="004270D9">
      <w:pPr>
        <w:pStyle w:val="MRNumberedHeading2"/>
      </w:pPr>
      <w:bookmarkStart w:id="37" w:name="_Toc403555098"/>
      <w:r>
        <w:t xml:space="preserve">The procurement will follow a clear, structured and transparent process to ensure a fair and level playing </w:t>
      </w:r>
      <w:r w:rsidR="0083677A">
        <w:t>field so that</w:t>
      </w:r>
      <w:r w:rsidR="00B46DA5">
        <w:t xml:space="preserve"> all </w:t>
      </w:r>
      <w:r w:rsidR="00E7163F">
        <w:t>Bidders</w:t>
      </w:r>
      <w:r w:rsidR="00B46DA5">
        <w:t xml:space="preserve"> are treated equally.</w:t>
      </w:r>
      <w:bookmarkEnd w:id="37"/>
      <w:r w:rsidR="00B46DA5">
        <w:t xml:space="preserve"> </w:t>
      </w:r>
    </w:p>
    <w:p w:rsidR="00B46DA5" w:rsidRDefault="00FE07BA" w:rsidP="004270D9">
      <w:pPr>
        <w:pStyle w:val="MRNumberedHeading2"/>
      </w:pPr>
      <w:bookmarkStart w:id="38" w:name="_Toc403555099"/>
      <w:bookmarkStart w:id="39" w:name="_Ref405452883"/>
      <w:bookmarkStart w:id="40" w:name="_Ref406061800"/>
      <w:bookmarkStart w:id="41" w:name="_Ref406062870"/>
      <w:r>
        <w:t>The key dates for this procurement are currently anticipated to be as follows:</w:t>
      </w:r>
      <w:bookmarkEnd w:id="38"/>
      <w:bookmarkEnd w:id="39"/>
      <w:bookmarkEnd w:id="40"/>
      <w:bookmarkEnd w:id="41"/>
      <w:r>
        <w:t xml:space="preserve"> </w:t>
      </w:r>
    </w:p>
    <w:p w:rsidR="003E3276" w:rsidRDefault="003E3276" w:rsidP="00826340">
      <w:pPr>
        <w:pStyle w:val="MRNumberedHeading2"/>
        <w:numPr>
          <w:ilvl w:val="0"/>
          <w:numId w:val="0"/>
        </w:numPr>
        <w:spacing w:before="0"/>
        <w:ind w:left="720"/>
      </w:pPr>
    </w:p>
    <w:tbl>
      <w:tblPr>
        <w:tblStyle w:val="TableGrid"/>
        <w:tblW w:w="8883" w:type="dxa"/>
        <w:tblInd w:w="675" w:type="dxa"/>
        <w:tblLook w:val="04A0" w:firstRow="1" w:lastRow="0" w:firstColumn="1" w:lastColumn="0" w:noHBand="0" w:noVBand="1"/>
      </w:tblPr>
      <w:tblGrid>
        <w:gridCol w:w="5103"/>
        <w:gridCol w:w="3780"/>
      </w:tblGrid>
      <w:tr w:rsidR="00FE07BA" w:rsidTr="00325697">
        <w:tc>
          <w:tcPr>
            <w:tcW w:w="5103" w:type="dxa"/>
            <w:shd w:val="clear" w:color="auto" w:fill="BFBFBF" w:themeFill="background1" w:themeFillShade="BF"/>
          </w:tcPr>
          <w:p w:rsidR="00FE07BA" w:rsidRPr="00FE07BA" w:rsidRDefault="00FE07BA" w:rsidP="00FE07BA">
            <w:pPr>
              <w:pStyle w:val="Heading2"/>
              <w:numPr>
                <w:ilvl w:val="0"/>
                <w:numId w:val="0"/>
              </w:numPr>
              <w:outlineLvl w:val="1"/>
              <w:rPr>
                <w:b/>
              </w:rPr>
            </w:pPr>
            <w:r w:rsidRPr="00FE07BA">
              <w:rPr>
                <w:b/>
              </w:rPr>
              <w:t>Event</w:t>
            </w:r>
          </w:p>
        </w:tc>
        <w:tc>
          <w:tcPr>
            <w:tcW w:w="3780" w:type="dxa"/>
            <w:shd w:val="clear" w:color="auto" w:fill="BFBFBF" w:themeFill="background1" w:themeFillShade="BF"/>
          </w:tcPr>
          <w:p w:rsidR="00FE07BA" w:rsidRPr="001008E4" w:rsidRDefault="00FE07BA" w:rsidP="00FE07BA">
            <w:pPr>
              <w:pStyle w:val="Heading2"/>
              <w:numPr>
                <w:ilvl w:val="0"/>
                <w:numId w:val="0"/>
              </w:numPr>
              <w:outlineLvl w:val="1"/>
              <w:rPr>
                <w:b/>
                <w:color w:val="auto"/>
              </w:rPr>
            </w:pPr>
            <w:r w:rsidRPr="001008E4">
              <w:rPr>
                <w:b/>
                <w:color w:val="auto"/>
              </w:rPr>
              <w:t>Date</w:t>
            </w:r>
          </w:p>
        </w:tc>
      </w:tr>
      <w:tr w:rsidR="00FE07BA" w:rsidTr="00325697">
        <w:tc>
          <w:tcPr>
            <w:tcW w:w="5103" w:type="dxa"/>
          </w:tcPr>
          <w:p w:rsidR="00FE07BA" w:rsidRDefault="00FE07BA" w:rsidP="00FE07BA">
            <w:pPr>
              <w:pStyle w:val="Heading2"/>
              <w:numPr>
                <w:ilvl w:val="0"/>
                <w:numId w:val="0"/>
              </w:numPr>
              <w:outlineLvl w:val="1"/>
            </w:pPr>
            <w:r>
              <w:t>ITT issued</w:t>
            </w:r>
          </w:p>
        </w:tc>
        <w:tc>
          <w:tcPr>
            <w:tcW w:w="3780" w:type="dxa"/>
          </w:tcPr>
          <w:p w:rsidR="003273D3" w:rsidRDefault="009A4827" w:rsidP="00B054BD">
            <w:pPr>
              <w:pStyle w:val="Heading2"/>
              <w:numPr>
                <w:ilvl w:val="0"/>
                <w:numId w:val="0"/>
              </w:numPr>
              <w:outlineLvl w:val="1"/>
              <w:rPr>
                <w:color w:val="auto"/>
                <w:shd w:val="clear" w:color="auto" w:fill="FFFFFF" w:themeFill="background1"/>
              </w:rPr>
            </w:pPr>
            <w:r>
              <w:rPr>
                <w:color w:val="auto"/>
                <w:shd w:val="clear" w:color="auto" w:fill="FFFFFF" w:themeFill="background1"/>
              </w:rPr>
              <w:t>8</w:t>
            </w:r>
            <w:r w:rsidR="00A56FA1" w:rsidRPr="001A6027">
              <w:rPr>
                <w:color w:val="auto"/>
                <w:shd w:val="clear" w:color="auto" w:fill="FFFFFF" w:themeFill="background1"/>
                <w:vertAlign w:val="superscript"/>
              </w:rPr>
              <w:t>th</w:t>
            </w:r>
            <w:r w:rsidR="00A56FA1" w:rsidRPr="001A6027">
              <w:rPr>
                <w:color w:val="auto"/>
                <w:shd w:val="clear" w:color="auto" w:fill="FFFFFF" w:themeFill="background1"/>
              </w:rPr>
              <w:t xml:space="preserve"> December 2016</w:t>
            </w:r>
          </w:p>
          <w:p w:rsidR="008730C2" w:rsidRPr="001A6027" w:rsidRDefault="008730C2" w:rsidP="00B054BD">
            <w:pPr>
              <w:pStyle w:val="Heading2"/>
              <w:numPr>
                <w:ilvl w:val="0"/>
                <w:numId w:val="0"/>
              </w:numPr>
              <w:outlineLvl w:val="1"/>
              <w:rPr>
                <w:color w:val="auto"/>
                <w:shd w:val="clear" w:color="auto" w:fill="FFFFFF" w:themeFill="background1"/>
              </w:rPr>
            </w:pPr>
          </w:p>
        </w:tc>
      </w:tr>
      <w:tr w:rsidR="00FE07BA" w:rsidTr="00325697">
        <w:tc>
          <w:tcPr>
            <w:tcW w:w="5103" w:type="dxa"/>
          </w:tcPr>
          <w:p w:rsidR="00FE07BA" w:rsidRDefault="00FE07BA" w:rsidP="00FE07BA">
            <w:pPr>
              <w:pStyle w:val="Heading2"/>
              <w:numPr>
                <w:ilvl w:val="0"/>
                <w:numId w:val="0"/>
              </w:numPr>
              <w:outlineLvl w:val="1"/>
            </w:pPr>
            <w:r>
              <w:t>Deadline for the receipt of clarification questions</w:t>
            </w:r>
          </w:p>
        </w:tc>
        <w:tc>
          <w:tcPr>
            <w:tcW w:w="3780" w:type="dxa"/>
          </w:tcPr>
          <w:p w:rsidR="003273D3" w:rsidRPr="001A6027" w:rsidRDefault="00826340" w:rsidP="001008E4">
            <w:pPr>
              <w:pStyle w:val="Heading2"/>
              <w:numPr>
                <w:ilvl w:val="0"/>
                <w:numId w:val="0"/>
              </w:numPr>
              <w:outlineLvl w:val="1"/>
              <w:rPr>
                <w:color w:val="auto"/>
                <w:shd w:val="clear" w:color="auto" w:fill="FFFFFF" w:themeFill="background1"/>
              </w:rPr>
            </w:pPr>
            <w:r w:rsidRPr="001A6027">
              <w:rPr>
                <w:color w:val="auto"/>
                <w:shd w:val="clear" w:color="auto" w:fill="FFFFFF" w:themeFill="background1"/>
              </w:rPr>
              <w:t>1</w:t>
            </w:r>
            <w:r w:rsidR="00325697">
              <w:rPr>
                <w:color w:val="auto"/>
                <w:shd w:val="clear" w:color="auto" w:fill="FFFFFF" w:themeFill="background1"/>
              </w:rPr>
              <w:t>3</w:t>
            </w:r>
            <w:r w:rsidR="00F00AC9" w:rsidRPr="001A6027">
              <w:rPr>
                <w:color w:val="auto"/>
                <w:shd w:val="clear" w:color="auto" w:fill="FFFFFF" w:themeFill="background1"/>
                <w:vertAlign w:val="superscript"/>
              </w:rPr>
              <w:t>th</w:t>
            </w:r>
            <w:r w:rsidR="00F00AC9" w:rsidRPr="001A6027">
              <w:rPr>
                <w:color w:val="auto"/>
                <w:shd w:val="clear" w:color="auto" w:fill="FFFFFF" w:themeFill="background1"/>
              </w:rPr>
              <w:t xml:space="preserve"> December </w:t>
            </w:r>
            <w:r w:rsidR="001008E4" w:rsidRPr="001A6027">
              <w:rPr>
                <w:color w:val="auto"/>
                <w:shd w:val="clear" w:color="auto" w:fill="FFFFFF" w:themeFill="background1"/>
              </w:rPr>
              <w:t>201</w:t>
            </w:r>
            <w:r w:rsidR="00F00AC9" w:rsidRPr="001A6027">
              <w:rPr>
                <w:color w:val="auto"/>
                <w:shd w:val="clear" w:color="auto" w:fill="FFFFFF" w:themeFill="background1"/>
              </w:rPr>
              <w:t>6</w:t>
            </w:r>
          </w:p>
          <w:p w:rsidR="001008E4" w:rsidRPr="001A6027" w:rsidRDefault="001008E4" w:rsidP="001008E4">
            <w:pPr>
              <w:pStyle w:val="Heading2"/>
              <w:numPr>
                <w:ilvl w:val="0"/>
                <w:numId w:val="0"/>
              </w:numPr>
              <w:outlineLvl w:val="1"/>
              <w:rPr>
                <w:color w:val="auto"/>
                <w:shd w:val="clear" w:color="auto" w:fill="FFFFFF" w:themeFill="background1"/>
              </w:rPr>
            </w:pPr>
          </w:p>
        </w:tc>
      </w:tr>
      <w:tr w:rsidR="00FE07BA" w:rsidTr="00325697">
        <w:tc>
          <w:tcPr>
            <w:tcW w:w="5103" w:type="dxa"/>
          </w:tcPr>
          <w:p w:rsidR="00FE07BA" w:rsidRDefault="00FE07BA" w:rsidP="00FE07BA">
            <w:pPr>
              <w:pStyle w:val="Heading2"/>
              <w:numPr>
                <w:ilvl w:val="0"/>
                <w:numId w:val="0"/>
              </w:numPr>
              <w:outlineLvl w:val="1"/>
            </w:pPr>
            <w:r>
              <w:t>Target date for responses to clarification questions</w:t>
            </w:r>
          </w:p>
        </w:tc>
        <w:tc>
          <w:tcPr>
            <w:tcW w:w="3780" w:type="dxa"/>
          </w:tcPr>
          <w:p w:rsidR="003273D3" w:rsidRPr="001A6027" w:rsidRDefault="00325697" w:rsidP="00F00AC9">
            <w:pPr>
              <w:pStyle w:val="Heading2"/>
              <w:numPr>
                <w:ilvl w:val="0"/>
                <w:numId w:val="0"/>
              </w:numPr>
              <w:tabs>
                <w:tab w:val="left" w:pos="1652"/>
              </w:tabs>
              <w:outlineLvl w:val="1"/>
              <w:rPr>
                <w:color w:val="auto"/>
                <w:shd w:val="clear" w:color="auto" w:fill="FFFFFF" w:themeFill="background1"/>
              </w:rPr>
            </w:pPr>
            <w:r>
              <w:rPr>
                <w:color w:val="auto"/>
                <w:shd w:val="clear" w:color="auto" w:fill="FFFFFF" w:themeFill="background1"/>
              </w:rPr>
              <w:t>16</w:t>
            </w:r>
            <w:r w:rsidRPr="00325697">
              <w:rPr>
                <w:color w:val="auto"/>
                <w:shd w:val="clear" w:color="auto" w:fill="FFFFFF" w:themeFill="background1"/>
                <w:vertAlign w:val="superscript"/>
              </w:rPr>
              <w:t>th</w:t>
            </w:r>
            <w:r>
              <w:rPr>
                <w:color w:val="auto"/>
                <w:shd w:val="clear" w:color="auto" w:fill="FFFFFF" w:themeFill="background1"/>
              </w:rPr>
              <w:t xml:space="preserve"> </w:t>
            </w:r>
            <w:r w:rsidR="00826340" w:rsidRPr="001A6027">
              <w:rPr>
                <w:color w:val="auto"/>
                <w:shd w:val="clear" w:color="auto" w:fill="FFFFFF" w:themeFill="background1"/>
              </w:rPr>
              <w:t>December 2016</w:t>
            </w:r>
          </w:p>
          <w:p w:rsidR="00F00AC9" w:rsidRPr="001A6027" w:rsidRDefault="00F00AC9" w:rsidP="00F00AC9">
            <w:pPr>
              <w:pStyle w:val="Heading2"/>
              <w:numPr>
                <w:ilvl w:val="0"/>
                <w:numId w:val="0"/>
              </w:numPr>
              <w:tabs>
                <w:tab w:val="left" w:pos="1652"/>
              </w:tabs>
              <w:outlineLvl w:val="1"/>
              <w:rPr>
                <w:color w:val="auto"/>
                <w:shd w:val="clear" w:color="auto" w:fill="FFFFFF" w:themeFill="background1"/>
              </w:rPr>
            </w:pPr>
          </w:p>
        </w:tc>
      </w:tr>
      <w:tr w:rsidR="00FE07BA" w:rsidTr="00325697">
        <w:tc>
          <w:tcPr>
            <w:tcW w:w="5103" w:type="dxa"/>
          </w:tcPr>
          <w:p w:rsidR="00FE07BA" w:rsidRDefault="00FE07BA" w:rsidP="0044309E">
            <w:pPr>
              <w:pStyle w:val="Heading2"/>
              <w:numPr>
                <w:ilvl w:val="0"/>
                <w:numId w:val="0"/>
              </w:numPr>
              <w:outlineLvl w:val="1"/>
            </w:pPr>
            <w:r>
              <w:t>Deadline for</w:t>
            </w:r>
            <w:r w:rsidR="0044309E">
              <w:t xml:space="preserve"> </w:t>
            </w:r>
            <w:r>
              <w:t>receipt of Tenders</w:t>
            </w:r>
          </w:p>
        </w:tc>
        <w:tc>
          <w:tcPr>
            <w:tcW w:w="3780" w:type="dxa"/>
          </w:tcPr>
          <w:p w:rsidR="003273D3" w:rsidRPr="001A6027" w:rsidRDefault="00C14CDA" w:rsidP="001008E4">
            <w:pPr>
              <w:pStyle w:val="Heading2"/>
              <w:numPr>
                <w:ilvl w:val="0"/>
                <w:numId w:val="0"/>
              </w:numPr>
              <w:outlineLvl w:val="1"/>
              <w:rPr>
                <w:color w:val="auto"/>
                <w:shd w:val="clear" w:color="auto" w:fill="FFFFFF" w:themeFill="background1"/>
              </w:rPr>
            </w:pPr>
            <w:r w:rsidRPr="001A6027">
              <w:rPr>
                <w:color w:val="auto"/>
                <w:shd w:val="clear" w:color="auto" w:fill="FFFFFF" w:themeFill="background1"/>
              </w:rPr>
              <w:t xml:space="preserve">12:00 noon </w:t>
            </w:r>
            <w:r w:rsidR="00A56FA1" w:rsidRPr="001A6027">
              <w:rPr>
                <w:color w:val="auto"/>
                <w:shd w:val="clear" w:color="auto" w:fill="FFFFFF" w:themeFill="background1"/>
              </w:rPr>
              <w:t>20</w:t>
            </w:r>
            <w:r w:rsidR="00A56FA1" w:rsidRPr="001A6027">
              <w:rPr>
                <w:color w:val="auto"/>
                <w:shd w:val="clear" w:color="auto" w:fill="FFFFFF" w:themeFill="background1"/>
                <w:vertAlign w:val="superscript"/>
              </w:rPr>
              <w:t>th</w:t>
            </w:r>
            <w:r w:rsidR="00A56FA1" w:rsidRPr="001A6027">
              <w:rPr>
                <w:color w:val="auto"/>
                <w:shd w:val="clear" w:color="auto" w:fill="FFFFFF" w:themeFill="background1"/>
              </w:rPr>
              <w:t xml:space="preserve"> </w:t>
            </w:r>
            <w:r w:rsidR="001008E4" w:rsidRPr="001A6027">
              <w:rPr>
                <w:color w:val="auto"/>
                <w:shd w:val="clear" w:color="auto" w:fill="FFFFFF" w:themeFill="background1"/>
              </w:rPr>
              <w:t xml:space="preserve"> January 2017</w:t>
            </w:r>
          </w:p>
          <w:p w:rsidR="001008E4" w:rsidRPr="001A6027" w:rsidRDefault="001008E4" w:rsidP="001008E4">
            <w:pPr>
              <w:pStyle w:val="Heading2"/>
              <w:numPr>
                <w:ilvl w:val="0"/>
                <w:numId w:val="0"/>
              </w:numPr>
              <w:outlineLvl w:val="1"/>
              <w:rPr>
                <w:color w:val="auto"/>
                <w:shd w:val="clear" w:color="auto" w:fill="FFFFFF" w:themeFill="background1"/>
              </w:rPr>
            </w:pPr>
          </w:p>
        </w:tc>
      </w:tr>
      <w:tr w:rsidR="00FE07BA" w:rsidTr="00325697">
        <w:tc>
          <w:tcPr>
            <w:tcW w:w="5103" w:type="dxa"/>
          </w:tcPr>
          <w:p w:rsidR="00FE07BA" w:rsidRDefault="00FE07BA" w:rsidP="00FE07BA">
            <w:pPr>
              <w:pStyle w:val="Heading2"/>
              <w:numPr>
                <w:ilvl w:val="0"/>
                <w:numId w:val="0"/>
              </w:numPr>
              <w:outlineLvl w:val="1"/>
            </w:pPr>
            <w:r>
              <w:t>Evaluation of Tenders</w:t>
            </w:r>
          </w:p>
        </w:tc>
        <w:tc>
          <w:tcPr>
            <w:tcW w:w="3780" w:type="dxa"/>
          </w:tcPr>
          <w:p w:rsidR="003273D3" w:rsidRDefault="00A56FA1" w:rsidP="00325697">
            <w:pPr>
              <w:pStyle w:val="Heading2"/>
              <w:numPr>
                <w:ilvl w:val="0"/>
                <w:numId w:val="0"/>
              </w:numPr>
              <w:outlineLvl w:val="1"/>
              <w:rPr>
                <w:color w:val="auto"/>
                <w:shd w:val="clear" w:color="auto" w:fill="FFFFFF" w:themeFill="background1"/>
              </w:rPr>
            </w:pPr>
            <w:r w:rsidRPr="001A6027">
              <w:rPr>
                <w:color w:val="auto"/>
                <w:shd w:val="clear" w:color="auto" w:fill="FFFFFF" w:themeFill="background1"/>
              </w:rPr>
              <w:t>20</w:t>
            </w:r>
            <w:r w:rsidRPr="001A6027">
              <w:rPr>
                <w:color w:val="auto"/>
                <w:shd w:val="clear" w:color="auto" w:fill="FFFFFF" w:themeFill="background1"/>
                <w:vertAlign w:val="superscript"/>
              </w:rPr>
              <w:t>th</w:t>
            </w:r>
            <w:r w:rsidRPr="001A6027">
              <w:rPr>
                <w:color w:val="auto"/>
                <w:shd w:val="clear" w:color="auto" w:fill="FFFFFF" w:themeFill="background1"/>
              </w:rPr>
              <w:t xml:space="preserve"> </w:t>
            </w:r>
            <w:r w:rsidR="00C14CDA" w:rsidRPr="001A6027">
              <w:rPr>
                <w:color w:val="auto"/>
                <w:shd w:val="clear" w:color="auto" w:fill="FFFFFF" w:themeFill="background1"/>
              </w:rPr>
              <w:t xml:space="preserve"> </w:t>
            </w:r>
            <w:r w:rsidR="001008E4" w:rsidRPr="001A6027">
              <w:rPr>
                <w:color w:val="auto"/>
                <w:shd w:val="clear" w:color="auto" w:fill="FFFFFF" w:themeFill="background1"/>
              </w:rPr>
              <w:t xml:space="preserve">January 2017 – </w:t>
            </w:r>
            <w:r w:rsidR="00325697">
              <w:rPr>
                <w:color w:val="auto"/>
                <w:shd w:val="clear" w:color="auto" w:fill="FFFFFF" w:themeFill="background1"/>
              </w:rPr>
              <w:t>3</w:t>
            </w:r>
            <w:r w:rsidR="00325697" w:rsidRPr="00325697">
              <w:rPr>
                <w:color w:val="auto"/>
                <w:shd w:val="clear" w:color="auto" w:fill="FFFFFF" w:themeFill="background1"/>
                <w:vertAlign w:val="superscript"/>
              </w:rPr>
              <w:t>rd</w:t>
            </w:r>
            <w:r w:rsidR="00325697">
              <w:rPr>
                <w:color w:val="auto"/>
                <w:shd w:val="clear" w:color="auto" w:fill="FFFFFF" w:themeFill="background1"/>
              </w:rPr>
              <w:t xml:space="preserve"> February 2017</w:t>
            </w:r>
          </w:p>
          <w:p w:rsidR="00325697" w:rsidRPr="001A6027" w:rsidRDefault="00325697" w:rsidP="00325697">
            <w:pPr>
              <w:pStyle w:val="Heading2"/>
              <w:numPr>
                <w:ilvl w:val="0"/>
                <w:numId w:val="0"/>
              </w:numPr>
              <w:outlineLvl w:val="1"/>
              <w:rPr>
                <w:color w:val="auto"/>
                <w:shd w:val="clear" w:color="auto" w:fill="FFFFFF" w:themeFill="background1"/>
              </w:rPr>
            </w:pPr>
          </w:p>
        </w:tc>
      </w:tr>
      <w:tr w:rsidR="001008E4" w:rsidTr="00325697">
        <w:tc>
          <w:tcPr>
            <w:tcW w:w="5103" w:type="dxa"/>
          </w:tcPr>
          <w:p w:rsidR="001008E4" w:rsidRDefault="001008E4" w:rsidP="00FE07BA">
            <w:pPr>
              <w:pStyle w:val="Heading2"/>
              <w:numPr>
                <w:ilvl w:val="0"/>
                <w:numId w:val="0"/>
              </w:numPr>
              <w:outlineLvl w:val="1"/>
            </w:pPr>
            <w:r>
              <w:t xml:space="preserve">Clarification </w:t>
            </w:r>
            <w:r w:rsidR="0044309E">
              <w:t>and Presentation/Demonstration Meeting</w:t>
            </w:r>
          </w:p>
          <w:p w:rsidR="001008E4" w:rsidRDefault="001008E4" w:rsidP="00FE07BA">
            <w:pPr>
              <w:pStyle w:val="Heading2"/>
              <w:numPr>
                <w:ilvl w:val="0"/>
                <w:numId w:val="0"/>
              </w:numPr>
              <w:outlineLvl w:val="1"/>
            </w:pPr>
          </w:p>
        </w:tc>
        <w:tc>
          <w:tcPr>
            <w:tcW w:w="3780" w:type="dxa"/>
          </w:tcPr>
          <w:p w:rsidR="001008E4" w:rsidRPr="001A6027" w:rsidRDefault="0044309E" w:rsidP="00325697">
            <w:pPr>
              <w:pStyle w:val="Heading2"/>
              <w:numPr>
                <w:ilvl w:val="0"/>
                <w:numId w:val="0"/>
              </w:numPr>
              <w:outlineLvl w:val="1"/>
              <w:rPr>
                <w:color w:val="auto"/>
                <w:shd w:val="clear" w:color="auto" w:fill="FFFFFF" w:themeFill="background1"/>
              </w:rPr>
            </w:pPr>
            <w:r w:rsidRPr="001A6027">
              <w:rPr>
                <w:color w:val="auto"/>
                <w:shd w:val="clear" w:color="auto" w:fill="FFFFFF" w:themeFill="background1"/>
              </w:rPr>
              <w:t xml:space="preserve">w/c </w:t>
            </w:r>
            <w:r w:rsidR="00325697">
              <w:rPr>
                <w:color w:val="auto"/>
                <w:shd w:val="clear" w:color="auto" w:fill="FFFFFF" w:themeFill="background1"/>
              </w:rPr>
              <w:t>6</w:t>
            </w:r>
            <w:r w:rsidR="00325697" w:rsidRPr="00325697">
              <w:rPr>
                <w:color w:val="auto"/>
                <w:shd w:val="clear" w:color="auto" w:fill="FFFFFF" w:themeFill="background1"/>
                <w:vertAlign w:val="superscript"/>
              </w:rPr>
              <w:t>th</w:t>
            </w:r>
            <w:r w:rsidR="00325697">
              <w:rPr>
                <w:color w:val="auto"/>
                <w:shd w:val="clear" w:color="auto" w:fill="FFFFFF" w:themeFill="background1"/>
              </w:rPr>
              <w:t xml:space="preserve"> February 2017</w:t>
            </w:r>
          </w:p>
        </w:tc>
      </w:tr>
      <w:tr w:rsidR="00C14CDA" w:rsidTr="00325697">
        <w:tc>
          <w:tcPr>
            <w:tcW w:w="5103" w:type="dxa"/>
          </w:tcPr>
          <w:p w:rsidR="00C14CDA" w:rsidRDefault="00C14CDA" w:rsidP="00FE07BA">
            <w:pPr>
              <w:pStyle w:val="Heading2"/>
              <w:numPr>
                <w:ilvl w:val="0"/>
                <w:numId w:val="0"/>
              </w:numPr>
              <w:outlineLvl w:val="1"/>
            </w:pPr>
            <w:r>
              <w:t>Notification of contract award decision</w:t>
            </w:r>
          </w:p>
        </w:tc>
        <w:tc>
          <w:tcPr>
            <w:tcW w:w="3780" w:type="dxa"/>
          </w:tcPr>
          <w:p w:rsidR="00C14CDA" w:rsidRDefault="00325697" w:rsidP="00325697">
            <w:r>
              <w:t>17</w:t>
            </w:r>
            <w:r w:rsidRPr="00325697">
              <w:rPr>
                <w:vertAlign w:val="superscript"/>
              </w:rPr>
              <w:t>th</w:t>
            </w:r>
            <w:r>
              <w:t xml:space="preserve"> February 2017</w:t>
            </w:r>
          </w:p>
          <w:p w:rsidR="004C79D3" w:rsidRPr="001A6027" w:rsidRDefault="004C79D3" w:rsidP="00325697"/>
        </w:tc>
      </w:tr>
      <w:tr w:rsidR="00C14CDA" w:rsidTr="00325697">
        <w:tc>
          <w:tcPr>
            <w:tcW w:w="5103" w:type="dxa"/>
          </w:tcPr>
          <w:p w:rsidR="00C14CDA" w:rsidRDefault="00C14CDA" w:rsidP="00FE07BA">
            <w:pPr>
              <w:pStyle w:val="Heading2"/>
              <w:numPr>
                <w:ilvl w:val="0"/>
                <w:numId w:val="0"/>
              </w:numPr>
              <w:outlineLvl w:val="1"/>
            </w:pPr>
            <w:r>
              <w:t>Contract award</w:t>
            </w:r>
          </w:p>
        </w:tc>
        <w:tc>
          <w:tcPr>
            <w:tcW w:w="3780" w:type="dxa"/>
          </w:tcPr>
          <w:p w:rsidR="00C14CDA" w:rsidRDefault="00325697" w:rsidP="00433269">
            <w:r>
              <w:t>17</w:t>
            </w:r>
            <w:r w:rsidRPr="00325697">
              <w:rPr>
                <w:vertAlign w:val="superscript"/>
              </w:rPr>
              <w:t>th</w:t>
            </w:r>
            <w:r>
              <w:t xml:space="preserve"> February 2017</w:t>
            </w:r>
          </w:p>
          <w:p w:rsidR="004C79D3" w:rsidRPr="001A6027" w:rsidRDefault="004C79D3" w:rsidP="00433269"/>
        </w:tc>
      </w:tr>
      <w:tr w:rsidR="00C14CDA" w:rsidTr="00325697">
        <w:tc>
          <w:tcPr>
            <w:tcW w:w="5103" w:type="dxa"/>
          </w:tcPr>
          <w:p w:rsidR="00C14CDA" w:rsidRPr="00BA1662" w:rsidRDefault="00C14CDA" w:rsidP="00FE07BA">
            <w:pPr>
              <w:pStyle w:val="Heading2"/>
              <w:numPr>
                <w:ilvl w:val="0"/>
                <w:numId w:val="0"/>
              </w:numPr>
              <w:outlineLvl w:val="1"/>
            </w:pPr>
            <w:r w:rsidRPr="00BA1662">
              <w:t xml:space="preserve">Contract work starts </w:t>
            </w:r>
          </w:p>
        </w:tc>
        <w:tc>
          <w:tcPr>
            <w:tcW w:w="3780" w:type="dxa"/>
            <w:shd w:val="clear" w:color="auto" w:fill="auto"/>
          </w:tcPr>
          <w:p w:rsidR="00C14CDA" w:rsidRDefault="00325697" w:rsidP="00325697">
            <w:r>
              <w:t>20</w:t>
            </w:r>
            <w:r w:rsidR="001A6027" w:rsidRPr="00BA1662">
              <w:rPr>
                <w:vertAlign w:val="superscript"/>
              </w:rPr>
              <w:t>th</w:t>
            </w:r>
            <w:r w:rsidR="001A6027" w:rsidRPr="00BA1662">
              <w:t xml:space="preserve"> February 2017</w:t>
            </w:r>
          </w:p>
          <w:p w:rsidR="008B4EAA" w:rsidRPr="00BA1662" w:rsidRDefault="008B4EAA" w:rsidP="00325697"/>
        </w:tc>
      </w:tr>
    </w:tbl>
    <w:p w:rsidR="009A3E29" w:rsidRPr="009A3E29" w:rsidRDefault="002236C5" w:rsidP="00826340">
      <w:pPr>
        <w:pStyle w:val="Heading2"/>
        <w:numPr>
          <w:ilvl w:val="0"/>
          <w:numId w:val="0"/>
        </w:numPr>
        <w:spacing w:after="0"/>
        <w:ind w:left="851"/>
      </w:pPr>
      <w:r>
        <w:rPr>
          <w:noProof/>
        </w:rPr>
        <mc:AlternateContent>
          <mc:Choice Requires="wps">
            <w:drawing>
              <wp:anchor distT="0" distB="0" distL="114300" distR="114300" simplePos="0" relativeHeight="251662336" behindDoc="0" locked="0" layoutInCell="1" allowOverlap="1" wp14:anchorId="3A0173C3" wp14:editId="64C2CE10">
                <wp:simplePos x="0" y="0"/>
                <wp:positionH relativeFrom="column">
                  <wp:posOffset>5921485</wp:posOffset>
                </wp:positionH>
                <wp:positionV relativeFrom="paragraph">
                  <wp:posOffset>154305</wp:posOffset>
                </wp:positionV>
                <wp:extent cx="596348" cy="397565"/>
                <wp:effectExtent l="0" t="0" r="0" b="2540"/>
                <wp:wrapNone/>
                <wp:docPr id="4" name="Text Box 4"/>
                <wp:cNvGraphicFramePr/>
                <a:graphic xmlns:a="http://schemas.openxmlformats.org/drawingml/2006/main">
                  <a:graphicData uri="http://schemas.microsoft.com/office/word/2010/wordprocessingShape">
                    <wps:wsp>
                      <wps:cNvSpPr txBox="1"/>
                      <wps:spPr>
                        <a:xfrm>
                          <a:off x="0" y="0"/>
                          <a:ext cx="596348" cy="3975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7359C" w:rsidRDefault="006735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30" type="#_x0000_t202" style="position:absolute;left:0;text-align:left;margin-left:466.25pt;margin-top:12.15pt;width:46.95pt;height:31.3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" fillcolor="white [3201]" stroked="f" strokeweight=".5pt">
                <v:textbox>
                  <w:txbxContent>
                    <w:p w:rsidR="0067359C" w:rsidRDefault="0067359C"/>
                  </w:txbxContent>
                </v:textbox>
              </v:shape>
            </w:pict>
          </mc:Fallback>
        </mc:AlternateContent>
      </w:r>
    </w:p>
    <w:p w:rsidR="00FE07BA" w:rsidRDefault="00FE07BA" w:rsidP="008B4EAA">
      <w:pPr>
        <w:pStyle w:val="MRNumberedHeading2"/>
        <w:spacing w:before="0"/>
      </w:pPr>
      <w:bookmarkStart w:id="42" w:name="_Toc403555100"/>
      <w:bookmarkStart w:id="43" w:name="_Ref405452899"/>
      <w:r>
        <w:t>Whilst the Authority does not intend to depart from the timetable, it reserves the right to do so at any stage.</w:t>
      </w:r>
      <w:bookmarkEnd w:id="42"/>
      <w:bookmarkEnd w:id="43"/>
      <w:r>
        <w:t xml:space="preserve">  </w:t>
      </w:r>
    </w:p>
    <w:p w:rsidR="000831C0" w:rsidRPr="00276E1B" w:rsidRDefault="000E189B" w:rsidP="004270D9">
      <w:pPr>
        <w:pStyle w:val="Heading1"/>
        <w:spacing w:before="240" w:after="0"/>
        <w:ind w:left="851"/>
      </w:pPr>
      <w:bookmarkStart w:id="44" w:name="_Toc403555104"/>
      <w:r w:rsidRPr="00276E1B">
        <w:t>Deadline for receipt of Tenders</w:t>
      </w:r>
      <w:bookmarkEnd w:id="44"/>
      <w:r w:rsidRPr="00276E1B">
        <w:t xml:space="preserve"> </w:t>
      </w:r>
    </w:p>
    <w:bookmarkStart w:id="45" w:name="_Toc403555105"/>
    <w:p w:rsidR="000831C0" w:rsidRDefault="00BE6503" w:rsidP="004270D9">
      <w:pPr>
        <w:pStyle w:val="MRNumberedHeading2"/>
      </w:pPr>
      <w:r>
        <w:rPr>
          <w:noProof/>
        </w:rPr>
        <mc:AlternateContent>
          <mc:Choice Requires="wps">
            <w:drawing>
              <wp:anchor distT="0" distB="0" distL="114300" distR="114300" simplePos="0" relativeHeight="251686912" behindDoc="0" locked="0" layoutInCell="1" allowOverlap="1" wp14:anchorId="6685E1B5" wp14:editId="3930DC22">
                <wp:simplePos x="0" y="0"/>
                <wp:positionH relativeFrom="column">
                  <wp:posOffset>5921430</wp:posOffset>
                </wp:positionH>
                <wp:positionV relativeFrom="paragraph">
                  <wp:posOffset>427355</wp:posOffset>
                </wp:positionV>
                <wp:extent cx="532130" cy="421419"/>
                <wp:effectExtent l="0" t="0" r="0" b="0"/>
                <wp:wrapNone/>
                <wp:docPr id="7" name="Text Box 7"/>
                <wp:cNvGraphicFramePr/>
                <a:graphic xmlns:a="http://schemas.openxmlformats.org/drawingml/2006/main">
                  <a:graphicData uri="http://schemas.microsoft.com/office/word/2010/wordprocessingShape">
                    <wps:wsp>
                      <wps:cNvSpPr txBox="1"/>
                      <wps:spPr>
                        <a:xfrm>
                          <a:off x="0" y="0"/>
                          <a:ext cx="532130" cy="421419"/>
                        </a:xfrm>
                        <a:prstGeom prst="rect">
                          <a:avLst/>
                        </a:prstGeom>
                        <a:noFill/>
                        <a:ln w="6350">
                          <a:noFill/>
                        </a:ln>
                        <a:effectLst/>
                      </wps:spPr>
                      <wps:txbx>
                        <w:txbxContent>
                          <w:p w:rsidR="0067359C" w:rsidRPr="00E67376" w:rsidRDefault="0067359C" w:rsidP="00BE6503">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 o:spid="_x0000_s1031" type="#_x0000_t202" style="position:absolute;left:0;text-align:left;margin-left:466.25pt;margin-top:33.65pt;width:41.9pt;height:33.2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" filled="f" stroked="f" strokeweight=".5pt">
                <v:textbox>
                  <w:txbxContent>
                    <w:p w:rsidR="0067359C" w:rsidRPr="00E67376" w:rsidRDefault="0067359C" w:rsidP="00BE6503">
                      <w:pPr>
                        <w:rPr>
                          <w:color w:val="FF0000"/>
                        </w:rPr>
                      </w:pPr>
                    </w:p>
                  </w:txbxContent>
                </v:textbox>
              </v:shape>
            </w:pict>
          </mc:Fallback>
        </mc:AlternateContent>
      </w:r>
      <w:r w:rsidR="0083677A">
        <w:t>Bidders must submit their Tenders</w:t>
      </w:r>
      <w:r w:rsidR="00E37725">
        <w:t xml:space="preserve"> in the manner</w:t>
      </w:r>
      <w:r w:rsidR="00807CF7">
        <w:t xml:space="preserve"> prescribed in section 3</w:t>
      </w:r>
      <w:r w:rsidR="00E37725">
        <w:t xml:space="preserve"> below </w:t>
      </w:r>
      <w:r w:rsidR="00807CF7">
        <w:t xml:space="preserve">no later than </w:t>
      </w:r>
      <w:r w:rsidR="0083677A">
        <w:t xml:space="preserve">the </w:t>
      </w:r>
      <w:r w:rsidR="0083677A" w:rsidRPr="005C5973">
        <w:t>date and time</w:t>
      </w:r>
      <w:r w:rsidR="00807CF7">
        <w:t xml:space="preserve"> </w:t>
      </w:r>
      <w:r w:rsidR="0083677A">
        <w:t>specified on the front cover of this ITT.</w:t>
      </w:r>
      <w:bookmarkEnd w:id="45"/>
    </w:p>
    <w:p w:rsidR="00E37725" w:rsidRDefault="00807CF7" w:rsidP="004270D9">
      <w:pPr>
        <w:pStyle w:val="MRNumberedHeading2"/>
      </w:pPr>
      <w:bookmarkStart w:id="46" w:name="_Toc403555106"/>
      <w:bookmarkStart w:id="47" w:name="_Ref405452913"/>
      <w:r>
        <w:t>Any Tender received after the d</w:t>
      </w:r>
      <w:r w:rsidR="00E37725">
        <w:t>eadline</w:t>
      </w:r>
      <w:r w:rsidR="0083677A">
        <w:t xml:space="preserve"> or by any method other than via the </w:t>
      </w:r>
      <w:r w:rsidR="006C6F4A">
        <w:t xml:space="preserve">e-Tendering </w:t>
      </w:r>
      <w:r w:rsidR="004230E7">
        <w:t>Portal</w:t>
      </w:r>
      <w:r w:rsidR="00E37725">
        <w:t xml:space="preserve"> </w:t>
      </w:r>
      <w:r w:rsidR="002E1DD8">
        <w:t>may</w:t>
      </w:r>
      <w:r w:rsidR="00E37725">
        <w:t xml:space="preserve"> not be considered. The Authority may</w:t>
      </w:r>
      <w:r w:rsidR="00E9460D">
        <w:t xml:space="preserve"> </w:t>
      </w:r>
      <w:r w:rsidR="00E02FBA">
        <w:t>at</w:t>
      </w:r>
      <w:r w:rsidR="00E37725">
        <w:t xml:space="preserve"> its </w:t>
      </w:r>
      <w:r>
        <w:t>discretion extend the d</w:t>
      </w:r>
      <w:r w:rsidR="00E37725">
        <w:t>eadline and in such</w:t>
      </w:r>
      <w:r w:rsidR="00E9460D">
        <w:t xml:space="preserve"> </w:t>
      </w:r>
      <w:r w:rsidR="00E37725">
        <w:t xml:space="preserve">circumstances the Authority will notify all </w:t>
      </w:r>
      <w:r w:rsidR="00E7163F">
        <w:t>Bidders</w:t>
      </w:r>
      <w:r w:rsidR="00E37725">
        <w:t xml:space="preserve"> of any change.</w:t>
      </w:r>
      <w:bookmarkEnd w:id="46"/>
      <w:bookmarkEnd w:id="47"/>
    </w:p>
    <w:p w:rsidR="000831C0" w:rsidRPr="00433269" w:rsidRDefault="009852C1" w:rsidP="004270D9">
      <w:pPr>
        <w:pStyle w:val="MRNumberedHeading2"/>
        <w:rPr>
          <w:shd w:val="clear" w:color="auto" w:fill="FFFFFF" w:themeFill="background1"/>
        </w:rPr>
      </w:pPr>
      <w:bookmarkStart w:id="48" w:name="_Toc403555108"/>
      <w:bookmarkStart w:id="49" w:name="_Ref405452921"/>
      <w:r w:rsidRPr="00433269">
        <w:rPr>
          <w:shd w:val="clear" w:color="auto" w:fill="FFFFFF" w:themeFill="background1"/>
        </w:rPr>
        <w:t xml:space="preserve">All </w:t>
      </w:r>
      <w:r w:rsidR="00E7163F" w:rsidRPr="00433269">
        <w:rPr>
          <w:shd w:val="clear" w:color="auto" w:fill="FFFFFF" w:themeFill="background1"/>
        </w:rPr>
        <w:t>Bidders</w:t>
      </w:r>
      <w:r w:rsidRPr="00433269">
        <w:rPr>
          <w:shd w:val="clear" w:color="auto" w:fill="FFFFFF" w:themeFill="background1"/>
        </w:rPr>
        <w:t xml:space="preserve"> are</w:t>
      </w:r>
      <w:r w:rsidR="00AF0A69" w:rsidRPr="00433269">
        <w:rPr>
          <w:shd w:val="clear" w:color="auto" w:fill="FFFFFF" w:themeFill="background1"/>
        </w:rPr>
        <w:t xml:space="preserve"> asked to make available) reference site(</w:t>
      </w:r>
      <w:r w:rsidRPr="00433269">
        <w:rPr>
          <w:shd w:val="clear" w:color="auto" w:fill="FFFFFF" w:themeFill="background1"/>
        </w:rPr>
        <w:t>s</w:t>
      </w:r>
      <w:r w:rsidR="00AF0A69" w:rsidRPr="00433269">
        <w:rPr>
          <w:shd w:val="clear" w:color="auto" w:fill="FFFFFF" w:themeFill="background1"/>
        </w:rPr>
        <w:t>)</w:t>
      </w:r>
      <w:r w:rsidRPr="00433269">
        <w:rPr>
          <w:shd w:val="clear" w:color="auto" w:fill="FFFFFF" w:themeFill="background1"/>
        </w:rPr>
        <w:t>. The reference site</w:t>
      </w:r>
      <w:r w:rsidR="00BA14FB" w:rsidRPr="00433269">
        <w:rPr>
          <w:shd w:val="clear" w:color="auto" w:fill="FFFFFF" w:themeFill="background1"/>
        </w:rPr>
        <w:t xml:space="preserve">s should preferably be </w:t>
      </w:r>
      <w:r w:rsidR="0044309E" w:rsidRPr="00433269">
        <w:rPr>
          <w:shd w:val="clear" w:color="auto" w:fill="FFFFFF" w:themeFill="background1"/>
        </w:rPr>
        <w:t xml:space="preserve">NHS </w:t>
      </w:r>
      <w:r w:rsidR="00BA14FB" w:rsidRPr="00433269">
        <w:rPr>
          <w:shd w:val="clear" w:color="auto" w:fill="FFFFFF" w:themeFill="background1"/>
        </w:rPr>
        <w:t xml:space="preserve">and </w:t>
      </w:r>
      <w:r w:rsidRPr="00433269">
        <w:rPr>
          <w:shd w:val="clear" w:color="auto" w:fill="FFFFFF" w:themeFill="background1"/>
        </w:rPr>
        <w:t xml:space="preserve">visits </w:t>
      </w:r>
      <w:r w:rsidR="00BA14FB" w:rsidRPr="00433269">
        <w:rPr>
          <w:shd w:val="clear" w:color="auto" w:fill="FFFFFF" w:themeFill="background1"/>
        </w:rPr>
        <w:t xml:space="preserve">may </w:t>
      </w:r>
      <w:r w:rsidRPr="00433269">
        <w:rPr>
          <w:shd w:val="clear" w:color="auto" w:fill="FFFFFF" w:themeFill="background1"/>
        </w:rPr>
        <w:t>be required to</w:t>
      </w:r>
      <w:r w:rsidR="009F7574" w:rsidRPr="00433269">
        <w:rPr>
          <w:shd w:val="clear" w:color="auto" w:fill="FFFFFF" w:themeFill="background1"/>
        </w:rPr>
        <w:t xml:space="preserve"> verify specific aspects of Bidders'</w:t>
      </w:r>
      <w:r w:rsidRPr="00433269">
        <w:rPr>
          <w:shd w:val="clear" w:color="auto" w:fill="FFFFFF" w:themeFill="background1"/>
        </w:rPr>
        <w:t xml:space="preserve"> submissions </w:t>
      </w:r>
      <w:r w:rsidR="0034181A" w:rsidRPr="00433269">
        <w:rPr>
          <w:shd w:val="clear" w:color="auto" w:fill="FFFFFF" w:themeFill="background1"/>
        </w:rPr>
        <w:t>in response to the S</w:t>
      </w:r>
      <w:r w:rsidR="009F7574" w:rsidRPr="00433269">
        <w:rPr>
          <w:shd w:val="clear" w:color="auto" w:fill="FFFFFF" w:themeFill="background1"/>
        </w:rPr>
        <w:t>pecification.</w:t>
      </w:r>
      <w:bookmarkEnd w:id="48"/>
      <w:bookmarkEnd w:id="49"/>
    </w:p>
    <w:p w:rsidR="00BA14FB" w:rsidRPr="00433269" w:rsidRDefault="009852C1" w:rsidP="002F1591">
      <w:pPr>
        <w:pStyle w:val="MRNumberedHeading2"/>
        <w:rPr>
          <w:b/>
        </w:rPr>
      </w:pPr>
      <w:bookmarkStart w:id="50" w:name="_Toc403555110"/>
      <w:r w:rsidRPr="00433269">
        <w:rPr>
          <w:shd w:val="clear" w:color="auto" w:fill="FFFFFF" w:themeFill="background1"/>
        </w:rPr>
        <w:t>The Authority reserves the right</w:t>
      </w:r>
      <w:r w:rsidR="00BA14FB" w:rsidRPr="00433269">
        <w:rPr>
          <w:shd w:val="clear" w:color="auto" w:fill="FFFFFF" w:themeFill="background1"/>
        </w:rPr>
        <w:t xml:space="preserve"> to visit the sites of the top three (3) </w:t>
      </w:r>
      <w:r w:rsidRPr="00433269">
        <w:rPr>
          <w:shd w:val="clear" w:color="auto" w:fill="FFFFFF" w:themeFill="background1"/>
        </w:rPr>
        <w:t xml:space="preserve">scoring </w:t>
      </w:r>
      <w:r w:rsidR="00E7163F" w:rsidRPr="00433269">
        <w:rPr>
          <w:shd w:val="clear" w:color="auto" w:fill="FFFFFF" w:themeFill="background1"/>
        </w:rPr>
        <w:t>Bidders</w:t>
      </w:r>
      <w:bookmarkStart w:id="51" w:name="_Toc403555119"/>
      <w:bookmarkEnd w:id="50"/>
      <w:r w:rsidR="00BA14FB" w:rsidRPr="00433269">
        <w:rPr>
          <w:shd w:val="clear" w:color="auto" w:fill="FFFFFF" w:themeFill="background1"/>
        </w:rPr>
        <w:t>.</w:t>
      </w:r>
    </w:p>
    <w:p w:rsidR="002F1591" w:rsidRPr="00BA14FB" w:rsidRDefault="00740710" w:rsidP="002F1591">
      <w:pPr>
        <w:pStyle w:val="MRNumberedHeading2"/>
        <w:rPr>
          <w:b/>
        </w:rPr>
      </w:pPr>
      <w:r w:rsidRPr="00BA14FB">
        <w:rPr>
          <w:b/>
        </w:rPr>
        <w:t>Eligibility</w:t>
      </w:r>
      <w:r w:rsidR="002F1591" w:rsidRPr="00BA14FB">
        <w:rPr>
          <w:b/>
        </w:rPr>
        <w:t xml:space="preserve"> evidence</w:t>
      </w:r>
    </w:p>
    <w:bookmarkStart w:id="52" w:name="_Ref412565042"/>
    <w:p w:rsidR="002F1591" w:rsidRPr="005C7F16" w:rsidRDefault="002F1591" w:rsidP="002F1591">
      <w:pPr>
        <w:pStyle w:val="MRNumberedHeading2"/>
        <w:rPr>
          <w:i/>
        </w:rPr>
      </w:pPr>
      <w:r>
        <w:rPr>
          <w:noProof/>
        </w:rPr>
        <mc:AlternateContent>
          <mc:Choice Requires="wps">
            <w:drawing>
              <wp:anchor distT="0" distB="0" distL="114300" distR="114300" simplePos="0" relativeHeight="251727872" behindDoc="0" locked="0" layoutInCell="1" allowOverlap="1" wp14:anchorId="3D8EDF5A" wp14:editId="2D1B63E0">
                <wp:simplePos x="0" y="0"/>
                <wp:positionH relativeFrom="column">
                  <wp:posOffset>5855970</wp:posOffset>
                </wp:positionH>
                <wp:positionV relativeFrom="paragraph">
                  <wp:posOffset>99695</wp:posOffset>
                </wp:positionV>
                <wp:extent cx="548005" cy="492760"/>
                <wp:effectExtent l="0" t="0" r="4445" b="2540"/>
                <wp:wrapNone/>
                <wp:docPr id="21" name="Text Box 21"/>
                <wp:cNvGraphicFramePr/>
                <a:graphic xmlns:a="http://schemas.openxmlformats.org/drawingml/2006/main">
                  <a:graphicData uri="http://schemas.microsoft.com/office/word/2010/wordprocessingShape">
                    <wps:wsp>
                      <wps:cNvSpPr txBox="1"/>
                      <wps:spPr>
                        <a:xfrm>
                          <a:off x="0" y="0"/>
                          <a:ext cx="548005" cy="4927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7359C" w:rsidRDefault="0067359C" w:rsidP="003E08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1" o:spid="_x0000_s1032" type="#_x0000_t202" style="position:absolute;left:0;text-align:left;margin-left:461.1pt;margin-top:7.85pt;width:43.15pt;height:38.8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" fillcolor="white [3201]" stroked="f" strokeweight=".5pt">
                <v:textbox>
                  <w:txbxContent>
                    <w:p w:rsidR="0067359C" w:rsidRDefault="0067359C" w:rsidP="003E082E"/>
                  </w:txbxContent>
                </v:textbox>
              </v:shape>
            </w:pict>
          </mc:Fallback>
        </mc:AlternateContent>
      </w:r>
      <w:r>
        <w:t>Bidders</w:t>
      </w:r>
      <w:r w:rsidR="00740710">
        <w:t xml:space="preserve"> are required to provide</w:t>
      </w:r>
      <w:r>
        <w:t xml:space="preserve"> information</w:t>
      </w:r>
      <w:r w:rsidR="00740710">
        <w:t xml:space="preserve"> about their eligibility for this procurement and some of that information will be</w:t>
      </w:r>
      <w:r>
        <w:t xml:space="preserve"> self-certified </w:t>
      </w:r>
      <w:bookmarkStart w:id="53" w:name="hand217"/>
      <w:bookmarkEnd w:id="53"/>
      <w:r>
        <w:t xml:space="preserve">as accurate. During the standstill period, the </w:t>
      </w:r>
      <w:r w:rsidRPr="005C7F16">
        <w:t>Authority will require the successful Bidder to provide the following:</w:t>
      </w:r>
      <w:bookmarkEnd w:id="52"/>
    </w:p>
    <w:p w:rsidR="002F1591" w:rsidRPr="005C7F16" w:rsidRDefault="002F1591" w:rsidP="002F1591">
      <w:pPr>
        <w:pStyle w:val="MRNumberedHeading3"/>
        <w:numPr>
          <w:ilvl w:val="2"/>
          <w:numId w:val="23"/>
        </w:numPr>
        <w:tabs>
          <w:tab w:val="num" w:pos="1790"/>
        </w:tabs>
        <w:spacing w:line="240" w:lineRule="auto"/>
        <w:ind w:left="1702" w:hanging="851"/>
        <w:jc w:val="both"/>
        <w:rPr>
          <w:shd w:val="clear" w:color="auto" w:fill="FFFFFF" w:themeFill="background1"/>
        </w:rPr>
      </w:pPr>
      <w:r w:rsidRPr="005C7F16">
        <w:rPr>
          <w:shd w:val="clear" w:color="auto" w:fill="FFFFFF" w:themeFill="background1"/>
        </w:rPr>
        <w:t xml:space="preserve">proof as required in the Public Contracts Regulations 2015, Regulation 60(4) or (5), that none of the mandatory or discretionary grounds of exclusion referred to in the </w:t>
      </w:r>
      <w:r w:rsidR="00D82A34" w:rsidRPr="005C7F16">
        <w:rPr>
          <w:shd w:val="clear" w:color="auto" w:fill="FFFFFF" w:themeFill="background1"/>
        </w:rPr>
        <w:t>Eligibility Questions and Responses</w:t>
      </w:r>
      <w:r w:rsidR="00204EF0" w:rsidRPr="005C7F16">
        <w:rPr>
          <w:shd w:val="clear" w:color="auto" w:fill="FFFFFF" w:themeFill="background1"/>
        </w:rPr>
        <w:t xml:space="preserve"> document</w:t>
      </w:r>
      <w:r w:rsidR="00D82A34" w:rsidRPr="005C7F16">
        <w:rPr>
          <w:shd w:val="clear" w:color="auto" w:fill="FFFFFF" w:themeFill="background1"/>
        </w:rPr>
        <w:t xml:space="preserve"> found in </w:t>
      </w:r>
      <w:r w:rsidRPr="005C7F16">
        <w:rPr>
          <w:shd w:val="clear" w:color="auto" w:fill="FFFFFF" w:themeFill="background1"/>
        </w:rPr>
        <w:t>Annex</w:t>
      </w:r>
      <w:r w:rsidR="00A52A19" w:rsidRPr="005C7F16">
        <w:rPr>
          <w:shd w:val="clear" w:color="auto" w:fill="FFFFFF" w:themeFill="background1"/>
        </w:rPr>
        <w:t xml:space="preserve"> B1</w:t>
      </w:r>
      <w:r w:rsidR="00D82A34" w:rsidRPr="005C7F16">
        <w:rPr>
          <w:shd w:val="clear" w:color="auto" w:fill="FFFFFF" w:themeFill="background1"/>
        </w:rPr>
        <w:t xml:space="preserve"> of Section B of the ITT</w:t>
      </w:r>
      <w:r w:rsidR="00076CFE" w:rsidRPr="005C7F16">
        <w:rPr>
          <w:shd w:val="clear" w:color="auto" w:fill="FFFFFF" w:themeFill="background1"/>
        </w:rPr>
        <w:t xml:space="preserve"> applies</w:t>
      </w:r>
      <w:r w:rsidR="00D82A34" w:rsidRPr="005C7F16">
        <w:rPr>
          <w:shd w:val="clear" w:color="auto" w:fill="FFFFFF" w:themeFill="background1"/>
        </w:rPr>
        <w:t>;</w:t>
      </w:r>
    </w:p>
    <w:p w:rsidR="002F1591" w:rsidRPr="006016C0" w:rsidRDefault="002F1591" w:rsidP="002F1591">
      <w:pPr>
        <w:pStyle w:val="MRNumberedHeading3"/>
        <w:numPr>
          <w:ilvl w:val="2"/>
          <w:numId w:val="23"/>
        </w:numPr>
        <w:tabs>
          <w:tab w:val="num" w:pos="1790"/>
        </w:tabs>
        <w:spacing w:line="240" w:lineRule="auto"/>
        <w:ind w:left="1702" w:hanging="851"/>
        <w:jc w:val="both"/>
      </w:pPr>
      <w:r w:rsidRPr="006016C0">
        <w:rPr>
          <w:shd w:val="clear" w:color="auto" w:fill="FFFFFF" w:themeFill="background1"/>
        </w:rPr>
        <w:lastRenderedPageBreak/>
        <w:t>copies of the required insurance as set out i</w:t>
      </w:r>
      <w:r w:rsidR="001D79DD" w:rsidRPr="006016C0">
        <w:rPr>
          <w:shd w:val="clear" w:color="auto" w:fill="FFFFFF" w:themeFill="background1"/>
        </w:rPr>
        <w:t>n B.1 of the Eligibility Questions and Responses</w:t>
      </w:r>
      <w:r w:rsidR="00204EF0" w:rsidRPr="006016C0">
        <w:rPr>
          <w:shd w:val="clear" w:color="auto" w:fill="FFFFFF" w:themeFill="background1"/>
        </w:rPr>
        <w:t xml:space="preserve"> document</w:t>
      </w:r>
      <w:r w:rsidR="001D79DD" w:rsidRPr="006016C0">
        <w:rPr>
          <w:shd w:val="clear" w:color="auto" w:fill="FFFFFF" w:themeFill="background1"/>
        </w:rPr>
        <w:t xml:space="preserve"> found in Annex B1 of Section B of the ITT</w:t>
      </w:r>
      <w:r w:rsidRPr="006016C0">
        <w:rPr>
          <w:shd w:val="clear" w:color="auto" w:fill="FFFFFF" w:themeFill="background1"/>
        </w:rPr>
        <w:t>;</w:t>
      </w:r>
    </w:p>
    <w:p w:rsidR="0044309E" w:rsidRPr="0044309E" w:rsidRDefault="002F1591" w:rsidP="002F1591">
      <w:pPr>
        <w:pStyle w:val="MRNumberedHeading3"/>
        <w:numPr>
          <w:ilvl w:val="2"/>
          <w:numId w:val="23"/>
        </w:numPr>
        <w:tabs>
          <w:tab w:val="num" w:pos="1790"/>
        </w:tabs>
        <w:spacing w:line="240" w:lineRule="auto"/>
        <w:ind w:left="1702" w:hanging="851"/>
        <w:jc w:val="both"/>
      </w:pPr>
      <w:r w:rsidRPr="006016C0">
        <w:rPr>
          <w:shd w:val="clear" w:color="auto" w:fill="FFFFFF" w:themeFill="background1"/>
        </w:rPr>
        <w:t>a copy of your Health and Safety Policy;</w:t>
      </w:r>
    </w:p>
    <w:p w:rsidR="002F1591" w:rsidRPr="00433269" w:rsidRDefault="0044309E" w:rsidP="002F1591">
      <w:pPr>
        <w:pStyle w:val="MRNumberedHeading3"/>
        <w:numPr>
          <w:ilvl w:val="2"/>
          <w:numId w:val="23"/>
        </w:numPr>
        <w:tabs>
          <w:tab w:val="num" w:pos="1790"/>
        </w:tabs>
        <w:spacing w:line="240" w:lineRule="auto"/>
        <w:ind w:left="1702" w:hanging="851"/>
        <w:jc w:val="both"/>
      </w:pPr>
      <w:r w:rsidRPr="00433269">
        <w:rPr>
          <w:shd w:val="clear" w:color="auto" w:fill="FFFFFF" w:themeFill="background1"/>
        </w:rPr>
        <w:t>I</w:t>
      </w:r>
      <w:r w:rsidR="00433269" w:rsidRPr="00433269">
        <w:rPr>
          <w:shd w:val="clear" w:color="auto" w:fill="FFFFFF" w:themeFill="background1"/>
        </w:rPr>
        <w:t xml:space="preserve">nformation Governance </w:t>
      </w:r>
      <w:r w:rsidRPr="00433269">
        <w:rPr>
          <w:shd w:val="clear" w:color="auto" w:fill="FFFFFF" w:themeFill="background1"/>
        </w:rPr>
        <w:t xml:space="preserve"> see specification in Document B</w:t>
      </w:r>
      <w:r w:rsidR="00BA1662">
        <w:rPr>
          <w:shd w:val="clear" w:color="auto" w:fill="FFFFFF" w:themeFill="background1"/>
        </w:rPr>
        <w:t>.</w:t>
      </w:r>
    </w:p>
    <w:bookmarkStart w:id="54" w:name="_Toc403555120"/>
    <w:bookmarkEnd w:id="51"/>
    <w:p w:rsidR="002F1591" w:rsidRPr="002F1591" w:rsidRDefault="002F1591" w:rsidP="002F1591">
      <w:pPr>
        <w:pStyle w:val="Header"/>
        <w:spacing w:before="240"/>
        <w:ind w:left="851"/>
        <w:jc w:val="both"/>
        <w:rPr>
          <w:b/>
        </w:rPr>
      </w:pPr>
      <w:r>
        <w:rPr>
          <w:noProof/>
        </w:rPr>
        <mc:AlternateContent>
          <mc:Choice Requires="wps">
            <w:drawing>
              <wp:anchor distT="0" distB="0" distL="114300" distR="114300" simplePos="0" relativeHeight="251693056" behindDoc="0" locked="0" layoutInCell="1" allowOverlap="1" wp14:anchorId="0ED35C99" wp14:editId="5D94135A">
                <wp:simplePos x="0" y="0"/>
                <wp:positionH relativeFrom="column">
                  <wp:posOffset>5897880</wp:posOffset>
                </wp:positionH>
                <wp:positionV relativeFrom="paragraph">
                  <wp:posOffset>256540</wp:posOffset>
                </wp:positionV>
                <wp:extent cx="548005" cy="492760"/>
                <wp:effectExtent l="0" t="0" r="4445" b="2540"/>
                <wp:wrapNone/>
                <wp:docPr id="26" name="Text Box 26"/>
                <wp:cNvGraphicFramePr/>
                <a:graphic xmlns:a="http://schemas.openxmlformats.org/drawingml/2006/main">
                  <a:graphicData uri="http://schemas.microsoft.com/office/word/2010/wordprocessingShape">
                    <wps:wsp>
                      <wps:cNvSpPr txBox="1"/>
                      <wps:spPr>
                        <a:xfrm>
                          <a:off x="0" y="0"/>
                          <a:ext cx="548005" cy="4927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7359C" w:rsidRDefault="006735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6" o:spid="_x0000_s1033" type="#_x0000_t202" style="position:absolute;left:0;text-align:left;margin-left:464.4pt;margin-top:20.2pt;width:43.15pt;height:38.8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" fillcolor="white [3201]" stroked="f" strokeweight=".5pt">
                <v:textbox>
                  <w:txbxContent>
                    <w:p w:rsidR="0067359C" w:rsidRDefault="0067359C"/>
                  </w:txbxContent>
                </v:textbox>
              </v:shape>
            </w:pict>
          </mc:Fallback>
        </mc:AlternateContent>
      </w:r>
      <w:r w:rsidR="00740710">
        <w:rPr>
          <w:b/>
        </w:rPr>
        <w:t>Contract a</w:t>
      </w:r>
      <w:r w:rsidRPr="002F1591">
        <w:rPr>
          <w:b/>
        </w:rPr>
        <w:t>ward</w:t>
      </w:r>
    </w:p>
    <w:p w:rsidR="00E56F27" w:rsidRDefault="008824CC" w:rsidP="004270D9">
      <w:pPr>
        <w:pStyle w:val="MRNumberedHeading2"/>
      </w:pPr>
      <w:r>
        <w:t>Contract award is subject to the formal approval process of the Authority. Until all necessary approvals are obtained and the s</w:t>
      </w:r>
      <w:r w:rsidR="00E56F27">
        <w:t>tandstill period completed, no c</w:t>
      </w:r>
      <w:r>
        <w:t>ontract(s) will be entered into.</w:t>
      </w:r>
      <w:bookmarkEnd w:id="54"/>
    </w:p>
    <w:p w:rsidR="004E71FF" w:rsidRPr="005A2E47" w:rsidRDefault="008824CC" w:rsidP="004270D9">
      <w:pPr>
        <w:pStyle w:val="MRNumberedHeading2"/>
      </w:pPr>
      <w:bookmarkStart w:id="55" w:name="_Toc403555121"/>
      <w:bookmarkStart w:id="56" w:name="_Ref405452945"/>
      <w:r>
        <w:t>Once the Authority has reached a decision in respect of a cont</w:t>
      </w:r>
      <w:r w:rsidR="001065C5">
        <w:t>ract award, it will notify all B</w:t>
      </w:r>
      <w:r>
        <w:t>idders of that decision and provide for a stands</w:t>
      </w:r>
      <w:r w:rsidR="00E56F27">
        <w:t>till period in accordance with the Public Contracts Regul</w:t>
      </w:r>
      <w:r w:rsidR="00CF5955">
        <w:t>ations 2015</w:t>
      </w:r>
      <w:r w:rsidR="00E56F27">
        <w:t xml:space="preserve"> before entering into any c</w:t>
      </w:r>
      <w:r>
        <w:t>ontract(s).</w:t>
      </w:r>
      <w:bookmarkEnd w:id="55"/>
      <w:bookmarkEnd w:id="56"/>
      <w:r w:rsidR="004E71FF">
        <w:br w:type="page"/>
      </w:r>
    </w:p>
    <w:p w:rsidR="008824CC" w:rsidRPr="008F3D2C" w:rsidRDefault="00A57D02" w:rsidP="004270D9">
      <w:pPr>
        <w:pStyle w:val="MRNumberedHeading1"/>
        <w:numPr>
          <w:ilvl w:val="0"/>
          <w:numId w:val="24"/>
        </w:numPr>
        <w:ind w:hanging="798"/>
        <w:jc w:val="both"/>
        <w:rPr>
          <w:sz w:val="20"/>
          <w:szCs w:val="20"/>
        </w:rPr>
      </w:pPr>
      <w:bookmarkStart w:id="57" w:name="_Toc403556503"/>
      <w:bookmarkStart w:id="58" w:name="_Toc403556508"/>
      <w:bookmarkStart w:id="59" w:name="_Toc406674971"/>
      <w:bookmarkStart w:id="60" w:name="_Toc412621213"/>
      <w:bookmarkStart w:id="61" w:name="_Toc412715223"/>
      <w:r w:rsidRPr="008F3D2C">
        <w:rPr>
          <w:sz w:val="20"/>
          <w:szCs w:val="20"/>
        </w:rPr>
        <w:lastRenderedPageBreak/>
        <w:t xml:space="preserve">INSTRUCTIONS TO </w:t>
      </w:r>
      <w:r w:rsidR="00E7163F" w:rsidRPr="008F3D2C">
        <w:rPr>
          <w:sz w:val="20"/>
          <w:szCs w:val="20"/>
        </w:rPr>
        <w:t>BIDDERS</w:t>
      </w:r>
      <w:bookmarkEnd w:id="57"/>
      <w:bookmarkEnd w:id="58"/>
      <w:bookmarkEnd w:id="59"/>
      <w:bookmarkEnd w:id="60"/>
      <w:bookmarkEnd w:id="61"/>
      <w:r w:rsidRPr="008F3D2C">
        <w:rPr>
          <w:sz w:val="20"/>
          <w:szCs w:val="20"/>
        </w:rPr>
        <w:t xml:space="preserve"> </w:t>
      </w:r>
    </w:p>
    <w:p w:rsidR="006534CF" w:rsidRPr="00276E1B" w:rsidRDefault="00E41C42" w:rsidP="004270D9">
      <w:pPr>
        <w:pStyle w:val="Heading1"/>
        <w:spacing w:before="240" w:after="0"/>
        <w:ind w:left="851"/>
      </w:pPr>
      <w:bookmarkStart w:id="62" w:name="_Toc403555122"/>
      <w:r w:rsidRPr="00276E1B">
        <w:t>Formalities for s</w:t>
      </w:r>
      <w:r w:rsidR="003E3EE7" w:rsidRPr="00276E1B">
        <w:t>ubmission of Tender</w:t>
      </w:r>
      <w:bookmarkEnd w:id="62"/>
      <w:r w:rsidR="005E195E">
        <w:t>s</w:t>
      </w:r>
      <w:r w:rsidR="003E3EE7" w:rsidRPr="00276E1B">
        <w:t xml:space="preserve"> </w:t>
      </w:r>
    </w:p>
    <w:p w:rsidR="00F23700" w:rsidRDefault="00F23700" w:rsidP="00F23700">
      <w:pPr>
        <w:ind w:left="851"/>
        <w:rPr>
          <w:shd w:val="clear" w:color="auto" w:fill="FFFFFF" w:themeFill="background1"/>
        </w:rPr>
      </w:pPr>
      <w:bookmarkStart w:id="63" w:name="_Toc403555123"/>
      <w:bookmarkStart w:id="64" w:name="_Ref405452954"/>
    </w:p>
    <w:p w:rsidR="00F23700" w:rsidRDefault="00452E01" w:rsidP="00452E01">
      <w:pPr>
        <w:ind w:left="851" w:hanging="851"/>
      </w:pPr>
      <w:r>
        <w:rPr>
          <w:shd w:val="clear" w:color="auto" w:fill="FFFFFF" w:themeFill="background1"/>
        </w:rPr>
        <w:t>3.1</w:t>
      </w:r>
      <w:r>
        <w:rPr>
          <w:shd w:val="clear" w:color="auto" w:fill="FFFFFF" w:themeFill="background1"/>
        </w:rPr>
        <w:tab/>
      </w:r>
      <w:r w:rsidR="00E7163F" w:rsidRPr="00672DCB">
        <w:rPr>
          <w:shd w:val="clear" w:color="auto" w:fill="FFFFFF" w:themeFill="background1"/>
        </w:rPr>
        <w:t>Bidders</w:t>
      </w:r>
      <w:r w:rsidR="00CC6A3C" w:rsidRPr="00672DCB">
        <w:rPr>
          <w:shd w:val="clear" w:color="auto" w:fill="FFFFFF" w:themeFill="background1"/>
        </w:rPr>
        <w:t xml:space="preserve"> must submit </w:t>
      </w:r>
      <w:r w:rsidR="002705A5" w:rsidRPr="00672DCB">
        <w:rPr>
          <w:shd w:val="clear" w:color="auto" w:fill="FFFFFF" w:themeFill="background1"/>
        </w:rPr>
        <w:t xml:space="preserve">their Tenders by completing the Annexes to Section B of the ITT.   Completed Tenders must be submitted </w:t>
      </w:r>
      <w:r w:rsidR="006B54D6" w:rsidRPr="00672DCB">
        <w:rPr>
          <w:shd w:val="clear" w:color="auto" w:fill="FFFFFF" w:themeFill="background1"/>
        </w:rPr>
        <w:t>using the</w:t>
      </w:r>
      <w:r w:rsidR="006C6F4A" w:rsidRPr="00672DCB">
        <w:rPr>
          <w:shd w:val="clear" w:color="auto" w:fill="FFFFFF" w:themeFill="background1"/>
        </w:rPr>
        <w:t xml:space="preserve"> e-Tendering</w:t>
      </w:r>
      <w:r w:rsidR="006B54D6" w:rsidRPr="00672DCB">
        <w:rPr>
          <w:shd w:val="clear" w:color="auto" w:fill="FFFFFF" w:themeFill="background1"/>
        </w:rPr>
        <w:t xml:space="preserve"> Portal.</w:t>
      </w:r>
      <w:r w:rsidR="00CC6A3C" w:rsidRPr="00672DCB">
        <w:rPr>
          <w:shd w:val="clear" w:color="auto" w:fill="FFFFFF" w:themeFill="background1"/>
        </w:rPr>
        <w:t xml:space="preserve"> </w:t>
      </w:r>
      <w:r w:rsidR="00E7163F" w:rsidRPr="00672DCB">
        <w:rPr>
          <w:shd w:val="clear" w:color="auto" w:fill="FFFFFF" w:themeFill="background1"/>
        </w:rPr>
        <w:t>Bidders</w:t>
      </w:r>
      <w:r w:rsidR="00CC6A3C" w:rsidRPr="00672DCB">
        <w:rPr>
          <w:shd w:val="clear" w:color="auto" w:fill="FFFFFF" w:themeFill="background1"/>
        </w:rPr>
        <w:t xml:space="preserve"> </w:t>
      </w:r>
      <w:r w:rsidR="00FC24F6" w:rsidRPr="00672DCB">
        <w:rPr>
          <w:shd w:val="clear" w:color="auto" w:fill="FFFFFF" w:themeFill="background1"/>
        </w:rPr>
        <w:t>should</w:t>
      </w:r>
      <w:r w:rsidR="00CC6A3C" w:rsidRPr="00672DCB">
        <w:rPr>
          <w:shd w:val="clear" w:color="auto" w:fill="FFFFFF" w:themeFill="background1"/>
        </w:rPr>
        <w:t xml:space="preserve"> ensure that they </w:t>
      </w:r>
      <w:r w:rsidR="00162244" w:rsidRPr="00672DCB">
        <w:rPr>
          <w:shd w:val="clear" w:color="auto" w:fill="FFFFFF" w:themeFill="background1"/>
        </w:rPr>
        <w:t>allow</w:t>
      </w:r>
      <w:r w:rsidR="00CC4072" w:rsidRPr="00672DCB">
        <w:rPr>
          <w:shd w:val="clear" w:color="auto" w:fill="FFFFFF" w:themeFill="background1"/>
        </w:rPr>
        <w:t xml:space="preserve"> plenty of time to upload the T</w:t>
      </w:r>
      <w:r w:rsidR="00CC6A3C" w:rsidRPr="00672DCB">
        <w:rPr>
          <w:shd w:val="clear" w:color="auto" w:fill="FFFFFF" w:themeFill="background1"/>
        </w:rPr>
        <w:t>ender</w:t>
      </w:r>
      <w:r w:rsidR="00CC6A3C" w:rsidRPr="00F23700">
        <w:rPr>
          <w:shd w:val="clear" w:color="auto" w:fill="FFFFFF" w:themeFill="background1"/>
        </w:rPr>
        <w:t xml:space="preserve">, particularly where there are large documents.  If </w:t>
      </w:r>
      <w:r w:rsidR="00E7163F" w:rsidRPr="00F23700">
        <w:rPr>
          <w:shd w:val="clear" w:color="auto" w:fill="FFFFFF" w:themeFill="background1"/>
        </w:rPr>
        <w:t>Bidders</w:t>
      </w:r>
      <w:r w:rsidR="00CC6A3C" w:rsidRPr="00F23700">
        <w:rPr>
          <w:shd w:val="clear" w:color="auto" w:fill="FFFFFF" w:themeFill="background1"/>
        </w:rPr>
        <w:t xml:space="preserve"> have any problems with </w:t>
      </w:r>
      <w:r w:rsidR="006B54D6" w:rsidRPr="00F23700">
        <w:rPr>
          <w:shd w:val="clear" w:color="auto" w:fill="FFFFFF" w:themeFill="background1"/>
        </w:rPr>
        <w:t>the</w:t>
      </w:r>
      <w:r w:rsidR="006C6F4A" w:rsidRPr="00F23700">
        <w:rPr>
          <w:shd w:val="clear" w:color="auto" w:fill="FFFFFF" w:themeFill="background1"/>
        </w:rPr>
        <w:t xml:space="preserve"> e-Tendering</w:t>
      </w:r>
      <w:r w:rsidR="00CC6A3C" w:rsidRPr="00F23700">
        <w:rPr>
          <w:shd w:val="clear" w:color="auto" w:fill="FFFFFF" w:themeFill="background1"/>
        </w:rPr>
        <w:t xml:space="preserve"> </w:t>
      </w:r>
      <w:r w:rsidR="004230E7" w:rsidRPr="00F23700">
        <w:rPr>
          <w:shd w:val="clear" w:color="auto" w:fill="FFFFFF" w:themeFill="background1"/>
        </w:rPr>
        <w:t>Portal</w:t>
      </w:r>
      <w:r w:rsidR="00CC6A3C" w:rsidRPr="00F23700">
        <w:rPr>
          <w:shd w:val="clear" w:color="auto" w:fill="FFFFFF" w:themeFill="background1"/>
        </w:rPr>
        <w:t xml:space="preserve">, they </w:t>
      </w:r>
      <w:r w:rsidR="00162244" w:rsidRPr="00F23700">
        <w:rPr>
          <w:shd w:val="clear" w:color="auto" w:fill="FFFFFF" w:themeFill="background1"/>
        </w:rPr>
        <w:t>should</w:t>
      </w:r>
      <w:r w:rsidR="00CC6A3C" w:rsidRPr="00F23700">
        <w:rPr>
          <w:shd w:val="clear" w:color="auto" w:fill="FFFFFF" w:themeFill="background1"/>
        </w:rPr>
        <w:t xml:space="preserve"> contact the helpdesk</w:t>
      </w:r>
      <w:r w:rsidR="00970510">
        <w:rPr>
          <w:shd w:val="clear" w:color="auto" w:fill="FFFFFF" w:themeFill="background1"/>
        </w:rPr>
        <w:t xml:space="preserve"> by sending an email to ProContractSuppliers@proactis.com</w:t>
      </w:r>
      <w:r w:rsidR="00F23700" w:rsidRPr="00F23700">
        <w:rPr>
          <w:shd w:val="clear" w:color="auto" w:fill="FFFFFF" w:themeFill="background1"/>
        </w:rPr>
        <w:t>.  Th</w:t>
      </w:r>
      <w:r w:rsidR="00970510">
        <w:rPr>
          <w:shd w:val="clear" w:color="auto" w:fill="FFFFFF" w:themeFill="background1"/>
        </w:rPr>
        <w:t>is will auto-log a support ticket and issue a registration email that will give instructions to enable log-in, to log, review and updat</w:t>
      </w:r>
      <w:r w:rsidR="00F23700" w:rsidRPr="00F23700">
        <w:rPr>
          <w:shd w:val="clear" w:color="auto" w:fill="FFFFFF" w:themeFill="background1"/>
        </w:rPr>
        <w:t xml:space="preserve">e </w:t>
      </w:r>
      <w:r w:rsidR="00970510">
        <w:rPr>
          <w:shd w:val="clear" w:color="auto" w:fill="FFFFFF" w:themeFill="background1"/>
        </w:rPr>
        <w:t>tickets</w:t>
      </w:r>
      <w:r w:rsidR="00CC6A3C" w:rsidRPr="00F23700">
        <w:rPr>
          <w:shd w:val="clear" w:color="auto" w:fill="FFFFFF" w:themeFill="background1"/>
        </w:rPr>
        <w:t xml:space="preserve">.  </w:t>
      </w:r>
      <w:r w:rsidR="00B667F9" w:rsidRPr="00F23700">
        <w:rPr>
          <w:shd w:val="clear" w:color="auto" w:fill="FFFFFF" w:themeFill="background1"/>
        </w:rPr>
        <w:t>As noted above, any Tender received after the deadline may not be considered</w:t>
      </w:r>
      <w:r w:rsidR="00B667F9" w:rsidRPr="00F23700">
        <w:t>.</w:t>
      </w:r>
      <w:bookmarkEnd w:id="63"/>
      <w:bookmarkEnd w:id="64"/>
      <w:r w:rsidR="00F23700" w:rsidRPr="00F23700">
        <w:t xml:space="preserve"> </w:t>
      </w:r>
    </w:p>
    <w:p w:rsidR="00E41C42" w:rsidRDefault="00E41C42" w:rsidP="00A722E9">
      <w:pPr>
        <w:pStyle w:val="MRNumberedHeading2"/>
        <w:numPr>
          <w:ilvl w:val="1"/>
          <w:numId w:val="36"/>
        </w:numPr>
        <w:ind w:hanging="1004"/>
      </w:pPr>
      <w:bookmarkStart w:id="65" w:name="_Toc403555124"/>
      <w:r>
        <w:t xml:space="preserve">The maximum file size for uploading documents is </w:t>
      </w:r>
      <w:r w:rsidR="00031AA9">
        <w:t>1000 MB</w:t>
      </w:r>
      <w:r>
        <w:t>.  You should split you</w:t>
      </w:r>
      <w:r w:rsidR="001B7E88">
        <w:t>r</w:t>
      </w:r>
      <w:r>
        <w:t xml:space="preserve"> Tender into small enough file sizes to upload.  Note: the Authority does not guarantee that you will </w:t>
      </w:r>
      <w:r w:rsidR="001B7E88">
        <w:t xml:space="preserve">be </w:t>
      </w:r>
      <w:r>
        <w:t>able to upload files up to the maximum size, particularly at busy times</w:t>
      </w:r>
      <w:r w:rsidR="00BD5DCC">
        <w:t xml:space="preserve">. </w:t>
      </w:r>
      <w:r>
        <w:t xml:space="preserve"> For t</w:t>
      </w:r>
      <w:r w:rsidR="001B7E88">
        <w:t>his reason it is recommended that</w:t>
      </w:r>
      <w:r>
        <w:t xml:space="preserve"> Bidders should ensure files are well below the maximum stated and allow plenty of time to upload, so they have enough time to resolve any technical difficulties before the deadline.</w:t>
      </w:r>
      <w:bookmarkEnd w:id="65"/>
    </w:p>
    <w:p w:rsidR="00E62354" w:rsidRPr="001D2273" w:rsidRDefault="00FC24F6" w:rsidP="004270D9">
      <w:pPr>
        <w:pStyle w:val="MRNumberedHeading2"/>
        <w:rPr>
          <w:shd w:val="clear" w:color="auto" w:fill="FFFFFF" w:themeFill="background1"/>
        </w:rPr>
      </w:pPr>
      <w:bookmarkStart w:id="66" w:name="_Toc403555125"/>
      <w:bookmarkStart w:id="67" w:name="_Ref405453188"/>
      <w:r w:rsidRPr="001D2273">
        <w:rPr>
          <w:shd w:val="clear" w:color="auto" w:fill="FFFFFF" w:themeFill="background1"/>
        </w:rPr>
        <w:t>Bidders must adhere to the</w:t>
      </w:r>
      <w:r w:rsidR="00C27CC2" w:rsidRPr="001D2273">
        <w:rPr>
          <w:shd w:val="clear" w:color="auto" w:fill="FFFFFF" w:themeFill="background1"/>
        </w:rPr>
        <w:t xml:space="preserve"> following</w:t>
      </w:r>
      <w:r w:rsidR="002869D0" w:rsidRPr="001D2273">
        <w:rPr>
          <w:shd w:val="clear" w:color="auto" w:fill="FFFFFF" w:themeFill="background1"/>
        </w:rPr>
        <w:t xml:space="preserve"> standard</w:t>
      </w:r>
      <w:r w:rsidR="00C27CC2" w:rsidRPr="001D2273">
        <w:rPr>
          <w:shd w:val="clear" w:color="auto" w:fill="FFFFFF" w:themeFill="background1"/>
        </w:rPr>
        <w:t xml:space="preserve"> requirements </w:t>
      </w:r>
      <w:r w:rsidR="00E62354" w:rsidRPr="001D2273">
        <w:rPr>
          <w:shd w:val="clear" w:color="auto" w:fill="FFFFFF" w:themeFill="background1"/>
        </w:rPr>
        <w:t xml:space="preserve">when submitting </w:t>
      </w:r>
      <w:r w:rsidRPr="001D2273">
        <w:rPr>
          <w:shd w:val="clear" w:color="auto" w:fill="FFFFFF" w:themeFill="background1"/>
        </w:rPr>
        <w:t>their</w:t>
      </w:r>
      <w:r w:rsidR="00E62354" w:rsidRPr="001D2273">
        <w:rPr>
          <w:shd w:val="clear" w:color="auto" w:fill="FFFFFF" w:themeFill="background1"/>
        </w:rPr>
        <w:t xml:space="preserve"> </w:t>
      </w:r>
      <w:r w:rsidR="00C27CC2" w:rsidRPr="001D2273">
        <w:rPr>
          <w:shd w:val="clear" w:color="auto" w:fill="FFFFFF" w:themeFill="background1"/>
        </w:rPr>
        <w:t>Tenders:</w:t>
      </w:r>
      <w:bookmarkEnd w:id="66"/>
      <w:bookmarkEnd w:id="67"/>
    </w:p>
    <w:p w:rsidR="00E62354" w:rsidRPr="001C680B" w:rsidRDefault="00FC24F6" w:rsidP="004270D9">
      <w:pPr>
        <w:pStyle w:val="MRNumberedHeading3"/>
        <w:numPr>
          <w:ilvl w:val="2"/>
          <w:numId w:val="23"/>
        </w:numPr>
        <w:tabs>
          <w:tab w:val="num" w:pos="1794"/>
        </w:tabs>
        <w:spacing w:line="240" w:lineRule="auto"/>
        <w:ind w:left="1702" w:hanging="851"/>
        <w:jc w:val="both"/>
        <w:rPr>
          <w:shd w:val="clear" w:color="auto" w:fill="FFFFFF" w:themeFill="background1"/>
        </w:rPr>
      </w:pPr>
      <w:r w:rsidRPr="001C680B">
        <w:rPr>
          <w:shd w:val="clear" w:color="auto" w:fill="FFFFFF" w:themeFill="background1"/>
        </w:rPr>
        <w:t>Do not embed documents</w:t>
      </w:r>
      <w:r w:rsidR="00C27CC2" w:rsidRPr="001C680B">
        <w:rPr>
          <w:shd w:val="clear" w:color="auto" w:fill="FFFFFF" w:themeFill="background1"/>
        </w:rPr>
        <w:t xml:space="preserve"> within other documents</w:t>
      </w:r>
      <w:r w:rsidRPr="001C680B">
        <w:rPr>
          <w:shd w:val="clear" w:color="auto" w:fill="FFFFFF" w:themeFill="background1"/>
        </w:rPr>
        <w:t>.</w:t>
      </w:r>
      <w:r w:rsidR="00C27CC2" w:rsidRPr="001C680B">
        <w:rPr>
          <w:shd w:val="clear" w:color="auto" w:fill="FFFFFF" w:themeFill="background1"/>
        </w:rPr>
        <w:t xml:space="preserve"> </w:t>
      </w:r>
      <w:r w:rsidRPr="001C680B">
        <w:rPr>
          <w:shd w:val="clear" w:color="auto" w:fill="FFFFFF" w:themeFill="background1"/>
        </w:rPr>
        <w:t>Instead</w:t>
      </w:r>
      <w:r w:rsidR="00C27CC2" w:rsidRPr="001C680B">
        <w:rPr>
          <w:shd w:val="clear" w:color="auto" w:fill="FFFFFF" w:themeFill="background1"/>
        </w:rPr>
        <w:t xml:space="preserve"> provide separate electronic copies of the </w:t>
      </w:r>
      <w:r w:rsidRPr="001C680B">
        <w:rPr>
          <w:shd w:val="clear" w:color="auto" w:fill="FFFFFF" w:themeFill="background1"/>
        </w:rPr>
        <w:t>documents, clearly labelled and referenced if necessary.</w:t>
      </w:r>
    </w:p>
    <w:p w:rsidR="00E62354" w:rsidRPr="001C680B" w:rsidRDefault="00C27CC2" w:rsidP="004270D9">
      <w:pPr>
        <w:pStyle w:val="MRNumberedHeading3"/>
        <w:numPr>
          <w:ilvl w:val="2"/>
          <w:numId w:val="23"/>
        </w:numPr>
        <w:tabs>
          <w:tab w:val="num" w:pos="1794"/>
        </w:tabs>
        <w:spacing w:line="240" w:lineRule="auto"/>
        <w:ind w:left="1702" w:hanging="851"/>
        <w:jc w:val="both"/>
        <w:rPr>
          <w:shd w:val="clear" w:color="auto" w:fill="FFFFFF" w:themeFill="background1"/>
        </w:rPr>
      </w:pPr>
      <w:r w:rsidRPr="001C680B">
        <w:rPr>
          <w:shd w:val="clear" w:color="auto" w:fill="FFFFFF" w:themeFill="background1"/>
        </w:rPr>
        <w:t>The Tender must be in English and drafted in accordance with the drafting guidance set out in this ITT.</w:t>
      </w:r>
    </w:p>
    <w:p w:rsidR="00E62354" w:rsidRPr="00A536CA" w:rsidRDefault="00C27CC2" w:rsidP="004270D9">
      <w:pPr>
        <w:pStyle w:val="MRNumberedHeading3"/>
        <w:numPr>
          <w:ilvl w:val="2"/>
          <w:numId w:val="23"/>
        </w:numPr>
        <w:tabs>
          <w:tab w:val="num" w:pos="1794"/>
        </w:tabs>
        <w:spacing w:line="240" w:lineRule="auto"/>
        <w:ind w:left="1702" w:hanging="851"/>
        <w:jc w:val="both"/>
        <w:rPr>
          <w:shd w:val="clear" w:color="auto" w:fill="FFFFFF" w:themeFill="background1"/>
        </w:rPr>
      </w:pPr>
      <w:r w:rsidRPr="00A536CA">
        <w:rPr>
          <w:shd w:val="clear" w:color="auto" w:fill="FFFFFF" w:themeFill="background1"/>
        </w:rPr>
        <w:t>The Tender must be fully cross-referenced</w:t>
      </w:r>
      <w:r w:rsidR="00F36F19" w:rsidRPr="00A536CA">
        <w:rPr>
          <w:shd w:val="clear" w:color="auto" w:fill="FFFFFF" w:themeFill="background1"/>
        </w:rPr>
        <w:t xml:space="preserve"> and include a</w:t>
      </w:r>
      <w:r w:rsidR="007B6206" w:rsidRPr="00A536CA">
        <w:rPr>
          <w:shd w:val="clear" w:color="auto" w:fill="FFFFFF" w:themeFill="background1"/>
        </w:rPr>
        <w:t xml:space="preserve"> table of contents.</w:t>
      </w:r>
    </w:p>
    <w:p w:rsidR="00E62354" w:rsidRPr="00A536CA" w:rsidRDefault="00A60BD1" w:rsidP="004270D9">
      <w:pPr>
        <w:pStyle w:val="MRNumberedHeading3"/>
        <w:numPr>
          <w:ilvl w:val="2"/>
          <w:numId w:val="23"/>
        </w:numPr>
        <w:tabs>
          <w:tab w:val="num" w:pos="1794"/>
        </w:tabs>
        <w:spacing w:line="240" w:lineRule="auto"/>
        <w:ind w:left="1702" w:hanging="851"/>
        <w:jc w:val="both"/>
        <w:rPr>
          <w:shd w:val="clear" w:color="auto" w:fill="FFFF66"/>
        </w:rPr>
      </w:pPr>
      <w:r w:rsidRPr="00A536CA">
        <w:rPr>
          <w:shd w:val="clear" w:color="auto" w:fill="FFFFFF" w:themeFill="background1"/>
        </w:rPr>
        <w:t>The Tender must include a l</w:t>
      </w:r>
      <w:r w:rsidR="00C27CC2" w:rsidRPr="00A536CA">
        <w:rPr>
          <w:shd w:val="clear" w:color="auto" w:fill="FFFFFF" w:themeFill="background1"/>
        </w:rPr>
        <w:t xml:space="preserve">ist of </w:t>
      </w:r>
      <w:r w:rsidR="00F36F19" w:rsidRPr="00A536CA">
        <w:rPr>
          <w:shd w:val="clear" w:color="auto" w:fill="FFFFFF" w:themeFill="background1"/>
        </w:rPr>
        <w:t xml:space="preserve">all </w:t>
      </w:r>
      <w:r w:rsidR="00C27CC2" w:rsidRPr="00A536CA">
        <w:rPr>
          <w:shd w:val="clear" w:color="auto" w:fill="FFFFFF" w:themeFill="background1"/>
        </w:rPr>
        <w:t>supporting material.</w:t>
      </w:r>
    </w:p>
    <w:p w:rsidR="00E62354" w:rsidRPr="00A536CA" w:rsidRDefault="00F36F19" w:rsidP="004270D9">
      <w:pPr>
        <w:pStyle w:val="MRNumberedHeading3"/>
        <w:numPr>
          <w:ilvl w:val="2"/>
          <w:numId w:val="23"/>
        </w:numPr>
        <w:tabs>
          <w:tab w:val="num" w:pos="1794"/>
        </w:tabs>
        <w:spacing w:line="240" w:lineRule="auto"/>
        <w:ind w:left="1702" w:hanging="851"/>
        <w:jc w:val="both"/>
        <w:rPr>
          <w:shd w:val="clear" w:color="auto" w:fill="FFFFFF" w:themeFill="background1"/>
        </w:rPr>
      </w:pPr>
      <w:r w:rsidRPr="00A536CA">
        <w:rPr>
          <w:shd w:val="clear" w:color="auto" w:fill="FFFFFF" w:themeFill="background1"/>
        </w:rPr>
        <w:t>E</w:t>
      </w:r>
      <w:r w:rsidR="00C27CC2" w:rsidRPr="00A536CA">
        <w:rPr>
          <w:shd w:val="clear" w:color="auto" w:fill="FFFFFF" w:themeFill="background1"/>
        </w:rPr>
        <w:t xml:space="preserve">lectronic copies of the Tender shall be in Microsoft </w:t>
      </w:r>
      <w:r w:rsidR="00D30AA2" w:rsidRPr="00A536CA">
        <w:rPr>
          <w:shd w:val="clear" w:color="auto" w:fill="FFFFFF" w:themeFill="background1"/>
        </w:rPr>
        <w:t>Office.</w:t>
      </w:r>
    </w:p>
    <w:p w:rsidR="007B6206" w:rsidRDefault="007B6206" w:rsidP="006B54D6">
      <w:pPr>
        <w:pStyle w:val="MRNumberedHeading2"/>
      </w:pPr>
      <w:bookmarkStart w:id="68" w:name="_Toc403555126"/>
      <w:r w:rsidRPr="00A536CA">
        <w:t>Where</w:t>
      </w:r>
      <w:r>
        <w:t xml:space="preserve"> a word count limit is specified, Bidders should state how many words their response contains. The Authority reserves the right not to consider any part of a response exceeding the word limit. Words included within diagrams or other graphic representations will count towards the word limit.</w:t>
      </w:r>
      <w:bookmarkEnd w:id="68"/>
      <w:r>
        <w:t xml:space="preserve">  </w:t>
      </w:r>
    </w:p>
    <w:bookmarkStart w:id="69" w:name="_Toc403555127"/>
    <w:bookmarkStart w:id="70" w:name="_Ref405453197"/>
    <w:p w:rsidR="00601937" w:rsidRDefault="002236C5" w:rsidP="006B54D6">
      <w:pPr>
        <w:pStyle w:val="MRNumberedHeading2"/>
      </w:pPr>
      <w:r>
        <w:rPr>
          <w:noProof/>
        </w:rPr>
        <mc:AlternateContent>
          <mc:Choice Requires="wps">
            <w:drawing>
              <wp:anchor distT="0" distB="0" distL="114300" distR="114300" simplePos="0" relativeHeight="251671552" behindDoc="0" locked="0" layoutInCell="1" allowOverlap="1" wp14:anchorId="0067A415" wp14:editId="230E6204">
                <wp:simplePos x="0" y="0"/>
                <wp:positionH relativeFrom="column">
                  <wp:posOffset>5848847</wp:posOffset>
                </wp:positionH>
                <wp:positionV relativeFrom="paragraph">
                  <wp:posOffset>40640</wp:posOffset>
                </wp:positionV>
                <wp:extent cx="397565" cy="477078"/>
                <wp:effectExtent l="0" t="0" r="2540" b="0"/>
                <wp:wrapNone/>
                <wp:docPr id="11" name="Text Box 11"/>
                <wp:cNvGraphicFramePr/>
                <a:graphic xmlns:a="http://schemas.openxmlformats.org/drawingml/2006/main">
                  <a:graphicData uri="http://schemas.microsoft.com/office/word/2010/wordprocessingShape">
                    <wps:wsp>
                      <wps:cNvSpPr txBox="1"/>
                      <wps:spPr>
                        <a:xfrm>
                          <a:off x="0" y="0"/>
                          <a:ext cx="397565" cy="47707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71" w:name="handthreefive"/>
                          <w:bookmarkEnd w:id="71"/>
                          <w:p w:rsidR="0067359C" w:rsidRPr="00DA07F4" w:rsidRDefault="0067359C" w:rsidP="002236C5">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"threefive" \o "Before deciding whether to exclude a bidder on the basis of an unclear or ambiguous submission, it is important to consider whether the proportionate approach in the situation is to seek further clarification from the bidder"</w:instrText>
                            </w:r>
                            <w:r>
                              <w:rPr>
                                <w:rFonts w:ascii="Arial Bold" w:hAnsi="Arial Bold"/>
                                <w:b/>
                                <w:color w:val="FF0000"/>
                                <w:sz w:val="44"/>
                                <w:szCs w:val="44"/>
                              </w:rPr>
                              <w:fldChar w:fldCharType="separate"/>
                            </w:r>
                          </w:p>
                          <w:p w:rsidR="0067359C" w:rsidRDefault="0067359C">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1" o:spid="_x0000_s1034" type="#_x0000_t202" style="position:absolute;left:0;text-align:left;margin-left:460.55pt;margin-top:3.2pt;width:31.3pt;height:37.5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" fillcolor="white [3201]" stroked="f" strokeweight=".5pt">
                <v:textbox>
                  <w:txbxContent>
                    <w:bookmarkStart w:id="79" w:name="handthreefive"/>
                    <w:bookmarkEnd w:id="79"/>
                    <w:p w:rsidR="0067359C" w:rsidRPr="00DA07F4" w:rsidRDefault="0067359C" w:rsidP="002236C5">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"threefive" \o "Before deciding whether to exclude a bidder on the basis of an unclear or ambiguous submission, it is important to consider whether the proportionate approach in the situation is to seek further clarification from the bidder"</w:instrText>
                      </w:r>
                      <w:r>
                        <w:rPr>
                          <w:rFonts w:ascii="Arial Bold" w:hAnsi="Arial Bold"/>
                          <w:b/>
                          <w:color w:val="FF0000"/>
                          <w:sz w:val="44"/>
                          <w:szCs w:val="44"/>
                        </w:rPr>
                        <w:fldChar w:fldCharType="separate"/>
                      </w:r>
                    </w:p>
                    <w:p w:rsidR="0067359C" w:rsidRDefault="0067359C">
                      <w:r>
                        <w:rPr>
                          <w:rFonts w:ascii="Arial Bold" w:hAnsi="Arial Bold"/>
                          <w:b/>
                          <w:color w:val="FF0000"/>
                          <w:sz w:val="44"/>
                          <w:szCs w:val="44"/>
                        </w:rPr>
                        <w:fldChar w:fldCharType="end"/>
                      </w:r>
                    </w:p>
                  </w:txbxContent>
                </v:textbox>
              </v:shape>
            </w:pict>
          </mc:Fallback>
        </mc:AlternateContent>
      </w:r>
      <w:r w:rsidR="00C27CC2">
        <w:t>The Tender must be clear, concise and complete. The Author</w:t>
      </w:r>
      <w:r w:rsidR="00C14D48">
        <w:t>ity reserves the right to mark</w:t>
      </w:r>
      <w:r w:rsidR="00C27CC2">
        <w:t xml:space="preserve"> </w:t>
      </w:r>
      <w:r w:rsidR="00785DDF">
        <w:t>Bidder</w:t>
      </w:r>
      <w:r w:rsidR="00C14D48">
        <w:t>s</w:t>
      </w:r>
      <w:r w:rsidR="00C27CC2">
        <w:t xml:space="preserve"> down or exclude them from the procurement if </w:t>
      </w:r>
      <w:r w:rsidR="00C14D48">
        <w:t xml:space="preserve">their Tenders are ambiguous or lack </w:t>
      </w:r>
      <w:r w:rsidR="00C27CC2">
        <w:t xml:space="preserve">clarity. </w:t>
      </w:r>
      <w:r w:rsidR="00E7163F">
        <w:t>Bidders</w:t>
      </w:r>
      <w:r w:rsidR="00C27CC2">
        <w:t xml:space="preserve"> should submit only such information as is necessary to respond effectively to this ITT. Unless specifically requested, </w:t>
      </w:r>
      <w:r w:rsidR="000E5C37">
        <w:t xml:space="preserve">do not include </w:t>
      </w:r>
      <w:r w:rsidR="00C27CC2">
        <w:t>extraneous presentation materials</w:t>
      </w:r>
      <w:r w:rsidR="000E5C37">
        <w:t>.</w:t>
      </w:r>
      <w:bookmarkEnd w:id="69"/>
      <w:bookmarkEnd w:id="70"/>
      <w:r w:rsidR="000E5C37">
        <w:t xml:space="preserve"> </w:t>
      </w:r>
    </w:p>
    <w:bookmarkStart w:id="72" w:name="_Toc403555128"/>
    <w:bookmarkStart w:id="73" w:name="_Ref412651999"/>
    <w:p w:rsidR="002471B4" w:rsidRDefault="002F1591" w:rsidP="006B54D6">
      <w:pPr>
        <w:pStyle w:val="MRNumberedHeading2"/>
      </w:pPr>
      <w:r>
        <w:rPr>
          <w:noProof/>
        </w:rPr>
        <mc:AlternateContent>
          <mc:Choice Requires="wps">
            <w:drawing>
              <wp:anchor distT="0" distB="0" distL="114300" distR="114300" simplePos="0" relativeHeight="251729920" behindDoc="0" locked="0" layoutInCell="1" allowOverlap="1" wp14:anchorId="23F519A7" wp14:editId="0CE5E686">
                <wp:simplePos x="0" y="0"/>
                <wp:positionH relativeFrom="column">
                  <wp:posOffset>5846913</wp:posOffset>
                </wp:positionH>
                <wp:positionV relativeFrom="paragraph">
                  <wp:posOffset>85725</wp:posOffset>
                </wp:positionV>
                <wp:extent cx="397510" cy="476885"/>
                <wp:effectExtent l="0" t="0" r="2540" b="0"/>
                <wp:wrapNone/>
                <wp:docPr id="291" name="Text Box 291"/>
                <wp:cNvGraphicFramePr/>
                <a:graphic xmlns:a="http://schemas.openxmlformats.org/drawingml/2006/main">
                  <a:graphicData uri="http://schemas.microsoft.com/office/word/2010/wordprocessingShape">
                    <wps:wsp>
                      <wps:cNvSpPr txBox="1"/>
                      <wps:spPr>
                        <a:xfrm>
                          <a:off x="0" y="0"/>
                          <a:ext cx="397510" cy="4768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7359C" w:rsidRDefault="0067359C" w:rsidP="002F15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91" o:spid="_x0000_s1035" type="#_x0000_t202" style="position:absolute;left:0;text-align:left;margin-left:460.4pt;margin-top:6.75pt;width:31.3pt;height:37.55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" fillcolor="white [3201]" stroked="f" strokeweight=".5pt">
                <v:textbox>
                  <w:txbxContent>
                    <w:p w:rsidR="0067359C" w:rsidRDefault="0067359C" w:rsidP="002F1591"/>
                  </w:txbxContent>
                </v:textbox>
              </v:shape>
            </w:pict>
          </mc:Fallback>
        </mc:AlternateContent>
      </w:r>
      <w:r w:rsidR="00C27CC2">
        <w:t>Tenders will be evaluated on the basis o</w:t>
      </w:r>
      <w:r w:rsidR="00A7044C">
        <w:t>f information submitted by the d</w:t>
      </w:r>
      <w:r w:rsidR="00C27CC2">
        <w:t>eadline.</w:t>
      </w:r>
      <w:bookmarkEnd w:id="72"/>
      <w:r>
        <w:t xml:space="preserve"> </w:t>
      </w:r>
      <w:r>
        <w:rPr>
          <w:color w:val="000000"/>
          <w:szCs w:val="20"/>
        </w:rPr>
        <w:t>Where information or documentation submitted appears to be incomplete or erroneous or specific documents are missing, the Authority reserves the right to request the Bidder to submit, supplement, clarify or complete the information or documentation.</w:t>
      </w:r>
      <w:bookmarkEnd w:id="73"/>
    </w:p>
    <w:p w:rsidR="00C45A8E" w:rsidRDefault="0017043F" w:rsidP="006B54D6">
      <w:pPr>
        <w:pStyle w:val="MRNumberedHeading2"/>
      </w:pPr>
      <w:bookmarkStart w:id="74" w:name="_Toc403555129"/>
      <w:r>
        <w:t>The</w:t>
      </w:r>
      <w:r w:rsidR="00C27CC2">
        <w:t xml:space="preserve"> Tender must be signed by a duly authorised</w:t>
      </w:r>
      <w:r>
        <w:t xml:space="preserve"> representative of the </w:t>
      </w:r>
      <w:r w:rsidR="00637C62">
        <w:t>Bidder.</w:t>
      </w:r>
      <w:bookmarkEnd w:id="74"/>
      <w:r w:rsidR="00637C62">
        <w:t xml:space="preserve">  </w:t>
      </w:r>
    </w:p>
    <w:p w:rsidR="006534CF" w:rsidRPr="00276E1B" w:rsidRDefault="001375C3" w:rsidP="004270D9">
      <w:pPr>
        <w:pStyle w:val="Heading1"/>
        <w:spacing w:before="240" w:after="0"/>
        <w:ind w:left="851"/>
      </w:pPr>
      <w:bookmarkStart w:id="75" w:name="_Toc403555130"/>
      <w:r w:rsidRPr="00276E1B">
        <w:t>Modification and withdrawal of Tenders</w:t>
      </w:r>
      <w:bookmarkEnd w:id="75"/>
    </w:p>
    <w:bookmarkStart w:id="76" w:name="_Toc403555131"/>
    <w:p w:rsidR="004251F8" w:rsidRDefault="002236C5" w:rsidP="004270D9">
      <w:pPr>
        <w:pStyle w:val="MRNumberedHeading2"/>
      </w:pPr>
      <w:r>
        <w:rPr>
          <w:noProof/>
        </w:rPr>
        <mc:AlternateContent>
          <mc:Choice Requires="wps">
            <w:drawing>
              <wp:anchor distT="0" distB="0" distL="114300" distR="114300" simplePos="0" relativeHeight="251672576" behindDoc="0" locked="0" layoutInCell="1" allowOverlap="1" wp14:anchorId="6AC967C3" wp14:editId="4B9E8FD0">
                <wp:simplePos x="0" y="0"/>
                <wp:positionH relativeFrom="column">
                  <wp:posOffset>5897935</wp:posOffset>
                </wp:positionH>
                <wp:positionV relativeFrom="paragraph">
                  <wp:posOffset>223741</wp:posOffset>
                </wp:positionV>
                <wp:extent cx="524786" cy="469127"/>
                <wp:effectExtent l="0" t="0" r="8890" b="7620"/>
                <wp:wrapNone/>
                <wp:docPr id="12" name="Text Box 12"/>
                <wp:cNvGraphicFramePr/>
                <a:graphic xmlns:a="http://schemas.openxmlformats.org/drawingml/2006/main">
                  <a:graphicData uri="http://schemas.microsoft.com/office/word/2010/wordprocessingShape">
                    <wps:wsp>
                      <wps:cNvSpPr txBox="1"/>
                      <wps:spPr>
                        <a:xfrm>
                          <a:off x="0" y="0"/>
                          <a:ext cx="524786" cy="46912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7359C" w:rsidRDefault="006735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2" o:spid="_x0000_s1036" type="#_x0000_t202" style="position:absolute;left:0;text-align:left;margin-left:464.4pt;margin-top:17.6pt;width:41.3pt;height:36.9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" fillcolor="white [3201]" stroked="f" strokeweight=".5pt">
                <v:textbox>
                  <w:txbxContent>
                    <w:p w:rsidR="0067359C" w:rsidRDefault="0067359C"/>
                  </w:txbxContent>
                </v:textbox>
              </v:shape>
            </w:pict>
          </mc:Fallback>
        </mc:AlternateContent>
      </w:r>
      <w:r w:rsidR="00CF3319">
        <w:t xml:space="preserve">Except as set out in paragraph </w:t>
      </w:r>
      <w:r w:rsidR="0095006A">
        <w:fldChar w:fldCharType="begin"/>
      </w:r>
      <w:r w:rsidR="0095006A">
        <w:instrText xml:space="preserve"> REF _Ref412651999 \r \h </w:instrText>
      </w:r>
      <w:r w:rsidR="0095006A">
        <w:fldChar w:fldCharType="separate"/>
      </w:r>
      <w:r w:rsidR="00204EF0">
        <w:t>3.6</w:t>
      </w:r>
      <w:r w:rsidR="0095006A">
        <w:fldChar w:fldCharType="end"/>
      </w:r>
      <w:r w:rsidR="00CF3319">
        <w:t>, n</w:t>
      </w:r>
      <w:r w:rsidR="00CF3319" w:rsidRPr="00A24900">
        <w:t>o</w:t>
      </w:r>
      <w:r w:rsidR="001375C3" w:rsidRPr="00A24900">
        <w:t xml:space="preserve"> </w:t>
      </w:r>
      <w:r w:rsidR="002651E8">
        <w:t>T</w:t>
      </w:r>
      <w:r w:rsidR="001375C3" w:rsidRPr="00A24900">
        <w:t>ender may be modified aft</w:t>
      </w:r>
      <w:r w:rsidR="00CC4072">
        <w:t>er the deadline for receipt of T</w:t>
      </w:r>
      <w:r w:rsidR="001375C3" w:rsidRPr="00A24900">
        <w:t>enders.</w:t>
      </w:r>
      <w:bookmarkEnd w:id="76"/>
    </w:p>
    <w:p w:rsidR="004251F8" w:rsidRDefault="001375C3" w:rsidP="004270D9">
      <w:pPr>
        <w:pStyle w:val="MRNumberedHeading2"/>
      </w:pPr>
      <w:bookmarkStart w:id="77" w:name="_Toc403555132"/>
      <w:bookmarkStart w:id="78" w:name="_Ref405453207"/>
      <w:r w:rsidRPr="00A24900">
        <w:t>Tenders may be withdrawn at any time before the deadlin</w:t>
      </w:r>
      <w:r w:rsidR="00CC4072">
        <w:t>e for receipt of T</w:t>
      </w:r>
      <w:r w:rsidR="002651E8">
        <w:t>enders.  Revised T</w:t>
      </w:r>
      <w:r w:rsidRPr="00A24900">
        <w:t>enders may be submitted up unt</w:t>
      </w:r>
      <w:r w:rsidR="00CC4072">
        <w:t>il the deadline for receipt of T</w:t>
      </w:r>
      <w:r w:rsidRPr="00A24900">
        <w:t xml:space="preserve">enders, </w:t>
      </w:r>
      <w:r w:rsidR="002651E8" w:rsidRPr="009D17D5">
        <w:rPr>
          <w:shd w:val="clear" w:color="auto" w:fill="FFFFFF" w:themeFill="background1"/>
        </w:rPr>
        <w:t>provided</w:t>
      </w:r>
      <w:r w:rsidRPr="009D17D5">
        <w:rPr>
          <w:shd w:val="clear" w:color="auto" w:fill="FFFFFF" w:themeFill="background1"/>
        </w:rPr>
        <w:t xml:space="preserve"> such intention is notified to the Authority</w:t>
      </w:r>
      <w:r w:rsidR="00EB00F8" w:rsidRPr="009D17D5">
        <w:rPr>
          <w:shd w:val="clear" w:color="auto" w:fill="FFFFFF" w:themeFill="background1"/>
        </w:rPr>
        <w:t xml:space="preserve"> using the</w:t>
      </w:r>
      <w:r w:rsidR="006C6F4A" w:rsidRPr="009D17D5">
        <w:rPr>
          <w:shd w:val="clear" w:color="auto" w:fill="FFFFFF" w:themeFill="background1"/>
        </w:rPr>
        <w:t xml:space="preserve"> e-Tendering</w:t>
      </w:r>
      <w:r w:rsidR="00EB00F8" w:rsidRPr="009D17D5">
        <w:rPr>
          <w:shd w:val="clear" w:color="auto" w:fill="FFFFFF" w:themeFill="background1"/>
        </w:rPr>
        <w:t xml:space="preserve"> </w:t>
      </w:r>
      <w:r w:rsidR="004230E7" w:rsidRPr="009D17D5">
        <w:rPr>
          <w:shd w:val="clear" w:color="auto" w:fill="FFFFFF" w:themeFill="background1"/>
        </w:rPr>
        <w:t>Portal</w:t>
      </w:r>
      <w:r w:rsidR="00A60BD1" w:rsidRPr="009D17D5">
        <w:rPr>
          <w:shd w:val="clear" w:color="auto" w:fill="FFFFFF" w:themeFill="background1"/>
        </w:rPr>
        <w:t>.</w:t>
      </w:r>
      <w:bookmarkEnd w:id="77"/>
      <w:bookmarkEnd w:id="78"/>
      <w:r w:rsidRPr="00A24900">
        <w:t xml:space="preserve"> </w:t>
      </w:r>
    </w:p>
    <w:p w:rsidR="00BA173E" w:rsidRPr="00276E1B" w:rsidRDefault="00430158" w:rsidP="004270D9">
      <w:pPr>
        <w:pStyle w:val="Heading1"/>
        <w:spacing w:before="240" w:after="0"/>
        <w:ind w:left="851"/>
      </w:pPr>
      <w:bookmarkStart w:id="79" w:name="_Toc403555134"/>
      <w:r w:rsidRPr="00276E1B">
        <w:rPr>
          <w:bCs/>
        </w:rPr>
        <w:lastRenderedPageBreak/>
        <w:t>Terms and conditions</w:t>
      </w:r>
      <w:bookmarkEnd w:id="79"/>
    </w:p>
    <w:p w:rsidR="00B00C70" w:rsidRPr="00BA173E" w:rsidRDefault="00746CCF" w:rsidP="004270D9">
      <w:pPr>
        <w:pStyle w:val="MRNumberedHeading2"/>
        <w:rPr>
          <w:rFonts w:cs="Arial"/>
        </w:rPr>
      </w:pPr>
      <w:bookmarkStart w:id="80" w:name="_Toc403555135"/>
      <w:r>
        <w:t xml:space="preserve">The </w:t>
      </w:r>
      <w:r w:rsidR="0034181A">
        <w:t>c</w:t>
      </w:r>
      <w:r w:rsidR="00BF698B">
        <w:t>ontract will include the NHS Terms and C</w:t>
      </w:r>
      <w:r>
        <w:t>onditions set out in Annex A1.  It is vital that the Bidder review</w:t>
      </w:r>
      <w:r w:rsidR="0030746C">
        <w:t>s</w:t>
      </w:r>
      <w:r>
        <w:t xml:space="preserve"> these carefully, and take</w:t>
      </w:r>
      <w:r w:rsidR="0030746C">
        <w:t>s</w:t>
      </w:r>
      <w:r>
        <w:t xml:space="preserve"> account of all information such as TUPE, key performance indicators and insurance requirements and that the Tender fully takes account of these</w:t>
      </w:r>
      <w:r w:rsidR="00BA173E">
        <w:t xml:space="preserve">. By submitting a Tender, </w:t>
      </w:r>
      <w:r w:rsidR="00E7163F">
        <w:t>Bidders</w:t>
      </w:r>
      <w:r w:rsidR="00BA173E">
        <w:t xml:space="preserve"> are agreeing to</w:t>
      </w:r>
      <w:r w:rsidR="00B00C70">
        <w:t xml:space="preserve"> be bound by</w:t>
      </w:r>
      <w:r w:rsidR="00430158">
        <w:t xml:space="preserve"> the terms of this ITT and the </w:t>
      </w:r>
      <w:r w:rsidR="00693E67">
        <w:t>NHS Terms and Conditions</w:t>
      </w:r>
      <w:r w:rsidR="00B00C70">
        <w:t xml:space="preserve"> without further negotiation or amendment.</w:t>
      </w:r>
      <w:bookmarkEnd w:id="80"/>
    </w:p>
    <w:p w:rsidR="002F23DC" w:rsidRPr="00276E1B" w:rsidRDefault="002F23DC" w:rsidP="004270D9">
      <w:pPr>
        <w:pStyle w:val="Heading1"/>
        <w:spacing w:before="240" w:after="0"/>
        <w:ind w:left="851"/>
      </w:pPr>
      <w:bookmarkStart w:id="81" w:name="_Toc403555136"/>
      <w:r w:rsidRPr="00276E1B">
        <w:t>Consortia and subcontractors</w:t>
      </w:r>
      <w:bookmarkEnd w:id="81"/>
      <w:r w:rsidRPr="00276E1B">
        <w:t xml:space="preserve"> </w:t>
      </w:r>
    </w:p>
    <w:bookmarkStart w:id="82" w:name="_Toc403555137"/>
    <w:bookmarkStart w:id="83" w:name="_Ref405453227"/>
    <w:p w:rsidR="00BA173E" w:rsidRDefault="00C863F5" w:rsidP="004270D9">
      <w:pPr>
        <w:pStyle w:val="MRNumberedHeading2"/>
      </w:pPr>
      <w:r w:rsidRPr="003E3276">
        <w:rPr>
          <w:noProof/>
        </w:rPr>
        <mc:AlternateContent>
          <mc:Choice Requires="wps">
            <w:drawing>
              <wp:anchor distT="0" distB="0" distL="114300" distR="114300" simplePos="0" relativeHeight="251675648" behindDoc="0" locked="0" layoutInCell="1" allowOverlap="1" wp14:anchorId="7994ADAB" wp14:editId="57D76012">
                <wp:simplePos x="0" y="0"/>
                <wp:positionH relativeFrom="column">
                  <wp:posOffset>5943600</wp:posOffset>
                </wp:positionH>
                <wp:positionV relativeFrom="paragraph">
                  <wp:posOffset>275590</wp:posOffset>
                </wp:positionV>
                <wp:extent cx="564515" cy="461010"/>
                <wp:effectExtent l="0" t="0" r="6985" b="0"/>
                <wp:wrapNone/>
                <wp:docPr id="15" name="Text Box 15"/>
                <wp:cNvGraphicFramePr/>
                <a:graphic xmlns:a="http://schemas.openxmlformats.org/drawingml/2006/main">
                  <a:graphicData uri="http://schemas.microsoft.com/office/word/2010/wordprocessingShape">
                    <wps:wsp>
                      <wps:cNvSpPr txBox="1"/>
                      <wps:spPr>
                        <a:xfrm>
                          <a:off x="0" y="0"/>
                          <a:ext cx="564515" cy="4610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7359C" w:rsidRDefault="006735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7" type="#_x0000_t202" style="position:absolute;left:0;text-align:left;margin-left:468pt;margin-top:21.7pt;width:44.45pt;height:3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" fillcolor="white [3201]" stroked="f" strokeweight=".5pt">
                <v:textbox>
                  <w:txbxContent>
                    <w:p w:rsidR="0067359C" w:rsidRDefault="0067359C"/>
                  </w:txbxContent>
                </v:textbox>
              </v:shape>
            </w:pict>
          </mc:Fallback>
        </mc:AlternateContent>
      </w:r>
      <w:r w:rsidR="00746CCF" w:rsidRPr="003E3276">
        <w:t>If</w:t>
      </w:r>
      <w:r w:rsidR="00746CCF">
        <w:t xml:space="preserve"> the Bidder is a consortium or will rely on sub-contractors to deliver the contract, it must explain in its Tender precisely which entities will be the supplier.</w:t>
      </w:r>
      <w:bookmarkEnd w:id="82"/>
      <w:bookmarkEnd w:id="83"/>
    </w:p>
    <w:p w:rsidR="00A722E9" w:rsidRPr="00A722E9" w:rsidRDefault="00A722E9" w:rsidP="00A722E9">
      <w:pPr>
        <w:pStyle w:val="MRNumberedHeading2"/>
      </w:pPr>
      <w:r w:rsidRPr="00A722E9">
        <w:t>If the Bidder intends to sub-contract any material parts of the contract, it must explain which parts will be sub-contracted, who the sub-contractor is, confirm the sub-contractor has agreed terms of supply and what contractual commitment it has from the sub-contractor to deliver.</w:t>
      </w:r>
    </w:p>
    <w:p w:rsidR="002F23DC" w:rsidRPr="00276E1B" w:rsidRDefault="002F23DC" w:rsidP="00276E1B">
      <w:pPr>
        <w:pStyle w:val="Heading1"/>
        <w:spacing w:before="240" w:after="0"/>
        <w:ind w:left="851"/>
      </w:pPr>
      <w:bookmarkStart w:id="84" w:name="_Toc403555140"/>
      <w:r w:rsidRPr="00276E1B">
        <w:t>Warnings and disclaimers</w:t>
      </w:r>
      <w:bookmarkEnd w:id="84"/>
    </w:p>
    <w:p w:rsidR="001B5F4F" w:rsidRDefault="001B5F4F" w:rsidP="006B54D6">
      <w:pPr>
        <w:pStyle w:val="MRNumberedHeading2"/>
      </w:pPr>
      <w:bookmarkStart w:id="85" w:name="_Toc403555141"/>
      <w:r>
        <w:t xml:space="preserve">While the information contained in this ITT is believed to be correct at the time of issue, neither the Authority, its advisors, nor any other awarding authorities will accept any liability for its accuracy, adequacy or completeness, nor will any express or implied warranty be given. This exclusion extends to liability in relation to any statement, opinion or conclusion contained in or any omission from, this ITT (including its </w:t>
      </w:r>
      <w:r w:rsidR="007A3602">
        <w:t>annexes</w:t>
      </w:r>
      <w:r>
        <w:t xml:space="preserve">) and in respect of any other written or oral communication transmitted (or otherwise made available) to any </w:t>
      </w:r>
      <w:r w:rsidR="00785DDF">
        <w:t>Bidder</w:t>
      </w:r>
      <w:r>
        <w:t>. This exclusion does not extend to any fraudulent misrepresentation made by or on behalf of the Authority.</w:t>
      </w:r>
      <w:bookmarkEnd w:id="85"/>
    </w:p>
    <w:p w:rsidR="001B5F4F" w:rsidRDefault="001B5F4F" w:rsidP="004270D9">
      <w:pPr>
        <w:pStyle w:val="MRNumberedHeading2"/>
      </w:pPr>
      <w:bookmarkStart w:id="86" w:name="_Toc403555142"/>
      <w:r>
        <w:t xml:space="preserve">If a </w:t>
      </w:r>
      <w:r w:rsidR="00785DDF">
        <w:t>Bidder</w:t>
      </w:r>
      <w:r w:rsidR="008E6BB3">
        <w:t xml:space="preserve"> proposes to enter into a c</w:t>
      </w:r>
      <w:r>
        <w:t>ontract with the Authority, it must rely on its own enquiries and on the terms</w:t>
      </w:r>
      <w:r w:rsidR="003A031F">
        <w:t xml:space="preserve"> and conditions set out in the c</w:t>
      </w:r>
      <w:r>
        <w:t>ontract(s) (as and when finally executed), subject to the limitations and restrictions specified in it.</w:t>
      </w:r>
      <w:bookmarkEnd w:id="86"/>
    </w:p>
    <w:p w:rsidR="001B5F4F" w:rsidRDefault="001B5F4F" w:rsidP="006B54D6">
      <w:pPr>
        <w:pStyle w:val="MRNumberedHeading2"/>
      </w:pPr>
      <w:bookmarkStart w:id="87" w:name="_Toc403555143"/>
      <w:r>
        <w:t>Neither the issue of this ITT, nor any of the information presented in it, should be regarded as a commitment or representation on the part of the Authority (or any other person) to enter into a contractual arrangement.</w:t>
      </w:r>
      <w:bookmarkEnd w:id="87"/>
    </w:p>
    <w:p w:rsidR="002F23DC" w:rsidRPr="00276E1B" w:rsidRDefault="001B5F4F" w:rsidP="00276E1B">
      <w:pPr>
        <w:pStyle w:val="Heading1"/>
        <w:spacing w:before="240" w:after="0"/>
        <w:ind w:left="851"/>
      </w:pPr>
      <w:bookmarkStart w:id="88" w:name="_Toc403555144"/>
      <w:r w:rsidRPr="00276E1B">
        <w:t>Freedom of Information Act 2000</w:t>
      </w:r>
      <w:r w:rsidR="008A56A2" w:rsidRPr="00276E1B">
        <w:t xml:space="preserve"> and Environmental Information Regulations 2004</w:t>
      </w:r>
      <w:bookmarkEnd w:id="88"/>
    </w:p>
    <w:p w:rsidR="001664D9" w:rsidRDefault="001664D9" w:rsidP="006B54D6">
      <w:pPr>
        <w:pStyle w:val="MRNumberedHeading2"/>
      </w:pPr>
      <w:bookmarkStart w:id="89" w:name="_Toc403555145"/>
      <w:r w:rsidRPr="001375C3">
        <w:t>As a public body, the Authority</w:t>
      </w:r>
      <w:r w:rsidR="003219DA">
        <w:t xml:space="preserve"> is subject to, and must comply</w:t>
      </w:r>
      <w:r w:rsidRPr="001375C3">
        <w:t xml:space="preserve"> with</w:t>
      </w:r>
      <w:r w:rsidR="003219DA">
        <w:t>, the</w:t>
      </w:r>
      <w:r w:rsidRPr="001375C3">
        <w:t xml:space="preserve"> Freedom of Information Act 2000 ("</w:t>
      </w:r>
      <w:r w:rsidRPr="004C3605">
        <w:rPr>
          <w:b/>
          <w:bCs/>
        </w:rPr>
        <w:t>FOIA</w:t>
      </w:r>
      <w:r w:rsidRPr="001375C3">
        <w:rPr>
          <w:bCs/>
        </w:rPr>
        <w:t>"</w:t>
      </w:r>
      <w:bookmarkStart w:id="90" w:name="_Ref149547605"/>
      <w:r w:rsidR="00F10ACE">
        <w:t xml:space="preserve">) </w:t>
      </w:r>
      <w:r w:rsidR="00B80A50">
        <w:t>and the Environmental Information Regulations 2004 ("</w:t>
      </w:r>
      <w:r w:rsidR="00B80A50" w:rsidRPr="00B80A50">
        <w:rPr>
          <w:b/>
        </w:rPr>
        <w:t>EIR</w:t>
      </w:r>
      <w:r w:rsidR="00B80A50">
        <w:t>")</w:t>
      </w:r>
      <w:r w:rsidR="00F10ACE">
        <w:t>. T</w:t>
      </w:r>
      <w:r w:rsidRPr="001375C3">
        <w:t>he Authority may</w:t>
      </w:r>
      <w:r w:rsidR="00B80A50">
        <w:t xml:space="preserve"> therefore</w:t>
      </w:r>
      <w:r w:rsidRPr="001375C3">
        <w:t xml:space="preserve"> be required to disclose information submitted by the </w:t>
      </w:r>
      <w:r w:rsidR="00785DDF">
        <w:t>Bidder</w:t>
      </w:r>
      <w:r w:rsidRPr="001375C3">
        <w:t>.</w:t>
      </w:r>
      <w:bookmarkEnd w:id="89"/>
      <w:r w:rsidRPr="001375C3">
        <w:t xml:space="preserve"> </w:t>
      </w:r>
      <w:bookmarkEnd w:id="90"/>
    </w:p>
    <w:p w:rsidR="00125550" w:rsidRPr="00125550" w:rsidRDefault="00125550" w:rsidP="00125550">
      <w:pPr>
        <w:pStyle w:val="MRNumberedHeading2"/>
      </w:pPr>
      <w:r w:rsidRPr="00125550">
        <w:t>If a Bidder considers any part of its Tender to be confidential or commercially sensitive, it must complete Annex B5 to Section B of this ITT, with a statement of which exemptions are relevant under FOIA and/or the EIR.</w:t>
      </w:r>
    </w:p>
    <w:p w:rsidR="001664D9" w:rsidRPr="001375C3" w:rsidRDefault="001664D9" w:rsidP="00125550">
      <w:pPr>
        <w:pStyle w:val="MRNumberedHeading2"/>
      </w:pPr>
      <w:bookmarkStart w:id="91" w:name="_Ref149547621"/>
      <w:bookmarkStart w:id="92" w:name="_Toc403555148"/>
      <w:r w:rsidRPr="001375C3">
        <w:t xml:space="preserve">Where a </w:t>
      </w:r>
      <w:r w:rsidR="00785DDF">
        <w:t>Bidder</w:t>
      </w:r>
      <w:r w:rsidRPr="001375C3">
        <w:t xml:space="preserve"> identifies information as commercially sensitive, the Authority will take those views into account.  </w:t>
      </w:r>
      <w:r w:rsidR="00E7163F">
        <w:t>Bidders</w:t>
      </w:r>
      <w:r w:rsidRPr="001375C3">
        <w:t xml:space="preserve"> should note, however, that, even where information is identified as commercially sensitive, the Authority may </w:t>
      </w:r>
      <w:r w:rsidR="00F10ACE">
        <w:t xml:space="preserve">be </w:t>
      </w:r>
      <w:r w:rsidRPr="001375C3">
        <w:t>require</w:t>
      </w:r>
      <w:r w:rsidR="00F10ACE">
        <w:t>d to</w:t>
      </w:r>
      <w:r w:rsidRPr="001375C3">
        <w:t xml:space="preserve"> disclose such information in accordance with FOIA or the EIR.  Accordingly, the Authority cannot guarantee that </w:t>
      </w:r>
      <w:r w:rsidR="001C747B">
        <w:t>it will withhold</w:t>
      </w:r>
      <w:r w:rsidRPr="001375C3">
        <w:t xml:space="preserve"> inform</w:t>
      </w:r>
      <w:r w:rsidR="001C747B">
        <w:t>ation marked ‘confidential’, '</w:t>
      </w:r>
      <w:r w:rsidRPr="001375C3">
        <w:t>commer</w:t>
      </w:r>
      <w:r w:rsidR="001C747B">
        <w:t>cially sensitive'</w:t>
      </w:r>
      <w:r w:rsidRPr="001375C3">
        <w:t xml:space="preserve"> </w:t>
      </w:r>
      <w:bookmarkEnd w:id="91"/>
      <w:r w:rsidR="001C747B">
        <w:t>or otherwise exempt.</w:t>
      </w:r>
      <w:bookmarkEnd w:id="92"/>
    </w:p>
    <w:p w:rsidR="00491808" w:rsidRPr="00276E1B" w:rsidRDefault="00491808" w:rsidP="00276E1B">
      <w:pPr>
        <w:pStyle w:val="Heading1"/>
        <w:spacing w:before="240" w:after="0"/>
        <w:ind w:left="851"/>
      </w:pPr>
      <w:bookmarkStart w:id="93" w:name="_Toc403555149"/>
      <w:r w:rsidRPr="00276E1B">
        <w:t>Publicity</w:t>
      </w:r>
      <w:bookmarkEnd w:id="93"/>
    </w:p>
    <w:p w:rsidR="00491808" w:rsidRPr="00541CDA" w:rsidRDefault="00645517" w:rsidP="006B54D6">
      <w:pPr>
        <w:pStyle w:val="MRNumberedHeading2"/>
      </w:pPr>
      <w:bookmarkStart w:id="94" w:name="_Toc403555150"/>
      <w:r>
        <w:t>No publicity regarding the award of any c</w:t>
      </w:r>
      <w:r w:rsidR="00491808" w:rsidRPr="00541CDA">
        <w:t>ontract will be permitted unless and until the Authority has given express written consent to the relevant communication. For example, no statements may be made to the media regarding the nature of any Tender, its contents or any proposals relating to it without the prior written consent of the Authority.</w:t>
      </w:r>
      <w:bookmarkEnd w:id="94"/>
    </w:p>
    <w:p w:rsidR="00491808" w:rsidRPr="00276E1B" w:rsidRDefault="00785DDF" w:rsidP="00276E1B">
      <w:pPr>
        <w:pStyle w:val="Heading1"/>
        <w:spacing w:before="240" w:after="0"/>
        <w:ind w:left="851"/>
      </w:pPr>
      <w:bookmarkStart w:id="95" w:name="a699927"/>
      <w:bookmarkStart w:id="96" w:name="_Toc403555151"/>
      <w:bookmarkEnd w:id="95"/>
      <w:r w:rsidRPr="00276E1B">
        <w:lastRenderedPageBreak/>
        <w:t>Bidder</w:t>
      </w:r>
      <w:r w:rsidR="00491808" w:rsidRPr="00276E1B">
        <w:t xml:space="preserve"> conduct and conflicts of interest</w:t>
      </w:r>
      <w:bookmarkEnd w:id="96"/>
    </w:p>
    <w:p w:rsidR="00491808" w:rsidRPr="00491808" w:rsidRDefault="00491808" w:rsidP="006B54D6">
      <w:pPr>
        <w:pStyle w:val="MRNumberedHeading2"/>
      </w:pPr>
      <w:bookmarkStart w:id="97" w:name="_Toc403555152"/>
      <w:r w:rsidRPr="00491808">
        <w:t xml:space="preserve">Any attempt by </w:t>
      </w:r>
      <w:r w:rsidR="00E7163F">
        <w:t>Bidders</w:t>
      </w:r>
      <w:r w:rsidRPr="00491808">
        <w:t xml:space="preserve"> or their advisors to influence the contract award process in any way may result in the </w:t>
      </w:r>
      <w:r w:rsidR="00785DDF">
        <w:t>Bidder</w:t>
      </w:r>
      <w:r w:rsidRPr="00491808">
        <w:t xml:space="preserve"> being disqualified. Specifically, </w:t>
      </w:r>
      <w:r w:rsidR="00E7163F">
        <w:t>Bidders</w:t>
      </w:r>
      <w:r w:rsidRPr="00491808">
        <w:t xml:space="preserve"> shall not directly or indirectly at any time:</w:t>
      </w:r>
      <w:bookmarkEnd w:id="97"/>
    </w:p>
    <w:p w:rsidR="00491808" w:rsidRPr="007301E9" w:rsidRDefault="00645517" w:rsidP="004270D9">
      <w:pPr>
        <w:pStyle w:val="MRNumberedHeading3"/>
        <w:numPr>
          <w:ilvl w:val="2"/>
          <w:numId w:val="23"/>
        </w:numPr>
        <w:tabs>
          <w:tab w:val="num" w:pos="1794"/>
        </w:tabs>
        <w:spacing w:line="240" w:lineRule="auto"/>
        <w:ind w:left="1702" w:hanging="851"/>
        <w:jc w:val="both"/>
        <w:rPr>
          <w:bCs/>
        </w:rPr>
      </w:pPr>
      <w:r w:rsidRPr="007301E9">
        <w:rPr>
          <w:bCs/>
        </w:rPr>
        <w:t>d</w:t>
      </w:r>
      <w:r w:rsidR="00491808" w:rsidRPr="007301E9">
        <w:rPr>
          <w:bCs/>
        </w:rPr>
        <w:t>evise or amend the content of their Tender in accordance with any agreement or arrangement with any other person, other than in good faith with a person who is a proposed partner, supplier, consortiu</w:t>
      </w:r>
      <w:r w:rsidRPr="007301E9">
        <w:rPr>
          <w:bCs/>
        </w:rPr>
        <w:t xml:space="preserve">m member or provider of finance; </w:t>
      </w:r>
    </w:p>
    <w:p w:rsidR="00491808" w:rsidRPr="007301E9" w:rsidRDefault="00645517" w:rsidP="004270D9">
      <w:pPr>
        <w:pStyle w:val="MRNumberedHeading3"/>
        <w:numPr>
          <w:ilvl w:val="2"/>
          <w:numId w:val="23"/>
        </w:numPr>
        <w:tabs>
          <w:tab w:val="num" w:pos="1794"/>
        </w:tabs>
        <w:spacing w:line="240" w:lineRule="auto"/>
        <w:ind w:left="1702" w:hanging="851"/>
        <w:jc w:val="both"/>
        <w:rPr>
          <w:bCs/>
        </w:rPr>
      </w:pPr>
      <w:r w:rsidRPr="007301E9">
        <w:rPr>
          <w:bCs/>
        </w:rPr>
        <w:t>e</w:t>
      </w:r>
      <w:r w:rsidR="00491808" w:rsidRPr="007301E9">
        <w:rPr>
          <w:bCs/>
        </w:rPr>
        <w:t>nter into any agreement or arrangement with any other person as to th</w:t>
      </w:r>
      <w:r w:rsidR="00CC4072">
        <w:rPr>
          <w:bCs/>
        </w:rPr>
        <w:t>e form or content of any other T</w:t>
      </w:r>
      <w:r w:rsidR="00491808" w:rsidRPr="007301E9">
        <w:rPr>
          <w:bCs/>
        </w:rPr>
        <w:t>ender, or offer to pay any sum of money or valuable consideration to any person to effect changes to the form</w:t>
      </w:r>
      <w:r w:rsidR="00CC4072">
        <w:rPr>
          <w:bCs/>
        </w:rPr>
        <w:t xml:space="preserve"> or content of any other T</w:t>
      </w:r>
      <w:r w:rsidRPr="007301E9">
        <w:rPr>
          <w:bCs/>
        </w:rPr>
        <w:t xml:space="preserve">ender; </w:t>
      </w:r>
    </w:p>
    <w:p w:rsidR="00491808" w:rsidRPr="007301E9" w:rsidRDefault="00645517" w:rsidP="004270D9">
      <w:pPr>
        <w:pStyle w:val="MRNumberedHeading3"/>
        <w:numPr>
          <w:ilvl w:val="2"/>
          <w:numId w:val="23"/>
        </w:numPr>
        <w:tabs>
          <w:tab w:val="num" w:pos="1794"/>
        </w:tabs>
        <w:spacing w:line="240" w:lineRule="auto"/>
        <w:ind w:left="1702" w:hanging="851"/>
        <w:jc w:val="both"/>
        <w:rPr>
          <w:bCs/>
        </w:rPr>
      </w:pPr>
      <w:r w:rsidRPr="007301E9">
        <w:rPr>
          <w:bCs/>
        </w:rPr>
        <w:t>e</w:t>
      </w:r>
      <w:r w:rsidR="00491808" w:rsidRPr="007301E9">
        <w:rPr>
          <w:bCs/>
        </w:rPr>
        <w:t xml:space="preserve">nter into any agreement or arrangement with any other person that has the effect of prohibiting or excluding that </w:t>
      </w:r>
      <w:r w:rsidR="00CE2FEF" w:rsidRPr="007301E9">
        <w:rPr>
          <w:bCs/>
        </w:rPr>
        <w:t xml:space="preserve">person from submitting </w:t>
      </w:r>
      <w:r w:rsidR="00CC4072">
        <w:rPr>
          <w:bCs/>
        </w:rPr>
        <w:t>a T</w:t>
      </w:r>
      <w:r w:rsidRPr="007301E9">
        <w:rPr>
          <w:bCs/>
        </w:rPr>
        <w:t>ender;</w:t>
      </w:r>
    </w:p>
    <w:p w:rsidR="00491808" w:rsidRPr="007301E9" w:rsidRDefault="00645517" w:rsidP="0035766D">
      <w:pPr>
        <w:pStyle w:val="MRNumberedHeading3"/>
        <w:numPr>
          <w:ilvl w:val="2"/>
          <w:numId w:val="23"/>
        </w:numPr>
        <w:tabs>
          <w:tab w:val="num" w:pos="1794"/>
        </w:tabs>
        <w:spacing w:line="240" w:lineRule="auto"/>
        <w:ind w:left="1702" w:hanging="851"/>
        <w:jc w:val="both"/>
        <w:rPr>
          <w:bCs/>
        </w:rPr>
      </w:pPr>
      <w:r w:rsidRPr="007301E9">
        <w:rPr>
          <w:bCs/>
        </w:rPr>
        <w:t>c</w:t>
      </w:r>
      <w:r w:rsidR="00491808" w:rsidRPr="007301E9">
        <w:rPr>
          <w:bCs/>
        </w:rPr>
        <w:t xml:space="preserve">anvass the Authority or any employees or agents of the Authority </w:t>
      </w:r>
      <w:r w:rsidRPr="007301E9">
        <w:rPr>
          <w:bCs/>
        </w:rPr>
        <w:t>in relation to this procurement; and/or</w:t>
      </w:r>
    </w:p>
    <w:p w:rsidR="00645517" w:rsidRPr="007301E9" w:rsidRDefault="00645517" w:rsidP="0035766D">
      <w:pPr>
        <w:pStyle w:val="MRNumberedHeading3"/>
        <w:numPr>
          <w:ilvl w:val="2"/>
          <w:numId w:val="23"/>
        </w:numPr>
        <w:tabs>
          <w:tab w:val="num" w:pos="1794"/>
        </w:tabs>
        <w:spacing w:line="240" w:lineRule="auto"/>
        <w:ind w:left="1702" w:hanging="851"/>
        <w:jc w:val="both"/>
        <w:rPr>
          <w:bCs/>
        </w:rPr>
      </w:pPr>
      <w:r w:rsidRPr="007301E9">
        <w:rPr>
          <w:bCs/>
        </w:rPr>
        <w:t>a</w:t>
      </w:r>
      <w:r w:rsidR="00491808" w:rsidRPr="007301E9">
        <w:rPr>
          <w:bCs/>
        </w:rPr>
        <w:t xml:space="preserve">ttempt to obtain information from any of the employees or agents of the Authority or their advisors concerning another </w:t>
      </w:r>
      <w:r w:rsidR="0035766D">
        <w:rPr>
          <w:bCs/>
        </w:rPr>
        <w:t>B</w:t>
      </w:r>
      <w:r w:rsidR="00785DDF" w:rsidRPr="007301E9">
        <w:rPr>
          <w:bCs/>
        </w:rPr>
        <w:t>idder</w:t>
      </w:r>
      <w:r w:rsidR="0035766D">
        <w:rPr>
          <w:bCs/>
        </w:rPr>
        <w:t xml:space="preserve"> or T</w:t>
      </w:r>
      <w:r w:rsidR="00491808" w:rsidRPr="007301E9">
        <w:rPr>
          <w:bCs/>
        </w:rPr>
        <w:t>ender</w:t>
      </w:r>
      <w:r w:rsidR="00F10ACE" w:rsidRPr="007301E9">
        <w:rPr>
          <w:bCs/>
        </w:rPr>
        <w:t xml:space="preserve"> (except for debrief information requests made through the</w:t>
      </w:r>
      <w:r w:rsidR="006C6F4A">
        <w:rPr>
          <w:bCs/>
        </w:rPr>
        <w:t xml:space="preserve"> e-Tendering</w:t>
      </w:r>
      <w:r w:rsidR="00F10ACE" w:rsidRPr="007301E9">
        <w:rPr>
          <w:bCs/>
        </w:rPr>
        <w:t xml:space="preserve"> </w:t>
      </w:r>
      <w:r w:rsidR="004230E7">
        <w:rPr>
          <w:bCs/>
        </w:rPr>
        <w:t>Portal</w:t>
      </w:r>
      <w:r w:rsidR="00F10ACE" w:rsidRPr="007301E9">
        <w:rPr>
          <w:bCs/>
        </w:rPr>
        <w:t>)</w:t>
      </w:r>
      <w:r w:rsidR="00491808" w:rsidRPr="007301E9">
        <w:rPr>
          <w:bCs/>
        </w:rPr>
        <w:t>.</w:t>
      </w:r>
    </w:p>
    <w:p w:rsidR="00491808" w:rsidRPr="00645517" w:rsidRDefault="00E7163F" w:rsidP="0035766D">
      <w:pPr>
        <w:pStyle w:val="MRNumberedHeading2"/>
      </w:pPr>
      <w:bookmarkStart w:id="98" w:name="_Toc403555153"/>
      <w:r>
        <w:t>Bidders</w:t>
      </w:r>
      <w:r w:rsidR="00491808" w:rsidRPr="00645517">
        <w:t xml:space="preserve"> are responsible for ensuring that no conflicts of interest exist between the </w:t>
      </w:r>
      <w:r w:rsidR="00785DDF">
        <w:t>Bidder</w:t>
      </w:r>
      <w:r w:rsidR="00491808" w:rsidRPr="00645517">
        <w:t xml:space="preserve"> and its advisers, and the Authority and its advisors. </w:t>
      </w:r>
      <w:r w:rsidR="00E2328D">
        <w:t xml:space="preserve">Bidders should notify the Authority promptly of any possible conflict and the proposed steps that the Bidder believes can be </w:t>
      </w:r>
      <w:r w:rsidR="009A32E3">
        <w:t>taken to avoid</w:t>
      </w:r>
      <w:r w:rsidR="00BD4D8C">
        <w:t xml:space="preserve"> the conflict. </w:t>
      </w:r>
      <w:r w:rsidR="007B6206" w:rsidRPr="00645517">
        <w:t xml:space="preserve">Any </w:t>
      </w:r>
      <w:r w:rsidR="007B6206">
        <w:t>Bidder who fails to comply with these</w:t>
      </w:r>
      <w:r w:rsidR="007B6206" w:rsidRPr="00645517">
        <w:t xml:space="preserve"> requirement</w:t>
      </w:r>
      <w:r w:rsidR="007B6206">
        <w:t>s</w:t>
      </w:r>
      <w:r w:rsidR="007B6206" w:rsidRPr="00645517">
        <w:t xml:space="preserve"> may be </w:t>
      </w:r>
      <w:r w:rsidR="007B6206">
        <w:t>excluded</w:t>
      </w:r>
      <w:r w:rsidR="007B6206" w:rsidRPr="00645517">
        <w:t xml:space="preserve"> from the procurement at the discretion of the Authority.</w:t>
      </w:r>
      <w:bookmarkEnd w:id="98"/>
      <w:r w:rsidR="007B6206">
        <w:t xml:space="preserve">  </w:t>
      </w:r>
      <w:r w:rsidR="00BD4D8C">
        <w:t xml:space="preserve"> </w:t>
      </w:r>
      <w:r w:rsidR="00E2328D">
        <w:t xml:space="preserve"> </w:t>
      </w:r>
    </w:p>
    <w:p w:rsidR="00491808" w:rsidRPr="00491808" w:rsidRDefault="00491808" w:rsidP="0035766D">
      <w:pPr>
        <w:pStyle w:val="Heading1"/>
        <w:spacing w:before="240" w:after="0"/>
        <w:ind w:left="851"/>
      </w:pPr>
      <w:bookmarkStart w:id="99" w:name="a582432"/>
      <w:bookmarkStart w:id="100" w:name="_Toc403555154"/>
      <w:bookmarkEnd w:id="99"/>
      <w:r w:rsidRPr="00491808">
        <w:t>Authority's rights</w:t>
      </w:r>
      <w:bookmarkEnd w:id="100"/>
    </w:p>
    <w:p w:rsidR="00491808" w:rsidRPr="00491808" w:rsidRDefault="008D2128" w:rsidP="0035766D">
      <w:pPr>
        <w:pStyle w:val="MRNumberedHeading2"/>
      </w:pPr>
      <w:bookmarkStart w:id="101" w:name="_Toc403555155"/>
      <w:r>
        <w:t>Subject to its obligations to act in a transparent, proportionate and non-discriminatory manner, t</w:t>
      </w:r>
      <w:r w:rsidR="00491808" w:rsidRPr="00491808">
        <w:t>he Authority reserves the right to:</w:t>
      </w:r>
      <w:bookmarkEnd w:id="101"/>
    </w:p>
    <w:p w:rsidR="00491808" w:rsidRPr="007301E9" w:rsidRDefault="00645517" w:rsidP="0035766D">
      <w:pPr>
        <w:pStyle w:val="MRNumberedHeading3"/>
        <w:numPr>
          <w:ilvl w:val="2"/>
          <w:numId w:val="23"/>
        </w:numPr>
        <w:tabs>
          <w:tab w:val="num" w:pos="1794"/>
        </w:tabs>
        <w:spacing w:line="240" w:lineRule="auto"/>
        <w:ind w:left="1702" w:hanging="851"/>
        <w:jc w:val="both"/>
        <w:rPr>
          <w:bCs/>
        </w:rPr>
      </w:pPr>
      <w:r w:rsidRPr="007301E9">
        <w:rPr>
          <w:bCs/>
        </w:rPr>
        <w:t>w</w:t>
      </w:r>
      <w:r w:rsidR="00491808" w:rsidRPr="007301E9">
        <w:rPr>
          <w:bCs/>
        </w:rPr>
        <w:t>aive or change the requirements of this ITT from time to time</w:t>
      </w:r>
      <w:r w:rsidRPr="007301E9">
        <w:rPr>
          <w:bCs/>
        </w:rPr>
        <w:t>;</w:t>
      </w:r>
    </w:p>
    <w:p w:rsidR="00491808" w:rsidRPr="007301E9" w:rsidRDefault="00645517" w:rsidP="0035766D">
      <w:pPr>
        <w:pStyle w:val="MRNumberedHeading3"/>
        <w:numPr>
          <w:ilvl w:val="2"/>
          <w:numId w:val="23"/>
        </w:numPr>
        <w:tabs>
          <w:tab w:val="num" w:pos="1794"/>
        </w:tabs>
        <w:spacing w:line="240" w:lineRule="auto"/>
        <w:ind w:left="1702" w:hanging="851"/>
        <w:jc w:val="both"/>
        <w:rPr>
          <w:bCs/>
        </w:rPr>
      </w:pPr>
      <w:r w:rsidRPr="007301E9">
        <w:rPr>
          <w:bCs/>
        </w:rPr>
        <w:t>s</w:t>
      </w:r>
      <w:r w:rsidR="00491808" w:rsidRPr="007301E9">
        <w:rPr>
          <w:bCs/>
        </w:rPr>
        <w:t>eek clarification or documents in res</w:t>
      </w:r>
      <w:r w:rsidRPr="007301E9">
        <w:rPr>
          <w:bCs/>
        </w:rPr>
        <w:t xml:space="preserve">pect of a </w:t>
      </w:r>
      <w:r w:rsidR="00785DDF" w:rsidRPr="007301E9">
        <w:rPr>
          <w:bCs/>
        </w:rPr>
        <w:t>Bidder</w:t>
      </w:r>
      <w:r w:rsidRPr="007301E9">
        <w:rPr>
          <w:bCs/>
        </w:rPr>
        <w:t>'s submission;</w:t>
      </w:r>
    </w:p>
    <w:p w:rsidR="00491808" w:rsidRPr="007301E9" w:rsidRDefault="00645517" w:rsidP="0035766D">
      <w:pPr>
        <w:pStyle w:val="MRNumberedHeading3"/>
        <w:numPr>
          <w:ilvl w:val="2"/>
          <w:numId w:val="23"/>
        </w:numPr>
        <w:tabs>
          <w:tab w:val="num" w:pos="1794"/>
        </w:tabs>
        <w:spacing w:line="240" w:lineRule="auto"/>
        <w:ind w:left="1702" w:hanging="851"/>
        <w:jc w:val="both"/>
        <w:rPr>
          <w:bCs/>
        </w:rPr>
      </w:pPr>
      <w:r w:rsidRPr="007301E9">
        <w:rPr>
          <w:bCs/>
        </w:rPr>
        <w:t>d</w:t>
      </w:r>
      <w:r w:rsidR="00491808" w:rsidRPr="007301E9">
        <w:rPr>
          <w:bCs/>
        </w:rPr>
        <w:t xml:space="preserve">isqualify any </w:t>
      </w:r>
      <w:r w:rsidR="00785DDF" w:rsidRPr="007301E9">
        <w:rPr>
          <w:bCs/>
        </w:rPr>
        <w:t>Bidder</w:t>
      </w:r>
      <w:r w:rsidR="00491808" w:rsidRPr="007301E9">
        <w:rPr>
          <w:bCs/>
        </w:rPr>
        <w:t xml:space="preserve"> that does not submit a compliant Tender in accordance wi</w:t>
      </w:r>
      <w:r w:rsidRPr="007301E9">
        <w:rPr>
          <w:bCs/>
        </w:rPr>
        <w:t>th the instructions in this ITT;</w:t>
      </w:r>
    </w:p>
    <w:p w:rsidR="00491808" w:rsidRPr="007301E9" w:rsidRDefault="00645517" w:rsidP="0035766D">
      <w:pPr>
        <w:pStyle w:val="MRNumberedHeading3"/>
        <w:numPr>
          <w:ilvl w:val="2"/>
          <w:numId w:val="23"/>
        </w:numPr>
        <w:tabs>
          <w:tab w:val="num" w:pos="1794"/>
        </w:tabs>
        <w:spacing w:line="240" w:lineRule="auto"/>
        <w:ind w:left="1702" w:hanging="851"/>
        <w:jc w:val="both"/>
        <w:rPr>
          <w:bCs/>
        </w:rPr>
      </w:pPr>
      <w:r w:rsidRPr="007301E9">
        <w:rPr>
          <w:bCs/>
        </w:rPr>
        <w:t>d</w:t>
      </w:r>
      <w:r w:rsidR="00491808" w:rsidRPr="007301E9">
        <w:rPr>
          <w:bCs/>
        </w:rPr>
        <w:t xml:space="preserve">isqualify any </w:t>
      </w:r>
      <w:r w:rsidR="00785DDF" w:rsidRPr="007301E9">
        <w:rPr>
          <w:bCs/>
        </w:rPr>
        <w:t>Bidder</w:t>
      </w:r>
      <w:r w:rsidR="00491808" w:rsidRPr="007301E9">
        <w:rPr>
          <w:bCs/>
        </w:rPr>
        <w:t xml:space="preserve"> that is guilty of serious misrepresent</w:t>
      </w:r>
      <w:r w:rsidR="007A3602">
        <w:rPr>
          <w:bCs/>
        </w:rPr>
        <w:t>ation in relation to its Tender</w:t>
      </w:r>
      <w:r w:rsidR="00491808" w:rsidRPr="007301E9">
        <w:rPr>
          <w:bCs/>
        </w:rPr>
        <w:t xml:space="preserve"> </w:t>
      </w:r>
      <w:r w:rsidR="00CC4072">
        <w:rPr>
          <w:bCs/>
        </w:rPr>
        <w:t>or the T</w:t>
      </w:r>
      <w:r w:rsidRPr="007301E9">
        <w:rPr>
          <w:bCs/>
        </w:rPr>
        <w:t>ender process;</w:t>
      </w:r>
    </w:p>
    <w:p w:rsidR="00491808" w:rsidRPr="007301E9" w:rsidRDefault="00645517" w:rsidP="0035766D">
      <w:pPr>
        <w:pStyle w:val="MRNumberedHeading3"/>
        <w:numPr>
          <w:ilvl w:val="2"/>
          <w:numId w:val="23"/>
        </w:numPr>
        <w:tabs>
          <w:tab w:val="num" w:pos="1794"/>
        </w:tabs>
        <w:spacing w:line="240" w:lineRule="auto"/>
        <w:ind w:left="1702" w:hanging="851"/>
        <w:jc w:val="both"/>
        <w:rPr>
          <w:bCs/>
        </w:rPr>
      </w:pPr>
      <w:r w:rsidRPr="007301E9">
        <w:rPr>
          <w:bCs/>
        </w:rPr>
        <w:t>w</w:t>
      </w:r>
      <w:r w:rsidR="00491808" w:rsidRPr="007301E9">
        <w:rPr>
          <w:bCs/>
        </w:rPr>
        <w:t>ithdraw this ITT at any time, or re-invite Tenders on th</w:t>
      </w:r>
      <w:r w:rsidRPr="007301E9">
        <w:rPr>
          <w:bCs/>
        </w:rPr>
        <w:t xml:space="preserve">e same or any alternative basis; </w:t>
      </w:r>
    </w:p>
    <w:p w:rsidR="00491808" w:rsidRPr="007301E9" w:rsidRDefault="00645517" w:rsidP="00574BD8">
      <w:pPr>
        <w:pStyle w:val="MRNumberedHeading3"/>
        <w:numPr>
          <w:ilvl w:val="2"/>
          <w:numId w:val="23"/>
        </w:numPr>
        <w:tabs>
          <w:tab w:val="num" w:pos="1701"/>
        </w:tabs>
        <w:spacing w:line="240" w:lineRule="auto"/>
        <w:ind w:left="1701" w:hanging="850"/>
        <w:jc w:val="both"/>
        <w:rPr>
          <w:bCs/>
        </w:rPr>
      </w:pPr>
      <w:r w:rsidRPr="007301E9">
        <w:rPr>
          <w:bCs/>
        </w:rPr>
        <w:t>choose not to award any c</w:t>
      </w:r>
      <w:r w:rsidR="00491808" w:rsidRPr="007301E9">
        <w:rPr>
          <w:bCs/>
        </w:rPr>
        <w:t xml:space="preserve">ontract as a result of the </w:t>
      </w:r>
      <w:r w:rsidRPr="007301E9">
        <w:rPr>
          <w:bCs/>
        </w:rPr>
        <w:t>current procurement process; and</w:t>
      </w:r>
      <w:r w:rsidR="00574BD8" w:rsidRPr="00574BD8">
        <w:rPr>
          <w:bCs/>
        </w:rPr>
        <w:t xml:space="preserve"> reserves the right to accept an offer either in whole or in part, each item being treated as offered separately.  </w:t>
      </w:r>
    </w:p>
    <w:p w:rsidR="00491808" w:rsidRPr="007301E9" w:rsidRDefault="00645517" w:rsidP="004270D9">
      <w:pPr>
        <w:pStyle w:val="MRNumberedHeading3"/>
        <w:numPr>
          <w:ilvl w:val="2"/>
          <w:numId w:val="23"/>
        </w:numPr>
        <w:tabs>
          <w:tab w:val="num" w:pos="1794"/>
        </w:tabs>
        <w:spacing w:line="240" w:lineRule="auto"/>
        <w:ind w:left="1702" w:hanging="851"/>
        <w:jc w:val="both"/>
        <w:rPr>
          <w:bCs/>
        </w:rPr>
      </w:pPr>
      <w:r w:rsidRPr="007301E9">
        <w:rPr>
          <w:bCs/>
        </w:rPr>
        <w:t>m</w:t>
      </w:r>
      <w:r w:rsidR="00491808" w:rsidRPr="007301E9">
        <w:rPr>
          <w:bCs/>
        </w:rPr>
        <w:t>ake whate</w:t>
      </w:r>
      <w:r w:rsidRPr="007301E9">
        <w:rPr>
          <w:bCs/>
        </w:rPr>
        <w:t>ver changes it sees fit to the t</w:t>
      </w:r>
      <w:r w:rsidR="00491808" w:rsidRPr="007301E9">
        <w:rPr>
          <w:bCs/>
        </w:rPr>
        <w:t>imetable, structure or content of the procurem</w:t>
      </w:r>
      <w:r w:rsidR="006B3EFA" w:rsidRPr="007301E9">
        <w:rPr>
          <w:bCs/>
        </w:rPr>
        <w:t>ent process</w:t>
      </w:r>
      <w:r w:rsidR="00491808" w:rsidRPr="007301E9">
        <w:rPr>
          <w:bCs/>
        </w:rPr>
        <w:t>.</w:t>
      </w:r>
    </w:p>
    <w:p w:rsidR="00491808" w:rsidRPr="00491808" w:rsidRDefault="00491808" w:rsidP="00276E1B">
      <w:pPr>
        <w:pStyle w:val="Heading1"/>
        <w:spacing w:before="240" w:after="0"/>
        <w:ind w:left="851"/>
      </w:pPr>
      <w:bookmarkStart w:id="102" w:name="a934916"/>
      <w:bookmarkStart w:id="103" w:name="_Toc403555156"/>
      <w:bookmarkEnd w:id="102"/>
      <w:r w:rsidRPr="00491808">
        <w:lastRenderedPageBreak/>
        <w:t>Bid costs</w:t>
      </w:r>
      <w:bookmarkEnd w:id="103"/>
    </w:p>
    <w:p w:rsidR="0022652F" w:rsidRDefault="00491808" w:rsidP="006B54D6">
      <w:pPr>
        <w:pStyle w:val="MRNumberedHeading2"/>
      </w:pPr>
      <w:bookmarkStart w:id="104" w:name="_Toc403555157"/>
      <w:r w:rsidRPr="00491808">
        <w:t xml:space="preserve">The Authority will not be liable for any bid costs, expenditure, work or effort incurred by a </w:t>
      </w:r>
      <w:r w:rsidR="00785DDF">
        <w:t>Bidder</w:t>
      </w:r>
      <w:r w:rsidRPr="00491808">
        <w:t xml:space="preserve"> in proceeding with or participating in this procurement, including if the procurement process is terminated or amended by the Authority.</w:t>
      </w:r>
      <w:bookmarkEnd w:id="104"/>
    </w:p>
    <w:p w:rsidR="00491808" w:rsidRPr="00276E1B" w:rsidRDefault="00491808" w:rsidP="00276E1B">
      <w:pPr>
        <w:pStyle w:val="Heading1"/>
        <w:spacing w:before="240" w:after="0"/>
        <w:ind w:left="851"/>
      </w:pPr>
      <w:bookmarkStart w:id="105" w:name="_Toc403555158"/>
      <w:r w:rsidRPr="00276E1B">
        <w:t>Language</w:t>
      </w:r>
      <w:bookmarkEnd w:id="105"/>
    </w:p>
    <w:p w:rsidR="006534CF" w:rsidRDefault="00491808" w:rsidP="006B54D6">
      <w:pPr>
        <w:pStyle w:val="MRNumberedHeading2"/>
      </w:pPr>
      <w:bookmarkStart w:id="106" w:name="_Toc403555159"/>
      <w:r w:rsidRPr="00A24900">
        <w:t xml:space="preserve">Tenders, all documents and all </w:t>
      </w:r>
      <w:r w:rsidR="003219DA">
        <w:t>correspondence relating to the T</w:t>
      </w:r>
      <w:r w:rsidRPr="00A24900">
        <w:t>ender must be written in English.</w:t>
      </w:r>
      <w:bookmarkEnd w:id="106"/>
    </w:p>
    <w:bookmarkStart w:id="107" w:name="_Toc403555160"/>
    <w:p w:rsidR="00F35E09" w:rsidRPr="00276E1B" w:rsidRDefault="00951B7E" w:rsidP="00276E1B">
      <w:pPr>
        <w:pStyle w:val="Heading1"/>
        <w:spacing w:before="240" w:after="0"/>
        <w:ind w:left="851"/>
      </w:pPr>
      <w:r>
        <w:rPr>
          <w:noProof/>
        </w:rPr>
        <mc:AlternateContent>
          <mc:Choice Requires="wps">
            <w:drawing>
              <wp:anchor distT="0" distB="0" distL="114300" distR="114300" simplePos="0" relativeHeight="251676672" behindDoc="0" locked="0" layoutInCell="1" allowOverlap="1" wp14:anchorId="7C8D8267" wp14:editId="5BD0B0E3">
                <wp:simplePos x="0" y="0"/>
                <wp:positionH relativeFrom="column">
                  <wp:posOffset>5881481</wp:posOffset>
                </wp:positionH>
                <wp:positionV relativeFrom="paragraph">
                  <wp:posOffset>287655</wp:posOffset>
                </wp:positionV>
                <wp:extent cx="508635" cy="436880"/>
                <wp:effectExtent l="0" t="0" r="5715" b="1270"/>
                <wp:wrapNone/>
                <wp:docPr id="16" name="Text Box 16"/>
                <wp:cNvGraphicFramePr/>
                <a:graphic xmlns:a="http://schemas.openxmlformats.org/drawingml/2006/main">
                  <a:graphicData uri="http://schemas.microsoft.com/office/word/2010/wordprocessingShape">
                    <wps:wsp>
                      <wps:cNvSpPr txBox="1"/>
                      <wps:spPr>
                        <a:xfrm>
                          <a:off x="0" y="0"/>
                          <a:ext cx="508635" cy="4368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108" w:name="handthreetwentyeight"/>
                          <w:bookmarkEnd w:id="108"/>
                          <w:p w:rsidR="0067359C" w:rsidRPr="00951B7E" w:rsidRDefault="0067359C" w:rsidP="00C81A31">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"threetwoeight" \o "NHS providers are required to ensure that all contract award notices over £25,000 are published on Contracts Finder"</w:instrText>
                            </w:r>
                            <w:r>
                              <w:rPr>
                                <w:rFonts w:ascii="Arial Bold" w:hAnsi="Arial Bold"/>
                                <w:b/>
                                <w:color w:val="FF0000"/>
                                <w:sz w:val="44"/>
                                <w:szCs w:val="44"/>
                              </w:rPr>
                              <w:fldChar w:fldCharType="separate"/>
                            </w:r>
                          </w:p>
                          <w:p w:rsidR="0067359C" w:rsidRDefault="0067359C">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6" o:spid="_x0000_s1038" type="#_x0000_t202" style="position:absolute;left:0;text-align:left;margin-left:463.1pt;margin-top:22.65pt;width:40.05pt;height:34.4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" fillcolor="white [3201]" stroked="f" strokeweight=".5pt">
                <v:textbox>
                  <w:txbxContent>
                    <w:bookmarkStart w:id="117" w:name="handthreetwentyeight"/>
                    <w:bookmarkEnd w:id="117"/>
                    <w:p w:rsidR="0067359C" w:rsidRPr="00951B7E" w:rsidRDefault="0067359C" w:rsidP="00C81A31">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"threetwoeight" \o "NHS providers are required to ensure that all contract award notices over £25,000 are published on Contracts Finder"</w:instrText>
                      </w:r>
                      <w:r>
                        <w:rPr>
                          <w:rFonts w:ascii="Arial Bold" w:hAnsi="Arial Bold"/>
                          <w:b/>
                          <w:color w:val="FF0000"/>
                          <w:sz w:val="44"/>
                          <w:szCs w:val="44"/>
                        </w:rPr>
                        <w:fldChar w:fldCharType="separate"/>
                      </w:r>
                    </w:p>
                    <w:p w:rsidR="0067359C" w:rsidRDefault="0067359C">
                      <w:r>
                        <w:rPr>
                          <w:rFonts w:ascii="Arial Bold" w:hAnsi="Arial Bold"/>
                          <w:b/>
                          <w:color w:val="FF0000"/>
                          <w:sz w:val="44"/>
                          <w:szCs w:val="44"/>
                        </w:rPr>
                        <w:fldChar w:fldCharType="end"/>
                      </w:r>
                    </w:p>
                  </w:txbxContent>
                </v:textbox>
              </v:shape>
            </w:pict>
          </mc:Fallback>
        </mc:AlternateContent>
      </w:r>
      <w:r w:rsidR="00F35E09" w:rsidRPr="00276E1B">
        <w:t>Transparency</w:t>
      </w:r>
      <w:bookmarkEnd w:id="107"/>
      <w:r w:rsidR="00F35E09" w:rsidRPr="00276E1B">
        <w:t xml:space="preserve">  </w:t>
      </w:r>
    </w:p>
    <w:p w:rsidR="00F35E09" w:rsidRDefault="00F35E09" w:rsidP="006B54D6">
      <w:pPr>
        <w:pStyle w:val="MRNumberedHeading2"/>
      </w:pPr>
      <w:bookmarkStart w:id="109" w:name="_Toc403555161"/>
      <w:bookmarkStart w:id="110" w:name="_Ref405453244"/>
      <w:r>
        <w:t>In accordance with the</w:t>
      </w:r>
      <w:r w:rsidR="005A5EF5">
        <w:t xml:space="preserve"> Public Contracts Regulations 2015 and the</w:t>
      </w:r>
      <w:r>
        <w:t xml:space="preserve"> Government’s policy on transparency, Bidders should be aware that the Authority intends to make the ITT and </w:t>
      </w:r>
      <w:r w:rsidR="00DC6E9A">
        <w:t xml:space="preserve">details of </w:t>
      </w:r>
      <w:r>
        <w:t xml:space="preserve">any subsequent contract publicly available, by </w:t>
      </w:r>
      <w:r w:rsidR="00DC6E9A">
        <w:t>publication</w:t>
      </w:r>
      <w:r>
        <w:t xml:space="preserve"> on the Government</w:t>
      </w:r>
      <w:bookmarkEnd w:id="109"/>
      <w:bookmarkEnd w:id="110"/>
      <w:r w:rsidR="009D5F0B">
        <w:t>'s Contracts Finder portal.</w:t>
      </w:r>
    </w:p>
    <w:p w:rsidR="00236A55" w:rsidRPr="00276E1B" w:rsidRDefault="00236A55" w:rsidP="00276E1B">
      <w:pPr>
        <w:pStyle w:val="Heading1"/>
        <w:spacing w:before="240" w:after="0"/>
        <w:ind w:left="851"/>
      </w:pPr>
      <w:bookmarkStart w:id="111" w:name="_Toc403555162"/>
      <w:r w:rsidRPr="00276E1B">
        <w:t>Governing Law and Jurisdiction</w:t>
      </w:r>
      <w:bookmarkEnd w:id="111"/>
      <w:r w:rsidRPr="00276E1B">
        <w:t xml:space="preserve"> </w:t>
      </w:r>
    </w:p>
    <w:p w:rsidR="004E71FF" w:rsidRPr="005A2E47" w:rsidRDefault="00236A55" w:rsidP="006B54D6">
      <w:pPr>
        <w:pStyle w:val="MRNumberedHeading2"/>
      </w:pPr>
      <w:bookmarkStart w:id="112" w:name="_Toc403555163"/>
      <w:r>
        <w:t>This ITT and any dispute concerning it (including non-contractual disputes or claims) shall be governed by English law and subject to the jurisdiction of the English Courts</w:t>
      </w:r>
      <w:bookmarkEnd w:id="112"/>
      <w:r w:rsidR="007A3602">
        <w:t>.</w:t>
      </w:r>
    </w:p>
    <w:p w:rsidR="008824CC" w:rsidRPr="008F3D2C" w:rsidRDefault="008731E8" w:rsidP="0035766D">
      <w:pPr>
        <w:pStyle w:val="MRNumberedHeading1"/>
        <w:numPr>
          <w:ilvl w:val="0"/>
          <w:numId w:val="24"/>
        </w:numPr>
        <w:ind w:hanging="798"/>
        <w:jc w:val="both"/>
        <w:rPr>
          <w:sz w:val="20"/>
          <w:szCs w:val="20"/>
        </w:rPr>
      </w:pPr>
      <w:bookmarkStart w:id="113" w:name="_Toc403556504"/>
      <w:bookmarkStart w:id="114" w:name="_Toc403556509"/>
      <w:bookmarkStart w:id="115" w:name="_Toc406674972"/>
      <w:bookmarkStart w:id="116" w:name="_Toc412621214"/>
      <w:bookmarkStart w:id="117" w:name="_Toc412715224"/>
      <w:r w:rsidRPr="008F3D2C">
        <w:rPr>
          <w:sz w:val="20"/>
          <w:szCs w:val="20"/>
        </w:rPr>
        <w:t>TENDER EVALUATION METHODOLOGY AND CRITERIA</w:t>
      </w:r>
      <w:bookmarkEnd w:id="113"/>
      <w:bookmarkEnd w:id="114"/>
      <w:bookmarkEnd w:id="115"/>
      <w:bookmarkEnd w:id="116"/>
      <w:bookmarkEnd w:id="117"/>
      <w:r w:rsidRPr="008F3D2C">
        <w:rPr>
          <w:sz w:val="20"/>
          <w:szCs w:val="20"/>
        </w:rPr>
        <w:t xml:space="preserve"> </w:t>
      </w:r>
    </w:p>
    <w:p w:rsidR="008824CC" w:rsidRDefault="00277BB6" w:rsidP="0035766D">
      <w:pPr>
        <w:pStyle w:val="Heading1"/>
        <w:spacing w:before="240" w:after="0"/>
        <w:ind w:left="851"/>
      </w:pPr>
      <w:bookmarkStart w:id="118" w:name="_Toc403555164"/>
      <w:r>
        <w:t>Overview</w:t>
      </w:r>
      <w:bookmarkEnd w:id="118"/>
    </w:p>
    <w:p w:rsidR="00BF48A1" w:rsidRDefault="00BF48A1" w:rsidP="0035766D">
      <w:pPr>
        <w:pStyle w:val="MRNumberedHeading2"/>
      </w:pPr>
      <w:bookmarkStart w:id="119" w:name="_Toc403555165"/>
      <w:r>
        <w:t>T</w:t>
      </w:r>
      <w:r w:rsidRPr="003E3276">
        <w:t>h</w:t>
      </w:r>
      <w:r>
        <w:t>is section of the ITT sets out the criteria that the Authority will use to ev</w:t>
      </w:r>
      <w:r w:rsidR="006A3BFB">
        <w:t>aluate Tenders</w:t>
      </w:r>
      <w:r w:rsidR="00FB21E9">
        <w:t>.</w:t>
      </w:r>
      <w:bookmarkEnd w:id="119"/>
    </w:p>
    <w:p w:rsidR="00FB21E9" w:rsidRDefault="00FB21E9" w:rsidP="0035766D">
      <w:pPr>
        <w:pStyle w:val="MRNumberedHeading2"/>
      </w:pPr>
      <w:bookmarkStart w:id="120" w:name="_Toc403555166"/>
      <w:r>
        <w:t>Bidders</w:t>
      </w:r>
      <w:r w:rsidRPr="00A51144">
        <w:t xml:space="preserve"> are required to submit a Tender strictly in accordance with the requirements set out in this ITT, to ensure the Authority has the correct information to make the evaluation. </w:t>
      </w:r>
      <w:r w:rsidR="00F10ACE">
        <w:t xml:space="preserve">If a </w:t>
      </w:r>
      <w:r w:rsidR="007B6206">
        <w:t>T</w:t>
      </w:r>
      <w:r w:rsidR="00F10ACE">
        <w:t>ender is equivocal or unclear, the Authority may deduct marks when scoring it, or it may</w:t>
      </w:r>
      <w:r w:rsidR="00B853EE">
        <w:t xml:space="preserve"> treat the Tender as non-complia</w:t>
      </w:r>
      <w:r w:rsidR="00F10ACE">
        <w:t>nt and reject it.</w:t>
      </w:r>
      <w:bookmarkEnd w:id="120"/>
    </w:p>
    <w:p w:rsidR="00C14AA9" w:rsidRDefault="00C14AA9" w:rsidP="0035766D">
      <w:pPr>
        <w:pStyle w:val="MRNumberedHeading2"/>
      </w:pPr>
      <w:bookmarkStart w:id="121" w:name="_Toc403555167"/>
      <w:r>
        <w:t>The Authority will award the contract to the Tender that scores the highest marks, applying the methodology below. Scoring will be carried out as follows:</w:t>
      </w:r>
      <w:bookmarkEnd w:id="121"/>
      <w:r>
        <w:t xml:space="preserve"> </w:t>
      </w:r>
    </w:p>
    <w:p w:rsidR="00C14AA9" w:rsidRDefault="00C14AA9" w:rsidP="0035766D">
      <w:pPr>
        <w:pStyle w:val="MRNumberedHeading3"/>
        <w:numPr>
          <w:ilvl w:val="2"/>
          <w:numId w:val="23"/>
        </w:numPr>
        <w:tabs>
          <w:tab w:val="num" w:pos="1794"/>
        </w:tabs>
        <w:spacing w:line="240" w:lineRule="auto"/>
        <w:ind w:left="1702" w:hanging="851"/>
        <w:jc w:val="both"/>
      </w:pPr>
      <w:r>
        <w:t xml:space="preserve">The Bidder must pass all eligibility questions in Annex B1 </w:t>
      </w:r>
      <w:r w:rsidR="009D5F0B">
        <w:t xml:space="preserve">of Section B </w:t>
      </w:r>
      <w:r>
        <w:t>(Annex of eligibility questions and responses) ("</w:t>
      </w:r>
      <w:r w:rsidRPr="004B6544">
        <w:rPr>
          <w:b/>
        </w:rPr>
        <w:t>Eligib</w:t>
      </w:r>
      <w:r w:rsidR="000E363E">
        <w:rPr>
          <w:b/>
        </w:rPr>
        <w:t>i</w:t>
      </w:r>
      <w:r w:rsidRPr="004B6544">
        <w:rPr>
          <w:b/>
        </w:rPr>
        <w:t>l</w:t>
      </w:r>
      <w:r w:rsidR="000E363E">
        <w:rPr>
          <w:b/>
        </w:rPr>
        <w:t>i</w:t>
      </w:r>
      <w:r w:rsidRPr="004B6544">
        <w:rPr>
          <w:b/>
        </w:rPr>
        <w:t>ty Questions</w:t>
      </w:r>
      <w:r>
        <w:t>").</w:t>
      </w:r>
    </w:p>
    <w:bookmarkStart w:id="122" w:name="_Ref406761853"/>
    <w:p w:rsidR="00C14AA9" w:rsidRDefault="003A2543" w:rsidP="0035766D">
      <w:pPr>
        <w:pStyle w:val="MRNumberedHeading3"/>
        <w:numPr>
          <w:ilvl w:val="2"/>
          <w:numId w:val="23"/>
        </w:numPr>
        <w:tabs>
          <w:tab w:val="num" w:pos="1794"/>
        </w:tabs>
        <w:spacing w:line="240" w:lineRule="auto"/>
        <w:ind w:left="1702" w:hanging="851"/>
        <w:jc w:val="both"/>
      </w:pPr>
      <w:r w:rsidRPr="003A2543">
        <w:rPr>
          <w:rFonts w:eastAsiaTheme="minorHAnsi" w:cs="Arial"/>
          <w:b/>
          <w:noProof/>
          <w:szCs w:val="22"/>
        </w:rPr>
        <mc:AlternateContent>
          <mc:Choice Requires="wps">
            <w:drawing>
              <wp:anchor distT="0" distB="0" distL="114300" distR="114300" simplePos="0" relativeHeight="251725824" behindDoc="0" locked="0" layoutInCell="1" allowOverlap="1" wp14:anchorId="3C8A2DCC" wp14:editId="1C0BBA89">
                <wp:simplePos x="0" y="0"/>
                <wp:positionH relativeFrom="column">
                  <wp:posOffset>6003693</wp:posOffset>
                </wp:positionH>
                <wp:positionV relativeFrom="paragraph">
                  <wp:posOffset>104775</wp:posOffset>
                </wp:positionV>
                <wp:extent cx="415925" cy="533400"/>
                <wp:effectExtent l="0" t="0" r="317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359C" w:rsidRDefault="0067359C" w:rsidP="003A254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9" type="#_x0000_t202" style="position:absolute;left:0;text-align:left;margin-left:472.75pt;margin-top:8.25pt;width:32.75pt;height:4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" stroked="f">
                <v:textbox>
                  <w:txbxContent>
                    <w:p w:rsidR="0067359C" w:rsidRDefault="0067359C" w:rsidP="003A2543"/>
                  </w:txbxContent>
                </v:textbox>
              </v:shape>
            </w:pict>
          </mc:Fallback>
        </mc:AlternateContent>
      </w:r>
      <w:r w:rsidR="00572B06">
        <w:t xml:space="preserve">The Authority will then mark </w:t>
      </w:r>
      <w:r w:rsidR="00C14AA9" w:rsidRPr="00572B06">
        <w:rPr>
          <w:shd w:val="clear" w:color="auto" w:fill="FFFFFF" w:themeFill="background1"/>
        </w:rPr>
        <w:t xml:space="preserve">Annex B2 </w:t>
      </w:r>
      <w:r w:rsidR="009D5F0B" w:rsidRPr="00572B06">
        <w:rPr>
          <w:shd w:val="clear" w:color="auto" w:fill="FFFFFF" w:themeFill="background1"/>
        </w:rPr>
        <w:t xml:space="preserve">of Section B </w:t>
      </w:r>
      <w:r w:rsidR="00C14AA9" w:rsidRPr="00572B06">
        <w:rPr>
          <w:shd w:val="clear" w:color="auto" w:fill="FFFFFF" w:themeFill="background1"/>
        </w:rPr>
        <w:t>(Specification) and</w:t>
      </w:r>
      <w:r w:rsidR="00C14AA9">
        <w:t xml:space="preserve"> Annex B3</w:t>
      </w:r>
      <w:r w:rsidR="009D5F0B">
        <w:t xml:space="preserve"> of Section B</w:t>
      </w:r>
      <w:r w:rsidR="00C14AA9">
        <w:t xml:space="preserve"> (</w:t>
      </w:r>
      <w:r w:rsidR="0034181A">
        <w:t>Tender Response Document</w:t>
      </w:r>
      <w:r w:rsidR="00C14AA9">
        <w:t>) ("</w:t>
      </w:r>
      <w:r w:rsidR="00C14AA9" w:rsidRPr="004B6544">
        <w:rPr>
          <w:b/>
        </w:rPr>
        <w:t>Scored Questions</w:t>
      </w:r>
      <w:r w:rsidR="00C14AA9">
        <w:t>") for all B</w:t>
      </w:r>
      <w:r w:rsidR="000E363E">
        <w:t>idders that pass all the Eligibi</w:t>
      </w:r>
      <w:r w:rsidR="00C14AA9">
        <w:t>l</w:t>
      </w:r>
      <w:r w:rsidR="000E363E">
        <w:t>i</w:t>
      </w:r>
      <w:r w:rsidR="00C14AA9">
        <w:t>ty Questions.</w:t>
      </w:r>
      <w:bookmarkEnd w:id="122"/>
      <w:r w:rsidR="00C14AA9">
        <w:t xml:space="preserve"> </w:t>
      </w:r>
    </w:p>
    <w:p w:rsidR="00C14AA9" w:rsidRDefault="00C14AA9" w:rsidP="0035766D">
      <w:pPr>
        <w:pStyle w:val="MRNumberedHeading2"/>
      </w:pPr>
      <w:bookmarkStart w:id="123" w:name="_Toc403555168"/>
      <w:r>
        <w:t xml:space="preserve">The Authority will mark Eligibility Questions as described in paragraphs </w:t>
      </w:r>
      <w:r w:rsidR="00A77338" w:rsidRPr="00572B06">
        <w:rPr>
          <w:color w:val="FF00FF"/>
        </w:rPr>
        <w:fldChar w:fldCharType="begin"/>
      </w:r>
      <w:r w:rsidR="00A77338" w:rsidRPr="00572B06">
        <w:rPr>
          <w:color w:val="FF00FF"/>
        </w:rPr>
        <w:instrText xml:space="preserve"> REF _Ref403484377 \r \h </w:instrText>
      </w:r>
      <w:r w:rsidR="0035766D" w:rsidRPr="00572B06">
        <w:rPr>
          <w:color w:val="FF00FF"/>
        </w:rPr>
        <w:instrText xml:space="preserve"> \* MERGEFORMAT </w:instrText>
      </w:r>
      <w:r w:rsidR="00A77338" w:rsidRPr="00572B06">
        <w:rPr>
          <w:color w:val="FF00FF"/>
        </w:rPr>
      </w:r>
      <w:r w:rsidR="00A77338" w:rsidRPr="00572B06">
        <w:rPr>
          <w:color w:val="FF00FF"/>
        </w:rPr>
        <w:fldChar w:fldCharType="separate"/>
      </w:r>
      <w:r w:rsidR="00204EF0" w:rsidRPr="00572B06">
        <w:rPr>
          <w:color w:val="FF00FF"/>
        </w:rPr>
        <w:t>4.5</w:t>
      </w:r>
      <w:r w:rsidR="00A77338" w:rsidRPr="00572B06">
        <w:rPr>
          <w:color w:val="FF00FF"/>
        </w:rPr>
        <w:fldChar w:fldCharType="end"/>
      </w:r>
      <w:r w:rsidR="00A77338">
        <w:t xml:space="preserve"> to </w:t>
      </w:r>
      <w:r w:rsidR="00A77338" w:rsidRPr="00572B06">
        <w:rPr>
          <w:color w:val="FF00FF"/>
        </w:rPr>
        <w:fldChar w:fldCharType="begin"/>
      </w:r>
      <w:r w:rsidR="00A77338" w:rsidRPr="00572B06">
        <w:rPr>
          <w:color w:val="FF00FF"/>
        </w:rPr>
        <w:instrText xml:space="preserve"> REF _Ref403484379 \r \h </w:instrText>
      </w:r>
      <w:r w:rsidR="0035766D" w:rsidRPr="00572B06">
        <w:rPr>
          <w:color w:val="FF00FF"/>
        </w:rPr>
        <w:instrText xml:space="preserve"> \* MERGEFORMAT </w:instrText>
      </w:r>
      <w:r w:rsidR="00A77338" w:rsidRPr="00572B06">
        <w:rPr>
          <w:color w:val="FF00FF"/>
        </w:rPr>
      </w:r>
      <w:r w:rsidR="00A77338" w:rsidRPr="00572B06">
        <w:rPr>
          <w:color w:val="FF00FF"/>
        </w:rPr>
        <w:fldChar w:fldCharType="separate"/>
      </w:r>
      <w:r w:rsidR="00204EF0" w:rsidRPr="00572B06">
        <w:rPr>
          <w:color w:val="FF00FF"/>
        </w:rPr>
        <w:t>4.7</w:t>
      </w:r>
      <w:r w:rsidR="00A77338" w:rsidRPr="00572B06">
        <w:rPr>
          <w:color w:val="FF00FF"/>
        </w:rPr>
        <w:fldChar w:fldCharType="end"/>
      </w:r>
      <w:r w:rsidR="00A77338">
        <w:t xml:space="preserve"> </w:t>
      </w:r>
      <w:r>
        <w:t xml:space="preserve">below.  It will mark the Scored Questions as described in paragraphs </w:t>
      </w:r>
      <w:r w:rsidR="00A77338" w:rsidRPr="00572B06">
        <w:rPr>
          <w:color w:val="FF00FF"/>
        </w:rPr>
        <w:fldChar w:fldCharType="begin"/>
      </w:r>
      <w:r w:rsidR="00A77338" w:rsidRPr="00572B06">
        <w:rPr>
          <w:color w:val="FF00FF"/>
        </w:rPr>
        <w:instrText xml:space="preserve"> REF _Ref403401459 \r \h </w:instrText>
      </w:r>
      <w:r w:rsidR="0035766D" w:rsidRPr="00572B06">
        <w:rPr>
          <w:color w:val="FF00FF"/>
        </w:rPr>
        <w:instrText xml:space="preserve"> \* MERGEFORMAT </w:instrText>
      </w:r>
      <w:r w:rsidR="00A77338" w:rsidRPr="00572B06">
        <w:rPr>
          <w:color w:val="FF00FF"/>
        </w:rPr>
      </w:r>
      <w:r w:rsidR="00A77338" w:rsidRPr="00572B06">
        <w:rPr>
          <w:color w:val="FF00FF"/>
        </w:rPr>
        <w:fldChar w:fldCharType="separate"/>
      </w:r>
      <w:r w:rsidR="00204EF0" w:rsidRPr="00572B06">
        <w:rPr>
          <w:color w:val="FF00FF"/>
        </w:rPr>
        <w:t>4.8</w:t>
      </w:r>
      <w:r w:rsidR="00A77338" w:rsidRPr="00572B06">
        <w:rPr>
          <w:color w:val="FF00FF"/>
        </w:rPr>
        <w:fldChar w:fldCharType="end"/>
      </w:r>
      <w:r w:rsidR="00A77338">
        <w:t xml:space="preserve"> to </w:t>
      </w:r>
      <w:r w:rsidR="00A77338" w:rsidRPr="00572B06">
        <w:rPr>
          <w:color w:val="FF00FF"/>
        </w:rPr>
        <w:fldChar w:fldCharType="begin"/>
      </w:r>
      <w:r w:rsidR="00A77338" w:rsidRPr="00572B06">
        <w:rPr>
          <w:color w:val="FF00FF"/>
        </w:rPr>
        <w:instrText xml:space="preserve"> REF _Ref403484421 \r \h </w:instrText>
      </w:r>
      <w:r w:rsidR="0035766D" w:rsidRPr="00572B06">
        <w:rPr>
          <w:color w:val="FF00FF"/>
        </w:rPr>
        <w:instrText xml:space="preserve"> \* MERGEFORMAT </w:instrText>
      </w:r>
      <w:r w:rsidR="00A77338" w:rsidRPr="00572B06">
        <w:rPr>
          <w:color w:val="FF00FF"/>
        </w:rPr>
      </w:r>
      <w:r w:rsidR="00A77338" w:rsidRPr="00572B06">
        <w:rPr>
          <w:color w:val="FF00FF"/>
        </w:rPr>
        <w:fldChar w:fldCharType="separate"/>
      </w:r>
      <w:r w:rsidR="00204EF0" w:rsidRPr="00572B06">
        <w:rPr>
          <w:color w:val="FF00FF"/>
        </w:rPr>
        <w:t>4.14</w:t>
      </w:r>
      <w:bookmarkEnd w:id="123"/>
      <w:r w:rsidR="00A77338" w:rsidRPr="00572B06">
        <w:rPr>
          <w:color w:val="FF00FF"/>
        </w:rPr>
        <w:fldChar w:fldCharType="end"/>
      </w:r>
      <w:r>
        <w:t xml:space="preserve"> </w:t>
      </w:r>
    </w:p>
    <w:p w:rsidR="00C14AA9" w:rsidRDefault="00C14AA9" w:rsidP="0035766D">
      <w:pPr>
        <w:pStyle w:val="Heading1"/>
        <w:spacing w:before="240" w:after="0"/>
        <w:ind w:left="851"/>
      </w:pPr>
      <w:bookmarkStart w:id="124" w:name="_Toc403555169"/>
      <w:r>
        <w:t>Criteria – Eligibility Questions</w:t>
      </w:r>
      <w:bookmarkEnd w:id="124"/>
    </w:p>
    <w:p w:rsidR="00B44E25" w:rsidRDefault="00C14AA9" w:rsidP="006B54D6">
      <w:pPr>
        <w:pStyle w:val="MRNumberedHeading2"/>
      </w:pPr>
      <w:bookmarkStart w:id="125" w:name="_Ref403484377"/>
      <w:bookmarkStart w:id="126" w:name="_Toc403555170"/>
      <w:r>
        <w:t>The Authority will score Eligibility Questions on the following basis:</w:t>
      </w:r>
      <w:bookmarkEnd w:id="125"/>
      <w:bookmarkEnd w:id="126"/>
    </w:p>
    <w:p w:rsidR="00CF3319" w:rsidRPr="00B44E25" w:rsidRDefault="00CF3319" w:rsidP="00990CF5">
      <w:pPr>
        <w:pStyle w:val="MRNumberedHeading2"/>
        <w:numPr>
          <w:ilvl w:val="0"/>
          <w:numId w:val="0"/>
        </w:numPr>
        <w:jc w:val="left"/>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5670"/>
      </w:tblGrid>
      <w:tr w:rsidR="00FD68D3" w:rsidRPr="00440F01" w:rsidTr="00FD68D3">
        <w:tc>
          <w:tcPr>
            <w:tcW w:w="2409" w:type="dxa"/>
            <w:shd w:val="clear" w:color="auto" w:fill="A6A6A6"/>
          </w:tcPr>
          <w:p w:rsidR="00FD68D3" w:rsidRPr="00440F01" w:rsidRDefault="00FD68D3" w:rsidP="00C14AA9">
            <w:pPr>
              <w:spacing w:after="240"/>
              <w:outlineLvl w:val="2"/>
              <w:rPr>
                <w:color w:val="000000"/>
              </w:rPr>
            </w:pPr>
            <w:r>
              <w:rPr>
                <w:color w:val="000000"/>
              </w:rPr>
              <w:t>Eligibility Questions</w:t>
            </w:r>
            <w:r w:rsidRPr="00440F01">
              <w:rPr>
                <w:color w:val="000000"/>
              </w:rPr>
              <w:t xml:space="preserve"> </w:t>
            </w:r>
          </w:p>
        </w:tc>
        <w:tc>
          <w:tcPr>
            <w:tcW w:w="5670" w:type="dxa"/>
            <w:shd w:val="clear" w:color="auto" w:fill="A6A6A6"/>
          </w:tcPr>
          <w:p w:rsidR="00FD68D3" w:rsidRPr="00440F01" w:rsidRDefault="00FD68D3" w:rsidP="00C14AA9">
            <w:pPr>
              <w:spacing w:after="240"/>
              <w:outlineLvl w:val="2"/>
              <w:rPr>
                <w:color w:val="000000"/>
              </w:rPr>
            </w:pPr>
            <w:r w:rsidRPr="00440F01">
              <w:rPr>
                <w:color w:val="000000"/>
              </w:rPr>
              <w:t>Selection criteria</w:t>
            </w:r>
          </w:p>
        </w:tc>
      </w:tr>
      <w:tr w:rsidR="00FD68D3" w:rsidRPr="00440F01" w:rsidTr="00FD68D3">
        <w:tc>
          <w:tcPr>
            <w:tcW w:w="2409" w:type="dxa"/>
            <w:shd w:val="clear" w:color="auto" w:fill="auto"/>
          </w:tcPr>
          <w:p w:rsidR="00FD68D3" w:rsidRPr="00F7166A" w:rsidRDefault="00FD68D3" w:rsidP="00F7166A">
            <w:pPr>
              <w:pStyle w:val="ListParagraph"/>
              <w:numPr>
                <w:ilvl w:val="0"/>
                <w:numId w:val="31"/>
              </w:numPr>
              <w:spacing w:after="240"/>
              <w:outlineLvl w:val="2"/>
              <w:rPr>
                <w:color w:val="000000"/>
              </w:rPr>
            </w:pPr>
            <w:r w:rsidRPr="00F7166A">
              <w:rPr>
                <w:color w:val="000000"/>
              </w:rPr>
              <w:t xml:space="preserve"> Supplier information</w:t>
            </w:r>
          </w:p>
        </w:tc>
        <w:tc>
          <w:tcPr>
            <w:tcW w:w="5670" w:type="dxa"/>
            <w:shd w:val="clear" w:color="auto" w:fill="auto"/>
          </w:tcPr>
          <w:p w:rsidR="00FD68D3" w:rsidRPr="00440F01" w:rsidRDefault="00FD68D3" w:rsidP="00C14AA9">
            <w:pPr>
              <w:spacing w:after="240"/>
              <w:outlineLvl w:val="2"/>
              <w:rPr>
                <w:color w:val="000000"/>
              </w:rPr>
            </w:pPr>
            <w:r>
              <w:rPr>
                <w:color w:val="000000"/>
              </w:rPr>
              <w:t>For information only</w:t>
            </w:r>
          </w:p>
        </w:tc>
      </w:tr>
      <w:tr w:rsidR="00FD68D3" w:rsidRPr="00440F01" w:rsidTr="00FD68D3">
        <w:tc>
          <w:tcPr>
            <w:tcW w:w="2409" w:type="dxa"/>
            <w:shd w:val="clear" w:color="auto" w:fill="auto"/>
          </w:tcPr>
          <w:p w:rsidR="00FD68D3" w:rsidRPr="00F7166A" w:rsidRDefault="00FD68D3" w:rsidP="00F7166A">
            <w:pPr>
              <w:pStyle w:val="ListParagraph"/>
              <w:numPr>
                <w:ilvl w:val="0"/>
                <w:numId w:val="31"/>
              </w:numPr>
              <w:tabs>
                <w:tab w:val="left" w:pos="317"/>
              </w:tabs>
              <w:spacing w:after="240"/>
              <w:outlineLvl w:val="2"/>
              <w:rPr>
                <w:color w:val="000000"/>
              </w:rPr>
            </w:pPr>
            <w:r w:rsidRPr="00F7166A">
              <w:rPr>
                <w:color w:val="000000"/>
              </w:rPr>
              <w:t xml:space="preserve">Grounds for mandatory </w:t>
            </w:r>
            <w:r w:rsidRPr="00F7166A">
              <w:rPr>
                <w:color w:val="000000"/>
              </w:rPr>
              <w:lastRenderedPageBreak/>
              <w:t>exclusion</w:t>
            </w:r>
          </w:p>
        </w:tc>
        <w:tc>
          <w:tcPr>
            <w:tcW w:w="5670" w:type="dxa"/>
            <w:shd w:val="clear" w:color="auto" w:fill="auto"/>
          </w:tcPr>
          <w:p w:rsidR="00FD68D3" w:rsidRPr="00440F01" w:rsidRDefault="00FD68D3" w:rsidP="00C14AA9">
            <w:pPr>
              <w:spacing w:after="240"/>
              <w:outlineLvl w:val="2"/>
              <w:rPr>
                <w:color w:val="000000"/>
              </w:rPr>
            </w:pPr>
            <w:r w:rsidRPr="00440F01">
              <w:rPr>
                <w:color w:val="000000"/>
              </w:rPr>
              <w:lastRenderedPageBreak/>
              <w:t>Pass or Fail</w:t>
            </w:r>
          </w:p>
        </w:tc>
      </w:tr>
      <w:tr w:rsidR="00FD68D3" w:rsidRPr="00440F01" w:rsidTr="00FD68D3">
        <w:tc>
          <w:tcPr>
            <w:tcW w:w="2409" w:type="dxa"/>
            <w:shd w:val="clear" w:color="auto" w:fill="auto"/>
          </w:tcPr>
          <w:p w:rsidR="00FD68D3" w:rsidRPr="00F7166A" w:rsidRDefault="00FD68D3" w:rsidP="00F7166A">
            <w:pPr>
              <w:pStyle w:val="ListParagraph"/>
              <w:numPr>
                <w:ilvl w:val="0"/>
                <w:numId w:val="31"/>
              </w:numPr>
              <w:spacing w:after="240"/>
              <w:outlineLvl w:val="2"/>
              <w:rPr>
                <w:color w:val="000000"/>
              </w:rPr>
            </w:pPr>
            <w:r w:rsidRPr="00F7166A">
              <w:rPr>
                <w:color w:val="000000"/>
              </w:rPr>
              <w:lastRenderedPageBreak/>
              <w:t>Grounds for discretionary exclusion – Part 1</w:t>
            </w:r>
          </w:p>
        </w:tc>
        <w:tc>
          <w:tcPr>
            <w:tcW w:w="5670" w:type="dxa"/>
            <w:shd w:val="clear" w:color="auto" w:fill="auto"/>
          </w:tcPr>
          <w:p w:rsidR="00FD68D3" w:rsidRPr="00440F01" w:rsidRDefault="00FD68D3" w:rsidP="00C14AA9">
            <w:pPr>
              <w:spacing w:after="240"/>
              <w:outlineLvl w:val="2"/>
              <w:rPr>
                <w:color w:val="000000"/>
              </w:rPr>
            </w:pPr>
            <w:r w:rsidRPr="00440F01">
              <w:rPr>
                <w:color w:val="000000"/>
              </w:rPr>
              <w:t>Pass or Fail</w:t>
            </w:r>
          </w:p>
        </w:tc>
      </w:tr>
    </w:tbl>
    <w:p w:rsidR="007C2F2F" w:rsidRPr="007C2F2F" w:rsidRDefault="007C2F2F" w:rsidP="006B54D6">
      <w:pPr>
        <w:pStyle w:val="MRNumberedHeading2"/>
        <w:rPr>
          <w:i/>
        </w:rPr>
      </w:pPr>
      <w:bookmarkStart w:id="127" w:name="_Toc403555171"/>
      <w:r w:rsidRPr="003E3276">
        <w:t>To</w:t>
      </w:r>
      <w:r>
        <w:t xml:space="preserve"> score a "pass", the Tender must adequately address all key points and include</w:t>
      </w:r>
      <w:r w:rsidRPr="007C2F2F">
        <w:t xml:space="preserve"> adequate supporting evidence / examples / information.</w:t>
      </w:r>
      <w:r>
        <w:t xml:space="preserve">  It must give </w:t>
      </w:r>
      <w:r w:rsidRPr="007C2F2F">
        <w:t>a reasonable degree of confidence that the Bidder has the capability,</w:t>
      </w:r>
      <w:r>
        <w:rPr>
          <w:rFonts w:cs="Arial"/>
        </w:rPr>
        <w:t xml:space="preserve"> resource and experience to properly perform the contract.</w:t>
      </w:r>
      <w:bookmarkEnd w:id="127"/>
    </w:p>
    <w:p w:rsidR="00B44E25" w:rsidRPr="0085124E" w:rsidRDefault="00B44E25" w:rsidP="006B54D6">
      <w:pPr>
        <w:pStyle w:val="MRNumberedHeading2"/>
        <w:rPr>
          <w:i/>
        </w:rPr>
      </w:pPr>
      <w:bookmarkStart w:id="128" w:name="_Ref403484379"/>
      <w:bookmarkStart w:id="129" w:name="_Toc403555172"/>
      <w:r w:rsidRPr="00B44E25">
        <w:t xml:space="preserve">Where a Bidder scores a "fail" for any question, </w:t>
      </w:r>
      <w:r w:rsidR="00C14AA9">
        <w:t>the Authority will treat the Tender as non-compliant and it will not award a mark for the Scored Questions.</w:t>
      </w:r>
      <w:bookmarkEnd w:id="128"/>
      <w:bookmarkEnd w:id="129"/>
      <w:r w:rsidR="00C14AA9">
        <w:t xml:space="preserve"> </w:t>
      </w:r>
    </w:p>
    <w:bookmarkStart w:id="130" w:name="_Toc403555173"/>
    <w:p w:rsidR="00BF48A1" w:rsidRPr="00125550" w:rsidRDefault="00F23ECD" w:rsidP="00276E1B">
      <w:pPr>
        <w:pStyle w:val="MRNumberedHeading2"/>
        <w:rPr>
          <w:b/>
          <w:i/>
        </w:rPr>
      </w:pPr>
      <w:r w:rsidRPr="00125550">
        <w:rPr>
          <w:b/>
          <w:noProof/>
        </w:rPr>
        <mc:AlternateContent>
          <mc:Choice Requires="wps">
            <w:drawing>
              <wp:anchor distT="0" distB="0" distL="114300" distR="114300" simplePos="0" relativeHeight="251720704" behindDoc="0" locked="0" layoutInCell="1" allowOverlap="1" wp14:anchorId="5673AF57" wp14:editId="2F1A8189">
                <wp:simplePos x="0" y="0"/>
                <wp:positionH relativeFrom="column">
                  <wp:posOffset>5915660</wp:posOffset>
                </wp:positionH>
                <wp:positionV relativeFrom="paragraph">
                  <wp:posOffset>184284</wp:posOffset>
                </wp:positionV>
                <wp:extent cx="556260" cy="413385"/>
                <wp:effectExtent l="0" t="0" r="0" b="5715"/>
                <wp:wrapNone/>
                <wp:docPr id="17" name="Text Box 17"/>
                <wp:cNvGraphicFramePr/>
                <a:graphic xmlns:a="http://schemas.openxmlformats.org/drawingml/2006/main">
                  <a:graphicData uri="http://schemas.microsoft.com/office/word/2010/wordprocessingShape">
                    <wps:wsp>
                      <wps:cNvSpPr txBox="1"/>
                      <wps:spPr>
                        <a:xfrm>
                          <a:off x="0" y="0"/>
                          <a:ext cx="556260" cy="4133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7359C" w:rsidRDefault="0067359C" w:rsidP="00C14A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7" o:spid="_x0000_s1040" type="#_x0000_t202" style="position:absolute;left:0;text-align:left;margin-left:465.8pt;margin-top:14.5pt;width:43.8pt;height:32.55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" fillcolor="white [3201]" stroked="f" strokeweight=".5pt">
                <v:textbox>
                  <w:txbxContent>
                    <w:p w:rsidR="0067359C" w:rsidRDefault="0067359C" w:rsidP="00C14AA9"/>
                  </w:txbxContent>
                </v:textbox>
              </v:shape>
            </w:pict>
          </mc:Fallback>
        </mc:AlternateContent>
      </w:r>
      <w:r w:rsidR="007C2F2F" w:rsidRPr="00125550">
        <w:rPr>
          <w:b/>
        </w:rPr>
        <w:t>C</w:t>
      </w:r>
      <w:r w:rsidR="000B1075" w:rsidRPr="00125550">
        <w:rPr>
          <w:b/>
        </w:rPr>
        <w:t xml:space="preserve">riteria </w:t>
      </w:r>
      <w:r w:rsidR="007C2F2F" w:rsidRPr="00125550">
        <w:rPr>
          <w:b/>
        </w:rPr>
        <w:t>– Scored Questions</w:t>
      </w:r>
      <w:bookmarkEnd w:id="130"/>
    </w:p>
    <w:p w:rsidR="00B31D33" w:rsidRDefault="00EF71DD" w:rsidP="00B31D33">
      <w:pPr>
        <w:pStyle w:val="MRNumberedHeading2"/>
        <w:numPr>
          <w:ilvl w:val="0"/>
          <w:numId w:val="0"/>
        </w:numPr>
        <w:tabs>
          <w:tab w:val="num" w:pos="851"/>
        </w:tabs>
        <w:ind w:left="851"/>
        <w:rPr>
          <w:shd w:val="clear" w:color="auto" w:fill="FFFFFF" w:themeFill="background1"/>
        </w:rPr>
      </w:pPr>
      <w:bookmarkStart w:id="131" w:name="_Ref403401459"/>
      <w:bookmarkStart w:id="132" w:name="_Toc403555174"/>
      <w:r w:rsidRPr="00A74011">
        <w:rPr>
          <w:shd w:val="clear" w:color="auto" w:fill="FFFFFF" w:themeFill="background1"/>
        </w:rPr>
        <w:t xml:space="preserve">Where specified, a minimum pass </w:t>
      </w:r>
      <w:r w:rsidR="0028393A" w:rsidRPr="00A74011">
        <w:rPr>
          <w:shd w:val="clear" w:color="auto" w:fill="FFFFFF" w:themeFill="background1"/>
        </w:rPr>
        <w:t>th</w:t>
      </w:r>
      <w:r w:rsidR="004C3B98" w:rsidRPr="00A74011">
        <w:rPr>
          <w:shd w:val="clear" w:color="auto" w:fill="FFFFFF" w:themeFill="background1"/>
        </w:rPr>
        <w:t>r</w:t>
      </w:r>
      <w:r w:rsidR="0028393A" w:rsidRPr="00A74011">
        <w:rPr>
          <w:shd w:val="clear" w:color="auto" w:fill="FFFFFF" w:themeFill="background1"/>
        </w:rPr>
        <w:t>eshold</w:t>
      </w:r>
      <w:r w:rsidR="00BC2A7C" w:rsidRPr="00A74011">
        <w:rPr>
          <w:shd w:val="clear" w:color="auto" w:fill="FFFFFF" w:themeFill="background1"/>
        </w:rPr>
        <w:t xml:space="preserve"> applies to the evaluation c</w:t>
      </w:r>
      <w:r w:rsidRPr="00A74011">
        <w:rPr>
          <w:shd w:val="clear" w:color="auto" w:fill="FFFFFF" w:themeFill="background1"/>
        </w:rPr>
        <w:t>riteria. The Authority shall reject any Tender wh</w:t>
      </w:r>
      <w:r w:rsidR="00E47F1B" w:rsidRPr="00A74011">
        <w:rPr>
          <w:shd w:val="clear" w:color="auto" w:fill="FFFFFF" w:themeFill="background1"/>
        </w:rPr>
        <w:t>ich does not meet the relevant t</w:t>
      </w:r>
      <w:r w:rsidRPr="00A74011">
        <w:rPr>
          <w:shd w:val="clear" w:color="auto" w:fill="FFFFFF" w:themeFill="background1"/>
        </w:rPr>
        <w:t>hreshold in respect of one or more criteria.</w:t>
      </w:r>
      <w:bookmarkEnd w:id="131"/>
      <w:bookmarkEnd w:id="132"/>
    </w:p>
    <w:p w:rsidR="008F2898" w:rsidRDefault="008F2898" w:rsidP="00B31D33">
      <w:pPr>
        <w:pStyle w:val="MRNumberedHeading2"/>
        <w:numPr>
          <w:ilvl w:val="0"/>
          <w:numId w:val="0"/>
        </w:numPr>
        <w:tabs>
          <w:tab w:val="num" w:pos="851"/>
        </w:tabs>
        <w:ind w:left="851"/>
        <w:rPr>
          <w:shd w:val="clear" w:color="auto" w:fill="FFFFFF" w:themeFill="background1"/>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
        <w:gridCol w:w="3449"/>
        <w:gridCol w:w="709"/>
        <w:gridCol w:w="5222"/>
        <w:gridCol w:w="23"/>
      </w:tblGrid>
      <w:tr w:rsidR="00EE09E9" w:rsidRPr="0055339A" w:rsidTr="00EE09E9">
        <w:trPr>
          <w:cantSplit/>
          <w:trHeight w:val="1548"/>
        </w:trPr>
        <w:tc>
          <w:tcPr>
            <w:tcW w:w="3969" w:type="dxa"/>
            <w:gridSpan w:val="2"/>
          </w:tcPr>
          <w:p w:rsidR="00EE09E9" w:rsidRPr="00CE2B39" w:rsidRDefault="00EE09E9" w:rsidP="00B31D33">
            <w:pPr>
              <w:jc w:val="left"/>
              <w:rPr>
                <w:rFonts w:eastAsia="Times New Roman" w:cs="Arial"/>
                <w:b/>
                <w:lang w:eastAsia="en-GB"/>
              </w:rPr>
            </w:pPr>
          </w:p>
          <w:p w:rsidR="00EE09E9" w:rsidRPr="00CE2B39" w:rsidRDefault="00EE09E9" w:rsidP="00B31D33">
            <w:pPr>
              <w:jc w:val="left"/>
              <w:rPr>
                <w:rFonts w:eastAsia="Times New Roman" w:cs="Arial"/>
                <w:b/>
                <w:lang w:eastAsia="en-GB"/>
              </w:rPr>
            </w:pPr>
          </w:p>
          <w:p w:rsidR="00EE09E9" w:rsidRPr="00CE2B39" w:rsidRDefault="00EE09E9" w:rsidP="00B31D33">
            <w:pPr>
              <w:jc w:val="left"/>
              <w:rPr>
                <w:rFonts w:eastAsia="Times New Roman" w:cs="Arial"/>
                <w:b/>
                <w:lang w:eastAsia="en-GB"/>
              </w:rPr>
            </w:pPr>
            <w:r w:rsidRPr="00CE2B39">
              <w:rPr>
                <w:rFonts w:eastAsia="Times New Roman" w:cs="Arial"/>
                <w:b/>
                <w:lang w:eastAsia="en-GB"/>
              </w:rPr>
              <w:t>Award Criteria – Stage One</w:t>
            </w:r>
          </w:p>
        </w:tc>
        <w:tc>
          <w:tcPr>
            <w:tcW w:w="709" w:type="dxa"/>
            <w:shd w:val="clear" w:color="auto" w:fill="auto"/>
            <w:textDirection w:val="btLr"/>
          </w:tcPr>
          <w:p w:rsidR="00EE09E9" w:rsidRPr="00CE2B39" w:rsidRDefault="00EE09E9" w:rsidP="00EE09E9">
            <w:pPr>
              <w:ind w:left="113" w:right="113"/>
              <w:jc w:val="center"/>
              <w:rPr>
                <w:rFonts w:eastAsia="Times New Roman" w:cs="Arial"/>
                <w:b/>
                <w:lang w:eastAsia="en-GB"/>
              </w:rPr>
            </w:pPr>
            <w:r w:rsidRPr="00CE2B39">
              <w:rPr>
                <w:rFonts w:eastAsia="Times New Roman" w:cs="Arial"/>
                <w:b/>
                <w:lang w:eastAsia="en-GB"/>
              </w:rPr>
              <w:t>Weighting</w:t>
            </w:r>
          </w:p>
        </w:tc>
        <w:tc>
          <w:tcPr>
            <w:tcW w:w="5245" w:type="dxa"/>
            <w:gridSpan w:val="2"/>
            <w:shd w:val="clear" w:color="auto" w:fill="auto"/>
          </w:tcPr>
          <w:p w:rsidR="00EE09E9" w:rsidRPr="00CE2B39" w:rsidRDefault="00EE09E9" w:rsidP="00B31D33">
            <w:pPr>
              <w:jc w:val="center"/>
              <w:rPr>
                <w:rFonts w:eastAsia="Times New Roman" w:cs="Arial"/>
                <w:b/>
                <w:lang w:eastAsia="en-GB"/>
              </w:rPr>
            </w:pPr>
          </w:p>
          <w:p w:rsidR="00EE09E9" w:rsidRPr="00CE2B39" w:rsidRDefault="00EE09E9" w:rsidP="00B31D33">
            <w:pPr>
              <w:jc w:val="center"/>
              <w:rPr>
                <w:rFonts w:eastAsia="Times New Roman" w:cs="Arial"/>
                <w:b/>
                <w:lang w:eastAsia="en-GB"/>
              </w:rPr>
            </w:pPr>
          </w:p>
          <w:p w:rsidR="00EE09E9" w:rsidRPr="00CE2B39" w:rsidRDefault="00EE09E9" w:rsidP="00B31D33">
            <w:pPr>
              <w:jc w:val="center"/>
              <w:rPr>
                <w:rFonts w:eastAsia="Times New Roman" w:cs="Arial"/>
                <w:b/>
                <w:lang w:eastAsia="en-GB"/>
              </w:rPr>
            </w:pPr>
            <w:r w:rsidRPr="00CE2B39">
              <w:rPr>
                <w:rFonts w:eastAsia="Times New Roman" w:cs="Arial"/>
                <w:b/>
                <w:lang w:eastAsia="en-GB"/>
              </w:rPr>
              <w:t>Interpretation</w:t>
            </w:r>
          </w:p>
          <w:p w:rsidR="00EE09E9" w:rsidRPr="00CE2B39" w:rsidRDefault="00EE09E9" w:rsidP="00B31D33">
            <w:pPr>
              <w:jc w:val="center"/>
              <w:rPr>
                <w:rFonts w:eastAsia="Times New Roman" w:cs="Arial"/>
                <w:b/>
                <w:lang w:eastAsia="en-GB"/>
              </w:rPr>
            </w:pPr>
          </w:p>
          <w:p w:rsidR="00EE09E9" w:rsidRPr="00CE2B39" w:rsidRDefault="00EE09E9" w:rsidP="00B31D33">
            <w:pPr>
              <w:jc w:val="center"/>
              <w:rPr>
                <w:rFonts w:eastAsia="Times New Roman" w:cs="Arial"/>
                <w:b/>
                <w:lang w:eastAsia="en-GB"/>
              </w:rPr>
            </w:pPr>
          </w:p>
        </w:tc>
      </w:tr>
      <w:tr w:rsidR="00EE09E9" w:rsidRPr="0055339A" w:rsidTr="00EE09E9">
        <w:trPr>
          <w:gridAfter w:val="1"/>
          <w:wAfter w:w="23" w:type="dxa"/>
        </w:trPr>
        <w:tc>
          <w:tcPr>
            <w:tcW w:w="520" w:type="dxa"/>
          </w:tcPr>
          <w:p w:rsidR="00EE09E9" w:rsidRPr="00BA14FB" w:rsidRDefault="00EE09E9" w:rsidP="009F6CF6">
            <w:pPr>
              <w:jc w:val="center"/>
              <w:rPr>
                <w:rFonts w:eastAsia="Times New Roman" w:cs="Arial"/>
                <w:b/>
                <w:lang w:eastAsia="en-GB"/>
              </w:rPr>
            </w:pPr>
            <w:r w:rsidRPr="00BA14FB">
              <w:rPr>
                <w:rFonts w:eastAsia="Times New Roman" w:cs="Arial"/>
                <w:b/>
                <w:lang w:eastAsia="en-GB"/>
              </w:rPr>
              <w:t>1.</w:t>
            </w:r>
          </w:p>
        </w:tc>
        <w:tc>
          <w:tcPr>
            <w:tcW w:w="3449" w:type="dxa"/>
            <w:shd w:val="clear" w:color="auto" w:fill="auto"/>
          </w:tcPr>
          <w:p w:rsidR="00EE09E9" w:rsidRPr="00BA14FB" w:rsidRDefault="00EE09E9" w:rsidP="00B31D33">
            <w:pPr>
              <w:jc w:val="left"/>
              <w:rPr>
                <w:rFonts w:eastAsia="Times New Roman" w:cs="Arial"/>
                <w:b/>
                <w:lang w:eastAsia="en-GB"/>
              </w:rPr>
            </w:pPr>
            <w:r w:rsidRPr="00BA14FB">
              <w:rPr>
                <w:rFonts w:eastAsia="Times New Roman" w:cs="Arial"/>
                <w:b/>
                <w:lang w:eastAsia="en-GB"/>
              </w:rPr>
              <w:t>Management Overview</w:t>
            </w:r>
          </w:p>
        </w:tc>
        <w:tc>
          <w:tcPr>
            <w:tcW w:w="709" w:type="dxa"/>
            <w:shd w:val="clear" w:color="auto" w:fill="auto"/>
          </w:tcPr>
          <w:p w:rsidR="00EE09E9" w:rsidRPr="00B30021" w:rsidRDefault="00EE09E9" w:rsidP="00B30021">
            <w:pPr>
              <w:jc w:val="center"/>
              <w:rPr>
                <w:b/>
              </w:rPr>
            </w:pPr>
          </w:p>
        </w:tc>
        <w:tc>
          <w:tcPr>
            <w:tcW w:w="5222" w:type="dxa"/>
            <w:shd w:val="clear" w:color="auto" w:fill="auto"/>
          </w:tcPr>
          <w:p w:rsidR="00EE09E9" w:rsidRPr="00C14CDA" w:rsidRDefault="00EE09E9" w:rsidP="00B31D33">
            <w:pPr>
              <w:jc w:val="left"/>
              <w:rPr>
                <w:rFonts w:eastAsia="Times New Roman" w:cs="Arial"/>
                <w:highlight w:val="yellow"/>
                <w:lang w:eastAsia="en-GB"/>
              </w:rPr>
            </w:pPr>
          </w:p>
        </w:tc>
      </w:tr>
      <w:tr w:rsidR="00EE09E9" w:rsidRPr="0055339A" w:rsidTr="00EE09E9">
        <w:trPr>
          <w:gridAfter w:val="1"/>
          <w:wAfter w:w="23" w:type="dxa"/>
        </w:trPr>
        <w:tc>
          <w:tcPr>
            <w:tcW w:w="520" w:type="dxa"/>
          </w:tcPr>
          <w:p w:rsidR="00EE09E9" w:rsidRPr="00C14CDA" w:rsidRDefault="00EE09E9" w:rsidP="009F6CF6">
            <w:pPr>
              <w:jc w:val="center"/>
              <w:rPr>
                <w:rFonts w:eastAsia="Times New Roman" w:cs="Arial"/>
                <w:b/>
                <w:highlight w:val="yellow"/>
                <w:lang w:eastAsia="en-GB"/>
              </w:rPr>
            </w:pPr>
          </w:p>
        </w:tc>
        <w:tc>
          <w:tcPr>
            <w:tcW w:w="3449" w:type="dxa"/>
            <w:shd w:val="clear" w:color="auto" w:fill="auto"/>
          </w:tcPr>
          <w:p w:rsidR="00EE09E9" w:rsidRDefault="00EE09E9" w:rsidP="00B30021">
            <w:pPr>
              <w:jc w:val="left"/>
              <w:rPr>
                <w:rFonts w:eastAsia="Times New Roman" w:cs="Arial"/>
                <w:lang w:eastAsia="en-GB"/>
              </w:rPr>
            </w:pPr>
            <w:r w:rsidRPr="00B30021">
              <w:rPr>
                <w:rFonts w:eastAsia="Times New Roman" w:cs="Arial"/>
                <w:lang w:eastAsia="en-GB"/>
              </w:rPr>
              <w:t>Can you confirm that your proposal is totally compliant to the Trust Briefing document</w:t>
            </w:r>
            <w:r>
              <w:rPr>
                <w:rFonts w:eastAsia="Times New Roman" w:cs="Arial"/>
                <w:lang w:eastAsia="en-GB"/>
              </w:rPr>
              <w:t xml:space="preserve"> and why to believe it to be?</w:t>
            </w:r>
          </w:p>
          <w:p w:rsidR="00EE09E9" w:rsidRPr="00B30021" w:rsidRDefault="00EE09E9" w:rsidP="00B30021">
            <w:pPr>
              <w:jc w:val="left"/>
              <w:rPr>
                <w:rFonts w:eastAsia="Times New Roman" w:cs="Arial"/>
                <w:lang w:eastAsia="en-GB"/>
              </w:rPr>
            </w:pPr>
          </w:p>
          <w:p w:rsidR="00EE09E9" w:rsidRDefault="00EE09E9" w:rsidP="00B30021">
            <w:pPr>
              <w:jc w:val="left"/>
              <w:rPr>
                <w:rFonts w:eastAsia="Times New Roman" w:cs="Arial"/>
                <w:lang w:eastAsia="en-GB"/>
              </w:rPr>
            </w:pPr>
            <w:r w:rsidRPr="00B30021">
              <w:rPr>
                <w:rFonts w:eastAsia="Times New Roman" w:cs="Arial"/>
                <w:lang w:eastAsia="en-GB"/>
              </w:rPr>
              <w:t>If not please identify areas of non-compliance e.g. financial reporting</w:t>
            </w:r>
          </w:p>
          <w:p w:rsidR="00EE09E9" w:rsidRPr="00C14CDA" w:rsidRDefault="00EE09E9" w:rsidP="00B30021">
            <w:pPr>
              <w:jc w:val="left"/>
              <w:rPr>
                <w:rFonts w:eastAsia="Times New Roman" w:cs="Arial"/>
                <w:highlight w:val="yellow"/>
                <w:lang w:eastAsia="en-GB"/>
              </w:rPr>
            </w:pPr>
          </w:p>
        </w:tc>
        <w:tc>
          <w:tcPr>
            <w:tcW w:w="709" w:type="dxa"/>
            <w:shd w:val="clear" w:color="auto" w:fill="auto"/>
          </w:tcPr>
          <w:p w:rsidR="00EE09E9" w:rsidRPr="00B30021" w:rsidRDefault="00EE09E9" w:rsidP="00EE09E9">
            <w:pPr>
              <w:jc w:val="center"/>
              <w:rPr>
                <w:b/>
              </w:rPr>
            </w:pPr>
            <w:r w:rsidRPr="00B30021">
              <w:rPr>
                <w:b/>
              </w:rPr>
              <w:t>20</w:t>
            </w:r>
            <w:r>
              <w:rPr>
                <w:b/>
              </w:rPr>
              <w:t xml:space="preserve"> </w:t>
            </w:r>
          </w:p>
        </w:tc>
        <w:tc>
          <w:tcPr>
            <w:tcW w:w="5222" w:type="dxa"/>
            <w:shd w:val="clear" w:color="auto" w:fill="auto"/>
          </w:tcPr>
          <w:p w:rsidR="00EE09E9" w:rsidRPr="00C14CDA" w:rsidRDefault="00EE09E9" w:rsidP="00B31D33">
            <w:pPr>
              <w:jc w:val="left"/>
              <w:rPr>
                <w:rFonts w:eastAsia="Times New Roman" w:cs="Arial"/>
                <w:highlight w:val="yellow"/>
                <w:lang w:eastAsia="en-GB"/>
              </w:rPr>
            </w:pPr>
          </w:p>
        </w:tc>
      </w:tr>
      <w:tr w:rsidR="00EE09E9" w:rsidRPr="0055339A" w:rsidTr="00EE09E9">
        <w:trPr>
          <w:gridAfter w:val="1"/>
          <w:wAfter w:w="23" w:type="dxa"/>
        </w:trPr>
        <w:tc>
          <w:tcPr>
            <w:tcW w:w="520" w:type="dxa"/>
          </w:tcPr>
          <w:p w:rsidR="00EE09E9" w:rsidRPr="009F6CF6" w:rsidRDefault="00EE09E9" w:rsidP="009F6CF6">
            <w:pPr>
              <w:jc w:val="center"/>
              <w:rPr>
                <w:rFonts w:eastAsia="Times New Roman" w:cs="Arial"/>
                <w:b/>
                <w:lang w:eastAsia="en-GB"/>
              </w:rPr>
            </w:pPr>
            <w:r>
              <w:rPr>
                <w:rFonts w:eastAsia="Times New Roman" w:cs="Arial"/>
                <w:b/>
                <w:lang w:eastAsia="en-GB"/>
              </w:rPr>
              <w:t>2.</w:t>
            </w:r>
          </w:p>
        </w:tc>
        <w:tc>
          <w:tcPr>
            <w:tcW w:w="3449" w:type="dxa"/>
            <w:shd w:val="clear" w:color="auto" w:fill="auto"/>
          </w:tcPr>
          <w:p w:rsidR="00EE09E9" w:rsidRPr="00BA14FB" w:rsidRDefault="00EE09E9" w:rsidP="00B30021">
            <w:pPr>
              <w:jc w:val="left"/>
              <w:rPr>
                <w:rFonts w:eastAsia="Times New Roman" w:cs="Arial"/>
                <w:b/>
                <w:lang w:eastAsia="en-GB"/>
              </w:rPr>
            </w:pPr>
            <w:r w:rsidRPr="00BA14FB">
              <w:rPr>
                <w:rFonts w:eastAsia="Times New Roman" w:cs="Arial"/>
                <w:b/>
                <w:lang w:eastAsia="en-GB"/>
              </w:rPr>
              <w:t>Information Governance</w:t>
            </w:r>
          </w:p>
        </w:tc>
        <w:tc>
          <w:tcPr>
            <w:tcW w:w="709" w:type="dxa"/>
            <w:shd w:val="clear" w:color="auto" w:fill="auto"/>
          </w:tcPr>
          <w:p w:rsidR="00EE09E9" w:rsidRPr="00B30021" w:rsidRDefault="00EE09E9" w:rsidP="00B30021">
            <w:pPr>
              <w:jc w:val="center"/>
              <w:rPr>
                <w:b/>
              </w:rPr>
            </w:pPr>
          </w:p>
        </w:tc>
        <w:tc>
          <w:tcPr>
            <w:tcW w:w="5222" w:type="dxa"/>
            <w:shd w:val="clear" w:color="auto" w:fill="auto"/>
          </w:tcPr>
          <w:p w:rsidR="00EE09E9" w:rsidRPr="00B31D33" w:rsidRDefault="00EE09E9" w:rsidP="00B31D33">
            <w:pPr>
              <w:jc w:val="left"/>
              <w:rPr>
                <w:rFonts w:eastAsia="Times New Roman" w:cs="Arial"/>
                <w:lang w:eastAsia="en-GB"/>
              </w:rPr>
            </w:pPr>
          </w:p>
        </w:tc>
      </w:tr>
      <w:tr w:rsidR="00EE09E9" w:rsidRPr="0055339A" w:rsidTr="00EE09E9">
        <w:trPr>
          <w:gridAfter w:val="1"/>
          <w:wAfter w:w="23" w:type="dxa"/>
        </w:trPr>
        <w:tc>
          <w:tcPr>
            <w:tcW w:w="520" w:type="dxa"/>
          </w:tcPr>
          <w:p w:rsidR="00EE09E9" w:rsidRPr="009F6CF6" w:rsidRDefault="00EE09E9" w:rsidP="009F6CF6">
            <w:pPr>
              <w:jc w:val="center"/>
              <w:rPr>
                <w:rFonts w:eastAsia="Times New Roman" w:cs="Arial"/>
                <w:b/>
                <w:lang w:eastAsia="en-GB"/>
              </w:rPr>
            </w:pPr>
          </w:p>
        </w:tc>
        <w:tc>
          <w:tcPr>
            <w:tcW w:w="3449" w:type="dxa"/>
            <w:shd w:val="clear" w:color="auto" w:fill="auto"/>
          </w:tcPr>
          <w:p w:rsidR="00EE09E9" w:rsidRPr="00B30021" w:rsidRDefault="00EE09E9" w:rsidP="00B30021">
            <w:pPr>
              <w:jc w:val="left"/>
              <w:rPr>
                <w:rFonts w:eastAsia="Times New Roman" w:cs="Arial"/>
                <w:lang w:eastAsia="en-GB"/>
              </w:rPr>
            </w:pPr>
            <w:r w:rsidRPr="00B30021">
              <w:rPr>
                <w:rFonts w:eastAsia="Times New Roman" w:cs="Arial"/>
                <w:lang w:eastAsia="en-GB"/>
              </w:rPr>
              <w:t xml:space="preserve">Please </w:t>
            </w:r>
            <w:r>
              <w:rPr>
                <w:rFonts w:eastAsia="Times New Roman" w:cs="Arial"/>
                <w:lang w:eastAsia="en-GB"/>
              </w:rPr>
              <w:t>c</w:t>
            </w:r>
            <w:r w:rsidRPr="00B30021">
              <w:rPr>
                <w:rFonts w:eastAsia="Times New Roman" w:cs="Arial"/>
                <w:lang w:eastAsia="en-GB"/>
              </w:rPr>
              <w:t xml:space="preserve">onfirm your compliance and registration to NHS Information Governance toolkit. If not already registered </w:t>
            </w:r>
            <w:r>
              <w:rPr>
                <w:rFonts w:eastAsia="Times New Roman" w:cs="Arial"/>
                <w:lang w:eastAsia="en-GB"/>
              </w:rPr>
              <w:t>the Trust must have c</w:t>
            </w:r>
            <w:r w:rsidRPr="00B30021">
              <w:rPr>
                <w:rFonts w:eastAsia="Times New Roman" w:cs="Arial"/>
                <w:lang w:eastAsia="en-GB"/>
              </w:rPr>
              <w:t>onfirmation t</w:t>
            </w:r>
            <w:r>
              <w:rPr>
                <w:rFonts w:eastAsia="Times New Roman" w:cs="Arial"/>
                <w:lang w:eastAsia="en-GB"/>
              </w:rPr>
              <w:t xml:space="preserve">hat you will complete all its </w:t>
            </w:r>
            <w:r w:rsidRPr="00B30021">
              <w:rPr>
                <w:rFonts w:eastAsia="Times New Roman" w:cs="Arial"/>
                <w:lang w:eastAsia="en-GB"/>
              </w:rPr>
              <w:t>Information Governance and NHS registration requirements</w:t>
            </w:r>
            <w:r>
              <w:rPr>
                <w:rFonts w:eastAsia="Times New Roman" w:cs="Arial"/>
                <w:lang w:eastAsia="en-GB"/>
              </w:rPr>
              <w:t xml:space="preserve"> prior to the beginning of the contract</w:t>
            </w:r>
            <w:r w:rsidRPr="00B30021">
              <w:rPr>
                <w:rFonts w:eastAsia="Times New Roman" w:cs="Arial"/>
                <w:lang w:eastAsia="en-GB"/>
              </w:rPr>
              <w:t>.</w:t>
            </w:r>
          </w:p>
          <w:p w:rsidR="00EE09E9" w:rsidRPr="00B30021" w:rsidRDefault="00EE09E9" w:rsidP="00B30021">
            <w:pPr>
              <w:jc w:val="left"/>
              <w:rPr>
                <w:rFonts w:eastAsia="Times New Roman" w:cs="Arial"/>
                <w:lang w:eastAsia="en-GB"/>
              </w:rPr>
            </w:pPr>
          </w:p>
          <w:p w:rsidR="00EE09E9" w:rsidRPr="00B31D33" w:rsidRDefault="00EE09E9" w:rsidP="00B30021">
            <w:pPr>
              <w:jc w:val="left"/>
              <w:rPr>
                <w:rFonts w:eastAsia="Times New Roman" w:cs="Arial"/>
                <w:lang w:eastAsia="en-GB"/>
              </w:rPr>
            </w:pPr>
            <w:r>
              <w:rPr>
                <w:rFonts w:eastAsia="Times New Roman" w:cs="Arial"/>
                <w:lang w:eastAsia="en-GB"/>
              </w:rPr>
              <w:t>(</w:t>
            </w:r>
            <w:r w:rsidRPr="00B30021">
              <w:rPr>
                <w:rFonts w:eastAsia="Times New Roman" w:cs="Arial"/>
                <w:lang w:eastAsia="en-GB"/>
              </w:rPr>
              <w:t>If not already registered, any order is subject to successful registration)</w:t>
            </w:r>
            <w:r>
              <w:rPr>
                <w:rFonts w:eastAsia="Times New Roman" w:cs="Arial"/>
                <w:lang w:eastAsia="en-GB"/>
              </w:rPr>
              <w:t>.</w:t>
            </w:r>
          </w:p>
        </w:tc>
        <w:tc>
          <w:tcPr>
            <w:tcW w:w="709" w:type="dxa"/>
            <w:shd w:val="clear" w:color="auto" w:fill="auto"/>
          </w:tcPr>
          <w:p w:rsidR="00EE09E9" w:rsidRPr="00B30021" w:rsidRDefault="00EE09E9" w:rsidP="00EE09E9">
            <w:pPr>
              <w:jc w:val="center"/>
              <w:rPr>
                <w:b/>
              </w:rPr>
            </w:pPr>
            <w:r w:rsidRPr="00B30021">
              <w:rPr>
                <w:b/>
              </w:rPr>
              <w:t>15</w:t>
            </w:r>
            <w:r>
              <w:rPr>
                <w:b/>
              </w:rPr>
              <w:t xml:space="preserve"> </w:t>
            </w:r>
          </w:p>
        </w:tc>
        <w:tc>
          <w:tcPr>
            <w:tcW w:w="5222" w:type="dxa"/>
            <w:shd w:val="clear" w:color="auto" w:fill="auto"/>
          </w:tcPr>
          <w:p w:rsidR="00EE09E9" w:rsidRPr="00B31D33" w:rsidRDefault="00EE09E9" w:rsidP="00B31D33">
            <w:pPr>
              <w:jc w:val="left"/>
              <w:rPr>
                <w:rFonts w:eastAsia="Times New Roman" w:cs="Arial"/>
                <w:lang w:eastAsia="en-GB"/>
              </w:rPr>
            </w:pPr>
          </w:p>
        </w:tc>
      </w:tr>
      <w:tr w:rsidR="00EE09E9" w:rsidRPr="0055339A" w:rsidTr="00EE09E9">
        <w:trPr>
          <w:gridAfter w:val="1"/>
          <w:wAfter w:w="23" w:type="dxa"/>
        </w:trPr>
        <w:tc>
          <w:tcPr>
            <w:tcW w:w="520" w:type="dxa"/>
          </w:tcPr>
          <w:p w:rsidR="00EE09E9" w:rsidRPr="009F6CF6" w:rsidRDefault="00EE09E9" w:rsidP="009F6CF6">
            <w:pPr>
              <w:jc w:val="center"/>
              <w:rPr>
                <w:rFonts w:eastAsia="Times New Roman" w:cs="Arial"/>
                <w:b/>
                <w:lang w:eastAsia="en-GB"/>
              </w:rPr>
            </w:pPr>
            <w:r w:rsidRPr="00BA14FB">
              <w:rPr>
                <w:rFonts w:eastAsia="Times New Roman" w:cs="Arial"/>
                <w:b/>
                <w:lang w:eastAsia="en-GB"/>
              </w:rPr>
              <w:t>3.</w:t>
            </w:r>
          </w:p>
        </w:tc>
        <w:tc>
          <w:tcPr>
            <w:tcW w:w="3449" w:type="dxa"/>
            <w:shd w:val="clear" w:color="auto" w:fill="auto"/>
          </w:tcPr>
          <w:p w:rsidR="00EE09E9" w:rsidRPr="00BA14FB" w:rsidRDefault="00EE09E9" w:rsidP="00B30021">
            <w:pPr>
              <w:jc w:val="left"/>
              <w:rPr>
                <w:rFonts w:eastAsia="Times New Roman" w:cs="Arial"/>
                <w:b/>
                <w:lang w:eastAsia="en-GB"/>
              </w:rPr>
            </w:pPr>
            <w:r w:rsidRPr="00BA14FB">
              <w:rPr>
                <w:rFonts w:eastAsia="Times New Roman" w:cs="Arial"/>
                <w:b/>
                <w:lang w:eastAsia="en-GB"/>
              </w:rPr>
              <w:t xml:space="preserve">Reporting </w:t>
            </w:r>
          </w:p>
        </w:tc>
        <w:tc>
          <w:tcPr>
            <w:tcW w:w="709" w:type="dxa"/>
            <w:shd w:val="clear" w:color="auto" w:fill="auto"/>
          </w:tcPr>
          <w:p w:rsidR="00EE09E9" w:rsidRPr="00B30021" w:rsidRDefault="00EE09E9" w:rsidP="00B30021">
            <w:pPr>
              <w:jc w:val="center"/>
              <w:rPr>
                <w:b/>
              </w:rPr>
            </w:pPr>
          </w:p>
        </w:tc>
        <w:tc>
          <w:tcPr>
            <w:tcW w:w="5222" w:type="dxa"/>
            <w:shd w:val="clear" w:color="auto" w:fill="auto"/>
          </w:tcPr>
          <w:p w:rsidR="00EE09E9" w:rsidRPr="00B31D33" w:rsidRDefault="00EE09E9" w:rsidP="00B31D33">
            <w:pPr>
              <w:jc w:val="left"/>
              <w:rPr>
                <w:rFonts w:eastAsia="Times New Roman" w:cs="Arial"/>
                <w:lang w:eastAsia="en-GB"/>
              </w:rPr>
            </w:pPr>
          </w:p>
        </w:tc>
      </w:tr>
      <w:tr w:rsidR="00EE09E9" w:rsidRPr="0055339A" w:rsidTr="00EE09E9">
        <w:trPr>
          <w:gridAfter w:val="1"/>
          <w:wAfter w:w="23" w:type="dxa"/>
        </w:trPr>
        <w:tc>
          <w:tcPr>
            <w:tcW w:w="520" w:type="dxa"/>
          </w:tcPr>
          <w:p w:rsidR="00EE09E9" w:rsidRPr="009F6CF6" w:rsidRDefault="00EE09E9" w:rsidP="009F6CF6">
            <w:pPr>
              <w:jc w:val="center"/>
              <w:rPr>
                <w:rFonts w:eastAsia="Times New Roman" w:cs="Arial"/>
                <w:b/>
                <w:lang w:eastAsia="en-GB"/>
              </w:rPr>
            </w:pPr>
          </w:p>
        </w:tc>
        <w:tc>
          <w:tcPr>
            <w:tcW w:w="3449" w:type="dxa"/>
            <w:shd w:val="clear" w:color="auto" w:fill="auto"/>
          </w:tcPr>
          <w:p w:rsidR="00EE09E9" w:rsidRPr="0055339A" w:rsidRDefault="00EE09E9" w:rsidP="00B30021">
            <w:pPr>
              <w:jc w:val="left"/>
              <w:rPr>
                <w:rFonts w:eastAsia="Times New Roman" w:cs="Arial"/>
                <w:lang w:eastAsia="en-GB"/>
              </w:rPr>
            </w:pPr>
            <w:r w:rsidRPr="00B30021">
              <w:rPr>
                <w:rFonts w:eastAsia="Times New Roman" w:cs="Arial"/>
                <w:lang w:eastAsia="en-GB"/>
              </w:rPr>
              <w:t>Please explain how your proposed system will streamline &amp; speed up the reporting process for ERIC, CRC, ETS, DEC and ESOS reports</w:t>
            </w:r>
            <w:r>
              <w:rPr>
                <w:rFonts w:eastAsia="Times New Roman" w:cs="Arial"/>
                <w:lang w:eastAsia="en-GB"/>
              </w:rPr>
              <w:t xml:space="preserve"> and give examples of these Also please explain where this has been successful implemented and the benefits achieved.</w:t>
            </w:r>
          </w:p>
          <w:p w:rsidR="00EE09E9" w:rsidRPr="00B31D33" w:rsidRDefault="00EE09E9" w:rsidP="00B30021">
            <w:pPr>
              <w:jc w:val="left"/>
              <w:rPr>
                <w:rFonts w:eastAsia="Times New Roman" w:cs="Arial"/>
                <w:lang w:eastAsia="en-GB"/>
              </w:rPr>
            </w:pPr>
          </w:p>
        </w:tc>
        <w:tc>
          <w:tcPr>
            <w:tcW w:w="709" w:type="dxa"/>
            <w:shd w:val="clear" w:color="auto" w:fill="auto"/>
          </w:tcPr>
          <w:p w:rsidR="00EE09E9" w:rsidRDefault="00EE09E9" w:rsidP="00B30021">
            <w:pPr>
              <w:jc w:val="center"/>
              <w:rPr>
                <w:b/>
              </w:rPr>
            </w:pPr>
            <w:r w:rsidRPr="00B30021">
              <w:rPr>
                <w:b/>
              </w:rPr>
              <w:t>5</w:t>
            </w:r>
          </w:p>
          <w:p w:rsidR="00EE09E9" w:rsidRPr="00B30021" w:rsidRDefault="00EE09E9" w:rsidP="00B30021">
            <w:pPr>
              <w:jc w:val="center"/>
              <w:rPr>
                <w:b/>
              </w:rPr>
            </w:pPr>
          </w:p>
        </w:tc>
        <w:tc>
          <w:tcPr>
            <w:tcW w:w="5222" w:type="dxa"/>
            <w:shd w:val="clear" w:color="auto" w:fill="auto"/>
          </w:tcPr>
          <w:p w:rsidR="00EE09E9" w:rsidRPr="00B31D33" w:rsidRDefault="00EE09E9" w:rsidP="00B31D33">
            <w:pPr>
              <w:jc w:val="left"/>
              <w:rPr>
                <w:rFonts w:eastAsia="Times New Roman" w:cs="Arial"/>
                <w:lang w:eastAsia="en-GB"/>
              </w:rPr>
            </w:pPr>
          </w:p>
        </w:tc>
      </w:tr>
      <w:tr w:rsidR="00EE09E9" w:rsidRPr="0055339A" w:rsidTr="00EE09E9">
        <w:trPr>
          <w:gridAfter w:val="1"/>
          <w:wAfter w:w="23" w:type="dxa"/>
        </w:trPr>
        <w:tc>
          <w:tcPr>
            <w:tcW w:w="520" w:type="dxa"/>
          </w:tcPr>
          <w:p w:rsidR="00EE09E9" w:rsidRPr="009F6CF6" w:rsidRDefault="00EE09E9" w:rsidP="009F6CF6">
            <w:pPr>
              <w:jc w:val="center"/>
              <w:rPr>
                <w:rFonts w:eastAsia="Times New Roman" w:cs="Arial"/>
                <w:b/>
                <w:lang w:eastAsia="en-GB"/>
              </w:rPr>
            </w:pPr>
            <w:r w:rsidRPr="00BA14FB">
              <w:rPr>
                <w:rFonts w:eastAsia="Times New Roman" w:cs="Arial"/>
                <w:b/>
                <w:lang w:eastAsia="en-GB"/>
              </w:rPr>
              <w:lastRenderedPageBreak/>
              <w:t>4.</w:t>
            </w:r>
          </w:p>
        </w:tc>
        <w:tc>
          <w:tcPr>
            <w:tcW w:w="3449" w:type="dxa"/>
            <w:shd w:val="clear" w:color="auto" w:fill="auto"/>
          </w:tcPr>
          <w:p w:rsidR="00EE09E9" w:rsidRPr="00BA14FB" w:rsidRDefault="00EE09E9" w:rsidP="00B31D33">
            <w:pPr>
              <w:jc w:val="left"/>
              <w:rPr>
                <w:rFonts w:eastAsia="Times New Roman" w:cs="Arial"/>
                <w:b/>
                <w:lang w:eastAsia="en-GB"/>
              </w:rPr>
            </w:pPr>
            <w:r w:rsidRPr="00BA14FB">
              <w:rPr>
                <w:rFonts w:eastAsia="Times New Roman" w:cs="Arial"/>
                <w:b/>
                <w:lang w:eastAsia="en-GB"/>
              </w:rPr>
              <w:t>Forecasting</w:t>
            </w:r>
            <w:r>
              <w:rPr>
                <w:rFonts w:eastAsia="Times New Roman" w:cs="Arial"/>
                <w:b/>
                <w:lang w:eastAsia="en-GB"/>
              </w:rPr>
              <w:t>/Reports</w:t>
            </w:r>
            <w:r w:rsidRPr="00BA14FB">
              <w:rPr>
                <w:rFonts w:eastAsia="Times New Roman" w:cs="Arial"/>
                <w:b/>
                <w:lang w:eastAsia="en-GB"/>
              </w:rPr>
              <w:t xml:space="preserve"> </w:t>
            </w:r>
          </w:p>
        </w:tc>
        <w:tc>
          <w:tcPr>
            <w:tcW w:w="709" w:type="dxa"/>
            <w:shd w:val="clear" w:color="auto" w:fill="auto"/>
          </w:tcPr>
          <w:p w:rsidR="00EE09E9" w:rsidRPr="00B30021" w:rsidRDefault="00EE09E9" w:rsidP="00B30021">
            <w:pPr>
              <w:jc w:val="center"/>
              <w:rPr>
                <w:b/>
              </w:rPr>
            </w:pPr>
          </w:p>
        </w:tc>
        <w:tc>
          <w:tcPr>
            <w:tcW w:w="5222" w:type="dxa"/>
            <w:shd w:val="clear" w:color="auto" w:fill="auto"/>
          </w:tcPr>
          <w:p w:rsidR="00EE09E9" w:rsidRPr="00B31D33" w:rsidRDefault="00EE09E9" w:rsidP="00B31D33">
            <w:pPr>
              <w:jc w:val="left"/>
              <w:rPr>
                <w:rFonts w:eastAsia="Times New Roman" w:cs="Arial"/>
                <w:lang w:eastAsia="en-GB"/>
              </w:rPr>
            </w:pPr>
          </w:p>
        </w:tc>
      </w:tr>
      <w:tr w:rsidR="00EE09E9" w:rsidRPr="0055339A" w:rsidTr="00EE09E9">
        <w:trPr>
          <w:gridAfter w:val="1"/>
          <w:wAfter w:w="23" w:type="dxa"/>
        </w:trPr>
        <w:tc>
          <w:tcPr>
            <w:tcW w:w="520" w:type="dxa"/>
          </w:tcPr>
          <w:p w:rsidR="00EE09E9" w:rsidRPr="009F6CF6" w:rsidRDefault="00EE09E9" w:rsidP="009F6CF6">
            <w:pPr>
              <w:jc w:val="center"/>
              <w:rPr>
                <w:rFonts w:eastAsia="Times New Roman" w:cs="Arial"/>
                <w:b/>
                <w:lang w:eastAsia="en-GB"/>
              </w:rPr>
            </w:pPr>
          </w:p>
        </w:tc>
        <w:tc>
          <w:tcPr>
            <w:tcW w:w="3449" w:type="dxa"/>
            <w:shd w:val="clear" w:color="auto" w:fill="auto"/>
          </w:tcPr>
          <w:p w:rsidR="00EE09E9" w:rsidRDefault="00EE09E9" w:rsidP="00B31D33">
            <w:pPr>
              <w:jc w:val="left"/>
              <w:rPr>
                <w:rFonts w:eastAsia="Times New Roman" w:cs="Arial"/>
                <w:lang w:eastAsia="en-GB"/>
              </w:rPr>
            </w:pPr>
            <w:r w:rsidRPr="00B30021">
              <w:rPr>
                <w:rFonts w:eastAsia="Times New Roman" w:cs="Arial"/>
                <w:lang w:eastAsia="en-GB"/>
              </w:rPr>
              <w:t xml:space="preserve">Please expand </w:t>
            </w:r>
            <w:r>
              <w:rPr>
                <w:rFonts w:eastAsia="Times New Roman" w:cs="Arial"/>
                <w:lang w:eastAsia="en-GB"/>
              </w:rPr>
              <w:t xml:space="preserve">on </w:t>
            </w:r>
            <w:r w:rsidRPr="00B30021">
              <w:rPr>
                <w:rFonts w:eastAsia="Times New Roman" w:cs="Arial"/>
                <w:lang w:eastAsia="en-GB"/>
              </w:rPr>
              <w:t>how your system will provide dynamic forward forecasting on energy usage</w:t>
            </w:r>
            <w:r>
              <w:rPr>
                <w:rFonts w:eastAsia="Times New Roman" w:cs="Arial"/>
                <w:lang w:eastAsia="en-GB"/>
              </w:rPr>
              <w:t xml:space="preserve"> and give examples of where this has been achieved and the results.</w:t>
            </w:r>
          </w:p>
          <w:p w:rsidR="00EE09E9" w:rsidRPr="00B31D33" w:rsidRDefault="00EE09E9" w:rsidP="00B31D33">
            <w:pPr>
              <w:jc w:val="left"/>
              <w:rPr>
                <w:rFonts w:eastAsia="Times New Roman" w:cs="Arial"/>
                <w:lang w:eastAsia="en-GB"/>
              </w:rPr>
            </w:pPr>
          </w:p>
        </w:tc>
        <w:tc>
          <w:tcPr>
            <w:tcW w:w="709" w:type="dxa"/>
            <w:shd w:val="clear" w:color="auto" w:fill="auto"/>
          </w:tcPr>
          <w:p w:rsidR="00EE09E9" w:rsidRDefault="00EE09E9" w:rsidP="00B30021">
            <w:pPr>
              <w:jc w:val="center"/>
              <w:rPr>
                <w:b/>
              </w:rPr>
            </w:pPr>
            <w:r w:rsidRPr="00B30021">
              <w:rPr>
                <w:b/>
              </w:rPr>
              <w:t>5</w:t>
            </w:r>
          </w:p>
          <w:p w:rsidR="00EE09E9" w:rsidRPr="00B30021" w:rsidRDefault="00EE09E9" w:rsidP="00EE09E9">
            <w:pPr>
              <w:jc w:val="center"/>
              <w:rPr>
                <w:b/>
              </w:rPr>
            </w:pPr>
            <w:r>
              <w:rPr>
                <w:b/>
              </w:rPr>
              <w:t xml:space="preserve"> </w:t>
            </w:r>
          </w:p>
        </w:tc>
        <w:tc>
          <w:tcPr>
            <w:tcW w:w="5222" w:type="dxa"/>
            <w:shd w:val="clear" w:color="auto" w:fill="auto"/>
          </w:tcPr>
          <w:p w:rsidR="00EE09E9" w:rsidRPr="00B31D33" w:rsidRDefault="00EE09E9" w:rsidP="00B31D33">
            <w:pPr>
              <w:jc w:val="left"/>
              <w:rPr>
                <w:rFonts w:eastAsia="Times New Roman" w:cs="Arial"/>
                <w:lang w:eastAsia="en-GB"/>
              </w:rPr>
            </w:pPr>
          </w:p>
        </w:tc>
      </w:tr>
      <w:tr w:rsidR="00EE09E9" w:rsidRPr="0055339A" w:rsidTr="00EE09E9">
        <w:trPr>
          <w:gridAfter w:val="1"/>
          <w:wAfter w:w="23" w:type="dxa"/>
        </w:trPr>
        <w:tc>
          <w:tcPr>
            <w:tcW w:w="520" w:type="dxa"/>
          </w:tcPr>
          <w:p w:rsidR="00EE09E9" w:rsidRPr="009F6CF6" w:rsidRDefault="00EE09E9" w:rsidP="009F6CF6">
            <w:pPr>
              <w:jc w:val="center"/>
              <w:rPr>
                <w:rFonts w:eastAsia="Times New Roman" w:cs="Arial"/>
                <w:b/>
                <w:lang w:eastAsia="en-GB"/>
              </w:rPr>
            </w:pPr>
            <w:r>
              <w:rPr>
                <w:rFonts w:eastAsia="Times New Roman" w:cs="Arial"/>
                <w:b/>
                <w:lang w:eastAsia="en-GB"/>
              </w:rPr>
              <w:t>5.</w:t>
            </w:r>
          </w:p>
        </w:tc>
        <w:tc>
          <w:tcPr>
            <w:tcW w:w="3449" w:type="dxa"/>
            <w:shd w:val="clear" w:color="auto" w:fill="auto"/>
          </w:tcPr>
          <w:p w:rsidR="00EE09E9" w:rsidRPr="0056736D" w:rsidRDefault="00EE09E9" w:rsidP="00B31D33">
            <w:pPr>
              <w:jc w:val="left"/>
              <w:rPr>
                <w:rFonts w:eastAsia="Times New Roman" w:cs="Arial"/>
                <w:b/>
                <w:lang w:eastAsia="en-GB"/>
              </w:rPr>
            </w:pPr>
            <w:r w:rsidRPr="0056736D">
              <w:rPr>
                <w:rFonts w:eastAsia="Times New Roman" w:cs="Arial"/>
                <w:b/>
                <w:lang w:eastAsia="en-GB"/>
              </w:rPr>
              <w:t>Forecasting/Reports</w:t>
            </w:r>
          </w:p>
        </w:tc>
        <w:tc>
          <w:tcPr>
            <w:tcW w:w="709" w:type="dxa"/>
            <w:shd w:val="clear" w:color="auto" w:fill="auto"/>
          </w:tcPr>
          <w:p w:rsidR="00EE09E9" w:rsidRPr="00B30021" w:rsidRDefault="00EE09E9" w:rsidP="00B30021">
            <w:pPr>
              <w:jc w:val="center"/>
              <w:rPr>
                <w:b/>
              </w:rPr>
            </w:pPr>
          </w:p>
        </w:tc>
        <w:tc>
          <w:tcPr>
            <w:tcW w:w="5222" w:type="dxa"/>
            <w:shd w:val="clear" w:color="auto" w:fill="auto"/>
          </w:tcPr>
          <w:p w:rsidR="00EE09E9" w:rsidRPr="0055339A" w:rsidRDefault="00EE09E9" w:rsidP="00B31D33">
            <w:pPr>
              <w:jc w:val="left"/>
              <w:rPr>
                <w:rFonts w:eastAsia="Times New Roman" w:cs="Arial"/>
                <w:lang w:eastAsia="en-GB"/>
              </w:rPr>
            </w:pPr>
          </w:p>
        </w:tc>
      </w:tr>
      <w:tr w:rsidR="00EE09E9" w:rsidRPr="0055339A" w:rsidTr="00EE09E9">
        <w:trPr>
          <w:gridAfter w:val="1"/>
          <w:wAfter w:w="23" w:type="dxa"/>
        </w:trPr>
        <w:tc>
          <w:tcPr>
            <w:tcW w:w="520" w:type="dxa"/>
          </w:tcPr>
          <w:p w:rsidR="00EE09E9" w:rsidRPr="009F6CF6" w:rsidRDefault="00EE09E9" w:rsidP="00BA14FB">
            <w:pPr>
              <w:jc w:val="center"/>
              <w:rPr>
                <w:rFonts w:eastAsia="Times New Roman" w:cs="Arial"/>
                <w:b/>
                <w:lang w:eastAsia="en-GB"/>
              </w:rPr>
            </w:pPr>
          </w:p>
        </w:tc>
        <w:tc>
          <w:tcPr>
            <w:tcW w:w="3449" w:type="dxa"/>
            <w:shd w:val="clear" w:color="auto" w:fill="auto"/>
          </w:tcPr>
          <w:p w:rsidR="00EE09E9" w:rsidRDefault="00EE09E9" w:rsidP="00B31D33">
            <w:pPr>
              <w:jc w:val="left"/>
              <w:rPr>
                <w:rFonts w:eastAsia="Times New Roman" w:cs="Arial"/>
                <w:lang w:eastAsia="en-GB"/>
              </w:rPr>
            </w:pPr>
            <w:r w:rsidRPr="00B30021">
              <w:rPr>
                <w:rFonts w:eastAsia="Times New Roman" w:cs="Arial"/>
                <w:lang w:eastAsia="en-GB"/>
              </w:rPr>
              <w:t>Does your system include a project verification tool for analysing benefit, against ROI on energy initiatives</w:t>
            </w:r>
            <w:r>
              <w:rPr>
                <w:rFonts w:eastAsia="Times New Roman" w:cs="Arial"/>
                <w:lang w:eastAsia="en-GB"/>
              </w:rPr>
              <w:t>? If so please explain how it works and the benefits to the Trust of having this functionality.</w:t>
            </w:r>
          </w:p>
          <w:p w:rsidR="00EE09E9" w:rsidRPr="0055339A" w:rsidRDefault="00EE09E9" w:rsidP="00B31D33">
            <w:pPr>
              <w:jc w:val="left"/>
              <w:rPr>
                <w:rFonts w:eastAsia="Times New Roman" w:cs="Arial"/>
                <w:lang w:eastAsia="en-GB"/>
              </w:rPr>
            </w:pPr>
          </w:p>
        </w:tc>
        <w:tc>
          <w:tcPr>
            <w:tcW w:w="709" w:type="dxa"/>
            <w:shd w:val="clear" w:color="auto" w:fill="auto"/>
          </w:tcPr>
          <w:p w:rsidR="00EE09E9" w:rsidRDefault="00EE09E9" w:rsidP="00B30021">
            <w:pPr>
              <w:jc w:val="center"/>
              <w:rPr>
                <w:b/>
              </w:rPr>
            </w:pPr>
            <w:r w:rsidRPr="00B30021">
              <w:rPr>
                <w:b/>
              </w:rPr>
              <w:t>5</w:t>
            </w:r>
            <w:r>
              <w:rPr>
                <w:b/>
              </w:rPr>
              <w:t xml:space="preserve"> </w:t>
            </w:r>
          </w:p>
          <w:p w:rsidR="00EE09E9" w:rsidRPr="00B30021" w:rsidRDefault="00EE09E9" w:rsidP="008312D9">
            <w:pPr>
              <w:jc w:val="center"/>
              <w:rPr>
                <w:b/>
              </w:rPr>
            </w:pPr>
          </w:p>
        </w:tc>
        <w:tc>
          <w:tcPr>
            <w:tcW w:w="5222" w:type="dxa"/>
            <w:shd w:val="clear" w:color="auto" w:fill="auto"/>
          </w:tcPr>
          <w:p w:rsidR="00EE09E9" w:rsidRPr="0055339A" w:rsidRDefault="00EE09E9" w:rsidP="00B31D33">
            <w:pPr>
              <w:jc w:val="left"/>
              <w:rPr>
                <w:rFonts w:eastAsia="Times New Roman" w:cs="Arial"/>
                <w:lang w:eastAsia="en-GB"/>
              </w:rPr>
            </w:pPr>
          </w:p>
        </w:tc>
      </w:tr>
      <w:tr w:rsidR="00EE09E9" w:rsidRPr="0055339A" w:rsidTr="00EE09E9">
        <w:trPr>
          <w:gridAfter w:val="1"/>
          <w:wAfter w:w="23" w:type="dxa"/>
        </w:trPr>
        <w:tc>
          <w:tcPr>
            <w:tcW w:w="520" w:type="dxa"/>
          </w:tcPr>
          <w:p w:rsidR="00EE09E9" w:rsidRPr="00BA14FB" w:rsidRDefault="00EE09E9" w:rsidP="009F6CF6">
            <w:pPr>
              <w:jc w:val="center"/>
              <w:rPr>
                <w:rFonts w:eastAsia="Times New Roman" w:cs="Arial"/>
                <w:b/>
                <w:lang w:eastAsia="en-GB"/>
              </w:rPr>
            </w:pPr>
            <w:r w:rsidRPr="00BA14FB">
              <w:rPr>
                <w:rFonts w:eastAsia="Times New Roman" w:cs="Arial"/>
                <w:b/>
                <w:lang w:eastAsia="en-GB"/>
              </w:rPr>
              <w:t>6.</w:t>
            </w:r>
          </w:p>
        </w:tc>
        <w:tc>
          <w:tcPr>
            <w:tcW w:w="3449" w:type="dxa"/>
            <w:shd w:val="clear" w:color="auto" w:fill="auto"/>
          </w:tcPr>
          <w:p w:rsidR="00EE09E9" w:rsidRPr="00BA14FB" w:rsidRDefault="00EE09E9" w:rsidP="00B31D33">
            <w:pPr>
              <w:jc w:val="left"/>
              <w:rPr>
                <w:rFonts w:eastAsia="Times New Roman" w:cs="Arial"/>
                <w:b/>
                <w:lang w:eastAsia="en-GB"/>
              </w:rPr>
            </w:pPr>
            <w:r w:rsidRPr="00BA14FB">
              <w:rPr>
                <w:rFonts w:eastAsia="Times New Roman" w:cs="Arial"/>
                <w:b/>
                <w:lang w:eastAsia="en-GB"/>
              </w:rPr>
              <w:t xml:space="preserve">Implementation </w:t>
            </w:r>
          </w:p>
        </w:tc>
        <w:tc>
          <w:tcPr>
            <w:tcW w:w="709" w:type="dxa"/>
            <w:shd w:val="clear" w:color="auto" w:fill="auto"/>
          </w:tcPr>
          <w:p w:rsidR="00EE09E9" w:rsidRPr="00B30021" w:rsidRDefault="00EE09E9" w:rsidP="00B30021">
            <w:pPr>
              <w:jc w:val="center"/>
              <w:rPr>
                <w:b/>
              </w:rPr>
            </w:pPr>
          </w:p>
        </w:tc>
        <w:tc>
          <w:tcPr>
            <w:tcW w:w="5222" w:type="dxa"/>
            <w:shd w:val="clear" w:color="auto" w:fill="auto"/>
          </w:tcPr>
          <w:p w:rsidR="00EE09E9" w:rsidRPr="0055339A" w:rsidRDefault="00EE09E9" w:rsidP="00B31D33">
            <w:pPr>
              <w:jc w:val="left"/>
              <w:rPr>
                <w:rFonts w:eastAsia="Times New Roman" w:cs="Arial"/>
                <w:lang w:eastAsia="en-GB"/>
              </w:rPr>
            </w:pPr>
          </w:p>
        </w:tc>
      </w:tr>
      <w:tr w:rsidR="00EE09E9" w:rsidRPr="0055339A" w:rsidTr="00EE09E9">
        <w:trPr>
          <w:gridAfter w:val="1"/>
          <w:wAfter w:w="23" w:type="dxa"/>
        </w:trPr>
        <w:tc>
          <w:tcPr>
            <w:tcW w:w="520" w:type="dxa"/>
          </w:tcPr>
          <w:p w:rsidR="00EE09E9" w:rsidRPr="009F6CF6" w:rsidRDefault="00EE09E9" w:rsidP="009F6CF6">
            <w:pPr>
              <w:jc w:val="center"/>
              <w:rPr>
                <w:rFonts w:eastAsia="Times New Roman" w:cs="Arial"/>
                <w:b/>
                <w:lang w:eastAsia="en-GB"/>
              </w:rPr>
            </w:pPr>
          </w:p>
        </w:tc>
        <w:tc>
          <w:tcPr>
            <w:tcW w:w="3449" w:type="dxa"/>
            <w:shd w:val="clear" w:color="auto" w:fill="auto"/>
          </w:tcPr>
          <w:p w:rsidR="00EE09E9" w:rsidRDefault="00EE09E9" w:rsidP="00B31D33">
            <w:pPr>
              <w:jc w:val="left"/>
              <w:rPr>
                <w:rFonts w:eastAsia="Times New Roman" w:cs="Arial"/>
                <w:lang w:eastAsia="en-GB"/>
              </w:rPr>
            </w:pPr>
            <w:r>
              <w:rPr>
                <w:rFonts w:eastAsia="Times New Roman" w:cs="Arial"/>
                <w:lang w:eastAsia="en-GB"/>
              </w:rPr>
              <w:t xml:space="preserve">Your </w:t>
            </w:r>
            <w:r w:rsidRPr="00B30021">
              <w:rPr>
                <w:rFonts w:eastAsia="Times New Roman" w:cs="Arial"/>
                <w:lang w:eastAsia="en-GB"/>
              </w:rPr>
              <w:t xml:space="preserve">proposal </w:t>
            </w:r>
            <w:r>
              <w:rPr>
                <w:rFonts w:eastAsia="Times New Roman" w:cs="Arial"/>
                <w:lang w:eastAsia="en-GB"/>
              </w:rPr>
              <w:t xml:space="preserve">should </w:t>
            </w:r>
            <w:r w:rsidRPr="00B30021">
              <w:rPr>
                <w:rFonts w:eastAsia="Times New Roman" w:cs="Arial"/>
                <w:lang w:eastAsia="en-GB"/>
              </w:rPr>
              <w:t>include a high level Project Plan identifying individual areas to be completed to deliver a fully agreed and signed off project</w:t>
            </w:r>
            <w:r>
              <w:rPr>
                <w:rFonts w:eastAsia="Times New Roman" w:cs="Arial"/>
                <w:lang w:eastAsia="en-GB"/>
              </w:rPr>
              <w:t>? Please include a narrative on this as well as a Microsoft Project Plan or similar GANTT Chart.</w:t>
            </w:r>
          </w:p>
          <w:p w:rsidR="00EE09E9" w:rsidRPr="0055339A" w:rsidRDefault="00EE09E9" w:rsidP="00B31D33">
            <w:pPr>
              <w:jc w:val="left"/>
              <w:rPr>
                <w:rFonts w:eastAsia="Times New Roman" w:cs="Arial"/>
                <w:lang w:eastAsia="en-GB"/>
              </w:rPr>
            </w:pPr>
          </w:p>
        </w:tc>
        <w:tc>
          <w:tcPr>
            <w:tcW w:w="709" w:type="dxa"/>
            <w:shd w:val="clear" w:color="auto" w:fill="auto"/>
          </w:tcPr>
          <w:p w:rsidR="00EE09E9" w:rsidRDefault="00EE09E9" w:rsidP="00B30021">
            <w:pPr>
              <w:jc w:val="center"/>
              <w:rPr>
                <w:b/>
              </w:rPr>
            </w:pPr>
            <w:r w:rsidRPr="00B30021">
              <w:rPr>
                <w:b/>
              </w:rPr>
              <w:t>5</w:t>
            </w:r>
            <w:r>
              <w:rPr>
                <w:b/>
              </w:rPr>
              <w:t xml:space="preserve"> </w:t>
            </w:r>
          </w:p>
          <w:p w:rsidR="00EE09E9" w:rsidRPr="00B30021" w:rsidRDefault="00EE09E9" w:rsidP="00B30021">
            <w:pPr>
              <w:jc w:val="center"/>
              <w:rPr>
                <w:b/>
              </w:rPr>
            </w:pPr>
          </w:p>
        </w:tc>
        <w:tc>
          <w:tcPr>
            <w:tcW w:w="5222" w:type="dxa"/>
            <w:shd w:val="clear" w:color="auto" w:fill="auto"/>
          </w:tcPr>
          <w:p w:rsidR="00EE09E9" w:rsidRPr="0055339A" w:rsidRDefault="00EE09E9" w:rsidP="00B31D33">
            <w:pPr>
              <w:jc w:val="left"/>
              <w:rPr>
                <w:rFonts w:eastAsia="Times New Roman" w:cs="Arial"/>
                <w:lang w:eastAsia="en-GB"/>
              </w:rPr>
            </w:pPr>
          </w:p>
        </w:tc>
      </w:tr>
      <w:tr w:rsidR="00EE09E9" w:rsidRPr="0055339A" w:rsidTr="00EE09E9">
        <w:trPr>
          <w:gridAfter w:val="1"/>
          <w:wAfter w:w="23" w:type="dxa"/>
        </w:trPr>
        <w:tc>
          <w:tcPr>
            <w:tcW w:w="520" w:type="dxa"/>
          </w:tcPr>
          <w:p w:rsidR="00EE09E9" w:rsidRPr="00433269" w:rsidRDefault="00EE09E9" w:rsidP="009F6CF6">
            <w:pPr>
              <w:jc w:val="center"/>
              <w:rPr>
                <w:rFonts w:eastAsia="Times New Roman" w:cs="Arial"/>
                <w:b/>
                <w:lang w:eastAsia="en-GB"/>
              </w:rPr>
            </w:pPr>
            <w:r w:rsidRPr="00F00AC9">
              <w:rPr>
                <w:rFonts w:eastAsia="Times New Roman" w:cs="Arial"/>
                <w:b/>
                <w:lang w:eastAsia="en-GB"/>
              </w:rPr>
              <w:t>7.</w:t>
            </w:r>
          </w:p>
        </w:tc>
        <w:tc>
          <w:tcPr>
            <w:tcW w:w="3449" w:type="dxa"/>
            <w:shd w:val="clear" w:color="auto" w:fill="auto"/>
          </w:tcPr>
          <w:p w:rsidR="00EE09E9" w:rsidRPr="00F00AC9" w:rsidRDefault="00EE09E9" w:rsidP="00B31D33">
            <w:pPr>
              <w:jc w:val="left"/>
              <w:rPr>
                <w:rFonts w:eastAsia="Times New Roman" w:cs="Arial"/>
                <w:b/>
                <w:lang w:eastAsia="en-GB"/>
              </w:rPr>
            </w:pPr>
            <w:r w:rsidRPr="00F00AC9">
              <w:rPr>
                <w:rFonts w:eastAsia="Times New Roman" w:cs="Arial"/>
                <w:b/>
                <w:lang w:eastAsia="en-GB"/>
              </w:rPr>
              <w:t>Technical Support</w:t>
            </w:r>
          </w:p>
        </w:tc>
        <w:tc>
          <w:tcPr>
            <w:tcW w:w="709" w:type="dxa"/>
            <w:shd w:val="clear" w:color="auto" w:fill="auto"/>
          </w:tcPr>
          <w:p w:rsidR="00EE09E9" w:rsidRDefault="00EE09E9" w:rsidP="00B30021">
            <w:pPr>
              <w:jc w:val="center"/>
              <w:rPr>
                <w:rFonts w:eastAsia="Times New Roman" w:cs="Arial"/>
                <w:b/>
                <w:lang w:eastAsia="en-GB"/>
              </w:rPr>
            </w:pPr>
          </w:p>
        </w:tc>
        <w:tc>
          <w:tcPr>
            <w:tcW w:w="5222" w:type="dxa"/>
            <w:shd w:val="clear" w:color="auto" w:fill="auto"/>
          </w:tcPr>
          <w:p w:rsidR="00EE09E9" w:rsidRPr="0055339A" w:rsidRDefault="00EE09E9" w:rsidP="00B31D33">
            <w:pPr>
              <w:jc w:val="left"/>
              <w:rPr>
                <w:rFonts w:eastAsia="Times New Roman" w:cs="Arial"/>
                <w:lang w:eastAsia="en-GB"/>
              </w:rPr>
            </w:pPr>
          </w:p>
        </w:tc>
      </w:tr>
      <w:tr w:rsidR="00EE09E9" w:rsidRPr="0055339A" w:rsidTr="00EE09E9">
        <w:trPr>
          <w:gridAfter w:val="1"/>
          <w:wAfter w:w="23" w:type="dxa"/>
        </w:trPr>
        <w:tc>
          <w:tcPr>
            <w:tcW w:w="520" w:type="dxa"/>
          </w:tcPr>
          <w:p w:rsidR="00EE09E9" w:rsidRPr="00433269" w:rsidRDefault="00EE09E9" w:rsidP="009F6CF6">
            <w:pPr>
              <w:jc w:val="center"/>
              <w:rPr>
                <w:rFonts w:eastAsia="Times New Roman" w:cs="Arial"/>
                <w:b/>
                <w:lang w:eastAsia="en-GB"/>
              </w:rPr>
            </w:pPr>
          </w:p>
        </w:tc>
        <w:tc>
          <w:tcPr>
            <w:tcW w:w="3449" w:type="dxa"/>
            <w:shd w:val="clear" w:color="auto" w:fill="auto"/>
          </w:tcPr>
          <w:p w:rsidR="00EE09E9" w:rsidRPr="009A7EC5" w:rsidRDefault="00EE09E9" w:rsidP="00105140">
            <w:pPr>
              <w:jc w:val="left"/>
              <w:rPr>
                <w:rFonts w:cs="Arial"/>
              </w:rPr>
            </w:pPr>
            <w:r w:rsidRPr="009A7EC5">
              <w:rPr>
                <w:rFonts w:cs="Arial"/>
              </w:rPr>
              <w:t>Please provide details of the technical support service options that are available with your proposed system. Those which are included in your tender submission and those which are at an additional cost</w:t>
            </w:r>
          </w:p>
          <w:p w:rsidR="00EE09E9" w:rsidRPr="005C3B27" w:rsidRDefault="00EE09E9" w:rsidP="00B31D33">
            <w:pPr>
              <w:jc w:val="left"/>
              <w:rPr>
                <w:rFonts w:eastAsia="Times New Roman" w:cs="Arial"/>
                <w:lang w:eastAsia="en-GB"/>
              </w:rPr>
            </w:pPr>
          </w:p>
        </w:tc>
        <w:tc>
          <w:tcPr>
            <w:tcW w:w="709" w:type="dxa"/>
            <w:shd w:val="clear" w:color="auto" w:fill="auto"/>
          </w:tcPr>
          <w:p w:rsidR="00EE09E9" w:rsidRDefault="00EE09E9" w:rsidP="00B30021">
            <w:pPr>
              <w:jc w:val="center"/>
              <w:rPr>
                <w:rFonts w:eastAsia="Times New Roman" w:cs="Arial"/>
                <w:b/>
                <w:lang w:eastAsia="en-GB"/>
              </w:rPr>
            </w:pPr>
          </w:p>
          <w:p w:rsidR="00EE09E9" w:rsidRDefault="00EE09E9" w:rsidP="00B30021">
            <w:pPr>
              <w:jc w:val="center"/>
              <w:rPr>
                <w:rFonts w:eastAsia="Times New Roman" w:cs="Arial"/>
                <w:b/>
                <w:lang w:eastAsia="en-GB"/>
              </w:rPr>
            </w:pPr>
            <w:r>
              <w:rPr>
                <w:rFonts w:eastAsia="Times New Roman" w:cs="Arial"/>
                <w:b/>
                <w:lang w:eastAsia="en-GB"/>
              </w:rPr>
              <w:t>5</w:t>
            </w:r>
          </w:p>
          <w:p w:rsidR="00EE09E9" w:rsidRPr="00B30021" w:rsidRDefault="00EE09E9" w:rsidP="00B30021">
            <w:pPr>
              <w:jc w:val="center"/>
              <w:rPr>
                <w:rFonts w:eastAsia="Times New Roman" w:cs="Arial"/>
                <w:b/>
                <w:lang w:eastAsia="en-GB"/>
              </w:rPr>
            </w:pPr>
          </w:p>
        </w:tc>
        <w:tc>
          <w:tcPr>
            <w:tcW w:w="5222" w:type="dxa"/>
            <w:shd w:val="clear" w:color="auto" w:fill="auto"/>
          </w:tcPr>
          <w:p w:rsidR="00EE09E9" w:rsidRPr="0055339A" w:rsidRDefault="00EE09E9" w:rsidP="00B31D33">
            <w:pPr>
              <w:jc w:val="left"/>
              <w:rPr>
                <w:rFonts w:eastAsia="Times New Roman" w:cs="Arial"/>
                <w:lang w:eastAsia="en-GB"/>
              </w:rPr>
            </w:pPr>
          </w:p>
        </w:tc>
      </w:tr>
    </w:tbl>
    <w:p w:rsidR="004A316D" w:rsidRPr="00032AE3" w:rsidRDefault="004A316D" w:rsidP="00B31D33">
      <w:pPr>
        <w:ind w:firstLine="851"/>
        <w:jc w:val="left"/>
        <w:rPr>
          <w:rFonts w:eastAsia="Times New Roman" w:cs="Arial"/>
          <w:b/>
          <w:lang w:eastAsia="en-GB"/>
        </w:rPr>
      </w:pPr>
    </w:p>
    <w:p w:rsidR="00B31D33" w:rsidRPr="00D609D7" w:rsidRDefault="00B31D33" w:rsidP="004A316D">
      <w:pPr>
        <w:ind w:firstLine="851"/>
        <w:jc w:val="left"/>
        <w:rPr>
          <w:rFonts w:eastAsia="Times New Roman" w:cs="Arial"/>
          <w:b/>
          <w:lang w:eastAsia="en-GB"/>
        </w:rPr>
      </w:pPr>
      <w:r w:rsidRPr="00D609D7">
        <w:rPr>
          <w:rFonts w:eastAsia="Times New Roman" w:cs="Arial"/>
          <w:b/>
          <w:lang w:eastAsia="en-GB"/>
        </w:rPr>
        <w:t>The maximum quality score will therefore be 60.</w:t>
      </w:r>
      <w:r w:rsidR="00032AE3" w:rsidRPr="00D609D7">
        <w:rPr>
          <w:rFonts w:eastAsia="Times New Roman" w:cs="Arial"/>
          <w:b/>
          <w:lang w:eastAsia="en-GB"/>
        </w:rPr>
        <w:t xml:space="preserve"> </w:t>
      </w:r>
    </w:p>
    <w:p w:rsidR="00201579" w:rsidRDefault="00201579" w:rsidP="00B31D33">
      <w:pPr>
        <w:pStyle w:val="MRNumberedHeading2"/>
        <w:numPr>
          <w:ilvl w:val="0"/>
          <w:numId w:val="0"/>
        </w:numPr>
        <w:ind w:left="851"/>
        <w:rPr>
          <w:szCs w:val="20"/>
        </w:rPr>
      </w:pPr>
    </w:p>
    <w:p w:rsidR="00433269" w:rsidRDefault="00433269" w:rsidP="00B31D33">
      <w:pPr>
        <w:pStyle w:val="MRNumberedHeading2"/>
        <w:numPr>
          <w:ilvl w:val="0"/>
          <w:numId w:val="0"/>
        </w:numPr>
        <w:ind w:left="851"/>
        <w:rPr>
          <w:szCs w:val="20"/>
        </w:rPr>
      </w:pPr>
    </w:p>
    <w:p w:rsidR="00EE09E9" w:rsidRDefault="00EE09E9" w:rsidP="00B31D33">
      <w:pPr>
        <w:pStyle w:val="MRNumberedHeading2"/>
        <w:numPr>
          <w:ilvl w:val="0"/>
          <w:numId w:val="0"/>
        </w:numPr>
        <w:ind w:left="851"/>
        <w:rPr>
          <w:szCs w:val="20"/>
        </w:rPr>
      </w:pPr>
    </w:p>
    <w:p w:rsidR="00EE09E9" w:rsidRDefault="00EE09E9" w:rsidP="00B31D33">
      <w:pPr>
        <w:pStyle w:val="MRNumberedHeading2"/>
        <w:numPr>
          <w:ilvl w:val="0"/>
          <w:numId w:val="0"/>
        </w:numPr>
        <w:ind w:left="851"/>
        <w:rPr>
          <w:szCs w:val="20"/>
        </w:rPr>
      </w:pPr>
    </w:p>
    <w:p w:rsidR="00EE09E9" w:rsidRDefault="00EE09E9" w:rsidP="00B31D33">
      <w:pPr>
        <w:pStyle w:val="MRNumberedHeading2"/>
        <w:numPr>
          <w:ilvl w:val="0"/>
          <w:numId w:val="0"/>
        </w:numPr>
        <w:ind w:left="851"/>
        <w:rPr>
          <w:szCs w:val="20"/>
        </w:rPr>
      </w:pPr>
    </w:p>
    <w:p w:rsidR="00EE09E9" w:rsidRDefault="00EE09E9" w:rsidP="00B31D33">
      <w:pPr>
        <w:pStyle w:val="MRNumberedHeading2"/>
        <w:numPr>
          <w:ilvl w:val="0"/>
          <w:numId w:val="0"/>
        </w:numPr>
        <w:ind w:left="851"/>
        <w:rPr>
          <w:szCs w:val="20"/>
        </w:rPr>
      </w:pPr>
    </w:p>
    <w:p w:rsidR="00EE09E9" w:rsidRDefault="00EE09E9" w:rsidP="00B31D33">
      <w:pPr>
        <w:pStyle w:val="MRNumberedHeading2"/>
        <w:numPr>
          <w:ilvl w:val="0"/>
          <w:numId w:val="0"/>
        </w:numPr>
        <w:ind w:left="851"/>
        <w:rPr>
          <w:szCs w:val="20"/>
        </w:rPr>
      </w:pPr>
    </w:p>
    <w:p w:rsidR="00EE09E9" w:rsidRDefault="00EE09E9" w:rsidP="00B31D33">
      <w:pPr>
        <w:pStyle w:val="MRNumberedHeading2"/>
        <w:numPr>
          <w:ilvl w:val="0"/>
          <w:numId w:val="0"/>
        </w:numPr>
        <w:ind w:left="851"/>
        <w:rPr>
          <w:szCs w:val="20"/>
        </w:rPr>
      </w:pPr>
    </w:p>
    <w:p w:rsidR="00EE09E9" w:rsidRDefault="00EE09E9" w:rsidP="00B31D33">
      <w:pPr>
        <w:pStyle w:val="MRNumberedHeading2"/>
        <w:numPr>
          <w:ilvl w:val="0"/>
          <w:numId w:val="0"/>
        </w:numPr>
        <w:ind w:left="851"/>
        <w:rPr>
          <w:szCs w:val="20"/>
        </w:rPr>
      </w:pPr>
    </w:p>
    <w:p w:rsidR="00EE09E9" w:rsidRDefault="00EE09E9" w:rsidP="00B31D33">
      <w:pPr>
        <w:pStyle w:val="MRNumberedHeading2"/>
        <w:numPr>
          <w:ilvl w:val="0"/>
          <w:numId w:val="0"/>
        </w:numPr>
        <w:ind w:left="851"/>
        <w:rPr>
          <w:szCs w:val="20"/>
        </w:rPr>
      </w:pPr>
    </w:p>
    <w:p w:rsidR="00EE09E9" w:rsidRDefault="00EE09E9" w:rsidP="00B31D33">
      <w:pPr>
        <w:pStyle w:val="MRNumberedHeading2"/>
        <w:numPr>
          <w:ilvl w:val="0"/>
          <w:numId w:val="0"/>
        </w:numPr>
        <w:ind w:left="851"/>
        <w:rPr>
          <w:szCs w:val="20"/>
        </w:rPr>
      </w:pPr>
    </w:p>
    <w:p w:rsidR="00EE09E9" w:rsidRDefault="00EE09E9" w:rsidP="004A316D">
      <w:pPr>
        <w:ind w:firstLine="850"/>
        <w:jc w:val="left"/>
        <w:rPr>
          <w:rFonts w:eastAsia="Times New Roman" w:cs="Arial"/>
          <w:b/>
          <w:lang w:eastAsia="en-GB"/>
        </w:rPr>
      </w:pPr>
    </w:p>
    <w:p w:rsidR="00EE09E9" w:rsidRDefault="00EE09E9" w:rsidP="004A316D">
      <w:pPr>
        <w:ind w:firstLine="850"/>
        <w:jc w:val="left"/>
        <w:rPr>
          <w:rFonts w:eastAsia="Times New Roman" w:cs="Arial"/>
          <w:b/>
          <w:lang w:eastAsia="en-GB"/>
        </w:rPr>
      </w:pPr>
    </w:p>
    <w:p w:rsidR="004A316D" w:rsidRPr="004A316D" w:rsidRDefault="004A316D" w:rsidP="004A316D">
      <w:pPr>
        <w:ind w:firstLine="850"/>
        <w:jc w:val="left"/>
        <w:rPr>
          <w:rFonts w:eastAsia="Times New Roman" w:cs="Arial"/>
          <w:b/>
          <w:lang w:eastAsia="en-GB"/>
        </w:rPr>
      </w:pPr>
      <w:r w:rsidRPr="004A316D">
        <w:rPr>
          <w:rFonts w:eastAsia="Times New Roman" w:cs="Arial"/>
          <w:b/>
          <w:lang w:eastAsia="en-GB"/>
        </w:rPr>
        <w:lastRenderedPageBreak/>
        <w:t>Award Criteria – Stage Two</w:t>
      </w:r>
    </w:p>
    <w:p w:rsidR="004A316D" w:rsidRPr="004A316D" w:rsidRDefault="004A316D" w:rsidP="004A316D">
      <w:pPr>
        <w:jc w:val="left"/>
        <w:rPr>
          <w:rFonts w:eastAsia="Times New Roman" w:cs="Arial"/>
          <w:lang w:eastAsia="en-GB"/>
        </w:rPr>
      </w:pPr>
    </w:p>
    <w:p w:rsidR="00AA2EF0" w:rsidRDefault="004A316D" w:rsidP="00AA2EF0">
      <w:pPr>
        <w:ind w:left="851" w:hanging="1"/>
        <w:jc w:val="left"/>
        <w:rPr>
          <w:rFonts w:eastAsia="Times New Roman" w:cs="Arial"/>
          <w:lang w:eastAsia="en-GB"/>
        </w:rPr>
      </w:pPr>
      <w:r w:rsidRPr="004A316D">
        <w:rPr>
          <w:rFonts w:eastAsia="Times New Roman" w:cs="Arial"/>
          <w:lang w:eastAsia="en-GB"/>
        </w:rPr>
        <w:t>The remaining bidders will have their fixed price expressed as a multiple of the lowest price of the bidders getting through stage 1 and the reciprocal of that multiple will be applied to 40 to arrive at pricing points.</w:t>
      </w:r>
    </w:p>
    <w:p w:rsidR="00D609D7" w:rsidRDefault="00D609D7" w:rsidP="00AA2EF0">
      <w:pPr>
        <w:ind w:left="851" w:hanging="1"/>
        <w:jc w:val="left"/>
        <w:rPr>
          <w:rFonts w:eastAsia="Times New Roman" w:cs="Arial"/>
          <w:lang w:eastAsia="en-GB"/>
        </w:rPr>
      </w:pPr>
    </w:p>
    <w:p w:rsidR="00CE2B39" w:rsidRDefault="00CE2B39" w:rsidP="0011228F">
      <w:pPr>
        <w:ind w:left="851" w:hanging="1"/>
        <w:jc w:val="left"/>
        <w:rPr>
          <w:rFonts w:eastAsia="Times New Roman" w:cs="Arial"/>
          <w:lang w:eastAsia="en-GB"/>
        </w:rPr>
      </w:pPr>
    </w:p>
    <w:p w:rsidR="003509B9" w:rsidRDefault="00AA2EF0" w:rsidP="0011228F">
      <w:pPr>
        <w:ind w:left="851" w:hanging="1"/>
        <w:jc w:val="left"/>
        <w:rPr>
          <w:rFonts w:eastAsia="Times New Roman" w:cs="Times New Roman"/>
          <w:lang w:eastAsia="en-GB"/>
        </w:rPr>
      </w:pPr>
      <w:r>
        <w:rPr>
          <w:rFonts w:eastAsia="Times New Roman" w:cs="Arial"/>
          <w:lang w:eastAsia="en-GB"/>
        </w:rPr>
        <w:t>T</w:t>
      </w:r>
      <w:r w:rsidRPr="00AA2EF0">
        <w:rPr>
          <w:rFonts w:eastAsia="Times New Roman" w:cs="Times New Roman"/>
          <w:lang w:eastAsia="en-GB"/>
        </w:rPr>
        <w:t xml:space="preserve">he cost of the whole life of the </w:t>
      </w:r>
      <w:r w:rsidRPr="001A6027">
        <w:rPr>
          <w:rFonts w:eastAsia="Times New Roman" w:cs="Times New Roman"/>
          <w:b/>
          <w:lang w:eastAsia="en-GB"/>
        </w:rPr>
        <w:t>Contract (</w:t>
      </w:r>
      <w:r w:rsidR="00420777" w:rsidRPr="001A6027">
        <w:rPr>
          <w:rFonts w:eastAsia="Times New Roman" w:cs="Times New Roman"/>
          <w:b/>
          <w:lang w:eastAsia="en-GB"/>
        </w:rPr>
        <w:t>7</w:t>
      </w:r>
      <w:r w:rsidRPr="001A6027">
        <w:rPr>
          <w:rFonts w:eastAsia="Times New Roman" w:cs="Times New Roman"/>
          <w:b/>
          <w:lang w:eastAsia="en-GB"/>
        </w:rPr>
        <w:t xml:space="preserve"> years</w:t>
      </w:r>
      <w:r w:rsidR="001A6027">
        <w:rPr>
          <w:rFonts w:eastAsia="Times New Roman" w:cs="Times New Roman"/>
          <w:b/>
          <w:lang w:eastAsia="en-GB"/>
        </w:rPr>
        <w:t xml:space="preserve"> 5+1</w:t>
      </w:r>
      <w:r w:rsidR="008F2898" w:rsidRPr="001A6027">
        <w:rPr>
          <w:rFonts w:eastAsia="Times New Roman" w:cs="Times New Roman"/>
          <w:b/>
          <w:lang w:eastAsia="en-GB"/>
        </w:rPr>
        <w:t>+1</w:t>
      </w:r>
      <w:r w:rsidRPr="001A6027">
        <w:rPr>
          <w:rFonts w:eastAsia="Times New Roman" w:cs="Times New Roman"/>
          <w:b/>
          <w:lang w:eastAsia="en-GB"/>
        </w:rPr>
        <w:t>)</w:t>
      </w:r>
      <w:r w:rsidRPr="009A7EC5">
        <w:rPr>
          <w:rFonts w:eastAsia="Times New Roman" w:cs="Times New Roman"/>
          <w:lang w:eastAsia="en-GB"/>
        </w:rPr>
        <w:t xml:space="preserve"> will</w:t>
      </w:r>
      <w:r w:rsidRPr="00AA2EF0">
        <w:rPr>
          <w:rFonts w:eastAsia="Times New Roman" w:cs="Times New Roman"/>
          <w:lang w:eastAsia="en-GB"/>
        </w:rPr>
        <w:t xml:space="preserve"> be, as detailed below:</w:t>
      </w:r>
      <w:r w:rsidR="00B4658B">
        <w:rPr>
          <w:rFonts w:eastAsia="Times New Roman" w:cs="Times New Roman"/>
          <w:lang w:eastAsia="en-GB"/>
        </w:rPr>
        <w:t xml:space="preserve"> </w:t>
      </w:r>
    </w:p>
    <w:p w:rsidR="00D609D7" w:rsidRDefault="00D609D7" w:rsidP="00D609D7">
      <w:pPr>
        <w:ind w:left="851" w:hanging="1"/>
        <w:jc w:val="center"/>
        <w:rPr>
          <w:rFonts w:eastAsia="Times New Roman" w:cs="Times New Roman"/>
          <w:b/>
          <w:lang w:eastAsia="en-GB"/>
        </w:rPr>
      </w:pPr>
    </w:p>
    <w:p w:rsidR="003509B9" w:rsidRPr="003509B9" w:rsidRDefault="003509B9" w:rsidP="00D609D7">
      <w:pPr>
        <w:ind w:left="851" w:hanging="1"/>
        <w:jc w:val="center"/>
        <w:rPr>
          <w:rFonts w:eastAsia="Times New Roman" w:cs="Arial"/>
          <w:b/>
          <w:lang w:eastAsia="en-GB"/>
        </w:rPr>
      </w:pPr>
      <w:r w:rsidRPr="003509B9">
        <w:rPr>
          <w:rFonts w:eastAsia="Times New Roman" w:cs="Times New Roman"/>
          <w:b/>
          <w:lang w:eastAsia="en-GB"/>
        </w:rPr>
        <w:t>Tendered Price /Best Price x 40</w:t>
      </w:r>
      <w:r w:rsidR="00D609D7">
        <w:rPr>
          <w:rFonts w:eastAsia="Times New Roman" w:cs="Times New Roman"/>
          <w:b/>
          <w:lang w:eastAsia="en-GB"/>
        </w:rPr>
        <w:t xml:space="preserve"> = 40</w:t>
      </w:r>
    </w:p>
    <w:tbl>
      <w:tblPr>
        <w:tblpPr w:leftFromText="180" w:rightFromText="180" w:vertAnchor="text" w:horzAnchor="margin" w:tblpX="1068" w:tblpY="360"/>
        <w:tblW w:w="7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04"/>
        <w:gridCol w:w="1980"/>
        <w:gridCol w:w="2160"/>
      </w:tblGrid>
      <w:tr w:rsidR="0055339A" w:rsidRPr="0055339A" w:rsidTr="0011228F">
        <w:tc>
          <w:tcPr>
            <w:tcW w:w="1668" w:type="dxa"/>
          </w:tcPr>
          <w:p w:rsidR="0011228F" w:rsidRPr="00420777" w:rsidRDefault="0011228F" w:rsidP="0011228F">
            <w:pPr>
              <w:tabs>
                <w:tab w:val="left" w:pos="0"/>
              </w:tabs>
              <w:spacing w:before="60" w:after="120"/>
              <w:rPr>
                <w:rFonts w:eastAsia="Times New Roman" w:cs="Arial"/>
                <w:b/>
                <w:lang w:eastAsia="en-GB"/>
              </w:rPr>
            </w:pPr>
            <w:r w:rsidRPr="00420777">
              <w:rPr>
                <w:rFonts w:eastAsia="Times New Roman" w:cs="Arial"/>
                <w:b/>
                <w:lang w:eastAsia="en-GB"/>
              </w:rPr>
              <w:t>Tenderer</w:t>
            </w:r>
          </w:p>
        </w:tc>
        <w:tc>
          <w:tcPr>
            <w:tcW w:w="1404" w:type="dxa"/>
          </w:tcPr>
          <w:p w:rsidR="0011228F" w:rsidRPr="00420777" w:rsidRDefault="0011228F" w:rsidP="0011228F">
            <w:pPr>
              <w:tabs>
                <w:tab w:val="left" w:pos="0"/>
              </w:tabs>
              <w:spacing w:before="60" w:after="120"/>
              <w:jc w:val="center"/>
              <w:rPr>
                <w:rFonts w:eastAsia="Times New Roman" w:cs="Arial"/>
                <w:b/>
                <w:lang w:eastAsia="en-GB"/>
              </w:rPr>
            </w:pPr>
            <w:r w:rsidRPr="00420777">
              <w:rPr>
                <w:rFonts w:eastAsia="Times New Roman" w:cs="Arial"/>
                <w:b/>
                <w:lang w:eastAsia="en-GB"/>
              </w:rPr>
              <w:t>Price (£’000)</w:t>
            </w:r>
          </w:p>
        </w:tc>
        <w:tc>
          <w:tcPr>
            <w:tcW w:w="1980" w:type="dxa"/>
          </w:tcPr>
          <w:p w:rsidR="0011228F" w:rsidRPr="00420777" w:rsidRDefault="0011228F" w:rsidP="0011228F">
            <w:pPr>
              <w:tabs>
                <w:tab w:val="left" w:pos="0"/>
              </w:tabs>
              <w:spacing w:before="60" w:after="120"/>
              <w:jc w:val="center"/>
              <w:rPr>
                <w:rFonts w:eastAsia="Times New Roman" w:cs="Arial"/>
                <w:b/>
                <w:lang w:eastAsia="en-GB"/>
              </w:rPr>
            </w:pPr>
            <w:r w:rsidRPr="00420777">
              <w:rPr>
                <w:rFonts w:eastAsia="Times New Roman" w:cs="Arial"/>
                <w:b/>
                <w:lang w:eastAsia="en-GB"/>
              </w:rPr>
              <w:t>Calculation</w:t>
            </w:r>
          </w:p>
        </w:tc>
        <w:tc>
          <w:tcPr>
            <w:tcW w:w="2160" w:type="dxa"/>
          </w:tcPr>
          <w:p w:rsidR="0011228F" w:rsidRPr="00420777" w:rsidRDefault="0011228F" w:rsidP="0011228F">
            <w:pPr>
              <w:tabs>
                <w:tab w:val="left" w:pos="0"/>
              </w:tabs>
              <w:spacing w:before="60" w:after="120"/>
              <w:jc w:val="center"/>
              <w:rPr>
                <w:rFonts w:eastAsia="Times New Roman" w:cs="Arial"/>
                <w:b/>
                <w:lang w:eastAsia="en-GB"/>
              </w:rPr>
            </w:pPr>
            <w:r w:rsidRPr="00420777">
              <w:rPr>
                <w:rFonts w:eastAsia="Times New Roman" w:cs="Arial"/>
                <w:b/>
                <w:lang w:eastAsia="en-GB"/>
              </w:rPr>
              <w:t>Score</w:t>
            </w:r>
          </w:p>
        </w:tc>
      </w:tr>
      <w:tr w:rsidR="0055339A" w:rsidRPr="0055339A" w:rsidTr="0011228F">
        <w:tc>
          <w:tcPr>
            <w:tcW w:w="1668" w:type="dxa"/>
          </w:tcPr>
          <w:p w:rsidR="0011228F" w:rsidRPr="00420777" w:rsidRDefault="0011228F" w:rsidP="0011228F">
            <w:pPr>
              <w:tabs>
                <w:tab w:val="left" w:pos="0"/>
              </w:tabs>
              <w:spacing w:before="60" w:after="120"/>
              <w:rPr>
                <w:rFonts w:eastAsia="Times New Roman" w:cs="Arial"/>
                <w:lang w:eastAsia="en-GB"/>
              </w:rPr>
            </w:pPr>
            <w:r w:rsidRPr="00420777">
              <w:rPr>
                <w:rFonts w:eastAsia="Times New Roman" w:cs="Arial"/>
                <w:lang w:eastAsia="en-GB"/>
              </w:rPr>
              <w:t>Tenderer A</w:t>
            </w:r>
          </w:p>
        </w:tc>
        <w:tc>
          <w:tcPr>
            <w:tcW w:w="1404" w:type="dxa"/>
          </w:tcPr>
          <w:p w:rsidR="0011228F" w:rsidRPr="00420777" w:rsidRDefault="0011228F" w:rsidP="0011228F">
            <w:pPr>
              <w:tabs>
                <w:tab w:val="left" w:pos="0"/>
              </w:tabs>
              <w:spacing w:before="60" w:after="120"/>
              <w:jc w:val="center"/>
              <w:rPr>
                <w:rFonts w:eastAsia="Times New Roman" w:cs="Arial"/>
                <w:lang w:eastAsia="en-GB"/>
              </w:rPr>
            </w:pPr>
            <w:r w:rsidRPr="00420777">
              <w:rPr>
                <w:rFonts w:eastAsia="Times New Roman" w:cs="Arial"/>
                <w:lang w:eastAsia="en-GB"/>
              </w:rPr>
              <w:t>100</w:t>
            </w:r>
          </w:p>
        </w:tc>
        <w:tc>
          <w:tcPr>
            <w:tcW w:w="1980" w:type="dxa"/>
          </w:tcPr>
          <w:p w:rsidR="0011228F" w:rsidRPr="00420777" w:rsidRDefault="00420777" w:rsidP="0011228F">
            <w:pPr>
              <w:tabs>
                <w:tab w:val="left" w:pos="0"/>
              </w:tabs>
              <w:spacing w:before="60" w:after="120"/>
              <w:jc w:val="center"/>
              <w:rPr>
                <w:rFonts w:eastAsia="Times New Roman" w:cs="Arial"/>
                <w:lang w:eastAsia="en-GB"/>
              </w:rPr>
            </w:pPr>
            <w:r w:rsidRPr="00420777">
              <w:rPr>
                <w:rFonts w:eastAsia="Times New Roman" w:cs="Arial"/>
                <w:lang w:eastAsia="en-GB"/>
              </w:rPr>
              <w:t>100/100 x 40</w:t>
            </w:r>
          </w:p>
        </w:tc>
        <w:tc>
          <w:tcPr>
            <w:tcW w:w="2160" w:type="dxa"/>
          </w:tcPr>
          <w:p w:rsidR="0011228F" w:rsidRPr="00420777" w:rsidRDefault="0011228F" w:rsidP="0011228F">
            <w:pPr>
              <w:tabs>
                <w:tab w:val="left" w:pos="0"/>
              </w:tabs>
              <w:spacing w:before="60" w:after="120"/>
              <w:jc w:val="center"/>
              <w:rPr>
                <w:rFonts w:eastAsia="Times New Roman" w:cs="Arial"/>
                <w:lang w:eastAsia="en-GB"/>
              </w:rPr>
            </w:pPr>
            <w:r w:rsidRPr="00420777">
              <w:rPr>
                <w:rFonts w:eastAsia="Times New Roman" w:cs="Arial"/>
                <w:lang w:eastAsia="en-GB"/>
              </w:rPr>
              <w:t>40</w:t>
            </w:r>
          </w:p>
        </w:tc>
      </w:tr>
      <w:tr w:rsidR="0055339A" w:rsidRPr="0055339A" w:rsidTr="0011228F">
        <w:tc>
          <w:tcPr>
            <w:tcW w:w="1668" w:type="dxa"/>
          </w:tcPr>
          <w:p w:rsidR="0011228F" w:rsidRPr="00420777" w:rsidRDefault="0011228F" w:rsidP="0011228F">
            <w:pPr>
              <w:tabs>
                <w:tab w:val="left" w:pos="0"/>
              </w:tabs>
              <w:spacing w:before="60" w:after="120"/>
              <w:rPr>
                <w:rFonts w:eastAsia="Times New Roman" w:cs="Arial"/>
                <w:lang w:eastAsia="en-GB"/>
              </w:rPr>
            </w:pPr>
            <w:r w:rsidRPr="00420777">
              <w:rPr>
                <w:rFonts w:eastAsia="Times New Roman" w:cs="Arial"/>
                <w:lang w:eastAsia="en-GB"/>
              </w:rPr>
              <w:t>Tenderer B</w:t>
            </w:r>
          </w:p>
        </w:tc>
        <w:tc>
          <w:tcPr>
            <w:tcW w:w="1404" w:type="dxa"/>
          </w:tcPr>
          <w:p w:rsidR="0011228F" w:rsidRPr="00420777" w:rsidRDefault="0011228F" w:rsidP="0011228F">
            <w:pPr>
              <w:tabs>
                <w:tab w:val="left" w:pos="0"/>
              </w:tabs>
              <w:spacing w:before="60" w:after="120"/>
              <w:jc w:val="center"/>
              <w:rPr>
                <w:rFonts w:eastAsia="Times New Roman" w:cs="Arial"/>
                <w:lang w:eastAsia="en-GB"/>
              </w:rPr>
            </w:pPr>
            <w:r w:rsidRPr="00420777">
              <w:rPr>
                <w:rFonts w:eastAsia="Times New Roman" w:cs="Arial"/>
                <w:lang w:eastAsia="en-GB"/>
              </w:rPr>
              <w:t>120</w:t>
            </w:r>
          </w:p>
        </w:tc>
        <w:tc>
          <w:tcPr>
            <w:tcW w:w="1980" w:type="dxa"/>
          </w:tcPr>
          <w:p w:rsidR="0011228F" w:rsidRPr="00420777" w:rsidRDefault="0011228F" w:rsidP="0011228F">
            <w:pPr>
              <w:tabs>
                <w:tab w:val="left" w:pos="0"/>
              </w:tabs>
              <w:spacing w:before="60" w:after="120"/>
              <w:jc w:val="center"/>
              <w:rPr>
                <w:rFonts w:eastAsia="Times New Roman" w:cs="Arial"/>
                <w:lang w:eastAsia="en-GB"/>
              </w:rPr>
            </w:pPr>
            <w:r w:rsidRPr="00420777">
              <w:rPr>
                <w:rFonts w:eastAsia="Times New Roman" w:cs="Arial"/>
                <w:lang w:eastAsia="en-GB"/>
              </w:rPr>
              <w:t>100/120 x 40</w:t>
            </w:r>
          </w:p>
        </w:tc>
        <w:tc>
          <w:tcPr>
            <w:tcW w:w="2160" w:type="dxa"/>
          </w:tcPr>
          <w:p w:rsidR="0011228F" w:rsidRPr="00420777" w:rsidRDefault="0011228F" w:rsidP="0011228F">
            <w:pPr>
              <w:tabs>
                <w:tab w:val="left" w:pos="0"/>
              </w:tabs>
              <w:spacing w:before="60" w:after="120"/>
              <w:jc w:val="center"/>
              <w:rPr>
                <w:rFonts w:eastAsia="Times New Roman" w:cs="Arial"/>
                <w:lang w:eastAsia="en-GB"/>
              </w:rPr>
            </w:pPr>
            <w:r w:rsidRPr="00420777">
              <w:rPr>
                <w:rFonts w:eastAsia="Times New Roman" w:cs="Arial"/>
                <w:lang w:eastAsia="en-GB"/>
              </w:rPr>
              <w:t>33.3</w:t>
            </w:r>
          </w:p>
        </w:tc>
      </w:tr>
      <w:tr w:rsidR="0055339A" w:rsidRPr="0055339A" w:rsidTr="0011228F">
        <w:tc>
          <w:tcPr>
            <w:tcW w:w="1668" w:type="dxa"/>
          </w:tcPr>
          <w:p w:rsidR="0011228F" w:rsidRPr="00420777" w:rsidRDefault="0011228F" w:rsidP="0011228F">
            <w:pPr>
              <w:tabs>
                <w:tab w:val="left" w:pos="0"/>
              </w:tabs>
              <w:spacing w:before="60" w:after="120"/>
              <w:rPr>
                <w:rFonts w:eastAsia="Times New Roman" w:cs="Arial"/>
                <w:lang w:eastAsia="en-GB"/>
              </w:rPr>
            </w:pPr>
            <w:r w:rsidRPr="00420777">
              <w:rPr>
                <w:rFonts w:eastAsia="Times New Roman" w:cs="Arial"/>
                <w:lang w:eastAsia="en-GB"/>
              </w:rPr>
              <w:t>Tenderer C</w:t>
            </w:r>
          </w:p>
        </w:tc>
        <w:tc>
          <w:tcPr>
            <w:tcW w:w="1404" w:type="dxa"/>
          </w:tcPr>
          <w:p w:rsidR="0011228F" w:rsidRPr="00420777" w:rsidRDefault="0011228F" w:rsidP="0011228F">
            <w:pPr>
              <w:tabs>
                <w:tab w:val="left" w:pos="0"/>
              </w:tabs>
              <w:spacing w:before="60" w:after="120"/>
              <w:jc w:val="center"/>
              <w:rPr>
                <w:rFonts w:eastAsia="Times New Roman" w:cs="Arial"/>
                <w:lang w:eastAsia="en-GB"/>
              </w:rPr>
            </w:pPr>
            <w:r w:rsidRPr="00420777">
              <w:rPr>
                <w:rFonts w:eastAsia="Times New Roman" w:cs="Arial"/>
                <w:lang w:eastAsia="en-GB"/>
              </w:rPr>
              <w:t xml:space="preserve">140 </w:t>
            </w:r>
          </w:p>
        </w:tc>
        <w:tc>
          <w:tcPr>
            <w:tcW w:w="1980" w:type="dxa"/>
          </w:tcPr>
          <w:p w:rsidR="0011228F" w:rsidRPr="00420777" w:rsidRDefault="0011228F" w:rsidP="0011228F">
            <w:pPr>
              <w:tabs>
                <w:tab w:val="left" w:pos="0"/>
              </w:tabs>
              <w:spacing w:before="60" w:after="120"/>
              <w:jc w:val="center"/>
              <w:rPr>
                <w:rFonts w:eastAsia="Times New Roman" w:cs="Arial"/>
                <w:lang w:eastAsia="en-GB"/>
              </w:rPr>
            </w:pPr>
            <w:r w:rsidRPr="00420777">
              <w:rPr>
                <w:rFonts w:eastAsia="Times New Roman" w:cs="Arial"/>
                <w:lang w:eastAsia="en-GB"/>
              </w:rPr>
              <w:t>100/140 x 40</w:t>
            </w:r>
          </w:p>
        </w:tc>
        <w:tc>
          <w:tcPr>
            <w:tcW w:w="2160" w:type="dxa"/>
          </w:tcPr>
          <w:p w:rsidR="0011228F" w:rsidRPr="00420777" w:rsidRDefault="0011228F" w:rsidP="0011228F">
            <w:pPr>
              <w:tabs>
                <w:tab w:val="left" w:pos="0"/>
              </w:tabs>
              <w:spacing w:before="60" w:after="120"/>
              <w:jc w:val="center"/>
              <w:rPr>
                <w:rFonts w:eastAsia="Times New Roman" w:cs="Arial"/>
                <w:lang w:eastAsia="en-GB"/>
              </w:rPr>
            </w:pPr>
            <w:r w:rsidRPr="00420777">
              <w:rPr>
                <w:rFonts w:eastAsia="Times New Roman" w:cs="Arial"/>
                <w:lang w:eastAsia="en-GB"/>
              </w:rPr>
              <w:t>28.6</w:t>
            </w:r>
          </w:p>
        </w:tc>
      </w:tr>
    </w:tbl>
    <w:p w:rsidR="00D609D7" w:rsidRPr="003509B9" w:rsidRDefault="00D609D7" w:rsidP="00D609D7">
      <w:pPr>
        <w:pStyle w:val="MRNumberedHeading2"/>
        <w:numPr>
          <w:ilvl w:val="0"/>
          <w:numId w:val="0"/>
        </w:numPr>
        <w:spacing w:before="0"/>
        <w:ind w:left="851" w:firstLine="130"/>
        <w:rPr>
          <w:b/>
          <w:szCs w:val="20"/>
        </w:rPr>
      </w:pPr>
      <w:r w:rsidRPr="003509B9">
        <w:rPr>
          <w:b/>
          <w:szCs w:val="20"/>
        </w:rPr>
        <w:t>Example:</w:t>
      </w:r>
    </w:p>
    <w:p w:rsidR="00D609D7" w:rsidRDefault="00D609D7" w:rsidP="00B111F7">
      <w:pPr>
        <w:ind w:left="851" w:hanging="1"/>
        <w:jc w:val="left"/>
        <w:rPr>
          <w:rFonts w:eastAsia="Times New Roman" w:cs="Arial"/>
          <w:lang w:eastAsia="en-GB"/>
        </w:rPr>
      </w:pPr>
    </w:p>
    <w:p w:rsidR="001A6027" w:rsidRDefault="001A6027" w:rsidP="00B111F7">
      <w:pPr>
        <w:ind w:left="851" w:hanging="1"/>
        <w:jc w:val="left"/>
        <w:rPr>
          <w:rFonts w:eastAsia="Times New Roman" w:cs="Arial"/>
          <w:lang w:eastAsia="en-GB"/>
        </w:rPr>
      </w:pPr>
    </w:p>
    <w:p w:rsidR="001A6027" w:rsidRDefault="001A6027" w:rsidP="00B111F7">
      <w:pPr>
        <w:ind w:left="851" w:hanging="1"/>
        <w:jc w:val="left"/>
        <w:rPr>
          <w:rFonts w:eastAsia="Times New Roman" w:cs="Arial"/>
          <w:lang w:eastAsia="en-GB"/>
        </w:rPr>
      </w:pPr>
    </w:p>
    <w:p w:rsidR="001A6027" w:rsidRDefault="001A6027" w:rsidP="00B111F7">
      <w:pPr>
        <w:ind w:left="851" w:hanging="1"/>
        <w:jc w:val="left"/>
        <w:rPr>
          <w:rFonts w:eastAsia="Times New Roman" w:cs="Arial"/>
          <w:lang w:eastAsia="en-GB"/>
        </w:rPr>
      </w:pPr>
    </w:p>
    <w:p w:rsidR="001A6027" w:rsidRDefault="001A6027" w:rsidP="00B111F7">
      <w:pPr>
        <w:ind w:left="851" w:hanging="1"/>
        <w:jc w:val="left"/>
        <w:rPr>
          <w:rFonts w:eastAsia="Times New Roman" w:cs="Arial"/>
          <w:lang w:eastAsia="en-GB"/>
        </w:rPr>
      </w:pPr>
    </w:p>
    <w:p w:rsidR="001A6027" w:rsidRDefault="001A6027" w:rsidP="00B111F7">
      <w:pPr>
        <w:ind w:left="851" w:hanging="1"/>
        <w:jc w:val="left"/>
        <w:rPr>
          <w:rFonts w:eastAsia="Times New Roman" w:cs="Arial"/>
          <w:lang w:eastAsia="en-GB"/>
        </w:rPr>
      </w:pPr>
    </w:p>
    <w:p w:rsidR="001A6027" w:rsidRDefault="001A6027" w:rsidP="00B111F7">
      <w:pPr>
        <w:ind w:left="851" w:hanging="1"/>
        <w:jc w:val="left"/>
        <w:rPr>
          <w:rFonts w:eastAsia="Times New Roman" w:cs="Arial"/>
          <w:lang w:eastAsia="en-GB"/>
        </w:rPr>
      </w:pPr>
    </w:p>
    <w:p w:rsidR="001A6027" w:rsidRDefault="001A6027" w:rsidP="00B111F7">
      <w:pPr>
        <w:ind w:left="851" w:hanging="1"/>
        <w:jc w:val="left"/>
        <w:rPr>
          <w:rFonts w:eastAsia="Times New Roman" w:cs="Arial"/>
          <w:lang w:eastAsia="en-GB"/>
        </w:rPr>
      </w:pPr>
    </w:p>
    <w:p w:rsidR="001A6027" w:rsidRDefault="001A6027" w:rsidP="00B111F7">
      <w:pPr>
        <w:ind w:left="851" w:hanging="1"/>
        <w:jc w:val="left"/>
        <w:rPr>
          <w:rFonts w:eastAsia="Times New Roman" w:cs="Arial"/>
          <w:lang w:eastAsia="en-GB"/>
        </w:rPr>
      </w:pPr>
    </w:p>
    <w:p w:rsidR="00B111F7" w:rsidRDefault="00B111F7" w:rsidP="00B111F7">
      <w:pPr>
        <w:ind w:left="851" w:hanging="1"/>
        <w:jc w:val="left"/>
        <w:rPr>
          <w:rFonts w:eastAsia="Times New Roman" w:cs="Arial"/>
          <w:lang w:eastAsia="en-GB"/>
        </w:rPr>
      </w:pPr>
      <w:r w:rsidRPr="00B111F7">
        <w:rPr>
          <w:rFonts w:eastAsia="Times New Roman" w:cs="Arial"/>
          <w:lang w:eastAsia="en-GB"/>
        </w:rPr>
        <w:t>The quality and pricing points will be added together, the winning bidder will have the highest score.</w:t>
      </w:r>
    </w:p>
    <w:p w:rsidR="007C2F2F" w:rsidRPr="007C2F2F" w:rsidRDefault="007C2F2F" w:rsidP="00276E1B">
      <w:pPr>
        <w:pStyle w:val="Heading1"/>
        <w:spacing w:before="240" w:after="0"/>
        <w:ind w:left="851"/>
      </w:pPr>
      <w:bookmarkStart w:id="133" w:name="_Toc403555175"/>
      <w:r w:rsidRPr="007C2F2F">
        <w:t>Criteria – Scored Questions</w:t>
      </w:r>
      <w:r>
        <w:t>:  pricing evaluation</w:t>
      </w:r>
      <w:bookmarkEnd w:id="133"/>
    </w:p>
    <w:p w:rsidR="007C2F2F" w:rsidRPr="0025200C" w:rsidRDefault="007C2F2F" w:rsidP="006B54D6">
      <w:pPr>
        <w:pStyle w:val="MRNumberedHeading2"/>
      </w:pPr>
      <w:bookmarkStart w:id="134" w:name="_Toc403555178"/>
      <w:r>
        <w:t>If it appears to the Authority that any Tender may be abnormally low then the Authority may ask the Bidder to explain its price or costs.  If following the Bidder's explanations the Authority is n</w:t>
      </w:r>
      <w:r w:rsidR="00A77338">
        <w:t>ot satisfied with the Bidder's account for the low level of price or cost in the Tender, the Authority may treat the Tender as non-compliant and reject it.</w:t>
      </w:r>
      <w:bookmarkEnd w:id="134"/>
    </w:p>
    <w:p w:rsidR="00A77338" w:rsidRPr="007C2F2F" w:rsidRDefault="00A77338" w:rsidP="00276E1B">
      <w:pPr>
        <w:pStyle w:val="Heading1"/>
        <w:spacing w:before="240" w:after="0"/>
        <w:ind w:left="851"/>
      </w:pPr>
      <w:bookmarkStart w:id="135" w:name="_Toc403555179"/>
      <w:r w:rsidRPr="007C2F2F">
        <w:t>Criteria – Scored Questions</w:t>
      </w:r>
      <w:r>
        <w:t>:  technical and quality evaluation</w:t>
      </w:r>
      <w:bookmarkEnd w:id="135"/>
    </w:p>
    <w:p w:rsidR="006C1E7E" w:rsidRDefault="006C1E7E" w:rsidP="006B54D6">
      <w:pPr>
        <w:pStyle w:val="MRNumberedHeading2"/>
      </w:pPr>
      <w:bookmarkStart w:id="136" w:name="_Toc403555180"/>
      <w:bookmarkStart w:id="137" w:name="_Ref405453301"/>
      <w:r>
        <w:t xml:space="preserve">The </w:t>
      </w:r>
      <w:r w:rsidR="006A7F8F">
        <w:t>technical evaluation will be scored in accordance with the table below:</w:t>
      </w:r>
      <w:bookmarkEnd w:id="136"/>
      <w:bookmarkEnd w:id="137"/>
      <w:r w:rsidR="006A7F8F">
        <w:t xml:space="preserve"> </w:t>
      </w:r>
    </w:p>
    <w:p w:rsidR="003509B9" w:rsidRDefault="003509B9" w:rsidP="003509B9">
      <w:pPr>
        <w:pStyle w:val="MRNumberedHeading2"/>
        <w:numPr>
          <w:ilvl w:val="0"/>
          <w:numId w:val="0"/>
        </w:numPr>
        <w:spacing w:before="0"/>
        <w:ind w:left="851"/>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992"/>
        <w:gridCol w:w="5387"/>
      </w:tblGrid>
      <w:tr w:rsidR="00E32224" w:rsidRPr="0005222A" w:rsidTr="00C6002B">
        <w:trPr>
          <w:cantSplit/>
          <w:trHeight w:val="538"/>
        </w:trPr>
        <w:tc>
          <w:tcPr>
            <w:tcW w:w="1701" w:type="dxa"/>
            <w:shd w:val="clear" w:color="auto" w:fill="BFBFBF" w:themeFill="background1" w:themeFillShade="BF"/>
            <w:vAlign w:val="center"/>
          </w:tcPr>
          <w:p w:rsidR="00E32224" w:rsidRPr="0005222A" w:rsidRDefault="00E32224" w:rsidP="00D61CEF">
            <w:pPr>
              <w:pStyle w:val="Table"/>
              <w:keepNext/>
              <w:jc w:val="center"/>
              <w:rPr>
                <w:b/>
              </w:rPr>
            </w:pPr>
            <w:r w:rsidRPr="0005222A">
              <w:rPr>
                <w:b/>
              </w:rPr>
              <w:t>Grade label</w:t>
            </w:r>
          </w:p>
        </w:tc>
        <w:tc>
          <w:tcPr>
            <w:tcW w:w="992" w:type="dxa"/>
            <w:shd w:val="clear" w:color="auto" w:fill="BFBFBF" w:themeFill="background1" w:themeFillShade="BF"/>
            <w:vAlign w:val="center"/>
          </w:tcPr>
          <w:p w:rsidR="00E32224" w:rsidRPr="0005222A" w:rsidRDefault="00E32224" w:rsidP="00D61CEF">
            <w:pPr>
              <w:pStyle w:val="Table"/>
              <w:keepNext/>
              <w:jc w:val="center"/>
              <w:rPr>
                <w:b/>
              </w:rPr>
            </w:pPr>
            <w:r w:rsidRPr="0005222A">
              <w:rPr>
                <w:b/>
              </w:rPr>
              <w:t>Grade</w:t>
            </w:r>
          </w:p>
        </w:tc>
        <w:tc>
          <w:tcPr>
            <w:tcW w:w="5387" w:type="dxa"/>
            <w:shd w:val="clear" w:color="auto" w:fill="BFBFBF" w:themeFill="background1" w:themeFillShade="BF"/>
            <w:vAlign w:val="center"/>
          </w:tcPr>
          <w:p w:rsidR="00E32224" w:rsidRPr="0005222A" w:rsidRDefault="00E32224" w:rsidP="00D61CEF">
            <w:pPr>
              <w:pStyle w:val="Table"/>
              <w:keepNext/>
              <w:jc w:val="center"/>
              <w:rPr>
                <w:b/>
              </w:rPr>
            </w:pPr>
            <w:r w:rsidRPr="0005222A">
              <w:rPr>
                <w:b/>
              </w:rPr>
              <w:t>Definition of Grade</w:t>
            </w:r>
          </w:p>
        </w:tc>
      </w:tr>
      <w:tr w:rsidR="00E32224" w:rsidRPr="00A24900" w:rsidTr="00C6002B">
        <w:trPr>
          <w:cantSplit/>
          <w:trHeight w:val="860"/>
        </w:trPr>
        <w:tc>
          <w:tcPr>
            <w:tcW w:w="1701" w:type="dxa"/>
            <w:shd w:val="clear" w:color="auto" w:fill="auto"/>
            <w:vAlign w:val="center"/>
          </w:tcPr>
          <w:p w:rsidR="00E32224" w:rsidRPr="00D61CEF" w:rsidRDefault="00E32224" w:rsidP="00C6002B">
            <w:pPr>
              <w:pStyle w:val="Table"/>
              <w:keepNext/>
              <w:rPr>
                <w:b/>
              </w:rPr>
            </w:pPr>
            <w:r w:rsidRPr="00D61CEF">
              <w:rPr>
                <w:b/>
              </w:rPr>
              <w:t>Unacceptable</w:t>
            </w:r>
          </w:p>
        </w:tc>
        <w:tc>
          <w:tcPr>
            <w:tcW w:w="992" w:type="dxa"/>
            <w:shd w:val="clear" w:color="auto" w:fill="auto"/>
            <w:vAlign w:val="center"/>
          </w:tcPr>
          <w:p w:rsidR="00E32224" w:rsidRPr="00D61CEF" w:rsidRDefault="00E32224" w:rsidP="00C6002B">
            <w:pPr>
              <w:pStyle w:val="Table"/>
              <w:keepNext/>
              <w:jc w:val="center"/>
              <w:rPr>
                <w:b/>
              </w:rPr>
            </w:pPr>
            <w:r w:rsidRPr="00D61CEF">
              <w:rPr>
                <w:b/>
              </w:rPr>
              <w:t>0</w:t>
            </w:r>
          </w:p>
        </w:tc>
        <w:tc>
          <w:tcPr>
            <w:tcW w:w="5387" w:type="dxa"/>
            <w:shd w:val="clear" w:color="auto" w:fill="auto"/>
            <w:vAlign w:val="center"/>
          </w:tcPr>
          <w:p w:rsidR="00E32224" w:rsidRPr="00A24900" w:rsidRDefault="00E32224" w:rsidP="00C6002B">
            <w:r>
              <w:t xml:space="preserve">The proposal fails to meet the required standard or does not provide an answer. </w:t>
            </w:r>
          </w:p>
        </w:tc>
      </w:tr>
      <w:tr w:rsidR="00E32224" w:rsidRPr="00A24900" w:rsidTr="00C6002B">
        <w:trPr>
          <w:cantSplit/>
          <w:trHeight w:val="861"/>
        </w:trPr>
        <w:tc>
          <w:tcPr>
            <w:tcW w:w="1701" w:type="dxa"/>
            <w:shd w:val="clear" w:color="auto" w:fill="auto"/>
            <w:vAlign w:val="center"/>
          </w:tcPr>
          <w:p w:rsidR="00E32224" w:rsidRPr="00D61CEF" w:rsidRDefault="00E32224" w:rsidP="00C6002B">
            <w:pPr>
              <w:pStyle w:val="Table"/>
              <w:keepNext/>
              <w:rPr>
                <w:b/>
              </w:rPr>
            </w:pPr>
            <w:r w:rsidRPr="00D61CEF">
              <w:rPr>
                <w:rFonts w:cs="Arial"/>
                <w:b/>
              </w:rPr>
              <w:t>Serious Reservations</w:t>
            </w:r>
          </w:p>
        </w:tc>
        <w:tc>
          <w:tcPr>
            <w:tcW w:w="992" w:type="dxa"/>
            <w:shd w:val="clear" w:color="auto" w:fill="auto"/>
            <w:vAlign w:val="center"/>
          </w:tcPr>
          <w:p w:rsidR="00E32224" w:rsidRPr="00D61CEF" w:rsidRDefault="00E32224" w:rsidP="00C6002B">
            <w:pPr>
              <w:pStyle w:val="Table"/>
              <w:keepNext/>
              <w:jc w:val="center"/>
              <w:rPr>
                <w:b/>
              </w:rPr>
            </w:pPr>
            <w:r w:rsidRPr="00D61CEF">
              <w:rPr>
                <w:b/>
              </w:rPr>
              <w:t>1</w:t>
            </w:r>
          </w:p>
        </w:tc>
        <w:tc>
          <w:tcPr>
            <w:tcW w:w="5387" w:type="dxa"/>
            <w:shd w:val="clear" w:color="auto" w:fill="auto"/>
            <w:vAlign w:val="center"/>
          </w:tcPr>
          <w:p w:rsidR="00E32224" w:rsidRPr="00A24900" w:rsidRDefault="00E32224" w:rsidP="00C6002B">
            <w:pPr>
              <w:pStyle w:val="Table"/>
              <w:keepNext/>
              <w:jc w:val="both"/>
            </w:pPr>
            <w:r>
              <w:t>The proposal significantly fails to meet the standards required, contains significant shortcomings or is inconsistent with other aspects of the Tender.</w:t>
            </w:r>
          </w:p>
        </w:tc>
      </w:tr>
      <w:tr w:rsidR="00E32224" w:rsidRPr="00A24900" w:rsidTr="00C6002B">
        <w:trPr>
          <w:cantSplit/>
          <w:trHeight w:val="860"/>
        </w:trPr>
        <w:tc>
          <w:tcPr>
            <w:tcW w:w="1701" w:type="dxa"/>
            <w:shd w:val="clear" w:color="auto" w:fill="auto"/>
            <w:vAlign w:val="center"/>
          </w:tcPr>
          <w:p w:rsidR="00E32224" w:rsidRPr="00D61CEF" w:rsidRDefault="00E32224" w:rsidP="00C6002B">
            <w:pPr>
              <w:pStyle w:val="Table"/>
              <w:keepNext/>
              <w:rPr>
                <w:b/>
              </w:rPr>
            </w:pPr>
            <w:r w:rsidRPr="00D61CEF">
              <w:rPr>
                <w:rFonts w:cs="Arial"/>
                <w:b/>
                <w:sz w:val="22"/>
                <w:szCs w:val="22"/>
              </w:rPr>
              <w:t xml:space="preserve"> </w:t>
            </w:r>
            <w:r w:rsidRPr="00D61CEF">
              <w:rPr>
                <w:rFonts w:cs="Arial"/>
                <w:b/>
              </w:rPr>
              <w:t>Minor Reservations</w:t>
            </w:r>
            <w:r w:rsidRPr="00D61CEF">
              <w:rPr>
                <w:b/>
              </w:rPr>
              <w:t xml:space="preserve"> </w:t>
            </w:r>
          </w:p>
        </w:tc>
        <w:tc>
          <w:tcPr>
            <w:tcW w:w="992" w:type="dxa"/>
            <w:shd w:val="clear" w:color="auto" w:fill="auto"/>
            <w:vAlign w:val="center"/>
          </w:tcPr>
          <w:p w:rsidR="00E32224" w:rsidRPr="00D61CEF" w:rsidRDefault="00E32224" w:rsidP="00C6002B">
            <w:pPr>
              <w:pStyle w:val="Table"/>
              <w:keepNext/>
              <w:jc w:val="center"/>
              <w:rPr>
                <w:b/>
              </w:rPr>
            </w:pPr>
            <w:r w:rsidRPr="00D61CEF">
              <w:rPr>
                <w:b/>
              </w:rPr>
              <w:t>2</w:t>
            </w:r>
          </w:p>
        </w:tc>
        <w:tc>
          <w:tcPr>
            <w:tcW w:w="5387" w:type="dxa"/>
            <w:shd w:val="clear" w:color="auto" w:fill="auto"/>
            <w:vAlign w:val="center"/>
          </w:tcPr>
          <w:p w:rsidR="00E32224" w:rsidRPr="00A24900" w:rsidRDefault="00E32224" w:rsidP="00C6002B">
            <w:pPr>
              <w:pStyle w:val="Table"/>
              <w:keepNext/>
              <w:jc w:val="both"/>
            </w:pPr>
            <w:r>
              <w:t>The proposal meets the required standard in most material respects, but is lacking or inconsistent in others.</w:t>
            </w:r>
          </w:p>
        </w:tc>
      </w:tr>
      <w:tr w:rsidR="00E32224" w:rsidRPr="00A24900" w:rsidTr="00C6002B">
        <w:trPr>
          <w:cantSplit/>
          <w:trHeight w:val="861"/>
        </w:trPr>
        <w:tc>
          <w:tcPr>
            <w:tcW w:w="1701" w:type="dxa"/>
            <w:shd w:val="clear" w:color="auto" w:fill="auto"/>
            <w:vAlign w:val="center"/>
          </w:tcPr>
          <w:p w:rsidR="00E32224" w:rsidRPr="00D61CEF" w:rsidRDefault="00E32224" w:rsidP="00C6002B">
            <w:pPr>
              <w:pStyle w:val="Table"/>
              <w:keepNext/>
              <w:rPr>
                <w:b/>
              </w:rPr>
            </w:pPr>
            <w:r w:rsidRPr="00D61CEF">
              <w:rPr>
                <w:b/>
              </w:rPr>
              <w:t>Satisfactory</w:t>
            </w:r>
          </w:p>
        </w:tc>
        <w:tc>
          <w:tcPr>
            <w:tcW w:w="992" w:type="dxa"/>
            <w:shd w:val="clear" w:color="auto" w:fill="auto"/>
            <w:vAlign w:val="center"/>
          </w:tcPr>
          <w:p w:rsidR="00E32224" w:rsidRPr="00D61CEF" w:rsidRDefault="00E32224" w:rsidP="00C6002B">
            <w:pPr>
              <w:pStyle w:val="Table"/>
              <w:keepNext/>
              <w:jc w:val="center"/>
              <w:rPr>
                <w:b/>
              </w:rPr>
            </w:pPr>
            <w:r w:rsidRPr="00D61CEF">
              <w:rPr>
                <w:b/>
              </w:rPr>
              <w:t>3</w:t>
            </w:r>
          </w:p>
        </w:tc>
        <w:tc>
          <w:tcPr>
            <w:tcW w:w="5387" w:type="dxa"/>
            <w:shd w:val="clear" w:color="auto" w:fill="auto"/>
            <w:vAlign w:val="center"/>
          </w:tcPr>
          <w:p w:rsidR="00E32224" w:rsidRPr="00A24900" w:rsidRDefault="00E32224" w:rsidP="00C6002B">
            <w:pPr>
              <w:pStyle w:val="Table"/>
              <w:keepNext/>
              <w:jc w:val="both"/>
            </w:pPr>
            <w:r>
              <w:t>The proposal meets the required standard in all material respects.</w:t>
            </w:r>
          </w:p>
        </w:tc>
      </w:tr>
      <w:tr w:rsidR="00E32224" w:rsidRPr="00A24900" w:rsidTr="00C6002B">
        <w:trPr>
          <w:cantSplit/>
          <w:trHeight w:val="861"/>
        </w:trPr>
        <w:tc>
          <w:tcPr>
            <w:tcW w:w="1701" w:type="dxa"/>
            <w:shd w:val="clear" w:color="auto" w:fill="auto"/>
            <w:vAlign w:val="center"/>
          </w:tcPr>
          <w:p w:rsidR="00E32224" w:rsidRPr="00D61CEF" w:rsidRDefault="00E32224" w:rsidP="00C6002B">
            <w:pPr>
              <w:pStyle w:val="Table"/>
              <w:keepNext/>
              <w:rPr>
                <w:b/>
              </w:rPr>
            </w:pPr>
            <w:r w:rsidRPr="00D61CEF">
              <w:rPr>
                <w:rFonts w:cs="Arial"/>
                <w:b/>
                <w:sz w:val="22"/>
                <w:szCs w:val="22"/>
              </w:rPr>
              <w:t xml:space="preserve"> </w:t>
            </w:r>
            <w:r w:rsidRPr="00D61CEF">
              <w:rPr>
                <w:rFonts w:cs="Arial"/>
                <w:b/>
              </w:rPr>
              <w:t>Good</w:t>
            </w:r>
          </w:p>
        </w:tc>
        <w:tc>
          <w:tcPr>
            <w:tcW w:w="992" w:type="dxa"/>
            <w:shd w:val="clear" w:color="auto" w:fill="auto"/>
            <w:vAlign w:val="center"/>
          </w:tcPr>
          <w:p w:rsidR="00E32224" w:rsidRPr="00D61CEF" w:rsidRDefault="00E32224" w:rsidP="00C6002B">
            <w:pPr>
              <w:pStyle w:val="Table"/>
              <w:keepNext/>
              <w:jc w:val="center"/>
              <w:rPr>
                <w:b/>
              </w:rPr>
            </w:pPr>
            <w:r w:rsidRPr="00D61CEF">
              <w:rPr>
                <w:b/>
              </w:rPr>
              <w:t>4</w:t>
            </w:r>
          </w:p>
        </w:tc>
        <w:tc>
          <w:tcPr>
            <w:tcW w:w="5387" w:type="dxa"/>
            <w:shd w:val="clear" w:color="auto" w:fill="auto"/>
            <w:vAlign w:val="center"/>
          </w:tcPr>
          <w:p w:rsidR="00E32224" w:rsidRPr="00A24900" w:rsidRDefault="00E32224" w:rsidP="00C6002B">
            <w:r>
              <w:rPr>
                <w:noProof/>
                <w:lang w:eastAsia="en-GB"/>
              </w:rPr>
              <mc:AlternateContent>
                <mc:Choice Requires="wps">
                  <w:drawing>
                    <wp:anchor distT="0" distB="0" distL="114300" distR="114300" simplePos="0" relativeHeight="251736064" behindDoc="0" locked="0" layoutInCell="1" allowOverlap="1" wp14:anchorId="6F9311BA" wp14:editId="781C0367">
                      <wp:simplePos x="0" y="0"/>
                      <wp:positionH relativeFrom="column">
                        <wp:posOffset>3592195</wp:posOffset>
                      </wp:positionH>
                      <wp:positionV relativeFrom="paragraph">
                        <wp:posOffset>59690</wp:posOffset>
                      </wp:positionV>
                      <wp:extent cx="548640" cy="389255"/>
                      <wp:effectExtent l="0" t="0" r="3810" b="0"/>
                      <wp:wrapNone/>
                      <wp:docPr id="293" name="Text Box 293"/>
                      <wp:cNvGraphicFramePr/>
                      <a:graphic xmlns:a="http://schemas.openxmlformats.org/drawingml/2006/main">
                        <a:graphicData uri="http://schemas.microsoft.com/office/word/2010/wordprocessingShape">
                          <wps:wsp>
                            <wps:cNvSpPr txBox="1"/>
                            <wps:spPr>
                              <a:xfrm>
                                <a:off x="0" y="0"/>
                                <a:ext cx="548640" cy="3892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7359C" w:rsidRDefault="0067359C" w:rsidP="00E322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3" o:spid="_x0000_s1041" type="#_x0000_t202" style="position:absolute;left:0;text-align:left;margin-left:282.85pt;margin-top:4.7pt;width:43.2pt;height:30.6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" fillcolor="white [3201]" stroked="f" strokeweight=".5pt">
                      <v:textbox>
                        <w:txbxContent>
                          <w:p w:rsidR="0067359C" w:rsidRDefault="0067359C" w:rsidP="00E32224"/>
                        </w:txbxContent>
                      </v:textbox>
                    </v:shape>
                  </w:pict>
                </mc:Fallback>
              </mc:AlternateContent>
            </w:r>
            <w:r>
              <w:t>The proposal meets the required standard in all material respects and exceeds in some of the major requirements.</w:t>
            </w:r>
          </w:p>
        </w:tc>
      </w:tr>
      <w:tr w:rsidR="00E32224" w:rsidTr="00C6002B">
        <w:trPr>
          <w:cantSplit/>
          <w:trHeight w:val="861"/>
        </w:trPr>
        <w:tc>
          <w:tcPr>
            <w:tcW w:w="1701" w:type="dxa"/>
            <w:shd w:val="clear" w:color="auto" w:fill="auto"/>
            <w:vAlign w:val="center"/>
          </w:tcPr>
          <w:p w:rsidR="00E32224" w:rsidRPr="00D61CEF" w:rsidRDefault="00E32224" w:rsidP="00C6002B">
            <w:pPr>
              <w:pStyle w:val="Table"/>
              <w:keepNext/>
              <w:rPr>
                <w:b/>
              </w:rPr>
            </w:pPr>
            <w:r w:rsidRPr="00D61CEF">
              <w:rPr>
                <w:b/>
              </w:rPr>
              <w:t>Excellent</w:t>
            </w:r>
          </w:p>
        </w:tc>
        <w:tc>
          <w:tcPr>
            <w:tcW w:w="992" w:type="dxa"/>
            <w:shd w:val="clear" w:color="auto" w:fill="auto"/>
            <w:vAlign w:val="center"/>
          </w:tcPr>
          <w:p w:rsidR="00E32224" w:rsidRPr="00D61CEF" w:rsidRDefault="00E32224" w:rsidP="00C6002B">
            <w:pPr>
              <w:pStyle w:val="Table"/>
              <w:keepNext/>
              <w:jc w:val="center"/>
              <w:rPr>
                <w:b/>
              </w:rPr>
            </w:pPr>
            <w:r w:rsidRPr="00D61CEF">
              <w:rPr>
                <w:b/>
              </w:rPr>
              <w:t>5</w:t>
            </w:r>
          </w:p>
        </w:tc>
        <w:tc>
          <w:tcPr>
            <w:tcW w:w="5387" w:type="dxa"/>
            <w:shd w:val="clear" w:color="auto" w:fill="auto"/>
            <w:vAlign w:val="center"/>
          </w:tcPr>
          <w:p w:rsidR="00E32224" w:rsidRDefault="00E32224" w:rsidP="00C6002B">
            <w:pPr>
              <w:jc w:val="left"/>
              <w:rPr>
                <w:noProof/>
                <w:lang w:eastAsia="en-GB"/>
              </w:rPr>
            </w:pPr>
            <w:r>
              <w:t>The proposal meets the required standard in all material respects and exceeds in all of the major requirements.</w:t>
            </w:r>
          </w:p>
        </w:tc>
      </w:tr>
    </w:tbl>
    <w:p w:rsidR="00EF0E2C" w:rsidRDefault="00EF0E2C" w:rsidP="00125550">
      <w:pPr>
        <w:pStyle w:val="Heading2"/>
        <w:numPr>
          <w:ilvl w:val="0"/>
          <w:numId w:val="0"/>
        </w:numPr>
        <w:rPr>
          <w:i/>
          <w:color w:val="808080" w:themeColor="background1" w:themeShade="80"/>
        </w:rPr>
      </w:pPr>
    </w:p>
    <w:p w:rsidR="00420777" w:rsidRDefault="00DB6EAC" w:rsidP="00420777">
      <w:pPr>
        <w:pStyle w:val="Heading2"/>
        <w:numPr>
          <w:ilvl w:val="0"/>
          <w:numId w:val="0"/>
        </w:numPr>
        <w:jc w:val="center"/>
        <w:rPr>
          <w:b/>
        </w:rPr>
      </w:pPr>
      <w:r>
        <w:rPr>
          <w:i/>
          <w:noProof/>
          <w:color w:val="808080" w:themeColor="background1" w:themeShade="80"/>
        </w:rPr>
        <w:lastRenderedPageBreak/>
        <mc:AlternateContent>
          <mc:Choice Requires="wps">
            <w:drawing>
              <wp:anchor distT="0" distB="0" distL="114300" distR="114300" simplePos="0" relativeHeight="251683840" behindDoc="0" locked="0" layoutInCell="1" allowOverlap="1" wp14:anchorId="678EB322" wp14:editId="687B01F4">
                <wp:simplePos x="0" y="0"/>
                <wp:positionH relativeFrom="column">
                  <wp:posOffset>5905886</wp:posOffset>
                </wp:positionH>
                <wp:positionV relativeFrom="paragraph">
                  <wp:posOffset>155520</wp:posOffset>
                </wp:positionV>
                <wp:extent cx="508883" cy="389614"/>
                <wp:effectExtent l="0" t="0" r="5715" b="0"/>
                <wp:wrapNone/>
                <wp:docPr id="23" name="Text Box 23"/>
                <wp:cNvGraphicFramePr/>
                <a:graphic xmlns:a="http://schemas.openxmlformats.org/drawingml/2006/main">
                  <a:graphicData uri="http://schemas.microsoft.com/office/word/2010/wordprocessingShape">
                    <wps:wsp>
                      <wps:cNvSpPr txBox="1"/>
                      <wps:spPr>
                        <a:xfrm>
                          <a:off x="0" y="0"/>
                          <a:ext cx="508883" cy="38961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7359C" w:rsidRDefault="006735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42" type="#_x0000_t202" style="position:absolute;left:0;text-align:left;margin-left:465.05pt;margin-top:12.25pt;width:40.05pt;height:30.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" fillcolor="white [3201]" stroked="f" strokeweight=".5pt">
                <v:textbox>
                  <w:txbxContent>
                    <w:p w:rsidR="0067359C" w:rsidRDefault="0067359C"/>
                  </w:txbxContent>
                </v:textbox>
              </v:shape>
            </w:pict>
          </mc:Fallback>
        </mc:AlternateContent>
      </w:r>
      <w:bookmarkStart w:id="138" w:name="_Toc403556511"/>
      <w:bookmarkStart w:id="139" w:name="_Toc406674974"/>
      <w:bookmarkStart w:id="140" w:name="_Toc412621216"/>
      <w:bookmarkStart w:id="141" w:name="_Toc412715226"/>
      <w:r w:rsidR="005E4E9D" w:rsidRPr="005B59B7">
        <w:rPr>
          <w:b/>
        </w:rPr>
        <w:t>ANNEX A1</w:t>
      </w:r>
    </w:p>
    <w:p w:rsidR="005E4E9D" w:rsidRDefault="00852A24" w:rsidP="00420777">
      <w:pPr>
        <w:pStyle w:val="Heading2"/>
        <w:numPr>
          <w:ilvl w:val="0"/>
          <w:numId w:val="0"/>
        </w:numPr>
        <w:spacing w:after="0"/>
        <w:jc w:val="center"/>
        <w:rPr>
          <w:b/>
        </w:rPr>
      </w:pPr>
      <w:r w:rsidRPr="005B59B7">
        <w:rPr>
          <w:b/>
          <w:noProof/>
        </w:rPr>
        <mc:AlternateContent>
          <mc:Choice Requires="wps">
            <w:drawing>
              <wp:anchor distT="0" distB="0" distL="114300" distR="114300" simplePos="0" relativeHeight="251705344" behindDoc="0" locked="0" layoutInCell="1" allowOverlap="1" wp14:anchorId="5206EF57" wp14:editId="6F18C68D">
                <wp:simplePos x="0" y="0"/>
                <wp:positionH relativeFrom="column">
                  <wp:posOffset>5948680</wp:posOffset>
                </wp:positionH>
                <wp:positionV relativeFrom="paragraph">
                  <wp:posOffset>175260</wp:posOffset>
                </wp:positionV>
                <wp:extent cx="468630" cy="389255"/>
                <wp:effectExtent l="0" t="0" r="7620" b="0"/>
                <wp:wrapNone/>
                <wp:docPr id="14" name="Text Box 14"/>
                <wp:cNvGraphicFramePr/>
                <a:graphic xmlns:a="http://schemas.openxmlformats.org/drawingml/2006/main">
                  <a:graphicData uri="http://schemas.microsoft.com/office/word/2010/wordprocessingShape">
                    <wps:wsp>
                      <wps:cNvSpPr txBox="1"/>
                      <wps:spPr>
                        <a:xfrm>
                          <a:off x="0" y="0"/>
                          <a:ext cx="468630" cy="389255"/>
                        </a:xfrm>
                        <a:prstGeom prst="rect">
                          <a:avLst/>
                        </a:prstGeom>
                        <a:solidFill>
                          <a:sysClr val="window" lastClr="FFFFFF"/>
                        </a:solidFill>
                        <a:ln w="6350">
                          <a:noFill/>
                        </a:ln>
                        <a:effectLst/>
                      </wps:spPr>
                      <wps:txbx>
                        <w:txbxContent>
                          <w:p w:rsidR="0067359C" w:rsidRDefault="0067359C" w:rsidP="00852A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4" o:spid="_x0000_s1043" type="#_x0000_t202" style="position:absolute;left:0;text-align:left;margin-left:468.4pt;margin-top:13.8pt;width:36.9pt;height:30.6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" fillcolor="window" stroked="f" strokeweight=".5pt">
                <v:textbox>
                  <w:txbxContent>
                    <w:p w:rsidR="0067359C" w:rsidRDefault="0067359C" w:rsidP="00852A24"/>
                  </w:txbxContent>
                </v:textbox>
              </v:shape>
            </w:pict>
          </mc:Fallback>
        </mc:AlternateContent>
      </w:r>
      <w:r w:rsidR="005E4E9D" w:rsidRPr="005B59B7">
        <w:rPr>
          <w:b/>
        </w:rPr>
        <w:t>NHS TERMS AND CONDITIONS</w:t>
      </w:r>
      <w:bookmarkEnd w:id="138"/>
      <w:bookmarkEnd w:id="139"/>
      <w:bookmarkEnd w:id="140"/>
      <w:bookmarkEnd w:id="141"/>
    </w:p>
    <w:p w:rsidR="00420777" w:rsidRPr="005B59B7" w:rsidRDefault="00420777" w:rsidP="00420777">
      <w:pPr>
        <w:pStyle w:val="Heading2"/>
        <w:numPr>
          <w:ilvl w:val="0"/>
          <w:numId w:val="0"/>
        </w:numPr>
        <w:spacing w:after="0"/>
        <w:jc w:val="center"/>
        <w:rPr>
          <w:b/>
        </w:rPr>
      </w:pPr>
    </w:p>
    <w:p w:rsidR="005E4E9D" w:rsidRPr="00191324" w:rsidRDefault="005E4E9D" w:rsidP="005E4E9D">
      <w:pPr>
        <w:pStyle w:val="Body1"/>
        <w:ind w:left="0"/>
        <w:rPr>
          <w:color w:val="auto"/>
          <w:shd w:val="clear" w:color="auto" w:fill="FFFFFF" w:themeFill="background1"/>
        </w:rPr>
      </w:pPr>
      <w:r w:rsidRPr="00191324">
        <w:rPr>
          <w:color w:val="auto"/>
        </w:rPr>
        <w:t>The Authority intends to enter into a contract with th</w:t>
      </w:r>
      <w:r w:rsidR="00CC4072" w:rsidRPr="00191324">
        <w:rPr>
          <w:color w:val="auto"/>
        </w:rPr>
        <w:t xml:space="preserve">e successful Bidder on the NHS </w:t>
      </w:r>
      <w:r w:rsidR="00BF698B" w:rsidRPr="00191324">
        <w:rPr>
          <w:color w:val="auto"/>
        </w:rPr>
        <w:t>Terms and C</w:t>
      </w:r>
      <w:r w:rsidR="00EF483B" w:rsidRPr="00191324">
        <w:rPr>
          <w:color w:val="auto"/>
        </w:rPr>
        <w:t xml:space="preserve">onditions </w:t>
      </w:r>
      <w:r w:rsidR="00ED4669" w:rsidRPr="00191324">
        <w:rPr>
          <w:color w:val="auto"/>
          <w:shd w:val="clear" w:color="auto" w:fill="FFFFFF" w:themeFill="background1"/>
        </w:rPr>
        <w:t>for the Provision of Services (Contract V</w:t>
      </w:r>
      <w:r w:rsidRPr="00191324">
        <w:rPr>
          <w:color w:val="auto"/>
          <w:shd w:val="clear" w:color="auto" w:fill="FFFFFF" w:themeFill="background1"/>
        </w:rPr>
        <w:t>ersion)</w:t>
      </w:r>
      <w:r w:rsidR="00EF483B" w:rsidRPr="00191324">
        <w:rPr>
          <w:color w:val="auto"/>
          <w:shd w:val="clear" w:color="auto" w:fill="FFFFFF" w:themeFill="background1"/>
        </w:rPr>
        <w:t>.</w:t>
      </w:r>
    </w:p>
    <w:p w:rsidR="005E4E9D" w:rsidRPr="00AC3148" w:rsidRDefault="005E4E9D" w:rsidP="005E4E9D">
      <w:pPr>
        <w:pStyle w:val="Body1"/>
        <w:ind w:left="0"/>
        <w:rPr>
          <w:color w:val="009900"/>
        </w:rPr>
      </w:pPr>
      <w:r>
        <w:t xml:space="preserve">Annex A1 contains the NHS </w:t>
      </w:r>
      <w:r w:rsidR="00BF698B">
        <w:t>Terms and Co</w:t>
      </w:r>
      <w:r>
        <w:t xml:space="preserve">nditions, duly completed by the Authority so far as possible, including all relevant schedules, except schedule 5 (Specification and Tender Response Document) and schedule 6 (Commercial Schedule).  </w:t>
      </w:r>
    </w:p>
    <w:p w:rsidR="005E4E9D" w:rsidRDefault="009D7244" w:rsidP="005E4E9D">
      <w:pPr>
        <w:pStyle w:val="Body1"/>
        <w:ind w:left="0"/>
      </w:pPr>
      <w:r>
        <w:rPr>
          <w:b/>
          <w:noProof/>
        </w:rPr>
        <mc:AlternateContent>
          <mc:Choice Requires="wps">
            <w:drawing>
              <wp:anchor distT="0" distB="0" distL="114300" distR="114300" simplePos="0" relativeHeight="251709440" behindDoc="0" locked="0" layoutInCell="1" allowOverlap="1" wp14:anchorId="5BE183AC" wp14:editId="75853C31">
                <wp:simplePos x="0" y="0"/>
                <wp:positionH relativeFrom="column">
                  <wp:posOffset>5948680</wp:posOffset>
                </wp:positionH>
                <wp:positionV relativeFrom="paragraph">
                  <wp:posOffset>132715</wp:posOffset>
                </wp:positionV>
                <wp:extent cx="468630" cy="389255"/>
                <wp:effectExtent l="0" t="0" r="7620" b="0"/>
                <wp:wrapNone/>
                <wp:docPr id="27" name="Text Box 27"/>
                <wp:cNvGraphicFramePr/>
                <a:graphic xmlns:a="http://schemas.openxmlformats.org/drawingml/2006/main">
                  <a:graphicData uri="http://schemas.microsoft.com/office/word/2010/wordprocessingShape">
                    <wps:wsp>
                      <wps:cNvSpPr txBox="1"/>
                      <wps:spPr>
                        <a:xfrm>
                          <a:off x="0" y="0"/>
                          <a:ext cx="468630" cy="389255"/>
                        </a:xfrm>
                        <a:prstGeom prst="rect">
                          <a:avLst/>
                        </a:prstGeom>
                        <a:solidFill>
                          <a:sysClr val="window" lastClr="FFFFFF"/>
                        </a:solidFill>
                        <a:ln w="6350">
                          <a:noFill/>
                        </a:ln>
                        <a:effectLst/>
                      </wps:spPr>
                      <wps:txbx>
                        <w:txbxContent>
                          <w:p w:rsidR="0067359C" w:rsidRDefault="0067359C" w:rsidP="009D72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7" o:spid="_x0000_s1044" type="#_x0000_t202" style="position:absolute;left:0;text-align:left;margin-left:468.4pt;margin-top:10.45pt;width:36.9pt;height:30.65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" fillcolor="window" stroked="f" strokeweight=".5pt">
                <v:textbox>
                  <w:txbxContent>
                    <w:p w:rsidR="0067359C" w:rsidRDefault="0067359C" w:rsidP="009D7244"/>
                  </w:txbxContent>
                </v:textbox>
              </v:shape>
            </w:pict>
          </mc:Fallback>
        </mc:AlternateContent>
      </w:r>
      <w:r w:rsidR="005E4E9D">
        <w:t xml:space="preserve">The Specification is set out in Annex B2 of </w:t>
      </w:r>
      <w:r w:rsidR="00D64977">
        <w:t>Section</w:t>
      </w:r>
      <w:r w:rsidR="005E4E9D">
        <w:t xml:space="preserve"> B of this ITT.  </w:t>
      </w:r>
    </w:p>
    <w:p w:rsidR="00EF483B" w:rsidRPr="00191324" w:rsidRDefault="00C07130" w:rsidP="005E4E9D">
      <w:pPr>
        <w:pStyle w:val="Body1"/>
        <w:ind w:left="0"/>
        <w:rPr>
          <w:color w:val="auto"/>
        </w:rPr>
      </w:pPr>
      <w:r w:rsidRPr="00191324">
        <w:rPr>
          <w:b/>
          <w:noProof/>
          <w:color w:val="auto"/>
        </w:rPr>
        <mc:AlternateContent>
          <mc:Choice Requires="wps">
            <w:drawing>
              <wp:anchor distT="0" distB="0" distL="114300" distR="114300" simplePos="0" relativeHeight="251713536" behindDoc="0" locked="0" layoutInCell="1" allowOverlap="1" wp14:anchorId="5861F2C9" wp14:editId="40ABF97D">
                <wp:simplePos x="0" y="0"/>
                <wp:positionH relativeFrom="column">
                  <wp:posOffset>5949315</wp:posOffset>
                </wp:positionH>
                <wp:positionV relativeFrom="paragraph">
                  <wp:posOffset>68580</wp:posOffset>
                </wp:positionV>
                <wp:extent cx="468630" cy="389255"/>
                <wp:effectExtent l="0" t="0" r="0" b="0"/>
                <wp:wrapNone/>
                <wp:docPr id="31" name="Text Box 31"/>
                <wp:cNvGraphicFramePr/>
                <a:graphic xmlns:a="http://schemas.openxmlformats.org/drawingml/2006/main">
                  <a:graphicData uri="http://schemas.microsoft.com/office/word/2010/wordprocessingShape">
                    <wps:wsp>
                      <wps:cNvSpPr txBox="1"/>
                      <wps:spPr>
                        <a:xfrm>
                          <a:off x="0" y="0"/>
                          <a:ext cx="468630" cy="389255"/>
                        </a:xfrm>
                        <a:prstGeom prst="rect">
                          <a:avLst/>
                        </a:prstGeom>
                        <a:noFill/>
                        <a:ln w="6350">
                          <a:noFill/>
                        </a:ln>
                        <a:effectLst/>
                      </wps:spPr>
                      <wps:txbx>
                        <w:txbxContent>
                          <w:p w:rsidR="0067359C" w:rsidRDefault="0067359C" w:rsidP="00C071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1" o:spid="_x0000_s1045" type="#_x0000_t202" style="position:absolute;left:0;text-align:left;margin-left:468.45pt;margin-top:5.4pt;width:36.9pt;height:30.65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" filled="f" stroked="f" strokeweight=".5pt">
                <v:textbox>
                  <w:txbxContent>
                    <w:p w:rsidR="0067359C" w:rsidRDefault="0067359C" w:rsidP="00C07130"/>
                  </w:txbxContent>
                </v:textbox>
              </v:shape>
            </w:pict>
          </mc:Fallback>
        </mc:AlternateContent>
      </w:r>
      <w:r w:rsidR="009D5F0B" w:rsidRPr="00191324">
        <w:rPr>
          <w:color w:val="auto"/>
        </w:rPr>
        <w:t>The Provision</w:t>
      </w:r>
      <w:r w:rsidR="00191324" w:rsidRPr="00191324">
        <w:rPr>
          <w:color w:val="auto"/>
        </w:rPr>
        <w:t xml:space="preserve"> of Services</w:t>
      </w:r>
    </w:p>
    <w:p w:rsidR="009D7244" w:rsidRPr="00191324" w:rsidRDefault="009D7244" w:rsidP="005E4E9D">
      <w:pPr>
        <w:pStyle w:val="Body1"/>
        <w:ind w:left="0"/>
        <w:rPr>
          <w:color w:val="auto"/>
        </w:rPr>
      </w:pPr>
      <w:r w:rsidRPr="00191324">
        <w:rPr>
          <w:color w:val="auto"/>
        </w:rPr>
        <w:t xml:space="preserve">Additional Schedules </w:t>
      </w:r>
    </w:p>
    <w:p w:rsidR="005E4E9D" w:rsidRDefault="005E4E9D" w:rsidP="005E4E9D">
      <w:pPr>
        <w:pStyle w:val="Body1"/>
        <w:ind w:left="0"/>
        <w:rPr>
          <w:i/>
          <w:color w:val="808080" w:themeColor="background1" w:themeShade="80"/>
        </w:rPr>
      </w:pPr>
      <w:r w:rsidRPr="00EE57C8">
        <w:rPr>
          <w:i/>
          <w:color w:val="808080" w:themeColor="background1" w:themeShade="80"/>
        </w:rPr>
        <w:t xml:space="preserve"> </w:t>
      </w:r>
    </w:p>
    <w:sectPr w:rsidR="005E4E9D" w:rsidSect="00B02442">
      <w:footerReference w:type="default" r:id="rId14"/>
      <w:footerReference w:type="first" r:id="rId15"/>
      <w:type w:val="continuous"/>
      <w:pgSz w:w="11907" w:h="16840" w:code="9"/>
      <w:pgMar w:top="1418" w:right="1418" w:bottom="1418" w:left="1418" w:header="709" w:footer="567"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G4AbgBlAHgAdQByAGU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56E" w:rsidRDefault="0045556E" w:rsidP="00C82318">
      <w:r>
        <w:separator/>
      </w:r>
    </w:p>
  </w:endnote>
  <w:endnote w:type="continuationSeparator" w:id="0">
    <w:p w:rsidR="0045556E" w:rsidRDefault="0045556E" w:rsidP="00C8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59C" w:rsidRDefault="0067359C">
    <w:pPr>
      <w:pStyle w:val="Footer"/>
      <w:jc w:val="center"/>
    </w:pPr>
  </w:p>
  <w:p w:rsidR="0067359C" w:rsidRDefault="0067359C" w:rsidP="00C06438">
    <w:pPr>
      <w:pStyle w:val="Footer"/>
      <w:tabs>
        <w:tab w:val="clear" w:pos="4678"/>
        <w:tab w:val="clear" w:pos="9356"/>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59C" w:rsidRDefault="0067359C">
    <w:pPr>
      <w:pStyle w:val="Footer"/>
      <w:jc w:val="center"/>
    </w:pPr>
  </w:p>
  <w:p w:rsidR="0067359C" w:rsidRDefault="006735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3249746"/>
      <w:docPartObj>
        <w:docPartGallery w:val="Page Numbers (Bottom of Page)"/>
        <w:docPartUnique/>
      </w:docPartObj>
    </w:sdtPr>
    <w:sdtEndPr>
      <w:rPr>
        <w:noProof/>
      </w:rPr>
    </w:sdtEndPr>
    <w:sdtContent>
      <w:p w:rsidR="0067359C" w:rsidRPr="00100953" w:rsidRDefault="0067359C" w:rsidP="00D3489C">
        <w:pPr>
          <w:pStyle w:val="Footer"/>
          <w:rPr>
            <w:color w:val="808080" w:themeColor="background1" w:themeShade="80"/>
          </w:rPr>
        </w:pPr>
      </w:p>
      <w:p w:rsidR="0067359C" w:rsidRDefault="0067359C">
        <w:pPr>
          <w:pStyle w:val="Footer"/>
          <w:jc w:val="center"/>
        </w:pPr>
        <w:r>
          <w:fldChar w:fldCharType="begin"/>
        </w:r>
        <w:r>
          <w:instrText xml:space="preserve"> PAGE   \* MERGEFORMAT </w:instrText>
        </w:r>
        <w:r>
          <w:fldChar w:fldCharType="separate"/>
        </w:r>
        <w:r w:rsidR="009A4827">
          <w:rPr>
            <w:noProof/>
          </w:rPr>
          <w:t>3</w:t>
        </w:r>
        <w:r>
          <w:rPr>
            <w:noProof/>
          </w:rPr>
          <w:fldChar w:fldCharType="end"/>
        </w:r>
      </w:p>
    </w:sdtContent>
  </w:sdt>
  <w:p w:rsidR="0067359C" w:rsidRDefault="0067359C" w:rsidP="00C06438">
    <w:pPr>
      <w:pStyle w:val="Footer"/>
      <w:tabs>
        <w:tab w:val="clear" w:pos="4678"/>
        <w:tab w:val="clear" w:pos="9356"/>
        <w:tab w:val="center" w:pos="4536"/>
        <w:tab w:val="right" w:pos="9072"/>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496238"/>
      <w:docPartObj>
        <w:docPartGallery w:val="Page Numbers (Bottom of Page)"/>
        <w:docPartUnique/>
      </w:docPartObj>
    </w:sdtPr>
    <w:sdtEndPr>
      <w:rPr>
        <w:noProof/>
      </w:rPr>
    </w:sdtEndPr>
    <w:sdtContent>
      <w:p w:rsidR="0067359C" w:rsidRPr="00100953" w:rsidRDefault="0067359C" w:rsidP="00D3489C">
        <w:pPr>
          <w:pStyle w:val="Footer"/>
          <w:rPr>
            <w:color w:val="808080" w:themeColor="background1" w:themeShade="80"/>
          </w:rPr>
        </w:pPr>
      </w:p>
      <w:p w:rsidR="0067359C" w:rsidRDefault="0067359C">
        <w:pPr>
          <w:pStyle w:val="Footer"/>
          <w:jc w:val="center"/>
        </w:pPr>
        <w:r>
          <w:fldChar w:fldCharType="begin"/>
        </w:r>
        <w:r>
          <w:instrText xml:space="preserve"> PAGE   \* MERGEFORMAT </w:instrText>
        </w:r>
        <w:r>
          <w:fldChar w:fldCharType="separate"/>
        </w:r>
        <w:r w:rsidR="009A4827">
          <w:rPr>
            <w:noProof/>
          </w:rPr>
          <w:t>1</w:t>
        </w:r>
        <w:r>
          <w:rPr>
            <w:noProof/>
          </w:rPr>
          <w:fldChar w:fldCharType="end"/>
        </w:r>
      </w:p>
    </w:sdtContent>
  </w:sdt>
  <w:p w:rsidR="0067359C" w:rsidRDefault="006735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56E" w:rsidRDefault="0045556E" w:rsidP="00C82318">
      <w:r>
        <w:separator/>
      </w:r>
    </w:p>
  </w:footnote>
  <w:footnote w:type="continuationSeparator" w:id="0">
    <w:p w:rsidR="0045556E" w:rsidRDefault="0045556E" w:rsidP="00C823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07B8"/>
    <w:multiLevelType w:val="multilevel"/>
    <w:tmpl w:val="AF82C044"/>
    <w:name w:val="Annexure"/>
    <w:lvl w:ilvl="0">
      <w:start w:val="1"/>
      <w:numFmt w:val="decimal"/>
      <w:pStyle w:val="Annexure"/>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nsid w:val="020A5AF4"/>
    <w:multiLevelType w:val="hybridMultilevel"/>
    <w:tmpl w:val="8E04A618"/>
    <w:lvl w:ilvl="0" w:tplc="6E287456">
      <w:start w:val="1"/>
      <w:numFmt w:val="bullet"/>
      <w:lvlText w:val=""/>
      <w:lvlJc w:val="left"/>
      <w:pPr>
        <w:ind w:left="1211" w:hanging="360"/>
      </w:pPr>
      <w:rPr>
        <w:rFonts w:ascii="Symbol" w:hAnsi="Symbol" w:hint="default"/>
        <w:color w:val="808080"/>
        <w:sz w:val="20"/>
        <w:szCs w:val="20"/>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nsid w:val="050A7B8F"/>
    <w:multiLevelType w:val="hybridMultilevel"/>
    <w:tmpl w:val="FA9239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4">
    <w:nsid w:val="08DD3BA8"/>
    <w:multiLevelType w:val="hybridMultilevel"/>
    <w:tmpl w:val="B3323C08"/>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5">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6">
    <w:nsid w:val="11A40716"/>
    <w:multiLevelType w:val="hybridMultilevel"/>
    <w:tmpl w:val="D83C3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22966D2"/>
    <w:multiLevelType w:val="multilevel"/>
    <w:tmpl w:val="0AFE29D4"/>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outline w:val="0"/>
        <w:shadow w:val="0"/>
        <w:emboss w:val="0"/>
        <w:imprint w:val="0"/>
        <w:vanish w:val="0"/>
        <w:color w:val="auto"/>
        <w:sz w:val="21"/>
        <w:vertAlign w:val="base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outline w:val="0"/>
        <w:shadow w:val="0"/>
        <w:emboss w:val="0"/>
        <w:imprint w:val="0"/>
        <w:vanish w:val="0"/>
        <w:color w:val="808080" w:themeColor="background1" w:themeShade="80"/>
        <w:sz w:val="21"/>
        <w:vertAlign w:val="base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outline w:val="0"/>
        <w:shadow w:val="0"/>
        <w:emboss w:val="0"/>
        <w:imprint w:val="0"/>
        <w:vanish w:val="0"/>
        <w:color w:val="auto"/>
        <w:vertAlign w:val="base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outline w:val="0"/>
        <w:shadow w:val="0"/>
        <w:emboss w:val="0"/>
        <w:imprint w:val="0"/>
        <w:vanish w:val="0"/>
        <w:color w:val="auto"/>
        <w:vertAlign w:val="base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outline w:val="0"/>
        <w:shadow w:val="0"/>
        <w:emboss w:val="0"/>
        <w:imprint w:val="0"/>
        <w:vanish w:val="0"/>
        <w:color w:val="auto"/>
        <w:vertAlign w:val="base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outline w:val="0"/>
        <w:shadow w:val="0"/>
        <w:emboss w:val="0"/>
        <w:imprint w:val="0"/>
        <w:vanish w:val="0"/>
        <w:color w:val="auto"/>
        <w:vertAlign w:val="baseline"/>
      </w:rPr>
    </w:lvl>
    <w:lvl w:ilvl="6">
      <w:start w:val="1"/>
      <w:numFmt w:val="none"/>
      <w:suff w:val="nothing"/>
      <w:lvlText w:val=""/>
      <w:lvlJc w:val="center"/>
      <w:pPr>
        <w:ind w:left="0" w:firstLine="0"/>
      </w:pPr>
      <w:rPr>
        <w:rFonts w:cs="Times New Roman" w:hint="default"/>
        <w:caps w:val="0"/>
        <w:strike w:val="0"/>
        <w:dstrike w:val="0"/>
        <w:outline w:val="0"/>
        <w:shadow w:val="0"/>
        <w:emboss w:val="0"/>
        <w:imprint w:val="0"/>
        <w:vanish w:val="0"/>
        <w:color w:val="auto"/>
        <w:vertAlign w:val="baseline"/>
      </w:rPr>
    </w:lvl>
    <w:lvl w:ilvl="7">
      <w:start w:val="1"/>
      <w:numFmt w:val="none"/>
      <w:suff w:val="nothing"/>
      <w:lvlText w:val=""/>
      <w:lvlJc w:val="left"/>
      <w:pPr>
        <w:ind w:left="0" w:firstLine="0"/>
      </w:pPr>
      <w:rPr>
        <w:rFonts w:cs="Times New Roman" w:hint="default"/>
        <w:caps w:val="0"/>
        <w:strike w:val="0"/>
        <w:dstrike w:val="0"/>
        <w:outline w:val="0"/>
        <w:shadow w:val="0"/>
        <w:emboss w:val="0"/>
        <w:imprint w:val="0"/>
        <w:vertAlign w:val="baseline"/>
      </w:rPr>
    </w:lvl>
    <w:lvl w:ilvl="8">
      <w:start w:val="1"/>
      <w:numFmt w:val="none"/>
      <w:suff w:val="nothing"/>
      <w:lvlText w:val=""/>
      <w:lvlJc w:val="left"/>
      <w:pPr>
        <w:ind w:left="0" w:firstLine="0"/>
      </w:pPr>
      <w:rPr>
        <w:rFonts w:cs="Times New Roman" w:hint="default"/>
        <w:caps w:val="0"/>
        <w:strike w:val="0"/>
        <w:dstrike w:val="0"/>
        <w:outline w:val="0"/>
        <w:shadow w:val="0"/>
        <w:emboss w:val="0"/>
        <w:imprint w:val="0"/>
        <w:vanish w:val="0"/>
        <w:vertAlign w:val="baseline"/>
      </w:rPr>
    </w:lvl>
  </w:abstractNum>
  <w:abstractNum w:abstractNumId="8">
    <w:nsid w:val="126725A4"/>
    <w:multiLevelType w:val="hybridMultilevel"/>
    <w:tmpl w:val="9EC0AD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0">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1">
    <w:nsid w:val="18B6380E"/>
    <w:multiLevelType w:val="multilevel"/>
    <w:tmpl w:val="BB842F96"/>
    <w:name w:val="SIX"/>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2">
    <w:nsid w:val="1D4C11A5"/>
    <w:multiLevelType w:val="hybridMultilevel"/>
    <w:tmpl w:val="B39ABE74"/>
    <w:lvl w:ilvl="0" w:tplc="0E1E195E">
      <w:start w:val="1"/>
      <w:numFmt w:val="decimal"/>
      <w:lvlText w:val="%1."/>
      <w:lvlJc w:val="left"/>
      <w:pPr>
        <w:ind w:left="454"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EA604E3"/>
    <w:multiLevelType w:val="multilevel"/>
    <w:tmpl w:val="7CF408AE"/>
    <w:name w:val="M&amp;R"/>
    <w:lvl w:ilvl="0">
      <w:start w:val="1"/>
      <w:numFmt w:val="decimal"/>
      <w:pStyle w:val="MRNumberedHeading1"/>
      <w:lvlText w:val="%1"/>
      <w:lvlJc w:val="left"/>
      <w:pPr>
        <w:tabs>
          <w:tab w:val="num" w:pos="798"/>
        </w:tabs>
        <w:ind w:left="798"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1997"/>
        </w:tabs>
        <w:ind w:left="1997" w:hanging="720"/>
      </w:pPr>
      <w:rPr>
        <w:b w:val="0"/>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073"/>
        </w:tabs>
        <w:ind w:left="2073"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4">
    <w:nsid w:val="285E5238"/>
    <w:multiLevelType w:val="hybridMultilevel"/>
    <w:tmpl w:val="09985A8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8993D7D"/>
    <w:multiLevelType w:val="hybridMultilevel"/>
    <w:tmpl w:val="B1DCCC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28C249A2"/>
    <w:multiLevelType w:val="hybridMultilevel"/>
    <w:tmpl w:val="7CA2B3EE"/>
    <w:name w:val="Section"/>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7">
    <w:nsid w:val="2CDC35F0"/>
    <w:multiLevelType w:val="hybridMultilevel"/>
    <w:tmpl w:val="0F64B05A"/>
    <w:lvl w:ilvl="0" w:tplc="F2A68D8C">
      <w:start w:val="1"/>
      <w:numFmt w:val="bullet"/>
      <w:lvlText w:val=""/>
      <w:lvlJc w:val="left"/>
      <w:pPr>
        <w:ind w:left="1571" w:hanging="360"/>
      </w:pPr>
      <w:rPr>
        <w:rFonts w:ascii="Symbol" w:hAnsi="Symbol" w:hint="default"/>
        <w:color w:val="808080" w:themeColor="background1" w:themeShade="80"/>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nsid w:val="3B793E27"/>
    <w:multiLevelType w:val="multilevel"/>
    <w:tmpl w:val="0ADCF826"/>
    <w:name w:val="Definition"/>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19">
    <w:nsid w:val="426E4923"/>
    <w:multiLevelType w:val="hybridMultilevel"/>
    <w:tmpl w:val="324258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7716F80"/>
    <w:multiLevelType w:val="hybridMultilevel"/>
    <w:tmpl w:val="6DF4B8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B5C45F7"/>
    <w:multiLevelType w:val="multilevel"/>
    <w:tmpl w:val="87C0317E"/>
    <w:name w:val="Heading"/>
    <w:lvl w:ilvl="0">
      <w:start w:val="1"/>
      <w:numFmt w:val="decimal"/>
      <w:lvlText w:val="%1"/>
      <w:lvlJc w:val="left"/>
      <w:pPr>
        <w:tabs>
          <w:tab w:val="num" w:pos="851"/>
        </w:tabs>
        <w:ind w:left="851" w:hanging="851"/>
      </w:pPr>
      <w:rPr>
        <w:rFonts w:hint="default"/>
        <w:caps w:val="0"/>
        <w:strike w:val="0"/>
        <w:dstrike w:val="0"/>
        <w:vanish w:val="0"/>
        <w:color w:val="808080" w:themeColor="background1" w:themeShade="8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808080" w:themeColor="background1" w:themeShade="8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nsid w:val="51F15D5C"/>
    <w:multiLevelType w:val="hybridMultilevel"/>
    <w:tmpl w:val="DC7E91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58E025B"/>
    <w:multiLevelType w:val="hybridMultilevel"/>
    <w:tmpl w:val="D8887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71228DA"/>
    <w:multiLevelType w:val="hybridMultilevel"/>
    <w:tmpl w:val="9EE2D4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57CB51E7"/>
    <w:multiLevelType w:val="multilevel"/>
    <w:tmpl w:val="AE0CAFA8"/>
    <w:name w:val="Single Annexure"/>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nsid w:val="5B82646E"/>
    <w:multiLevelType w:val="multilevel"/>
    <w:tmpl w:val="EC981A00"/>
    <w:name w:val="ONE_H1"/>
    <w:lvl w:ilvl="0">
      <w:start w:val="1"/>
      <w:numFmt w:val="decimal"/>
      <w:pStyle w:val="ONEH1"/>
      <w:lvlText w:val="%1."/>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7">
    <w:nsid w:val="5EF06BBE"/>
    <w:multiLevelType w:val="hybridMultilevel"/>
    <w:tmpl w:val="5936FB06"/>
    <w:lvl w:ilvl="0" w:tplc="08090001">
      <w:start w:val="1"/>
      <w:numFmt w:val="bullet"/>
      <w:lvlText w:val=""/>
      <w:lvlJc w:val="left"/>
      <w:pPr>
        <w:ind w:left="1211" w:hanging="360"/>
      </w:pPr>
      <w:rPr>
        <w:rFonts w:ascii="Symbol" w:hAnsi="Symbol"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8">
    <w:nsid w:val="601678CA"/>
    <w:multiLevelType w:val="multilevel"/>
    <w:tmpl w:val="FCD2CA5E"/>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29">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nsid w:val="64DE53E8"/>
    <w:multiLevelType w:val="hybridMultilevel"/>
    <w:tmpl w:val="E506D61E"/>
    <w:name w:val="Style Section X + Bottom: (Single solid line Auto  0.5 pt Line wi...1"/>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31">
    <w:nsid w:val="673E101A"/>
    <w:multiLevelType w:val="hybridMultilevel"/>
    <w:tmpl w:val="C924FDFC"/>
    <w:lvl w:ilvl="0" w:tplc="30628A52">
      <w:start w:val="1"/>
      <w:numFmt w:val="upperLetter"/>
      <w:lvlText w:val="7. %1"/>
      <w:lvlJc w:val="left"/>
      <w:pPr>
        <w:ind w:left="454"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D163596"/>
    <w:multiLevelType w:val="hybridMultilevel"/>
    <w:tmpl w:val="908854C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1232D24"/>
    <w:multiLevelType w:val="multilevel"/>
    <w:tmpl w:val="6E1494BC"/>
    <w:name w:val="Single Schedule"/>
    <w:lvl w:ilvl="0">
      <w:start w:val="1"/>
      <w:numFmt w:val="none"/>
      <w:pStyle w:val="ScheduleHeadingSingle"/>
      <w:suff w:val="nothing"/>
      <w:lvlText w:val="The 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nsid w:val="75273564"/>
    <w:multiLevelType w:val="hybridMultilevel"/>
    <w:tmpl w:val="11AC3108"/>
    <w:name w:val="Style1"/>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35">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6">
    <w:nsid w:val="7E1C4C31"/>
    <w:multiLevelType w:val="hybridMultilevel"/>
    <w:tmpl w:val="4D38E0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18"/>
  </w:num>
  <w:num w:numId="4">
    <w:abstractNumId w:val="21"/>
  </w:num>
  <w:num w:numId="5">
    <w:abstractNumId w:val="21"/>
  </w:num>
  <w:num w:numId="6">
    <w:abstractNumId w:val="3"/>
  </w:num>
  <w:num w:numId="7">
    <w:abstractNumId w:val="10"/>
  </w:num>
  <w:num w:numId="8">
    <w:abstractNumId w:val="28"/>
  </w:num>
  <w:num w:numId="9">
    <w:abstractNumId w:val="0"/>
  </w:num>
  <w:num w:numId="10">
    <w:abstractNumId w:val="33"/>
  </w:num>
  <w:num w:numId="11">
    <w:abstractNumId w:val="25"/>
  </w:num>
  <w:num w:numId="12">
    <w:abstractNumId w:val="26"/>
  </w:num>
  <w:num w:numId="13">
    <w:abstractNumId w:val="30"/>
  </w:num>
  <w:num w:numId="14">
    <w:abstractNumId w:val="9"/>
  </w:num>
  <w:num w:numId="15">
    <w:abstractNumId w:val="11"/>
  </w:num>
  <w:num w:numId="16">
    <w:abstractNumId w:val="34"/>
  </w:num>
  <w:num w:numId="17">
    <w:abstractNumId w:val="16"/>
  </w:num>
  <w:num w:numId="18">
    <w:abstractNumId w:val="29"/>
  </w:num>
  <w:num w:numId="19">
    <w:abstractNumId w:val="1"/>
  </w:num>
  <w:num w:numId="20">
    <w:abstractNumId w:val="4"/>
  </w:num>
  <w:num w:numId="21">
    <w:abstractNumId w:val="17"/>
  </w:num>
  <w:num w:numId="22">
    <w:abstractNumId w:val="27"/>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23"/>
  </w:num>
  <w:num w:numId="29">
    <w:abstractNumId w:val="8"/>
  </w:num>
  <w:num w:numId="30">
    <w:abstractNumId w:val="20"/>
  </w:num>
  <w:num w:numId="31">
    <w:abstractNumId w:val="12"/>
  </w:num>
  <w:num w:numId="32">
    <w:abstractNumId w:val="31"/>
  </w:num>
  <w:num w:numId="33">
    <w:abstractNumId w:val="32"/>
  </w:num>
  <w:num w:numId="34">
    <w:abstractNumId w:val="15"/>
  </w:num>
  <w:num w:numId="35">
    <w:abstractNumId w:val="2"/>
  </w:num>
  <w:num w:numId="36">
    <w:abstractNumId w:val="13"/>
    <w:lvlOverride w:ilvl="0">
      <w:startOverride w:val="3"/>
    </w:lvlOverride>
    <w:lvlOverride w:ilvl="1">
      <w:startOverride w:val="2"/>
    </w:lvlOverride>
  </w:num>
  <w:num w:numId="37">
    <w:abstractNumId w:val="24"/>
  </w:num>
  <w:num w:numId="38">
    <w:abstractNumId w:val="36"/>
  </w:num>
  <w:num w:numId="39">
    <w:abstractNumId w:val="21"/>
  </w:num>
  <w:num w:numId="40">
    <w:abstractNumId w:val="22"/>
  </w:num>
  <w:num w:numId="41">
    <w:abstractNumId w:val="14"/>
  </w:num>
  <w:num w:numId="42">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85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188684"/>
    <w:docVar w:name="CLIENTID" w:val="215922"/>
    <w:docVar w:name="COMPANYID" w:val="2122615784"/>
    <w:docVar w:name="D3_TOC_c_1" w:val="&lt;TOC&gt;&lt;Name&gt;b78e6a3d-cb97-4783-853b-89ccf0addc48&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Annexure Heading Single&lt;/Style&gt;&lt;Style&gt;Heading 1&lt;/Style&gt;&lt;Style&gt;Schedule Heading&lt;/Style&gt;&lt;Style&gt;Schedule Heading Single&lt;/Style&gt;&lt;/Styles&gt;&lt;Format Value=&quot;&quot; /&gt;&lt;Type Value=&quot;Whole Paragraph&quot; /&gt;&lt;TabLeader&gt;Dots&lt;/TabLeader&gt;&lt;/Level&gt;&lt;Level ID=&quot;2&quot; IncludePageNumber=&quot;TRUE&quot;&gt;&lt;Styles&gt;&lt;Style&gt;M&amp;amp;R Numbered Heading 2&lt;/Style&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OCID" w:val=" "/>
    <w:docVar w:name="EDITION" w:val="FM"/>
    <w:docVar w:name="FILEID" w:val="188350"/>
    <w:docVar w:name="SERIALNO" w:val="11956"/>
  </w:docVars>
  <w:rsids>
    <w:rsidRoot w:val="00EE5EB0"/>
    <w:rsid w:val="000052A2"/>
    <w:rsid w:val="00007458"/>
    <w:rsid w:val="00010DCA"/>
    <w:rsid w:val="00017AD9"/>
    <w:rsid w:val="000226A1"/>
    <w:rsid w:val="00030477"/>
    <w:rsid w:val="00030FC3"/>
    <w:rsid w:val="00031AA9"/>
    <w:rsid w:val="000320FF"/>
    <w:rsid w:val="00032AE3"/>
    <w:rsid w:val="000354F5"/>
    <w:rsid w:val="00036C7D"/>
    <w:rsid w:val="00040181"/>
    <w:rsid w:val="00041C11"/>
    <w:rsid w:val="0005222A"/>
    <w:rsid w:val="00053268"/>
    <w:rsid w:val="00053672"/>
    <w:rsid w:val="00060F58"/>
    <w:rsid w:val="000627AD"/>
    <w:rsid w:val="00065291"/>
    <w:rsid w:val="00070790"/>
    <w:rsid w:val="00073338"/>
    <w:rsid w:val="00076883"/>
    <w:rsid w:val="00076CFE"/>
    <w:rsid w:val="00076D48"/>
    <w:rsid w:val="000800FA"/>
    <w:rsid w:val="00081B88"/>
    <w:rsid w:val="000831C0"/>
    <w:rsid w:val="00083AC5"/>
    <w:rsid w:val="00083F6D"/>
    <w:rsid w:val="000849EC"/>
    <w:rsid w:val="00087CBF"/>
    <w:rsid w:val="00090879"/>
    <w:rsid w:val="00094EC7"/>
    <w:rsid w:val="00097408"/>
    <w:rsid w:val="000974B1"/>
    <w:rsid w:val="000A0DF7"/>
    <w:rsid w:val="000A1883"/>
    <w:rsid w:val="000A4844"/>
    <w:rsid w:val="000A55BA"/>
    <w:rsid w:val="000A7746"/>
    <w:rsid w:val="000B1075"/>
    <w:rsid w:val="000B31A2"/>
    <w:rsid w:val="000C031E"/>
    <w:rsid w:val="000C7354"/>
    <w:rsid w:val="000D1451"/>
    <w:rsid w:val="000D316B"/>
    <w:rsid w:val="000D5CAA"/>
    <w:rsid w:val="000D7C50"/>
    <w:rsid w:val="000E0132"/>
    <w:rsid w:val="000E07E4"/>
    <w:rsid w:val="000E189B"/>
    <w:rsid w:val="000E363E"/>
    <w:rsid w:val="000E408B"/>
    <w:rsid w:val="000E4498"/>
    <w:rsid w:val="000E4654"/>
    <w:rsid w:val="000E5634"/>
    <w:rsid w:val="000E56A8"/>
    <w:rsid w:val="000E5C37"/>
    <w:rsid w:val="000E7C13"/>
    <w:rsid w:val="000F79D6"/>
    <w:rsid w:val="0010037F"/>
    <w:rsid w:val="001008E4"/>
    <w:rsid w:val="00101E1E"/>
    <w:rsid w:val="001039C4"/>
    <w:rsid w:val="00105140"/>
    <w:rsid w:val="00105BDB"/>
    <w:rsid w:val="001065C5"/>
    <w:rsid w:val="0011228F"/>
    <w:rsid w:val="00112B59"/>
    <w:rsid w:val="00113020"/>
    <w:rsid w:val="00115E4C"/>
    <w:rsid w:val="00116860"/>
    <w:rsid w:val="001215FE"/>
    <w:rsid w:val="0012295A"/>
    <w:rsid w:val="00125550"/>
    <w:rsid w:val="00130571"/>
    <w:rsid w:val="00131271"/>
    <w:rsid w:val="001338B0"/>
    <w:rsid w:val="00134E47"/>
    <w:rsid w:val="00136596"/>
    <w:rsid w:val="001375C3"/>
    <w:rsid w:val="0013762C"/>
    <w:rsid w:val="00145A4D"/>
    <w:rsid w:val="00151149"/>
    <w:rsid w:val="00152C7C"/>
    <w:rsid w:val="001601C8"/>
    <w:rsid w:val="00161FF0"/>
    <w:rsid w:val="00162244"/>
    <w:rsid w:val="001664D9"/>
    <w:rsid w:val="00166E0F"/>
    <w:rsid w:val="0017043F"/>
    <w:rsid w:val="00173842"/>
    <w:rsid w:val="00173E4A"/>
    <w:rsid w:val="00173FAB"/>
    <w:rsid w:val="00184371"/>
    <w:rsid w:val="00191324"/>
    <w:rsid w:val="00193011"/>
    <w:rsid w:val="001930C3"/>
    <w:rsid w:val="00194490"/>
    <w:rsid w:val="001945BD"/>
    <w:rsid w:val="001A0407"/>
    <w:rsid w:val="001A0E3F"/>
    <w:rsid w:val="001A2A95"/>
    <w:rsid w:val="001A3B2A"/>
    <w:rsid w:val="001A504D"/>
    <w:rsid w:val="001A5DF8"/>
    <w:rsid w:val="001A6027"/>
    <w:rsid w:val="001A786B"/>
    <w:rsid w:val="001B01D4"/>
    <w:rsid w:val="001B1C55"/>
    <w:rsid w:val="001B25EC"/>
    <w:rsid w:val="001B5ED9"/>
    <w:rsid w:val="001B5F4F"/>
    <w:rsid w:val="001B7E88"/>
    <w:rsid w:val="001C30BB"/>
    <w:rsid w:val="001C4CA0"/>
    <w:rsid w:val="001C680B"/>
    <w:rsid w:val="001C747B"/>
    <w:rsid w:val="001D1FC8"/>
    <w:rsid w:val="001D2273"/>
    <w:rsid w:val="001D268B"/>
    <w:rsid w:val="001D4048"/>
    <w:rsid w:val="001D5911"/>
    <w:rsid w:val="001D79DD"/>
    <w:rsid w:val="001E27EC"/>
    <w:rsid w:val="001E5F7F"/>
    <w:rsid w:val="001E7C74"/>
    <w:rsid w:val="001E7D3C"/>
    <w:rsid w:val="001F08A2"/>
    <w:rsid w:val="001F110F"/>
    <w:rsid w:val="001F3352"/>
    <w:rsid w:val="001F37D7"/>
    <w:rsid w:val="00200E60"/>
    <w:rsid w:val="00201579"/>
    <w:rsid w:val="00203270"/>
    <w:rsid w:val="00204EF0"/>
    <w:rsid w:val="0020513D"/>
    <w:rsid w:val="00210AD3"/>
    <w:rsid w:val="002110DD"/>
    <w:rsid w:val="00211D34"/>
    <w:rsid w:val="00212175"/>
    <w:rsid w:val="002151AE"/>
    <w:rsid w:val="00215C27"/>
    <w:rsid w:val="00220C70"/>
    <w:rsid w:val="00223555"/>
    <w:rsid w:val="00223569"/>
    <w:rsid w:val="002236C5"/>
    <w:rsid w:val="00223A3D"/>
    <w:rsid w:val="00223B9C"/>
    <w:rsid w:val="00223F6E"/>
    <w:rsid w:val="0022652F"/>
    <w:rsid w:val="0022707C"/>
    <w:rsid w:val="002273F5"/>
    <w:rsid w:val="00231397"/>
    <w:rsid w:val="00235829"/>
    <w:rsid w:val="0023694C"/>
    <w:rsid w:val="00236A55"/>
    <w:rsid w:val="0024092F"/>
    <w:rsid w:val="002449D5"/>
    <w:rsid w:val="00246C62"/>
    <w:rsid w:val="002471B4"/>
    <w:rsid w:val="00247F0F"/>
    <w:rsid w:val="00250427"/>
    <w:rsid w:val="0025200C"/>
    <w:rsid w:val="0025300A"/>
    <w:rsid w:val="0025411E"/>
    <w:rsid w:val="002556D8"/>
    <w:rsid w:val="00257686"/>
    <w:rsid w:val="00257EF9"/>
    <w:rsid w:val="0026116A"/>
    <w:rsid w:val="00262D1B"/>
    <w:rsid w:val="002651E8"/>
    <w:rsid w:val="00270180"/>
    <w:rsid w:val="002705A5"/>
    <w:rsid w:val="002734C0"/>
    <w:rsid w:val="00273B63"/>
    <w:rsid w:val="002741B5"/>
    <w:rsid w:val="0027505F"/>
    <w:rsid w:val="00276E1B"/>
    <w:rsid w:val="00277BB6"/>
    <w:rsid w:val="002820AF"/>
    <w:rsid w:val="0028393A"/>
    <w:rsid w:val="002869D0"/>
    <w:rsid w:val="00287298"/>
    <w:rsid w:val="00287614"/>
    <w:rsid w:val="00287834"/>
    <w:rsid w:val="0029426A"/>
    <w:rsid w:val="00294463"/>
    <w:rsid w:val="00296E12"/>
    <w:rsid w:val="002A0B08"/>
    <w:rsid w:val="002A0C47"/>
    <w:rsid w:val="002A1B96"/>
    <w:rsid w:val="002A718A"/>
    <w:rsid w:val="002A73DD"/>
    <w:rsid w:val="002B3866"/>
    <w:rsid w:val="002B545D"/>
    <w:rsid w:val="002B7BAF"/>
    <w:rsid w:val="002C0B25"/>
    <w:rsid w:val="002C1FFB"/>
    <w:rsid w:val="002C28D2"/>
    <w:rsid w:val="002C56F6"/>
    <w:rsid w:val="002C6631"/>
    <w:rsid w:val="002D2E91"/>
    <w:rsid w:val="002D35EC"/>
    <w:rsid w:val="002D571A"/>
    <w:rsid w:val="002E072D"/>
    <w:rsid w:val="002E0D88"/>
    <w:rsid w:val="002E1DD8"/>
    <w:rsid w:val="002E22B8"/>
    <w:rsid w:val="002E2E62"/>
    <w:rsid w:val="002E642A"/>
    <w:rsid w:val="002F1591"/>
    <w:rsid w:val="002F18DD"/>
    <w:rsid w:val="002F23DC"/>
    <w:rsid w:val="002F308D"/>
    <w:rsid w:val="002F3A0F"/>
    <w:rsid w:val="002F4080"/>
    <w:rsid w:val="003003CB"/>
    <w:rsid w:val="00302870"/>
    <w:rsid w:val="00305D5B"/>
    <w:rsid w:val="0030746C"/>
    <w:rsid w:val="00307758"/>
    <w:rsid w:val="00307DBF"/>
    <w:rsid w:val="00311BD5"/>
    <w:rsid w:val="00314B29"/>
    <w:rsid w:val="003219DA"/>
    <w:rsid w:val="00322920"/>
    <w:rsid w:val="00322A20"/>
    <w:rsid w:val="00325697"/>
    <w:rsid w:val="003273D3"/>
    <w:rsid w:val="003318CA"/>
    <w:rsid w:val="00334102"/>
    <w:rsid w:val="00334F1A"/>
    <w:rsid w:val="003369CD"/>
    <w:rsid w:val="00337F61"/>
    <w:rsid w:val="0034181A"/>
    <w:rsid w:val="00343763"/>
    <w:rsid w:val="00343E09"/>
    <w:rsid w:val="00345B84"/>
    <w:rsid w:val="00345E83"/>
    <w:rsid w:val="00347CA3"/>
    <w:rsid w:val="003509B9"/>
    <w:rsid w:val="003549F4"/>
    <w:rsid w:val="0035766D"/>
    <w:rsid w:val="00362AE0"/>
    <w:rsid w:val="00365C0F"/>
    <w:rsid w:val="00366F30"/>
    <w:rsid w:val="003702BE"/>
    <w:rsid w:val="00370498"/>
    <w:rsid w:val="00372DE3"/>
    <w:rsid w:val="0038098B"/>
    <w:rsid w:val="00390E8B"/>
    <w:rsid w:val="003A031F"/>
    <w:rsid w:val="003A0A98"/>
    <w:rsid w:val="003A0D57"/>
    <w:rsid w:val="003A1D39"/>
    <w:rsid w:val="003A1E3E"/>
    <w:rsid w:val="003A2543"/>
    <w:rsid w:val="003A5CAB"/>
    <w:rsid w:val="003B0F3B"/>
    <w:rsid w:val="003B70FB"/>
    <w:rsid w:val="003B7C51"/>
    <w:rsid w:val="003B7E1D"/>
    <w:rsid w:val="003C35CA"/>
    <w:rsid w:val="003C3C19"/>
    <w:rsid w:val="003C4C87"/>
    <w:rsid w:val="003D6B24"/>
    <w:rsid w:val="003E082E"/>
    <w:rsid w:val="003E1425"/>
    <w:rsid w:val="003E3276"/>
    <w:rsid w:val="003E3454"/>
    <w:rsid w:val="003E3EE7"/>
    <w:rsid w:val="003F04D9"/>
    <w:rsid w:val="003F794E"/>
    <w:rsid w:val="00400304"/>
    <w:rsid w:val="004010FB"/>
    <w:rsid w:val="00401301"/>
    <w:rsid w:val="00401FF0"/>
    <w:rsid w:val="004164C8"/>
    <w:rsid w:val="00416A00"/>
    <w:rsid w:val="00416E53"/>
    <w:rsid w:val="00420777"/>
    <w:rsid w:val="004230E7"/>
    <w:rsid w:val="004251F8"/>
    <w:rsid w:val="00425400"/>
    <w:rsid w:val="00426F6D"/>
    <w:rsid w:val="004270D9"/>
    <w:rsid w:val="00430158"/>
    <w:rsid w:val="00433269"/>
    <w:rsid w:val="004411D8"/>
    <w:rsid w:val="0044309E"/>
    <w:rsid w:val="00443FC2"/>
    <w:rsid w:val="00452450"/>
    <w:rsid w:val="00452E01"/>
    <w:rsid w:val="0045395E"/>
    <w:rsid w:val="00453A99"/>
    <w:rsid w:val="0045556E"/>
    <w:rsid w:val="004555FE"/>
    <w:rsid w:val="00456FE6"/>
    <w:rsid w:val="00457D9A"/>
    <w:rsid w:val="00461A05"/>
    <w:rsid w:val="00465EF9"/>
    <w:rsid w:val="004718DE"/>
    <w:rsid w:val="004736F8"/>
    <w:rsid w:val="00482A27"/>
    <w:rsid w:val="004834F5"/>
    <w:rsid w:val="0048567B"/>
    <w:rsid w:val="00486F32"/>
    <w:rsid w:val="00487BA9"/>
    <w:rsid w:val="004900DB"/>
    <w:rsid w:val="00490EBA"/>
    <w:rsid w:val="00491808"/>
    <w:rsid w:val="00495FDA"/>
    <w:rsid w:val="00496B53"/>
    <w:rsid w:val="00497CFA"/>
    <w:rsid w:val="004A316D"/>
    <w:rsid w:val="004B1A24"/>
    <w:rsid w:val="004B6544"/>
    <w:rsid w:val="004C233F"/>
    <w:rsid w:val="004C3605"/>
    <w:rsid w:val="004C3B98"/>
    <w:rsid w:val="004C58D8"/>
    <w:rsid w:val="004C79D3"/>
    <w:rsid w:val="004D1477"/>
    <w:rsid w:val="004D33A7"/>
    <w:rsid w:val="004D37BC"/>
    <w:rsid w:val="004E1ABD"/>
    <w:rsid w:val="004E4724"/>
    <w:rsid w:val="004E51D1"/>
    <w:rsid w:val="004E71FF"/>
    <w:rsid w:val="004E775C"/>
    <w:rsid w:val="004F02F9"/>
    <w:rsid w:val="004F391B"/>
    <w:rsid w:val="004F646A"/>
    <w:rsid w:val="00503BB6"/>
    <w:rsid w:val="00504FA1"/>
    <w:rsid w:val="00520787"/>
    <w:rsid w:val="005207B7"/>
    <w:rsid w:val="00520C87"/>
    <w:rsid w:val="00523CAB"/>
    <w:rsid w:val="005275E6"/>
    <w:rsid w:val="005308BB"/>
    <w:rsid w:val="00533CB2"/>
    <w:rsid w:val="0053546C"/>
    <w:rsid w:val="00541CDA"/>
    <w:rsid w:val="00547486"/>
    <w:rsid w:val="00550EFF"/>
    <w:rsid w:val="0055339A"/>
    <w:rsid w:val="00556A0A"/>
    <w:rsid w:val="00556D33"/>
    <w:rsid w:val="00557DBA"/>
    <w:rsid w:val="00561F1C"/>
    <w:rsid w:val="00562B64"/>
    <w:rsid w:val="00566C98"/>
    <w:rsid w:val="0056736D"/>
    <w:rsid w:val="00570C7F"/>
    <w:rsid w:val="005717F4"/>
    <w:rsid w:val="00572B06"/>
    <w:rsid w:val="00574BD8"/>
    <w:rsid w:val="00581A29"/>
    <w:rsid w:val="00585FA5"/>
    <w:rsid w:val="00586837"/>
    <w:rsid w:val="005900BA"/>
    <w:rsid w:val="005957B2"/>
    <w:rsid w:val="00597ECF"/>
    <w:rsid w:val="005A16A5"/>
    <w:rsid w:val="005A1CC2"/>
    <w:rsid w:val="005A2E47"/>
    <w:rsid w:val="005A2EA3"/>
    <w:rsid w:val="005A53CA"/>
    <w:rsid w:val="005A5EF5"/>
    <w:rsid w:val="005A7AD6"/>
    <w:rsid w:val="005B39A7"/>
    <w:rsid w:val="005B4FA2"/>
    <w:rsid w:val="005B59B7"/>
    <w:rsid w:val="005C16F0"/>
    <w:rsid w:val="005C3B27"/>
    <w:rsid w:val="005C423B"/>
    <w:rsid w:val="005C47BD"/>
    <w:rsid w:val="005C55FB"/>
    <w:rsid w:val="005C5973"/>
    <w:rsid w:val="005C64CE"/>
    <w:rsid w:val="005C7F16"/>
    <w:rsid w:val="005D52ED"/>
    <w:rsid w:val="005D7098"/>
    <w:rsid w:val="005E10B8"/>
    <w:rsid w:val="005E16C4"/>
    <w:rsid w:val="005E195E"/>
    <w:rsid w:val="005E4E9D"/>
    <w:rsid w:val="005E7402"/>
    <w:rsid w:val="005F3C71"/>
    <w:rsid w:val="005F3F33"/>
    <w:rsid w:val="005F42C5"/>
    <w:rsid w:val="005F4C9F"/>
    <w:rsid w:val="005F5768"/>
    <w:rsid w:val="0060012F"/>
    <w:rsid w:val="00600BCE"/>
    <w:rsid w:val="006016C0"/>
    <w:rsid w:val="00601937"/>
    <w:rsid w:val="006032F2"/>
    <w:rsid w:val="00603452"/>
    <w:rsid w:val="00603A0D"/>
    <w:rsid w:val="006040A1"/>
    <w:rsid w:val="006061C2"/>
    <w:rsid w:val="00606B12"/>
    <w:rsid w:val="00610AC8"/>
    <w:rsid w:val="0061112B"/>
    <w:rsid w:val="00611712"/>
    <w:rsid w:val="00612B4A"/>
    <w:rsid w:val="00623252"/>
    <w:rsid w:val="00623CD6"/>
    <w:rsid w:val="00631612"/>
    <w:rsid w:val="00636468"/>
    <w:rsid w:val="00637C62"/>
    <w:rsid w:val="00643075"/>
    <w:rsid w:val="0064464B"/>
    <w:rsid w:val="00644C9C"/>
    <w:rsid w:val="00645517"/>
    <w:rsid w:val="0064568D"/>
    <w:rsid w:val="00647144"/>
    <w:rsid w:val="00647ADF"/>
    <w:rsid w:val="006501D8"/>
    <w:rsid w:val="0065066E"/>
    <w:rsid w:val="00650B98"/>
    <w:rsid w:val="00651438"/>
    <w:rsid w:val="00652792"/>
    <w:rsid w:val="006534CF"/>
    <w:rsid w:val="00653DCC"/>
    <w:rsid w:val="006550B3"/>
    <w:rsid w:val="00657535"/>
    <w:rsid w:val="006705FE"/>
    <w:rsid w:val="00672DCB"/>
    <w:rsid w:val="0067359C"/>
    <w:rsid w:val="006758E7"/>
    <w:rsid w:val="00683DD9"/>
    <w:rsid w:val="006856A7"/>
    <w:rsid w:val="00690AAF"/>
    <w:rsid w:val="0069159F"/>
    <w:rsid w:val="00692B07"/>
    <w:rsid w:val="00693E67"/>
    <w:rsid w:val="00694024"/>
    <w:rsid w:val="00696981"/>
    <w:rsid w:val="006A3BFB"/>
    <w:rsid w:val="006A5BCD"/>
    <w:rsid w:val="006A7F8F"/>
    <w:rsid w:val="006B1C2B"/>
    <w:rsid w:val="006B25EE"/>
    <w:rsid w:val="006B3EFA"/>
    <w:rsid w:val="006B54D6"/>
    <w:rsid w:val="006B5F6F"/>
    <w:rsid w:val="006B60E4"/>
    <w:rsid w:val="006B6347"/>
    <w:rsid w:val="006C158D"/>
    <w:rsid w:val="006C1E7E"/>
    <w:rsid w:val="006C6F4A"/>
    <w:rsid w:val="006D186C"/>
    <w:rsid w:val="006D2CD0"/>
    <w:rsid w:val="006D312E"/>
    <w:rsid w:val="006E1706"/>
    <w:rsid w:val="006E1811"/>
    <w:rsid w:val="006E2D76"/>
    <w:rsid w:val="006E3892"/>
    <w:rsid w:val="006E500B"/>
    <w:rsid w:val="006E50AF"/>
    <w:rsid w:val="006E7E7E"/>
    <w:rsid w:val="006F4A5B"/>
    <w:rsid w:val="006F6ABF"/>
    <w:rsid w:val="006F782D"/>
    <w:rsid w:val="0070073A"/>
    <w:rsid w:val="0070095E"/>
    <w:rsid w:val="0070356D"/>
    <w:rsid w:val="00703A4B"/>
    <w:rsid w:val="00706A06"/>
    <w:rsid w:val="0071468F"/>
    <w:rsid w:val="00721F4F"/>
    <w:rsid w:val="00727643"/>
    <w:rsid w:val="007301E9"/>
    <w:rsid w:val="00730C14"/>
    <w:rsid w:val="0073556F"/>
    <w:rsid w:val="00740710"/>
    <w:rsid w:val="00740C0F"/>
    <w:rsid w:val="00742A8D"/>
    <w:rsid w:val="00746CCF"/>
    <w:rsid w:val="00750F40"/>
    <w:rsid w:val="0075474E"/>
    <w:rsid w:val="0075483B"/>
    <w:rsid w:val="0076149C"/>
    <w:rsid w:val="007724D1"/>
    <w:rsid w:val="00776B93"/>
    <w:rsid w:val="007779DB"/>
    <w:rsid w:val="007829E9"/>
    <w:rsid w:val="00785747"/>
    <w:rsid w:val="00785D65"/>
    <w:rsid w:val="00785DDF"/>
    <w:rsid w:val="00791CF0"/>
    <w:rsid w:val="0079332F"/>
    <w:rsid w:val="007A1AD8"/>
    <w:rsid w:val="007A3602"/>
    <w:rsid w:val="007B03E7"/>
    <w:rsid w:val="007B2282"/>
    <w:rsid w:val="007B249F"/>
    <w:rsid w:val="007B5385"/>
    <w:rsid w:val="007B6206"/>
    <w:rsid w:val="007B74E1"/>
    <w:rsid w:val="007C0526"/>
    <w:rsid w:val="007C198C"/>
    <w:rsid w:val="007C25EE"/>
    <w:rsid w:val="007C2F2F"/>
    <w:rsid w:val="007C364A"/>
    <w:rsid w:val="007C3AE6"/>
    <w:rsid w:val="007C7E40"/>
    <w:rsid w:val="007D253B"/>
    <w:rsid w:val="007D7562"/>
    <w:rsid w:val="007E1147"/>
    <w:rsid w:val="007E124C"/>
    <w:rsid w:val="007E269D"/>
    <w:rsid w:val="007E379F"/>
    <w:rsid w:val="007F0DCA"/>
    <w:rsid w:val="007F5F02"/>
    <w:rsid w:val="00807CF7"/>
    <w:rsid w:val="00811FA0"/>
    <w:rsid w:val="00814588"/>
    <w:rsid w:val="00815813"/>
    <w:rsid w:val="00816028"/>
    <w:rsid w:val="00824926"/>
    <w:rsid w:val="00824E99"/>
    <w:rsid w:val="00825FC5"/>
    <w:rsid w:val="00826340"/>
    <w:rsid w:val="008306CC"/>
    <w:rsid w:val="00830FE1"/>
    <w:rsid w:val="00831204"/>
    <w:rsid w:val="008312D9"/>
    <w:rsid w:val="00831521"/>
    <w:rsid w:val="00832A66"/>
    <w:rsid w:val="00833CC6"/>
    <w:rsid w:val="008347D9"/>
    <w:rsid w:val="00834B3D"/>
    <w:rsid w:val="0083677A"/>
    <w:rsid w:val="008371D6"/>
    <w:rsid w:val="008413F3"/>
    <w:rsid w:val="00844254"/>
    <w:rsid w:val="00846811"/>
    <w:rsid w:val="00846B8F"/>
    <w:rsid w:val="0085124E"/>
    <w:rsid w:val="008523D8"/>
    <w:rsid w:val="00852A24"/>
    <w:rsid w:val="00852C8E"/>
    <w:rsid w:val="00853E85"/>
    <w:rsid w:val="008543D2"/>
    <w:rsid w:val="00861604"/>
    <w:rsid w:val="00863629"/>
    <w:rsid w:val="0087001B"/>
    <w:rsid w:val="00871C8E"/>
    <w:rsid w:val="008730C2"/>
    <w:rsid w:val="008731E8"/>
    <w:rsid w:val="00873854"/>
    <w:rsid w:val="00874EA8"/>
    <w:rsid w:val="00876C2C"/>
    <w:rsid w:val="00880D1A"/>
    <w:rsid w:val="008824CC"/>
    <w:rsid w:val="008852C8"/>
    <w:rsid w:val="0088639D"/>
    <w:rsid w:val="00891FFA"/>
    <w:rsid w:val="00893339"/>
    <w:rsid w:val="00897556"/>
    <w:rsid w:val="0089780F"/>
    <w:rsid w:val="008A00B3"/>
    <w:rsid w:val="008A56A2"/>
    <w:rsid w:val="008B0CA8"/>
    <w:rsid w:val="008B2936"/>
    <w:rsid w:val="008B4EAA"/>
    <w:rsid w:val="008D2128"/>
    <w:rsid w:val="008D3217"/>
    <w:rsid w:val="008E2B30"/>
    <w:rsid w:val="008E363A"/>
    <w:rsid w:val="008E5009"/>
    <w:rsid w:val="008E6BB3"/>
    <w:rsid w:val="008E6EC7"/>
    <w:rsid w:val="008E7E5A"/>
    <w:rsid w:val="008E7F55"/>
    <w:rsid w:val="008F25B4"/>
    <w:rsid w:val="008F2898"/>
    <w:rsid w:val="008F3D2C"/>
    <w:rsid w:val="008F6885"/>
    <w:rsid w:val="008F79E8"/>
    <w:rsid w:val="00901017"/>
    <w:rsid w:val="00905CAE"/>
    <w:rsid w:val="00911444"/>
    <w:rsid w:val="00912243"/>
    <w:rsid w:val="00914926"/>
    <w:rsid w:val="0091566B"/>
    <w:rsid w:val="009158CB"/>
    <w:rsid w:val="0092512E"/>
    <w:rsid w:val="0092538F"/>
    <w:rsid w:val="0092698E"/>
    <w:rsid w:val="0093337B"/>
    <w:rsid w:val="009349DC"/>
    <w:rsid w:val="00935045"/>
    <w:rsid w:val="009353CA"/>
    <w:rsid w:val="009443CF"/>
    <w:rsid w:val="009464EA"/>
    <w:rsid w:val="0095006A"/>
    <w:rsid w:val="00951656"/>
    <w:rsid w:val="00951B7E"/>
    <w:rsid w:val="00953953"/>
    <w:rsid w:val="00953B6C"/>
    <w:rsid w:val="00955490"/>
    <w:rsid w:val="00955E7B"/>
    <w:rsid w:val="009570B6"/>
    <w:rsid w:val="0095789C"/>
    <w:rsid w:val="0096561D"/>
    <w:rsid w:val="009675E1"/>
    <w:rsid w:val="00970510"/>
    <w:rsid w:val="0097093F"/>
    <w:rsid w:val="009719DE"/>
    <w:rsid w:val="0097584E"/>
    <w:rsid w:val="00982C42"/>
    <w:rsid w:val="009831ED"/>
    <w:rsid w:val="00983E81"/>
    <w:rsid w:val="009852C1"/>
    <w:rsid w:val="00986ACE"/>
    <w:rsid w:val="00986C82"/>
    <w:rsid w:val="00987042"/>
    <w:rsid w:val="00990CF5"/>
    <w:rsid w:val="00993534"/>
    <w:rsid w:val="009A32E3"/>
    <w:rsid w:val="009A3E29"/>
    <w:rsid w:val="009A4827"/>
    <w:rsid w:val="009A5AE5"/>
    <w:rsid w:val="009A6B8A"/>
    <w:rsid w:val="009A7EC5"/>
    <w:rsid w:val="009B12C4"/>
    <w:rsid w:val="009B2F74"/>
    <w:rsid w:val="009B4115"/>
    <w:rsid w:val="009C4378"/>
    <w:rsid w:val="009C4CA5"/>
    <w:rsid w:val="009C5E46"/>
    <w:rsid w:val="009D1031"/>
    <w:rsid w:val="009D13F2"/>
    <w:rsid w:val="009D17D5"/>
    <w:rsid w:val="009D5F0B"/>
    <w:rsid w:val="009D6C9B"/>
    <w:rsid w:val="009D7244"/>
    <w:rsid w:val="009E0CCD"/>
    <w:rsid w:val="009E25A6"/>
    <w:rsid w:val="009E38EE"/>
    <w:rsid w:val="009E4D46"/>
    <w:rsid w:val="009F2165"/>
    <w:rsid w:val="009F6CF6"/>
    <w:rsid w:val="009F7574"/>
    <w:rsid w:val="009F79AA"/>
    <w:rsid w:val="00A04307"/>
    <w:rsid w:val="00A109FC"/>
    <w:rsid w:val="00A131EE"/>
    <w:rsid w:val="00A14C3B"/>
    <w:rsid w:val="00A15ADC"/>
    <w:rsid w:val="00A21DFB"/>
    <w:rsid w:val="00A2353C"/>
    <w:rsid w:val="00A242B7"/>
    <w:rsid w:val="00A273D4"/>
    <w:rsid w:val="00A30764"/>
    <w:rsid w:val="00A3127A"/>
    <w:rsid w:val="00A432D4"/>
    <w:rsid w:val="00A4489A"/>
    <w:rsid w:val="00A51144"/>
    <w:rsid w:val="00A52A19"/>
    <w:rsid w:val="00A536CA"/>
    <w:rsid w:val="00A53B21"/>
    <w:rsid w:val="00A56FA1"/>
    <w:rsid w:val="00A57D02"/>
    <w:rsid w:val="00A60BD1"/>
    <w:rsid w:val="00A62099"/>
    <w:rsid w:val="00A6558E"/>
    <w:rsid w:val="00A66B5D"/>
    <w:rsid w:val="00A7044C"/>
    <w:rsid w:val="00A70AC8"/>
    <w:rsid w:val="00A722E9"/>
    <w:rsid w:val="00A734FF"/>
    <w:rsid w:val="00A74011"/>
    <w:rsid w:val="00A740CF"/>
    <w:rsid w:val="00A7423D"/>
    <w:rsid w:val="00A77338"/>
    <w:rsid w:val="00A80F52"/>
    <w:rsid w:val="00A858C9"/>
    <w:rsid w:val="00A93755"/>
    <w:rsid w:val="00A93A32"/>
    <w:rsid w:val="00A9537F"/>
    <w:rsid w:val="00AA2C15"/>
    <w:rsid w:val="00AA2EF0"/>
    <w:rsid w:val="00AA3CCC"/>
    <w:rsid w:val="00AA402D"/>
    <w:rsid w:val="00AA56AE"/>
    <w:rsid w:val="00AB049A"/>
    <w:rsid w:val="00AB6E18"/>
    <w:rsid w:val="00AB7050"/>
    <w:rsid w:val="00AC10C4"/>
    <w:rsid w:val="00AC3148"/>
    <w:rsid w:val="00AC6642"/>
    <w:rsid w:val="00AC7157"/>
    <w:rsid w:val="00AD0C96"/>
    <w:rsid w:val="00AD0FCA"/>
    <w:rsid w:val="00AD14A4"/>
    <w:rsid w:val="00AD33E4"/>
    <w:rsid w:val="00AD3446"/>
    <w:rsid w:val="00AD49DF"/>
    <w:rsid w:val="00AD4DB1"/>
    <w:rsid w:val="00AE18C1"/>
    <w:rsid w:val="00AE412E"/>
    <w:rsid w:val="00AE4ABC"/>
    <w:rsid w:val="00AE7ABC"/>
    <w:rsid w:val="00AF0A69"/>
    <w:rsid w:val="00AF3418"/>
    <w:rsid w:val="00AF3925"/>
    <w:rsid w:val="00AF5CF2"/>
    <w:rsid w:val="00AF6234"/>
    <w:rsid w:val="00AF72B3"/>
    <w:rsid w:val="00B00C70"/>
    <w:rsid w:val="00B02442"/>
    <w:rsid w:val="00B037D2"/>
    <w:rsid w:val="00B054BD"/>
    <w:rsid w:val="00B111F7"/>
    <w:rsid w:val="00B12F1E"/>
    <w:rsid w:val="00B14075"/>
    <w:rsid w:val="00B148DE"/>
    <w:rsid w:val="00B30006"/>
    <w:rsid w:val="00B30021"/>
    <w:rsid w:val="00B31D33"/>
    <w:rsid w:val="00B33B1E"/>
    <w:rsid w:val="00B33EB1"/>
    <w:rsid w:val="00B44457"/>
    <w:rsid w:val="00B44E25"/>
    <w:rsid w:val="00B45130"/>
    <w:rsid w:val="00B4658B"/>
    <w:rsid w:val="00B46DA5"/>
    <w:rsid w:val="00B46E90"/>
    <w:rsid w:val="00B471B3"/>
    <w:rsid w:val="00B50EAD"/>
    <w:rsid w:val="00B51C48"/>
    <w:rsid w:val="00B52EE2"/>
    <w:rsid w:val="00B60715"/>
    <w:rsid w:val="00B61061"/>
    <w:rsid w:val="00B667F9"/>
    <w:rsid w:val="00B80A50"/>
    <w:rsid w:val="00B853EE"/>
    <w:rsid w:val="00B863A2"/>
    <w:rsid w:val="00B87ABF"/>
    <w:rsid w:val="00B93A07"/>
    <w:rsid w:val="00B94AC2"/>
    <w:rsid w:val="00B97D75"/>
    <w:rsid w:val="00BA0984"/>
    <w:rsid w:val="00BA09A1"/>
    <w:rsid w:val="00BA0AB7"/>
    <w:rsid w:val="00BA14FB"/>
    <w:rsid w:val="00BA1662"/>
    <w:rsid w:val="00BA173E"/>
    <w:rsid w:val="00BA1850"/>
    <w:rsid w:val="00BA2B00"/>
    <w:rsid w:val="00BA4DDE"/>
    <w:rsid w:val="00BB03F9"/>
    <w:rsid w:val="00BB233A"/>
    <w:rsid w:val="00BC2A7C"/>
    <w:rsid w:val="00BC39C2"/>
    <w:rsid w:val="00BC5E86"/>
    <w:rsid w:val="00BD09FF"/>
    <w:rsid w:val="00BD1F42"/>
    <w:rsid w:val="00BD2C5B"/>
    <w:rsid w:val="00BD4D21"/>
    <w:rsid w:val="00BD4D8C"/>
    <w:rsid w:val="00BD53EA"/>
    <w:rsid w:val="00BD5DCC"/>
    <w:rsid w:val="00BD72AC"/>
    <w:rsid w:val="00BE0FBA"/>
    <w:rsid w:val="00BE10FD"/>
    <w:rsid w:val="00BE38AA"/>
    <w:rsid w:val="00BE3F9E"/>
    <w:rsid w:val="00BE4069"/>
    <w:rsid w:val="00BE6503"/>
    <w:rsid w:val="00BF22E3"/>
    <w:rsid w:val="00BF396F"/>
    <w:rsid w:val="00BF48A1"/>
    <w:rsid w:val="00BF698B"/>
    <w:rsid w:val="00C03863"/>
    <w:rsid w:val="00C06438"/>
    <w:rsid w:val="00C07130"/>
    <w:rsid w:val="00C12C7F"/>
    <w:rsid w:val="00C1440D"/>
    <w:rsid w:val="00C14AA9"/>
    <w:rsid w:val="00C14CDA"/>
    <w:rsid w:val="00C14D48"/>
    <w:rsid w:val="00C2061F"/>
    <w:rsid w:val="00C22E49"/>
    <w:rsid w:val="00C23B02"/>
    <w:rsid w:val="00C259A7"/>
    <w:rsid w:val="00C261A8"/>
    <w:rsid w:val="00C26BAF"/>
    <w:rsid w:val="00C27CC2"/>
    <w:rsid w:val="00C30389"/>
    <w:rsid w:val="00C34D42"/>
    <w:rsid w:val="00C4191F"/>
    <w:rsid w:val="00C41E96"/>
    <w:rsid w:val="00C4204A"/>
    <w:rsid w:val="00C45A8E"/>
    <w:rsid w:val="00C45B3B"/>
    <w:rsid w:val="00C50E44"/>
    <w:rsid w:val="00C52D6B"/>
    <w:rsid w:val="00C571B3"/>
    <w:rsid w:val="00C573A4"/>
    <w:rsid w:val="00C577E6"/>
    <w:rsid w:val="00C6002B"/>
    <w:rsid w:val="00C66EE9"/>
    <w:rsid w:val="00C7276F"/>
    <w:rsid w:val="00C76F69"/>
    <w:rsid w:val="00C77F13"/>
    <w:rsid w:val="00C80692"/>
    <w:rsid w:val="00C81A31"/>
    <w:rsid w:val="00C82318"/>
    <w:rsid w:val="00C863F5"/>
    <w:rsid w:val="00C9108B"/>
    <w:rsid w:val="00C9187E"/>
    <w:rsid w:val="00C92F81"/>
    <w:rsid w:val="00C95CD4"/>
    <w:rsid w:val="00CA5B57"/>
    <w:rsid w:val="00CA690D"/>
    <w:rsid w:val="00CA6C8A"/>
    <w:rsid w:val="00CB1B63"/>
    <w:rsid w:val="00CB34F2"/>
    <w:rsid w:val="00CB59C3"/>
    <w:rsid w:val="00CC021F"/>
    <w:rsid w:val="00CC15CC"/>
    <w:rsid w:val="00CC1E58"/>
    <w:rsid w:val="00CC2B5A"/>
    <w:rsid w:val="00CC3915"/>
    <w:rsid w:val="00CC4072"/>
    <w:rsid w:val="00CC6A3C"/>
    <w:rsid w:val="00CD1C9B"/>
    <w:rsid w:val="00CD6046"/>
    <w:rsid w:val="00CD62B6"/>
    <w:rsid w:val="00CD778C"/>
    <w:rsid w:val="00CE0819"/>
    <w:rsid w:val="00CE133E"/>
    <w:rsid w:val="00CE2251"/>
    <w:rsid w:val="00CE2B39"/>
    <w:rsid w:val="00CE2FEF"/>
    <w:rsid w:val="00CE369C"/>
    <w:rsid w:val="00CE4B87"/>
    <w:rsid w:val="00CE66B9"/>
    <w:rsid w:val="00CF3319"/>
    <w:rsid w:val="00CF3813"/>
    <w:rsid w:val="00CF3C3F"/>
    <w:rsid w:val="00CF5955"/>
    <w:rsid w:val="00CF60B2"/>
    <w:rsid w:val="00CF6718"/>
    <w:rsid w:val="00CF6B32"/>
    <w:rsid w:val="00CF72F4"/>
    <w:rsid w:val="00D031B2"/>
    <w:rsid w:val="00D11BC1"/>
    <w:rsid w:val="00D146E1"/>
    <w:rsid w:val="00D263B3"/>
    <w:rsid w:val="00D27579"/>
    <w:rsid w:val="00D27683"/>
    <w:rsid w:val="00D30AA2"/>
    <w:rsid w:val="00D3206D"/>
    <w:rsid w:val="00D3489C"/>
    <w:rsid w:val="00D375C0"/>
    <w:rsid w:val="00D4086E"/>
    <w:rsid w:val="00D4251F"/>
    <w:rsid w:val="00D433DF"/>
    <w:rsid w:val="00D54746"/>
    <w:rsid w:val="00D609D7"/>
    <w:rsid w:val="00D61CEF"/>
    <w:rsid w:val="00D64977"/>
    <w:rsid w:val="00D64EA9"/>
    <w:rsid w:val="00D66B01"/>
    <w:rsid w:val="00D82A34"/>
    <w:rsid w:val="00D90B64"/>
    <w:rsid w:val="00D92BD6"/>
    <w:rsid w:val="00D92C7C"/>
    <w:rsid w:val="00D938CE"/>
    <w:rsid w:val="00D944E3"/>
    <w:rsid w:val="00D94FBD"/>
    <w:rsid w:val="00D9565A"/>
    <w:rsid w:val="00DA07F4"/>
    <w:rsid w:val="00DA1E23"/>
    <w:rsid w:val="00DA5452"/>
    <w:rsid w:val="00DA7146"/>
    <w:rsid w:val="00DB5CBF"/>
    <w:rsid w:val="00DB6EAC"/>
    <w:rsid w:val="00DC0F21"/>
    <w:rsid w:val="00DC3206"/>
    <w:rsid w:val="00DC6E9A"/>
    <w:rsid w:val="00DC71AD"/>
    <w:rsid w:val="00DD5A7F"/>
    <w:rsid w:val="00DE48E3"/>
    <w:rsid w:val="00DE4917"/>
    <w:rsid w:val="00DE4A99"/>
    <w:rsid w:val="00DE6938"/>
    <w:rsid w:val="00DE72A1"/>
    <w:rsid w:val="00DE7630"/>
    <w:rsid w:val="00DE7A8C"/>
    <w:rsid w:val="00DF0D97"/>
    <w:rsid w:val="00DF2750"/>
    <w:rsid w:val="00DF2836"/>
    <w:rsid w:val="00DF5E45"/>
    <w:rsid w:val="00DF6087"/>
    <w:rsid w:val="00E015A3"/>
    <w:rsid w:val="00E02618"/>
    <w:rsid w:val="00E0262D"/>
    <w:rsid w:val="00E02FBA"/>
    <w:rsid w:val="00E0408F"/>
    <w:rsid w:val="00E048C9"/>
    <w:rsid w:val="00E17A66"/>
    <w:rsid w:val="00E20603"/>
    <w:rsid w:val="00E2328D"/>
    <w:rsid w:val="00E23574"/>
    <w:rsid w:val="00E271B9"/>
    <w:rsid w:val="00E27AC2"/>
    <w:rsid w:val="00E30C8C"/>
    <w:rsid w:val="00E32224"/>
    <w:rsid w:val="00E335DF"/>
    <w:rsid w:val="00E35A17"/>
    <w:rsid w:val="00E37725"/>
    <w:rsid w:val="00E41C42"/>
    <w:rsid w:val="00E427D8"/>
    <w:rsid w:val="00E43AB8"/>
    <w:rsid w:val="00E47F1B"/>
    <w:rsid w:val="00E50C43"/>
    <w:rsid w:val="00E51E85"/>
    <w:rsid w:val="00E5394A"/>
    <w:rsid w:val="00E5640E"/>
    <w:rsid w:val="00E56C05"/>
    <w:rsid w:val="00E56F27"/>
    <w:rsid w:val="00E570C1"/>
    <w:rsid w:val="00E62354"/>
    <w:rsid w:val="00E6376E"/>
    <w:rsid w:val="00E64C52"/>
    <w:rsid w:val="00E66D1F"/>
    <w:rsid w:val="00E67223"/>
    <w:rsid w:val="00E67376"/>
    <w:rsid w:val="00E6774E"/>
    <w:rsid w:val="00E7163F"/>
    <w:rsid w:val="00E71A83"/>
    <w:rsid w:val="00E739B7"/>
    <w:rsid w:val="00E82493"/>
    <w:rsid w:val="00E84011"/>
    <w:rsid w:val="00E84532"/>
    <w:rsid w:val="00E85257"/>
    <w:rsid w:val="00E852D8"/>
    <w:rsid w:val="00E9322B"/>
    <w:rsid w:val="00E93328"/>
    <w:rsid w:val="00E9451F"/>
    <w:rsid w:val="00E9460D"/>
    <w:rsid w:val="00E95B41"/>
    <w:rsid w:val="00E95B51"/>
    <w:rsid w:val="00E971AF"/>
    <w:rsid w:val="00EA073E"/>
    <w:rsid w:val="00EA15AE"/>
    <w:rsid w:val="00EA3E9E"/>
    <w:rsid w:val="00EA7D29"/>
    <w:rsid w:val="00EB00F8"/>
    <w:rsid w:val="00EB335B"/>
    <w:rsid w:val="00ED0968"/>
    <w:rsid w:val="00ED2376"/>
    <w:rsid w:val="00ED38A3"/>
    <w:rsid w:val="00ED4669"/>
    <w:rsid w:val="00EE09E9"/>
    <w:rsid w:val="00EE2245"/>
    <w:rsid w:val="00EE2543"/>
    <w:rsid w:val="00EE3A88"/>
    <w:rsid w:val="00EE3E27"/>
    <w:rsid w:val="00EE5E83"/>
    <w:rsid w:val="00EE5EB0"/>
    <w:rsid w:val="00EF0E2C"/>
    <w:rsid w:val="00EF19F5"/>
    <w:rsid w:val="00EF483B"/>
    <w:rsid w:val="00EF6D74"/>
    <w:rsid w:val="00EF71DD"/>
    <w:rsid w:val="00F00AC9"/>
    <w:rsid w:val="00F00FE7"/>
    <w:rsid w:val="00F02C90"/>
    <w:rsid w:val="00F03443"/>
    <w:rsid w:val="00F102F0"/>
    <w:rsid w:val="00F10ACE"/>
    <w:rsid w:val="00F204D3"/>
    <w:rsid w:val="00F23700"/>
    <w:rsid w:val="00F23ECD"/>
    <w:rsid w:val="00F24035"/>
    <w:rsid w:val="00F269B7"/>
    <w:rsid w:val="00F273B1"/>
    <w:rsid w:val="00F30D1D"/>
    <w:rsid w:val="00F3175D"/>
    <w:rsid w:val="00F32956"/>
    <w:rsid w:val="00F35E09"/>
    <w:rsid w:val="00F36F19"/>
    <w:rsid w:val="00F36FE2"/>
    <w:rsid w:val="00F370BE"/>
    <w:rsid w:val="00F4540C"/>
    <w:rsid w:val="00F5045A"/>
    <w:rsid w:val="00F53CC3"/>
    <w:rsid w:val="00F54160"/>
    <w:rsid w:val="00F54543"/>
    <w:rsid w:val="00F6415F"/>
    <w:rsid w:val="00F64183"/>
    <w:rsid w:val="00F70121"/>
    <w:rsid w:val="00F7166A"/>
    <w:rsid w:val="00F721F3"/>
    <w:rsid w:val="00F72447"/>
    <w:rsid w:val="00F72C04"/>
    <w:rsid w:val="00F73857"/>
    <w:rsid w:val="00F76258"/>
    <w:rsid w:val="00F7794E"/>
    <w:rsid w:val="00F77A11"/>
    <w:rsid w:val="00F80535"/>
    <w:rsid w:val="00F81325"/>
    <w:rsid w:val="00F821A1"/>
    <w:rsid w:val="00F85C8C"/>
    <w:rsid w:val="00F867C8"/>
    <w:rsid w:val="00F9018D"/>
    <w:rsid w:val="00F91289"/>
    <w:rsid w:val="00F91F7B"/>
    <w:rsid w:val="00F92753"/>
    <w:rsid w:val="00F977E8"/>
    <w:rsid w:val="00FA1419"/>
    <w:rsid w:val="00FA504A"/>
    <w:rsid w:val="00FA6C22"/>
    <w:rsid w:val="00FB0878"/>
    <w:rsid w:val="00FB20C8"/>
    <w:rsid w:val="00FB21E9"/>
    <w:rsid w:val="00FB2FE9"/>
    <w:rsid w:val="00FB6821"/>
    <w:rsid w:val="00FB6FA0"/>
    <w:rsid w:val="00FC24F6"/>
    <w:rsid w:val="00FC39E4"/>
    <w:rsid w:val="00FD597F"/>
    <w:rsid w:val="00FD6702"/>
    <w:rsid w:val="00FD68D3"/>
    <w:rsid w:val="00FE07BA"/>
    <w:rsid w:val="00FE1D8D"/>
    <w:rsid w:val="00FF18B7"/>
    <w:rsid w:val="00FF264E"/>
    <w:rsid w:val="00FF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header" w:uiPriority="1"/>
    <w:lsdException w:name="caption" w:uiPriority="35" w:qFormat="1"/>
    <w:lsdException w:name="footnote reference" w:uiPriority="1"/>
    <w:lsdException w:name="page number" w:uiPriority="1"/>
    <w:lsdException w:name="Title" w:uiPriority="10" w:qFormat="1"/>
    <w:lsdException w:name="Default Paragraph Font" w:uiPriority="1"/>
    <w:lsdException w:name="Subtitle" w:uiPriority="11" w:qFormat="1"/>
    <w:lsdException w:name="FollowedHyperlink" w:uiPriority="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55339A"/>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1"/>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1"/>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1"/>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qFormat/>
    <w:rsid w:val="002F3A0F"/>
    <w:pPr>
      <w:tabs>
        <w:tab w:val="left" w:pos="1418"/>
        <w:tab w:val="right" w:leader="dot" w:pos="9061"/>
      </w:tabs>
      <w:spacing w:after="0" w:line="240" w:lineRule="atLeast"/>
      <w:ind w:left="567" w:hanging="567"/>
    </w:pPr>
    <w:rPr>
      <w:rFonts w:eastAsia="Times New Roman" w:cs="Times New Roman"/>
      <w:noProof/>
      <w:color w:val="FF00FF"/>
      <w:lang w:eastAsia="en-GB"/>
    </w:rPr>
  </w:style>
  <w:style w:type="paragraph" w:styleId="TOC2">
    <w:name w:val="toc 2"/>
    <w:next w:val="Normal"/>
    <w:autoRedefine/>
    <w:uiPriority w:val="39"/>
    <w:qFormat/>
    <w:rsid w:val="00830FE1"/>
    <w:pPr>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qFormat/>
    <w:rsid w:val="007B2282"/>
    <w:pPr>
      <w:spacing w:after="100"/>
      <w:ind w:left="400"/>
      <w:jc w:val="left"/>
    </w:pPr>
  </w:style>
  <w:style w:type="paragraph" w:styleId="TOC4">
    <w:name w:val="toc 4"/>
    <w:basedOn w:val="Normal"/>
    <w:next w:val="Normal"/>
    <w:autoRedefine/>
    <w:uiPriority w:val="39"/>
    <w:unhideWhenUsed/>
    <w:rsid w:val="007B2282"/>
    <w:pPr>
      <w:spacing w:after="100"/>
      <w:ind w:left="600"/>
      <w:jc w:val="left"/>
    </w:pPr>
  </w:style>
  <w:style w:type="paragraph" w:styleId="TOC5">
    <w:name w:val="toc 5"/>
    <w:basedOn w:val="Normal"/>
    <w:next w:val="Normal"/>
    <w:autoRedefine/>
    <w:uiPriority w:val="39"/>
    <w:unhideWhenUsed/>
    <w:rsid w:val="007B2282"/>
    <w:pPr>
      <w:spacing w:after="100"/>
      <w:ind w:left="800"/>
      <w:jc w:val="left"/>
    </w:pPr>
  </w:style>
  <w:style w:type="paragraph" w:styleId="TOC6">
    <w:name w:val="toc 6"/>
    <w:basedOn w:val="Normal"/>
    <w:next w:val="Normal"/>
    <w:autoRedefine/>
    <w:uiPriority w:val="39"/>
    <w:unhideWhenUsed/>
    <w:rsid w:val="007B2282"/>
    <w:pPr>
      <w:spacing w:after="100"/>
      <w:ind w:left="1000"/>
      <w:jc w:val="left"/>
    </w:pPr>
  </w:style>
  <w:style w:type="paragraph" w:styleId="TOC7">
    <w:name w:val="toc 7"/>
    <w:basedOn w:val="Normal"/>
    <w:next w:val="Normal"/>
    <w:autoRedefine/>
    <w:uiPriority w:val="39"/>
    <w:unhideWhenUsed/>
    <w:rsid w:val="007B2282"/>
    <w:pPr>
      <w:spacing w:after="100"/>
      <w:ind w:left="1200"/>
      <w:jc w:val="left"/>
    </w:pPr>
  </w:style>
  <w:style w:type="paragraph" w:styleId="TOC8">
    <w:name w:val="toc 8"/>
    <w:basedOn w:val="Normal"/>
    <w:next w:val="Normal"/>
    <w:autoRedefine/>
    <w:uiPriority w:val="39"/>
    <w:unhideWhenUsed/>
    <w:rsid w:val="007B2282"/>
    <w:pPr>
      <w:spacing w:after="100"/>
      <w:ind w:left="1400"/>
      <w:jc w:val="left"/>
    </w:pPr>
  </w:style>
  <w:style w:type="paragraph" w:styleId="TOC9">
    <w:name w:val="toc 9"/>
    <w:basedOn w:val="Normal"/>
    <w:next w:val="Normal"/>
    <w:autoRedefine/>
    <w:uiPriority w:val="39"/>
    <w:unhideWhenUsed/>
    <w:rsid w:val="007B2282"/>
    <w:pPr>
      <w:spacing w:after="100"/>
      <w:ind w:left="1600"/>
      <w:jc w:val="left"/>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6B54D6"/>
    <w:pPr>
      <w:numPr>
        <w:ilvl w:val="1"/>
        <w:numId w:val="23"/>
      </w:numPr>
      <w:tabs>
        <w:tab w:val="clear" w:pos="1997"/>
        <w:tab w:val="num" w:pos="851"/>
      </w:tabs>
      <w:spacing w:before="240"/>
      <w:ind w:left="851" w:hanging="851"/>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23"/>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5"/>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styleId="ListParagraph">
    <w:name w:val="List Paragraph"/>
    <w:basedOn w:val="Normal"/>
    <w:uiPriority w:val="34"/>
    <w:unhideWhenUsed/>
    <w:qFormat/>
    <w:rsid w:val="003576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header" w:uiPriority="1"/>
    <w:lsdException w:name="caption" w:uiPriority="35" w:qFormat="1"/>
    <w:lsdException w:name="footnote reference" w:uiPriority="1"/>
    <w:lsdException w:name="page number" w:uiPriority="1"/>
    <w:lsdException w:name="Title" w:uiPriority="10" w:qFormat="1"/>
    <w:lsdException w:name="Default Paragraph Font" w:uiPriority="1"/>
    <w:lsdException w:name="Subtitle" w:uiPriority="11" w:qFormat="1"/>
    <w:lsdException w:name="FollowedHyperlink" w:uiPriority="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55339A"/>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1"/>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1"/>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1"/>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qFormat/>
    <w:rsid w:val="002F3A0F"/>
    <w:pPr>
      <w:tabs>
        <w:tab w:val="left" w:pos="1418"/>
        <w:tab w:val="right" w:leader="dot" w:pos="9061"/>
      </w:tabs>
      <w:spacing w:after="0" w:line="240" w:lineRule="atLeast"/>
      <w:ind w:left="567" w:hanging="567"/>
    </w:pPr>
    <w:rPr>
      <w:rFonts w:eastAsia="Times New Roman" w:cs="Times New Roman"/>
      <w:noProof/>
      <w:color w:val="FF00FF"/>
      <w:lang w:eastAsia="en-GB"/>
    </w:rPr>
  </w:style>
  <w:style w:type="paragraph" w:styleId="TOC2">
    <w:name w:val="toc 2"/>
    <w:next w:val="Normal"/>
    <w:autoRedefine/>
    <w:uiPriority w:val="39"/>
    <w:qFormat/>
    <w:rsid w:val="00830FE1"/>
    <w:pPr>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qFormat/>
    <w:rsid w:val="007B2282"/>
    <w:pPr>
      <w:spacing w:after="100"/>
      <w:ind w:left="400"/>
      <w:jc w:val="left"/>
    </w:pPr>
  </w:style>
  <w:style w:type="paragraph" w:styleId="TOC4">
    <w:name w:val="toc 4"/>
    <w:basedOn w:val="Normal"/>
    <w:next w:val="Normal"/>
    <w:autoRedefine/>
    <w:uiPriority w:val="39"/>
    <w:unhideWhenUsed/>
    <w:rsid w:val="007B2282"/>
    <w:pPr>
      <w:spacing w:after="100"/>
      <w:ind w:left="600"/>
      <w:jc w:val="left"/>
    </w:pPr>
  </w:style>
  <w:style w:type="paragraph" w:styleId="TOC5">
    <w:name w:val="toc 5"/>
    <w:basedOn w:val="Normal"/>
    <w:next w:val="Normal"/>
    <w:autoRedefine/>
    <w:uiPriority w:val="39"/>
    <w:unhideWhenUsed/>
    <w:rsid w:val="007B2282"/>
    <w:pPr>
      <w:spacing w:after="100"/>
      <w:ind w:left="800"/>
      <w:jc w:val="left"/>
    </w:pPr>
  </w:style>
  <w:style w:type="paragraph" w:styleId="TOC6">
    <w:name w:val="toc 6"/>
    <w:basedOn w:val="Normal"/>
    <w:next w:val="Normal"/>
    <w:autoRedefine/>
    <w:uiPriority w:val="39"/>
    <w:unhideWhenUsed/>
    <w:rsid w:val="007B2282"/>
    <w:pPr>
      <w:spacing w:after="100"/>
      <w:ind w:left="1000"/>
      <w:jc w:val="left"/>
    </w:pPr>
  </w:style>
  <w:style w:type="paragraph" w:styleId="TOC7">
    <w:name w:val="toc 7"/>
    <w:basedOn w:val="Normal"/>
    <w:next w:val="Normal"/>
    <w:autoRedefine/>
    <w:uiPriority w:val="39"/>
    <w:unhideWhenUsed/>
    <w:rsid w:val="007B2282"/>
    <w:pPr>
      <w:spacing w:after="100"/>
      <w:ind w:left="1200"/>
      <w:jc w:val="left"/>
    </w:pPr>
  </w:style>
  <w:style w:type="paragraph" w:styleId="TOC8">
    <w:name w:val="toc 8"/>
    <w:basedOn w:val="Normal"/>
    <w:next w:val="Normal"/>
    <w:autoRedefine/>
    <w:uiPriority w:val="39"/>
    <w:unhideWhenUsed/>
    <w:rsid w:val="007B2282"/>
    <w:pPr>
      <w:spacing w:after="100"/>
      <w:ind w:left="1400"/>
      <w:jc w:val="left"/>
    </w:pPr>
  </w:style>
  <w:style w:type="paragraph" w:styleId="TOC9">
    <w:name w:val="toc 9"/>
    <w:basedOn w:val="Normal"/>
    <w:next w:val="Normal"/>
    <w:autoRedefine/>
    <w:uiPriority w:val="39"/>
    <w:unhideWhenUsed/>
    <w:rsid w:val="007B2282"/>
    <w:pPr>
      <w:spacing w:after="100"/>
      <w:ind w:left="1600"/>
      <w:jc w:val="left"/>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6B54D6"/>
    <w:pPr>
      <w:numPr>
        <w:ilvl w:val="1"/>
        <w:numId w:val="23"/>
      </w:numPr>
      <w:tabs>
        <w:tab w:val="clear" w:pos="1997"/>
        <w:tab w:val="num" w:pos="851"/>
      </w:tabs>
      <w:spacing w:before="240"/>
      <w:ind w:left="851" w:hanging="851"/>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23"/>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5"/>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styleId="ListParagraph">
    <w:name w:val="List Paragraph"/>
    <w:basedOn w:val="Normal"/>
    <w:uiPriority w:val="34"/>
    <w:unhideWhenUsed/>
    <w:qFormat/>
    <w:rsid w:val="003576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574244">
      <w:bodyDiv w:val="1"/>
      <w:marLeft w:val="0"/>
      <w:marRight w:val="0"/>
      <w:marTop w:val="0"/>
      <w:marBottom w:val="0"/>
      <w:divBdr>
        <w:top w:val="none" w:sz="0" w:space="0" w:color="auto"/>
        <w:left w:val="none" w:sz="0" w:space="0" w:color="auto"/>
        <w:bottom w:val="none" w:sz="0" w:space="0" w:color="auto"/>
        <w:right w:val="none" w:sz="0" w:space="0" w:color="auto"/>
      </w:divBdr>
    </w:div>
    <w:div w:id="687827368">
      <w:bodyDiv w:val="1"/>
      <w:marLeft w:val="0"/>
      <w:marRight w:val="0"/>
      <w:marTop w:val="0"/>
      <w:marBottom w:val="0"/>
      <w:divBdr>
        <w:top w:val="none" w:sz="0" w:space="0" w:color="auto"/>
        <w:left w:val="none" w:sz="0" w:space="0" w:color="auto"/>
        <w:bottom w:val="none" w:sz="0" w:space="0" w:color="auto"/>
        <w:right w:val="none" w:sz="0" w:space="0" w:color="auto"/>
      </w:divBdr>
    </w:div>
    <w:div w:id="800155546">
      <w:bodyDiv w:val="1"/>
      <w:marLeft w:val="0"/>
      <w:marRight w:val="0"/>
      <w:marTop w:val="0"/>
      <w:marBottom w:val="0"/>
      <w:divBdr>
        <w:top w:val="none" w:sz="0" w:space="0" w:color="auto"/>
        <w:left w:val="none" w:sz="0" w:space="0" w:color="auto"/>
        <w:bottom w:val="none" w:sz="0" w:space="0" w:color="auto"/>
        <w:right w:val="none" w:sz="0" w:space="0" w:color="auto"/>
      </w:divBdr>
    </w:div>
    <w:div w:id="1056127458">
      <w:bodyDiv w:val="1"/>
      <w:marLeft w:val="0"/>
      <w:marRight w:val="0"/>
      <w:marTop w:val="0"/>
      <w:marBottom w:val="0"/>
      <w:divBdr>
        <w:top w:val="none" w:sz="0" w:space="0" w:color="auto"/>
        <w:left w:val="none" w:sz="0" w:space="0" w:color="auto"/>
        <w:bottom w:val="none" w:sz="0" w:space="0" w:color="auto"/>
        <w:right w:val="none" w:sz="0" w:space="0" w:color="auto"/>
      </w:divBdr>
    </w:div>
    <w:div w:id="130010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upplying2nhs.com/procontract/healthservice/supplier.nsf"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74A14-4B43-46A3-91AF-6A6F565FC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15</Pages>
  <Words>4094</Words>
  <Characters>23339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Foot Anstey LLP</Company>
  <LinksUpToDate>false</LinksUpToDate>
  <CharactersWithSpaces>27379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Foot Anstey (MS3)</dc:creator>
  <cp:lastModifiedBy>Goodwin Mick (ULHT)</cp:lastModifiedBy>
  <cp:revision>7</cp:revision>
  <cp:lastPrinted>2015-02-26T10:49:00Z</cp:lastPrinted>
  <dcterms:created xsi:type="dcterms:W3CDTF">2016-12-07T11:16:00Z</dcterms:created>
  <dcterms:modified xsi:type="dcterms:W3CDTF">2016-12-08T08:17:00Z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Ref">
    <vt:lpwstr>D/14303408/1</vt:lpwstr>
  </property>
  <property fmtid="{D5CDD505-2E9C-101B-9397-08002B2CF9AE}" pid="3" name="DOCID">
    <vt:lpwstr> </vt:lpwstr>
  </property>
  <property fmtid="{D5CDD505-2E9C-101B-9397-08002B2CF9AE}" pid="4" name="COMPANYID">
    <vt:i4>2122615784</vt:i4>
  </property>
  <property fmtid="{D5CDD505-2E9C-101B-9397-08002B2CF9AE}" pid="5" name="SERIALNO">
    <vt:i4>11956</vt:i4>
  </property>
  <property fmtid="{D5CDD505-2E9C-101B-9397-08002B2CF9AE}" pid="6" name="EDITION">
    <vt:lpwstr>FM</vt:lpwstr>
  </property>
  <property fmtid="{D5CDD505-2E9C-101B-9397-08002B2CF9AE}" pid="7" name="ASSOCID">
    <vt:i4>188684</vt:i4>
  </property>
  <property fmtid="{D5CDD505-2E9C-101B-9397-08002B2CF9AE}" pid="8" name="CLIENTID">
    <vt:i4>215922</vt:i4>
  </property>
  <property fmtid="{D5CDD505-2E9C-101B-9397-08002B2CF9AE}" pid="9" name="FILEID">
    <vt:i4>188350</vt:i4>
  </property>
</Properties>
</file>