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5E5E48" w14:textId="5F404569" w:rsidR="001065EF" w:rsidRPr="003B4CA8" w:rsidRDefault="001065EF">
      <w:pPr>
        <w:rPr>
          <w:rFonts w:ascii="Arial" w:hAnsi="Arial" w:cs="Arial"/>
          <w:b/>
          <w:u w:val="single"/>
        </w:rPr>
      </w:pPr>
    </w:p>
    <w:tbl>
      <w:tblPr>
        <w:tblStyle w:val="TableGrid"/>
        <w:tblW w:w="0" w:type="auto"/>
        <w:tblLook w:val="04A0" w:firstRow="1" w:lastRow="0" w:firstColumn="1" w:lastColumn="0" w:noHBand="0" w:noVBand="1"/>
      </w:tblPr>
      <w:tblGrid>
        <w:gridCol w:w="779"/>
        <w:gridCol w:w="3538"/>
        <w:gridCol w:w="1701"/>
        <w:gridCol w:w="1559"/>
        <w:gridCol w:w="1418"/>
        <w:gridCol w:w="4819"/>
      </w:tblGrid>
      <w:tr w:rsidR="00704F99" w:rsidRPr="003B4CA8" w14:paraId="065777D8" w14:textId="77777777" w:rsidTr="001065EF">
        <w:tc>
          <w:tcPr>
            <w:tcW w:w="710" w:type="dxa"/>
          </w:tcPr>
          <w:p w14:paraId="7E53D89A" w14:textId="77777777" w:rsidR="00704F99" w:rsidRPr="003B4CA8" w:rsidRDefault="00704F99">
            <w:pPr>
              <w:rPr>
                <w:rFonts w:ascii="Arial" w:hAnsi="Arial" w:cs="Arial"/>
              </w:rPr>
            </w:pPr>
            <w:r w:rsidRPr="003B4CA8">
              <w:rPr>
                <w:rFonts w:ascii="Arial" w:hAnsi="Arial" w:cs="Arial"/>
              </w:rPr>
              <w:t>Serial</w:t>
            </w:r>
          </w:p>
        </w:tc>
        <w:tc>
          <w:tcPr>
            <w:tcW w:w="3538" w:type="dxa"/>
          </w:tcPr>
          <w:p w14:paraId="71A99416" w14:textId="77777777" w:rsidR="00704F99" w:rsidRPr="003B4CA8" w:rsidRDefault="00704F99">
            <w:pPr>
              <w:rPr>
                <w:rFonts w:ascii="Arial" w:hAnsi="Arial" w:cs="Arial"/>
              </w:rPr>
            </w:pPr>
            <w:r w:rsidRPr="003B4CA8">
              <w:rPr>
                <w:rFonts w:ascii="Arial" w:hAnsi="Arial" w:cs="Arial"/>
              </w:rPr>
              <w:t>Criteria</w:t>
            </w:r>
          </w:p>
        </w:tc>
        <w:tc>
          <w:tcPr>
            <w:tcW w:w="1701" w:type="dxa"/>
          </w:tcPr>
          <w:p w14:paraId="11A311D9" w14:textId="77777777" w:rsidR="00704F99" w:rsidRPr="003B4CA8" w:rsidRDefault="00704F99">
            <w:pPr>
              <w:rPr>
                <w:rFonts w:ascii="Arial" w:hAnsi="Arial" w:cs="Arial"/>
              </w:rPr>
            </w:pPr>
            <w:r w:rsidRPr="003B4CA8">
              <w:rPr>
                <w:rFonts w:ascii="Arial" w:hAnsi="Arial" w:cs="Arial"/>
              </w:rPr>
              <w:t>Mark</w:t>
            </w:r>
          </w:p>
        </w:tc>
        <w:tc>
          <w:tcPr>
            <w:tcW w:w="1559" w:type="dxa"/>
          </w:tcPr>
          <w:p w14:paraId="37F05D11" w14:textId="77777777" w:rsidR="00704F99" w:rsidRPr="003B4CA8" w:rsidRDefault="00704F99">
            <w:pPr>
              <w:rPr>
                <w:rFonts w:ascii="Arial" w:hAnsi="Arial" w:cs="Arial"/>
              </w:rPr>
            </w:pPr>
            <w:r w:rsidRPr="003B4CA8">
              <w:rPr>
                <w:rFonts w:ascii="Arial" w:hAnsi="Arial" w:cs="Arial"/>
              </w:rPr>
              <w:t>(x) Weighting</w:t>
            </w:r>
          </w:p>
        </w:tc>
        <w:tc>
          <w:tcPr>
            <w:tcW w:w="1418" w:type="dxa"/>
          </w:tcPr>
          <w:p w14:paraId="1B2F2799" w14:textId="77777777" w:rsidR="00704F99" w:rsidRPr="003B4CA8" w:rsidRDefault="00704F99">
            <w:pPr>
              <w:rPr>
                <w:rFonts w:ascii="Arial" w:hAnsi="Arial" w:cs="Arial"/>
              </w:rPr>
            </w:pPr>
            <w:r w:rsidRPr="003B4CA8">
              <w:rPr>
                <w:rFonts w:ascii="Arial" w:hAnsi="Arial" w:cs="Arial"/>
              </w:rPr>
              <w:t>(=) Score</w:t>
            </w:r>
          </w:p>
        </w:tc>
        <w:tc>
          <w:tcPr>
            <w:tcW w:w="4819" w:type="dxa"/>
          </w:tcPr>
          <w:p w14:paraId="7B0EEAED" w14:textId="77777777" w:rsidR="00704F99" w:rsidRPr="003B4CA8" w:rsidRDefault="00704F99">
            <w:pPr>
              <w:rPr>
                <w:rFonts w:ascii="Arial" w:hAnsi="Arial" w:cs="Arial"/>
              </w:rPr>
            </w:pPr>
            <w:r w:rsidRPr="003B4CA8">
              <w:rPr>
                <w:rFonts w:ascii="Arial" w:hAnsi="Arial" w:cs="Arial"/>
              </w:rPr>
              <w:t>Comment</w:t>
            </w:r>
          </w:p>
        </w:tc>
      </w:tr>
      <w:tr w:rsidR="001065EF" w:rsidRPr="003B4CA8" w14:paraId="3E08417A" w14:textId="77777777" w:rsidTr="001065EF">
        <w:tc>
          <w:tcPr>
            <w:tcW w:w="710" w:type="dxa"/>
          </w:tcPr>
          <w:p w14:paraId="649D42C1" w14:textId="77777777" w:rsidR="001065EF" w:rsidRPr="003B4CA8" w:rsidRDefault="001065EF" w:rsidP="001065EF">
            <w:pPr>
              <w:pStyle w:val="ListParagraph"/>
              <w:numPr>
                <w:ilvl w:val="0"/>
                <w:numId w:val="10"/>
              </w:numPr>
              <w:rPr>
                <w:rFonts w:ascii="Arial" w:hAnsi="Arial" w:cs="Arial"/>
              </w:rPr>
            </w:pPr>
          </w:p>
        </w:tc>
        <w:tc>
          <w:tcPr>
            <w:tcW w:w="3538" w:type="dxa"/>
          </w:tcPr>
          <w:p w14:paraId="0016C32E" w14:textId="77777777" w:rsidR="001065EF" w:rsidRPr="003B4CA8" w:rsidRDefault="001065EF" w:rsidP="001065EF">
            <w:pPr>
              <w:rPr>
                <w:rFonts w:ascii="Arial" w:hAnsi="Arial" w:cs="Arial"/>
              </w:rPr>
            </w:pPr>
            <w:r w:rsidRPr="003B4CA8">
              <w:rPr>
                <w:rFonts w:ascii="Arial" w:hAnsi="Arial" w:cs="Arial"/>
              </w:rPr>
              <w:t>A core team with in-house expertise in defence and security policy analysis</w:t>
            </w:r>
          </w:p>
        </w:tc>
        <w:tc>
          <w:tcPr>
            <w:tcW w:w="1701" w:type="dxa"/>
          </w:tcPr>
          <w:p w14:paraId="044A5FC1" w14:textId="77777777" w:rsidR="001065EF" w:rsidRPr="003B4CA8" w:rsidRDefault="001065EF" w:rsidP="001065EF">
            <w:pPr>
              <w:rPr>
                <w:rFonts w:ascii="Arial" w:hAnsi="Arial" w:cs="Arial"/>
              </w:rPr>
            </w:pPr>
          </w:p>
        </w:tc>
        <w:tc>
          <w:tcPr>
            <w:tcW w:w="1559" w:type="dxa"/>
          </w:tcPr>
          <w:p w14:paraId="344830C1" w14:textId="32837AB5" w:rsidR="001065EF" w:rsidRPr="003B4CA8" w:rsidRDefault="003B4CA8" w:rsidP="00173DC9">
            <w:pPr>
              <w:rPr>
                <w:rFonts w:ascii="Arial" w:hAnsi="Arial" w:cs="Arial"/>
              </w:rPr>
            </w:pPr>
            <w:r w:rsidRPr="003B4CA8">
              <w:rPr>
                <w:rFonts w:ascii="Arial" w:hAnsi="Arial" w:cs="Arial"/>
              </w:rPr>
              <w:t>10</w:t>
            </w:r>
          </w:p>
        </w:tc>
        <w:tc>
          <w:tcPr>
            <w:tcW w:w="1418" w:type="dxa"/>
          </w:tcPr>
          <w:p w14:paraId="508321BD" w14:textId="77777777" w:rsidR="001065EF" w:rsidRPr="003B4CA8" w:rsidRDefault="001065EF" w:rsidP="001065EF">
            <w:pPr>
              <w:rPr>
                <w:rFonts w:ascii="Arial" w:hAnsi="Arial" w:cs="Arial"/>
              </w:rPr>
            </w:pPr>
          </w:p>
        </w:tc>
        <w:tc>
          <w:tcPr>
            <w:tcW w:w="4819" w:type="dxa"/>
          </w:tcPr>
          <w:p w14:paraId="51B23E2E" w14:textId="77777777" w:rsidR="001065EF" w:rsidRPr="003B4CA8" w:rsidRDefault="001065EF" w:rsidP="001065EF">
            <w:pPr>
              <w:rPr>
                <w:rFonts w:ascii="Arial" w:hAnsi="Arial" w:cs="Arial"/>
              </w:rPr>
            </w:pPr>
          </w:p>
        </w:tc>
      </w:tr>
      <w:tr w:rsidR="001065EF" w:rsidRPr="003B4CA8" w14:paraId="53C29E20" w14:textId="77777777" w:rsidTr="001065EF">
        <w:tc>
          <w:tcPr>
            <w:tcW w:w="710" w:type="dxa"/>
          </w:tcPr>
          <w:p w14:paraId="5DC4CC32" w14:textId="77777777" w:rsidR="001065EF" w:rsidRPr="003B4CA8" w:rsidRDefault="001065EF" w:rsidP="001065EF">
            <w:pPr>
              <w:pStyle w:val="ListParagraph"/>
              <w:numPr>
                <w:ilvl w:val="0"/>
                <w:numId w:val="10"/>
              </w:numPr>
              <w:rPr>
                <w:rFonts w:ascii="Arial" w:hAnsi="Arial" w:cs="Arial"/>
              </w:rPr>
            </w:pPr>
          </w:p>
        </w:tc>
        <w:tc>
          <w:tcPr>
            <w:tcW w:w="3538" w:type="dxa"/>
          </w:tcPr>
          <w:p w14:paraId="61DA8310" w14:textId="77777777" w:rsidR="001065EF" w:rsidRPr="003B4CA8" w:rsidRDefault="001065EF" w:rsidP="001065EF">
            <w:pPr>
              <w:rPr>
                <w:rFonts w:ascii="Arial" w:hAnsi="Arial" w:cs="Arial"/>
              </w:rPr>
            </w:pPr>
            <w:r w:rsidRPr="003B4CA8">
              <w:rPr>
                <w:rFonts w:ascii="Arial" w:hAnsi="Arial" w:cs="Arial"/>
              </w:rPr>
              <w:t>Proven delivery of relevant and effective strategic analysis</w:t>
            </w:r>
          </w:p>
        </w:tc>
        <w:tc>
          <w:tcPr>
            <w:tcW w:w="1701" w:type="dxa"/>
          </w:tcPr>
          <w:p w14:paraId="16E2E20B" w14:textId="77777777" w:rsidR="001065EF" w:rsidRPr="003B4CA8" w:rsidRDefault="001065EF" w:rsidP="001065EF">
            <w:pPr>
              <w:rPr>
                <w:rFonts w:ascii="Arial" w:hAnsi="Arial" w:cs="Arial"/>
              </w:rPr>
            </w:pPr>
          </w:p>
        </w:tc>
        <w:tc>
          <w:tcPr>
            <w:tcW w:w="1559" w:type="dxa"/>
          </w:tcPr>
          <w:p w14:paraId="190682AF" w14:textId="2E4D23F0" w:rsidR="001065EF" w:rsidRPr="003B4CA8" w:rsidRDefault="003B4CA8" w:rsidP="00173DC9">
            <w:pPr>
              <w:rPr>
                <w:rFonts w:ascii="Arial" w:hAnsi="Arial" w:cs="Arial"/>
              </w:rPr>
            </w:pPr>
            <w:r w:rsidRPr="003B4CA8">
              <w:rPr>
                <w:rFonts w:ascii="Arial" w:hAnsi="Arial" w:cs="Arial"/>
              </w:rPr>
              <w:t>10</w:t>
            </w:r>
          </w:p>
        </w:tc>
        <w:tc>
          <w:tcPr>
            <w:tcW w:w="1418" w:type="dxa"/>
          </w:tcPr>
          <w:p w14:paraId="29D04061" w14:textId="77777777" w:rsidR="001065EF" w:rsidRPr="003B4CA8" w:rsidRDefault="001065EF" w:rsidP="001065EF">
            <w:pPr>
              <w:rPr>
                <w:rFonts w:ascii="Arial" w:hAnsi="Arial" w:cs="Arial"/>
              </w:rPr>
            </w:pPr>
          </w:p>
        </w:tc>
        <w:tc>
          <w:tcPr>
            <w:tcW w:w="4819" w:type="dxa"/>
          </w:tcPr>
          <w:p w14:paraId="354283AF" w14:textId="77777777" w:rsidR="001065EF" w:rsidRPr="003B4CA8" w:rsidRDefault="001065EF" w:rsidP="001065EF">
            <w:pPr>
              <w:rPr>
                <w:rFonts w:ascii="Arial" w:hAnsi="Arial" w:cs="Arial"/>
              </w:rPr>
            </w:pPr>
          </w:p>
        </w:tc>
      </w:tr>
      <w:tr w:rsidR="001065EF" w:rsidRPr="003B4CA8" w14:paraId="6B14EE14" w14:textId="77777777" w:rsidTr="001065EF">
        <w:tc>
          <w:tcPr>
            <w:tcW w:w="710" w:type="dxa"/>
          </w:tcPr>
          <w:p w14:paraId="6C390B63" w14:textId="77777777" w:rsidR="001065EF" w:rsidRPr="003B4CA8" w:rsidRDefault="001065EF" w:rsidP="001065EF">
            <w:pPr>
              <w:pStyle w:val="ListParagraph"/>
              <w:numPr>
                <w:ilvl w:val="0"/>
                <w:numId w:val="10"/>
              </w:numPr>
              <w:rPr>
                <w:rFonts w:ascii="Arial" w:hAnsi="Arial" w:cs="Arial"/>
              </w:rPr>
            </w:pPr>
          </w:p>
        </w:tc>
        <w:tc>
          <w:tcPr>
            <w:tcW w:w="3538" w:type="dxa"/>
          </w:tcPr>
          <w:p w14:paraId="6376C608" w14:textId="77777777" w:rsidR="001065EF" w:rsidRPr="003B4CA8" w:rsidRDefault="001065EF" w:rsidP="001065EF">
            <w:pPr>
              <w:rPr>
                <w:rFonts w:ascii="Arial" w:hAnsi="Arial" w:cs="Arial"/>
              </w:rPr>
            </w:pPr>
            <w:r w:rsidRPr="003B4CA8">
              <w:rPr>
                <w:rFonts w:ascii="Arial" w:hAnsi="Arial" w:cs="Arial"/>
              </w:rPr>
              <w:t>Ability to offer novel and challenging perspectives</w:t>
            </w:r>
          </w:p>
        </w:tc>
        <w:tc>
          <w:tcPr>
            <w:tcW w:w="1701" w:type="dxa"/>
          </w:tcPr>
          <w:p w14:paraId="5E97FE7D" w14:textId="77777777" w:rsidR="001065EF" w:rsidRPr="003B4CA8" w:rsidRDefault="001065EF" w:rsidP="001065EF">
            <w:pPr>
              <w:rPr>
                <w:rFonts w:ascii="Arial" w:hAnsi="Arial" w:cs="Arial"/>
              </w:rPr>
            </w:pPr>
          </w:p>
        </w:tc>
        <w:tc>
          <w:tcPr>
            <w:tcW w:w="1559" w:type="dxa"/>
          </w:tcPr>
          <w:p w14:paraId="080AFC99" w14:textId="3C8BF269" w:rsidR="001065EF" w:rsidRPr="003B4CA8" w:rsidRDefault="003B4CA8" w:rsidP="00173DC9">
            <w:pPr>
              <w:rPr>
                <w:rFonts w:ascii="Arial" w:hAnsi="Arial" w:cs="Arial"/>
              </w:rPr>
            </w:pPr>
            <w:r w:rsidRPr="003B4CA8">
              <w:rPr>
                <w:rFonts w:ascii="Arial" w:hAnsi="Arial" w:cs="Arial"/>
              </w:rPr>
              <w:t>6</w:t>
            </w:r>
          </w:p>
        </w:tc>
        <w:tc>
          <w:tcPr>
            <w:tcW w:w="1418" w:type="dxa"/>
          </w:tcPr>
          <w:p w14:paraId="28891E60" w14:textId="77777777" w:rsidR="001065EF" w:rsidRPr="003B4CA8" w:rsidRDefault="001065EF" w:rsidP="001065EF">
            <w:pPr>
              <w:rPr>
                <w:rFonts w:ascii="Arial" w:hAnsi="Arial" w:cs="Arial"/>
              </w:rPr>
            </w:pPr>
          </w:p>
        </w:tc>
        <w:tc>
          <w:tcPr>
            <w:tcW w:w="4819" w:type="dxa"/>
          </w:tcPr>
          <w:p w14:paraId="2F5F0378" w14:textId="77777777" w:rsidR="001065EF" w:rsidRPr="003B4CA8" w:rsidRDefault="001065EF" w:rsidP="001065EF">
            <w:pPr>
              <w:rPr>
                <w:rFonts w:ascii="Arial" w:hAnsi="Arial" w:cs="Arial"/>
              </w:rPr>
            </w:pPr>
          </w:p>
        </w:tc>
      </w:tr>
      <w:tr w:rsidR="001065EF" w:rsidRPr="003B4CA8" w14:paraId="0976AFE6" w14:textId="77777777" w:rsidTr="001065EF">
        <w:tc>
          <w:tcPr>
            <w:tcW w:w="710" w:type="dxa"/>
          </w:tcPr>
          <w:p w14:paraId="1CFE6D27" w14:textId="77777777" w:rsidR="001065EF" w:rsidRPr="003B4CA8" w:rsidRDefault="001065EF" w:rsidP="001065EF">
            <w:pPr>
              <w:pStyle w:val="ListParagraph"/>
              <w:numPr>
                <w:ilvl w:val="0"/>
                <w:numId w:val="10"/>
              </w:numPr>
              <w:rPr>
                <w:rFonts w:ascii="Arial" w:hAnsi="Arial" w:cs="Arial"/>
              </w:rPr>
            </w:pPr>
          </w:p>
        </w:tc>
        <w:tc>
          <w:tcPr>
            <w:tcW w:w="3538" w:type="dxa"/>
          </w:tcPr>
          <w:p w14:paraId="67AE3C9E" w14:textId="77777777" w:rsidR="001065EF" w:rsidRPr="003B4CA8" w:rsidRDefault="001065EF" w:rsidP="001065EF">
            <w:pPr>
              <w:rPr>
                <w:rFonts w:ascii="Arial" w:hAnsi="Arial" w:cs="Arial"/>
              </w:rPr>
            </w:pPr>
            <w:r w:rsidRPr="003B4CA8">
              <w:rPr>
                <w:rFonts w:ascii="Arial" w:hAnsi="Arial" w:cs="Arial"/>
              </w:rPr>
              <w:t>Assured access to a network of wider subject-matter and international expertise</w:t>
            </w:r>
          </w:p>
        </w:tc>
        <w:tc>
          <w:tcPr>
            <w:tcW w:w="1701" w:type="dxa"/>
          </w:tcPr>
          <w:p w14:paraId="2258763B" w14:textId="77777777" w:rsidR="001065EF" w:rsidRPr="003B4CA8" w:rsidRDefault="001065EF" w:rsidP="001065EF">
            <w:pPr>
              <w:rPr>
                <w:rFonts w:ascii="Arial" w:hAnsi="Arial" w:cs="Arial"/>
              </w:rPr>
            </w:pPr>
          </w:p>
        </w:tc>
        <w:tc>
          <w:tcPr>
            <w:tcW w:w="1559" w:type="dxa"/>
          </w:tcPr>
          <w:p w14:paraId="36BC8070" w14:textId="2A2C6C85" w:rsidR="001065EF" w:rsidRPr="003B4CA8" w:rsidRDefault="003B4CA8" w:rsidP="00173DC9">
            <w:pPr>
              <w:rPr>
                <w:rFonts w:ascii="Arial" w:hAnsi="Arial" w:cs="Arial"/>
              </w:rPr>
            </w:pPr>
            <w:r w:rsidRPr="003B4CA8">
              <w:rPr>
                <w:rFonts w:ascii="Arial" w:hAnsi="Arial" w:cs="Arial"/>
              </w:rPr>
              <w:t>6</w:t>
            </w:r>
          </w:p>
        </w:tc>
        <w:tc>
          <w:tcPr>
            <w:tcW w:w="1418" w:type="dxa"/>
          </w:tcPr>
          <w:p w14:paraId="78981BB4" w14:textId="77777777" w:rsidR="001065EF" w:rsidRPr="003B4CA8" w:rsidRDefault="001065EF" w:rsidP="001065EF">
            <w:pPr>
              <w:rPr>
                <w:rFonts w:ascii="Arial" w:hAnsi="Arial" w:cs="Arial"/>
              </w:rPr>
            </w:pPr>
          </w:p>
        </w:tc>
        <w:tc>
          <w:tcPr>
            <w:tcW w:w="4819" w:type="dxa"/>
          </w:tcPr>
          <w:p w14:paraId="7E6BD27B" w14:textId="77777777" w:rsidR="001065EF" w:rsidRPr="003B4CA8" w:rsidRDefault="001065EF" w:rsidP="001065EF">
            <w:pPr>
              <w:rPr>
                <w:rFonts w:ascii="Arial" w:hAnsi="Arial" w:cs="Arial"/>
              </w:rPr>
            </w:pPr>
          </w:p>
        </w:tc>
      </w:tr>
      <w:tr w:rsidR="001065EF" w:rsidRPr="003B4CA8" w14:paraId="5BF71668" w14:textId="77777777" w:rsidTr="001065EF">
        <w:tc>
          <w:tcPr>
            <w:tcW w:w="710" w:type="dxa"/>
          </w:tcPr>
          <w:p w14:paraId="2946BDBC" w14:textId="77777777" w:rsidR="001065EF" w:rsidRPr="003B4CA8" w:rsidRDefault="001065EF" w:rsidP="001065EF">
            <w:pPr>
              <w:pStyle w:val="ListParagraph"/>
              <w:numPr>
                <w:ilvl w:val="0"/>
                <w:numId w:val="10"/>
              </w:numPr>
              <w:rPr>
                <w:rFonts w:ascii="Arial" w:hAnsi="Arial" w:cs="Arial"/>
              </w:rPr>
            </w:pPr>
          </w:p>
        </w:tc>
        <w:tc>
          <w:tcPr>
            <w:tcW w:w="3538" w:type="dxa"/>
          </w:tcPr>
          <w:p w14:paraId="19E98B19" w14:textId="77777777" w:rsidR="001065EF" w:rsidRPr="003B4CA8" w:rsidRDefault="001065EF" w:rsidP="001065EF">
            <w:pPr>
              <w:rPr>
                <w:rFonts w:ascii="Arial" w:hAnsi="Arial" w:cs="Arial"/>
              </w:rPr>
            </w:pPr>
            <w:r w:rsidRPr="003B4CA8">
              <w:rPr>
                <w:rFonts w:ascii="Arial" w:hAnsi="Arial" w:cs="Arial"/>
              </w:rPr>
              <w:t>Proven ability to deliver successful conferences</w:t>
            </w:r>
          </w:p>
        </w:tc>
        <w:tc>
          <w:tcPr>
            <w:tcW w:w="1701" w:type="dxa"/>
          </w:tcPr>
          <w:p w14:paraId="2F8A0198" w14:textId="77777777" w:rsidR="001065EF" w:rsidRPr="003B4CA8" w:rsidRDefault="001065EF" w:rsidP="001065EF">
            <w:pPr>
              <w:rPr>
                <w:rFonts w:ascii="Arial" w:hAnsi="Arial" w:cs="Arial"/>
              </w:rPr>
            </w:pPr>
          </w:p>
        </w:tc>
        <w:tc>
          <w:tcPr>
            <w:tcW w:w="1559" w:type="dxa"/>
          </w:tcPr>
          <w:p w14:paraId="5C6BF0F2" w14:textId="573C74C4" w:rsidR="001065EF" w:rsidRPr="003B4CA8" w:rsidRDefault="003B4CA8" w:rsidP="00173DC9">
            <w:pPr>
              <w:rPr>
                <w:rFonts w:ascii="Arial" w:hAnsi="Arial" w:cs="Arial"/>
              </w:rPr>
            </w:pPr>
            <w:r w:rsidRPr="003B4CA8">
              <w:rPr>
                <w:rFonts w:ascii="Arial" w:hAnsi="Arial" w:cs="Arial"/>
              </w:rPr>
              <w:t>10</w:t>
            </w:r>
          </w:p>
        </w:tc>
        <w:tc>
          <w:tcPr>
            <w:tcW w:w="1418" w:type="dxa"/>
          </w:tcPr>
          <w:p w14:paraId="34074DC1" w14:textId="77777777" w:rsidR="001065EF" w:rsidRPr="003B4CA8" w:rsidRDefault="001065EF" w:rsidP="001065EF">
            <w:pPr>
              <w:rPr>
                <w:rFonts w:ascii="Arial" w:hAnsi="Arial" w:cs="Arial"/>
              </w:rPr>
            </w:pPr>
          </w:p>
        </w:tc>
        <w:tc>
          <w:tcPr>
            <w:tcW w:w="4819" w:type="dxa"/>
          </w:tcPr>
          <w:p w14:paraId="173EB6CA" w14:textId="77777777" w:rsidR="001065EF" w:rsidRPr="003B4CA8" w:rsidRDefault="001065EF" w:rsidP="001065EF">
            <w:pPr>
              <w:rPr>
                <w:rFonts w:ascii="Arial" w:hAnsi="Arial" w:cs="Arial"/>
              </w:rPr>
            </w:pPr>
          </w:p>
        </w:tc>
      </w:tr>
      <w:tr w:rsidR="001065EF" w:rsidRPr="003B4CA8" w14:paraId="0CE4E3EB" w14:textId="77777777" w:rsidTr="001065EF">
        <w:tc>
          <w:tcPr>
            <w:tcW w:w="710" w:type="dxa"/>
          </w:tcPr>
          <w:p w14:paraId="3123885F" w14:textId="77777777" w:rsidR="001065EF" w:rsidRPr="003B4CA8" w:rsidRDefault="001065EF" w:rsidP="001065EF">
            <w:pPr>
              <w:pStyle w:val="ListParagraph"/>
              <w:numPr>
                <w:ilvl w:val="0"/>
                <w:numId w:val="10"/>
              </w:numPr>
              <w:rPr>
                <w:rFonts w:ascii="Arial" w:hAnsi="Arial" w:cs="Arial"/>
              </w:rPr>
            </w:pPr>
          </w:p>
        </w:tc>
        <w:tc>
          <w:tcPr>
            <w:tcW w:w="3538" w:type="dxa"/>
          </w:tcPr>
          <w:p w14:paraId="3B337044" w14:textId="77777777" w:rsidR="001065EF" w:rsidRPr="003B4CA8" w:rsidRDefault="001065EF" w:rsidP="001065EF">
            <w:pPr>
              <w:rPr>
                <w:rFonts w:ascii="Arial" w:hAnsi="Arial" w:cs="Arial"/>
              </w:rPr>
            </w:pPr>
            <w:r w:rsidRPr="003B4CA8">
              <w:rPr>
                <w:rFonts w:ascii="Arial" w:hAnsi="Arial" w:cs="Arial"/>
              </w:rPr>
              <w:t>Assured management and delivery of strategic analysis tasks and projects</w:t>
            </w:r>
          </w:p>
        </w:tc>
        <w:tc>
          <w:tcPr>
            <w:tcW w:w="1701" w:type="dxa"/>
          </w:tcPr>
          <w:p w14:paraId="3F66ACAE" w14:textId="77777777" w:rsidR="001065EF" w:rsidRPr="003B4CA8" w:rsidRDefault="001065EF" w:rsidP="001065EF">
            <w:pPr>
              <w:rPr>
                <w:rFonts w:ascii="Arial" w:hAnsi="Arial" w:cs="Arial"/>
              </w:rPr>
            </w:pPr>
          </w:p>
        </w:tc>
        <w:tc>
          <w:tcPr>
            <w:tcW w:w="1559" w:type="dxa"/>
          </w:tcPr>
          <w:p w14:paraId="60FB7017" w14:textId="06744560" w:rsidR="001065EF" w:rsidRPr="003B4CA8" w:rsidRDefault="003B4CA8" w:rsidP="00173DC9">
            <w:pPr>
              <w:rPr>
                <w:rFonts w:ascii="Arial" w:hAnsi="Arial" w:cs="Arial"/>
              </w:rPr>
            </w:pPr>
            <w:r w:rsidRPr="003B4CA8">
              <w:rPr>
                <w:rFonts w:ascii="Arial" w:hAnsi="Arial" w:cs="Arial"/>
              </w:rPr>
              <w:t>6</w:t>
            </w:r>
          </w:p>
        </w:tc>
        <w:tc>
          <w:tcPr>
            <w:tcW w:w="1418" w:type="dxa"/>
          </w:tcPr>
          <w:p w14:paraId="29081D3D" w14:textId="77777777" w:rsidR="001065EF" w:rsidRPr="003B4CA8" w:rsidRDefault="001065EF" w:rsidP="001065EF">
            <w:pPr>
              <w:rPr>
                <w:rFonts w:ascii="Arial" w:hAnsi="Arial" w:cs="Arial"/>
              </w:rPr>
            </w:pPr>
          </w:p>
        </w:tc>
        <w:tc>
          <w:tcPr>
            <w:tcW w:w="4819" w:type="dxa"/>
          </w:tcPr>
          <w:p w14:paraId="375682CE" w14:textId="77777777" w:rsidR="001065EF" w:rsidRPr="003B4CA8" w:rsidRDefault="001065EF" w:rsidP="001065EF">
            <w:pPr>
              <w:rPr>
                <w:rFonts w:ascii="Arial" w:hAnsi="Arial" w:cs="Arial"/>
              </w:rPr>
            </w:pPr>
          </w:p>
        </w:tc>
      </w:tr>
      <w:tr w:rsidR="001065EF" w:rsidRPr="003B4CA8" w14:paraId="580B66BF" w14:textId="77777777" w:rsidTr="001065EF">
        <w:tc>
          <w:tcPr>
            <w:tcW w:w="710" w:type="dxa"/>
          </w:tcPr>
          <w:p w14:paraId="440861FF" w14:textId="77777777" w:rsidR="001065EF" w:rsidRPr="003B4CA8" w:rsidRDefault="001065EF" w:rsidP="001065EF">
            <w:pPr>
              <w:pStyle w:val="ListParagraph"/>
              <w:numPr>
                <w:ilvl w:val="0"/>
                <w:numId w:val="10"/>
              </w:numPr>
              <w:rPr>
                <w:rFonts w:ascii="Arial" w:hAnsi="Arial" w:cs="Arial"/>
              </w:rPr>
            </w:pPr>
          </w:p>
        </w:tc>
        <w:tc>
          <w:tcPr>
            <w:tcW w:w="3538" w:type="dxa"/>
          </w:tcPr>
          <w:p w14:paraId="10A45340" w14:textId="77777777" w:rsidR="001065EF" w:rsidRPr="003B4CA8" w:rsidRDefault="001065EF" w:rsidP="001065EF">
            <w:pPr>
              <w:rPr>
                <w:rFonts w:ascii="Arial" w:hAnsi="Arial" w:cs="Arial"/>
              </w:rPr>
            </w:pPr>
            <w:r w:rsidRPr="003B4CA8">
              <w:rPr>
                <w:rFonts w:ascii="Arial" w:hAnsi="Arial" w:cs="Arial"/>
              </w:rPr>
              <w:t>Ability to provide dedicated personnel for specific projects</w:t>
            </w:r>
          </w:p>
        </w:tc>
        <w:tc>
          <w:tcPr>
            <w:tcW w:w="1701" w:type="dxa"/>
          </w:tcPr>
          <w:p w14:paraId="0B1A690A" w14:textId="77777777" w:rsidR="001065EF" w:rsidRPr="003B4CA8" w:rsidRDefault="001065EF" w:rsidP="001065EF">
            <w:pPr>
              <w:rPr>
                <w:rFonts w:ascii="Arial" w:hAnsi="Arial" w:cs="Arial"/>
              </w:rPr>
            </w:pPr>
          </w:p>
        </w:tc>
        <w:tc>
          <w:tcPr>
            <w:tcW w:w="1559" w:type="dxa"/>
          </w:tcPr>
          <w:p w14:paraId="0F3C4D3F" w14:textId="5B7FD939" w:rsidR="001065EF" w:rsidRPr="003B4CA8" w:rsidRDefault="003B4CA8" w:rsidP="00173DC9">
            <w:pPr>
              <w:rPr>
                <w:rFonts w:ascii="Arial" w:hAnsi="Arial" w:cs="Arial"/>
              </w:rPr>
            </w:pPr>
            <w:r w:rsidRPr="003B4CA8">
              <w:rPr>
                <w:rFonts w:ascii="Arial" w:hAnsi="Arial" w:cs="Arial"/>
              </w:rPr>
              <w:t>2</w:t>
            </w:r>
          </w:p>
        </w:tc>
        <w:tc>
          <w:tcPr>
            <w:tcW w:w="1418" w:type="dxa"/>
          </w:tcPr>
          <w:p w14:paraId="176C2E99" w14:textId="77777777" w:rsidR="001065EF" w:rsidRPr="003B4CA8" w:rsidRDefault="001065EF" w:rsidP="001065EF">
            <w:pPr>
              <w:rPr>
                <w:rFonts w:ascii="Arial" w:hAnsi="Arial" w:cs="Arial"/>
              </w:rPr>
            </w:pPr>
          </w:p>
        </w:tc>
        <w:tc>
          <w:tcPr>
            <w:tcW w:w="4819" w:type="dxa"/>
          </w:tcPr>
          <w:p w14:paraId="2C446CB7" w14:textId="77777777" w:rsidR="001065EF" w:rsidRPr="003B4CA8" w:rsidRDefault="001065EF" w:rsidP="001065EF">
            <w:pPr>
              <w:rPr>
                <w:rFonts w:ascii="Arial" w:hAnsi="Arial" w:cs="Arial"/>
              </w:rPr>
            </w:pPr>
          </w:p>
        </w:tc>
      </w:tr>
      <w:tr w:rsidR="001065EF" w:rsidRPr="003B4CA8" w14:paraId="0490986F" w14:textId="77777777" w:rsidTr="001065EF">
        <w:tc>
          <w:tcPr>
            <w:tcW w:w="710" w:type="dxa"/>
          </w:tcPr>
          <w:p w14:paraId="4871850D" w14:textId="77777777" w:rsidR="001065EF" w:rsidRPr="003B4CA8" w:rsidRDefault="001065EF" w:rsidP="001065EF">
            <w:pPr>
              <w:pStyle w:val="ListParagraph"/>
              <w:numPr>
                <w:ilvl w:val="0"/>
                <w:numId w:val="10"/>
              </w:numPr>
              <w:rPr>
                <w:rFonts w:ascii="Arial" w:hAnsi="Arial" w:cs="Arial"/>
              </w:rPr>
            </w:pPr>
          </w:p>
        </w:tc>
        <w:tc>
          <w:tcPr>
            <w:tcW w:w="3538" w:type="dxa"/>
          </w:tcPr>
          <w:p w14:paraId="460A317E" w14:textId="77777777" w:rsidR="001065EF" w:rsidRPr="003B4CA8" w:rsidRDefault="006266E4" w:rsidP="001065EF">
            <w:pPr>
              <w:rPr>
                <w:rFonts w:ascii="Arial" w:hAnsi="Arial" w:cs="Arial"/>
              </w:rPr>
            </w:pPr>
            <w:r w:rsidRPr="003B4CA8">
              <w:rPr>
                <w:rFonts w:ascii="Arial" w:hAnsi="Arial" w:cs="Arial"/>
              </w:rPr>
              <w:t>Provision of the Assistant Head (AH) of the Development, Analysis and Research (DAR) team</w:t>
            </w:r>
          </w:p>
        </w:tc>
        <w:tc>
          <w:tcPr>
            <w:tcW w:w="1701" w:type="dxa"/>
          </w:tcPr>
          <w:p w14:paraId="10198C96" w14:textId="77777777" w:rsidR="001065EF" w:rsidRPr="003B4CA8" w:rsidRDefault="001065EF" w:rsidP="001065EF">
            <w:pPr>
              <w:rPr>
                <w:rFonts w:ascii="Arial" w:hAnsi="Arial" w:cs="Arial"/>
              </w:rPr>
            </w:pPr>
          </w:p>
        </w:tc>
        <w:tc>
          <w:tcPr>
            <w:tcW w:w="1559" w:type="dxa"/>
          </w:tcPr>
          <w:p w14:paraId="3F3319DA" w14:textId="1594CFA2" w:rsidR="001065EF" w:rsidRPr="003B4CA8" w:rsidRDefault="003B4CA8" w:rsidP="00173DC9">
            <w:pPr>
              <w:rPr>
                <w:rFonts w:ascii="Arial" w:hAnsi="Arial" w:cs="Arial"/>
              </w:rPr>
            </w:pPr>
            <w:r w:rsidRPr="003B4CA8">
              <w:rPr>
                <w:rFonts w:ascii="Arial" w:hAnsi="Arial" w:cs="Arial"/>
              </w:rPr>
              <w:t>6</w:t>
            </w:r>
          </w:p>
        </w:tc>
        <w:tc>
          <w:tcPr>
            <w:tcW w:w="1418" w:type="dxa"/>
          </w:tcPr>
          <w:p w14:paraId="2673A55A" w14:textId="77777777" w:rsidR="001065EF" w:rsidRPr="003B4CA8" w:rsidRDefault="001065EF" w:rsidP="001065EF">
            <w:pPr>
              <w:rPr>
                <w:rFonts w:ascii="Arial" w:hAnsi="Arial" w:cs="Arial"/>
              </w:rPr>
            </w:pPr>
          </w:p>
        </w:tc>
        <w:tc>
          <w:tcPr>
            <w:tcW w:w="4819" w:type="dxa"/>
          </w:tcPr>
          <w:p w14:paraId="3D9B296A" w14:textId="77777777" w:rsidR="001065EF" w:rsidRPr="003B4CA8" w:rsidRDefault="001065EF" w:rsidP="001065EF">
            <w:pPr>
              <w:rPr>
                <w:rFonts w:ascii="Arial" w:hAnsi="Arial" w:cs="Arial"/>
              </w:rPr>
            </w:pPr>
          </w:p>
        </w:tc>
      </w:tr>
      <w:tr w:rsidR="008D6019" w:rsidRPr="003B4CA8" w14:paraId="64CE7EDB" w14:textId="77777777" w:rsidTr="001065EF">
        <w:tc>
          <w:tcPr>
            <w:tcW w:w="710" w:type="dxa"/>
          </w:tcPr>
          <w:p w14:paraId="3A349465" w14:textId="77777777" w:rsidR="008D6019" w:rsidRPr="003B4CA8" w:rsidRDefault="008D6019" w:rsidP="001065EF">
            <w:pPr>
              <w:pStyle w:val="ListParagraph"/>
              <w:numPr>
                <w:ilvl w:val="0"/>
                <w:numId w:val="10"/>
              </w:numPr>
              <w:rPr>
                <w:rFonts w:ascii="Arial" w:hAnsi="Arial" w:cs="Arial"/>
              </w:rPr>
            </w:pPr>
          </w:p>
        </w:tc>
        <w:tc>
          <w:tcPr>
            <w:tcW w:w="3538" w:type="dxa"/>
          </w:tcPr>
          <w:p w14:paraId="0E2DB7C4" w14:textId="77777777" w:rsidR="008D6019" w:rsidRPr="003B4CA8" w:rsidRDefault="008D6019" w:rsidP="001065EF">
            <w:pPr>
              <w:rPr>
                <w:rFonts w:ascii="Arial" w:hAnsi="Arial" w:cs="Arial"/>
              </w:rPr>
            </w:pPr>
            <w:r w:rsidRPr="003B4CA8">
              <w:rPr>
                <w:rFonts w:ascii="Arial" w:hAnsi="Arial" w:cs="Arial"/>
              </w:rPr>
              <w:t>Ability to edit and publish research and analysis</w:t>
            </w:r>
          </w:p>
        </w:tc>
        <w:tc>
          <w:tcPr>
            <w:tcW w:w="1701" w:type="dxa"/>
          </w:tcPr>
          <w:p w14:paraId="0AEFA236" w14:textId="77777777" w:rsidR="008D6019" w:rsidRPr="003B4CA8" w:rsidRDefault="008D6019" w:rsidP="001065EF">
            <w:pPr>
              <w:rPr>
                <w:rFonts w:ascii="Arial" w:hAnsi="Arial" w:cs="Arial"/>
              </w:rPr>
            </w:pPr>
          </w:p>
        </w:tc>
        <w:tc>
          <w:tcPr>
            <w:tcW w:w="1559" w:type="dxa"/>
          </w:tcPr>
          <w:p w14:paraId="262EBA73" w14:textId="362E0320" w:rsidR="008D6019" w:rsidRPr="003B4CA8" w:rsidRDefault="003B4CA8" w:rsidP="00173DC9">
            <w:pPr>
              <w:rPr>
                <w:rFonts w:ascii="Arial" w:hAnsi="Arial" w:cs="Arial"/>
              </w:rPr>
            </w:pPr>
            <w:r w:rsidRPr="003B4CA8">
              <w:rPr>
                <w:rFonts w:ascii="Arial" w:hAnsi="Arial" w:cs="Arial"/>
              </w:rPr>
              <w:t>2</w:t>
            </w:r>
          </w:p>
        </w:tc>
        <w:tc>
          <w:tcPr>
            <w:tcW w:w="1418" w:type="dxa"/>
          </w:tcPr>
          <w:p w14:paraId="69B39688" w14:textId="77777777" w:rsidR="008D6019" w:rsidRPr="003B4CA8" w:rsidRDefault="008D6019" w:rsidP="001065EF">
            <w:pPr>
              <w:rPr>
                <w:rFonts w:ascii="Arial" w:hAnsi="Arial" w:cs="Arial"/>
              </w:rPr>
            </w:pPr>
          </w:p>
        </w:tc>
        <w:tc>
          <w:tcPr>
            <w:tcW w:w="4819" w:type="dxa"/>
          </w:tcPr>
          <w:p w14:paraId="29A2C78F" w14:textId="77777777" w:rsidR="008D6019" w:rsidRPr="003B4CA8" w:rsidRDefault="008D6019" w:rsidP="001065EF">
            <w:pPr>
              <w:rPr>
                <w:rFonts w:ascii="Arial" w:hAnsi="Arial" w:cs="Arial"/>
              </w:rPr>
            </w:pPr>
          </w:p>
        </w:tc>
      </w:tr>
    </w:tbl>
    <w:p w14:paraId="60E58374" w14:textId="77777777" w:rsidR="00D641B5" w:rsidRPr="003B4CA8" w:rsidRDefault="00D641B5">
      <w:pPr>
        <w:rPr>
          <w:rFonts w:ascii="Arial" w:hAnsi="Arial" w:cs="Arial"/>
        </w:rPr>
      </w:pPr>
    </w:p>
    <w:tbl>
      <w:tblPr>
        <w:tblStyle w:val="TableGrid"/>
        <w:tblW w:w="0" w:type="auto"/>
        <w:tblLook w:val="04A0" w:firstRow="1" w:lastRow="0" w:firstColumn="1" w:lastColumn="0" w:noHBand="0" w:noVBand="1"/>
      </w:tblPr>
      <w:tblGrid>
        <w:gridCol w:w="830"/>
        <w:gridCol w:w="1280"/>
        <w:gridCol w:w="1887"/>
        <w:gridCol w:w="1662"/>
        <w:gridCol w:w="8196"/>
      </w:tblGrid>
      <w:tr w:rsidR="007E30CE" w:rsidRPr="003B4CA8" w14:paraId="1EE4E06F" w14:textId="77777777" w:rsidTr="008F4AC2">
        <w:tc>
          <w:tcPr>
            <w:tcW w:w="830" w:type="dxa"/>
          </w:tcPr>
          <w:p w14:paraId="5FF0E88F" w14:textId="77777777" w:rsidR="007E30CE" w:rsidRPr="003B4CA8" w:rsidRDefault="007E30CE">
            <w:pPr>
              <w:rPr>
                <w:rFonts w:ascii="Arial" w:hAnsi="Arial" w:cs="Arial"/>
                <w:b/>
              </w:rPr>
            </w:pPr>
            <w:r w:rsidRPr="003B4CA8">
              <w:rPr>
                <w:rFonts w:ascii="Arial" w:hAnsi="Arial" w:cs="Arial"/>
                <w:b/>
              </w:rPr>
              <w:t>Serial</w:t>
            </w:r>
          </w:p>
        </w:tc>
        <w:tc>
          <w:tcPr>
            <w:tcW w:w="1170" w:type="dxa"/>
          </w:tcPr>
          <w:p w14:paraId="3816939C" w14:textId="77777777" w:rsidR="007E30CE" w:rsidRPr="003B4CA8" w:rsidRDefault="007E30CE">
            <w:pPr>
              <w:rPr>
                <w:rFonts w:ascii="Arial" w:hAnsi="Arial" w:cs="Arial"/>
                <w:b/>
              </w:rPr>
            </w:pPr>
            <w:r w:rsidRPr="003B4CA8">
              <w:rPr>
                <w:rFonts w:ascii="Arial" w:hAnsi="Arial" w:cs="Arial"/>
                <w:b/>
              </w:rPr>
              <w:t>Weighting (H/M/L)</w:t>
            </w:r>
          </w:p>
        </w:tc>
        <w:tc>
          <w:tcPr>
            <w:tcW w:w="1887" w:type="dxa"/>
          </w:tcPr>
          <w:p w14:paraId="5529A375" w14:textId="77777777" w:rsidR="007E30CE" w:rsidRPr="003B4CA8" w:rsidRDefault="007E30CE">
            <w:pPr>
              <w:rPr>
                <w:rFonts w:ascii="Arial" w:hAnsi="Arial" w:cs="Arial"/>
                <w:b/>
              </w:rPr>
            </w:pPr>
            <w:r w:rsidRPr="003B4CA8">
              <w:rPr>
                <w:rFonts w:ascii="Arial" w:hAnsi="Arial" w:cs="Arial"/>
                <w:b/>
              </w:rPr>
              <w:t>Criteria</w:t>
            </w:r>
          </w:p>
        </w:tc>
        <w:tc>
          <w:tcPr>
            <w:tcW w:w="1662" w:type="dxa"/>
          </w:tcPr>
          <w:p w14:paraId="3970ACE6" w14:textId="77777777" w:rsidR="007E30CE" w:rsidRPr="003B4CA8" w:rsidRDefault="007E30CE">
            <w:pPr>
              <w:rPr>
                <w:rFonts w:ascii="Arial" w:hAnsi="Arial" w:cs="Arial"/>
                <w:b/>
              </w:rPr>
            </w:pPr>
            <w:r w:rsidRPr="003B4CA8">
              <w:rPr>
                <w:rFonts w:ascii="Arial" w:hAnsi="Arial" w:cs="Arial"/>
                <w:b/>
              </w:rPr>
              <w:t>SOR Ref</w:t>
            </w:r>
          </w:p>
        </w:tc>
        <w:tc>
          <w:tcPr>
            <w:tcW w:w="8196" w:type="dxa"/>
          </w:tcPr>
          <w:p w14:paraId="32A5D4E3" w14:textId="77777777" w:rsidR="007E30CE" w:rsidRPr="003B4CA8" w:rsidRDefault="007E30CE">
            <w:pPr>
              <w:rPr>
                <w:rFonts w:ascii="Arial" w:hAnsi="Arial" w:cs="Arial"/>
                <w:b/>
              </w:rPr>
            </w:pPr>
            <w:r w:rsidRPr="003B4CA8">
              <w:rPr>
                <w:rFonts w:ascii="Arial" w:hAnsi="Arial" w:cs="Arial"/>
                <w:b/>
              </w:rPr>
              <w:t>Evidence required</w:t>
            </w:r>
          </w:p>
        </w:tc>
      </w:tr>
      <w:tr w:rsidR="007E30CE" w:rsidRPr="003B4CA8" w14:paraId="5D8BBE00" w14:textId="77777777" w:rsidTr="008F4AC2">
        <w:tc>
          <w:tcPr>
            <w:tcW w:w="830" w:type="dxa"/>
          </w:tcPr>
          <w:p w14:paraId="4D82BF3E" w14:textId="77777777" w:rsidR="007E30CE" w:rsidRPr="003B4CA8" w:rsidRDefault="007E30CE" w:rsidP="007E30CE">
            <w:pPr>
              <w:pStyle w:val="ListParagraph"/>
              <w:numPr>
                <w:ilvl w:val="0"/>
                <w:numId w:val="7"/>
              </w:numPr>
              <w:rPr>
                <w:rFonts w:ascii="Arial" w:hAnsi="Arial" w:cs="Arial"/>
              </w:rPr>
            </w:pPr>
          </w:p>
        </w:tc>
        <w:tc>
          <w:tcPr>
            <w:tcW w:w="1170" w:type="dxa"/>
          </w:tcPr>
          <w:p w14:paraId="2BEF7ADA" w14:textId="77777777" w:rsidR="007E30CE" w:rsidRPr="003B4CA8" w:rsidRDefault="007E30CE">
            <w:pPr>
              <w:rPr>
                <w:rFonts w:ascii="Arial" w:hAnsi="Arial" w:cs="Arial"/>
              </w:rPr>
            </w:pPr>
            <w:r w:rsidRPr="003B4CA8">
              <w:rPr>
                <w:rFonts w:ascii="Arial" w:hAnsi="Arial" w:cs="Arial"/>
              </w:rPr>
              <w:t>H</w:t>
            </w:r>
          </w:p>
        </w:tc>
        <w:tc>
          <w:tcPr>
            <w:tcW w:w="1887" w:type="dxa"/>
          </w:tcPr>
          <w:p w14:paraId="1D48C20F" w14:textId="77777777" w:rsidR="007E30CE" w:rsidRPr="003B4CA8" w:rsidRDefault="007E30CE" w:rsidP="00347A7A">
            <w:pPr>
              <w:rPr>
                <w:rFonts w:ascii="Arial" w:hAnsi="Arial" w:cs="Arial"/>
              </w:rPr>
            </w:pPr>
            <w:r w:rsidRPr="003B4CA8">
              <w:rPr>
                <w:rFonts w:ascii="Arial" w:hAnsi="Arial" w:cs="Arial"/>
              </w:rPr>
              <w:t xml:space="preserve">A core team with in-house expertise in defence and </w:t>
            </w:r>
            <w:r w:rsidRPr="003B4CA8">
              <w:rPr>
                <w:rFonts w:ascii="Arial" w:hAnsi="Arial" w:cs="Arial"/>
              </w:rPr>
              <w:lastRenderedPageBreak/>
              <w:t>security policy analysis</w:t>
            </w:r>
          </w:p>
        </w:tc>
        <w:tc>
          <w:tcPr>
            <w:tcW w:w="1662" w:type="dxa"/>
          </w:tcPr>
          <w:p w14:paraId="773BD633" w14:textId="77777777" w:rsidR="000E1D48" w:rsidRPr="003B4CA8" w:rsidRDefault="00F75118" w:rsidP="000E1D48">
            <w:pPr>
              <w:rPr>
                <w:rFonts w:ascii="Arial" w:hAnsi="Arial" w:cs="Arial"/>
              </w:rPr>
            </w:pPr>
            <w:r w:rsidRPr="003B4CA8">
              <w:rPr>
                <w:rFonts w:ascii="Arial" w:hAnsi="Arial" w:cs="Arial"/>
              </w:rPr>
              <w:lastRenderedPageBreak/>
              <w:t xml:space="preserve">Para </w:t>
            </w:r>
            <w:r w:rsidR="000E1D48" w:rsidRPr="003B4CA8">
              <w:rPr>
                <w:rFonts w:ascii="Arial" w:hAnsi="Arial" w:cs="Arial"/>
              </w:rPr>
              <w:t xml:space="preserve">15, </w:t>
            </w:r>
          </w:p>
          <w:p w14:paraId="0B496A28" w14:textId="4D9551A5" w:rsidR="007E30CE" w:rsidRPr="003B4CA8" w:rsidRDefault="000E1D48" w:rsidP="000E1D48">
            <w:pPr>
              <w:rPr>
                <w:rFonts w:ascii="Arial" w:hAnsi="Arial" w:cs="Arial"/>
              </w:rPr>
            </w:pPr>
            <w:r w:rsidRPr="003B4CA8">
              <w:rPr>
                <w:rFonts w:ascii="Arial" w:hAnsi="Arial" w:cs="Arial"/>
              </w:rPr>
              <w:t>Para 17(a)</w:t>
            </w:r>
          </w:p>
        </w:tc>
        <w:tc>
          <w:tcPr>
            <w:tcW w:w="8196" w:type="dxa"/>
          </w:tcPr>
          <w:p w14:paraId="1A7A368F" w14:textId="77777777" w:rsidR="007E30CE" w:rsidRPr="003B4CA8" w:rsidRDefault="007E30CE" w:rsidP="00E91A7B">
            <w:pPr>
              <w:rPr>
                <w:rFonts w:ascii="Arial" w:hAnsi="Arial" w:cs="Arial"/>
              </w:rPr>
            </w:pPr>
            <w:r w:rsidRPr="003B4CA8">
              <w:rPr>
                <w:rFonts w:ascii="Arial" w:hAnsi="Arial" w:cs="Arial"/>
              </w:rPr>
              <w:t xml:space="preserve">A strong bid will provide clear evidence to demonstrate the depth and breadth </w:t>
            </w:r>
            <w:r w:rsidR="00CD5C50" w:rsidRPr="003B4CA8">
              <w:rPr>
                <w:rFonts w:ascii="Arial" w:hAnsi="Arial" w:cs="Arial"/>
              </w:rPr>
              <w:t xml:space="preserve">of </w:t>
            </w:r>
            <w:r w:rsidRPr="003B4CA8">
              <w:rPr>
                <w:rFonts w:ascii="Arial" w:hAnsi="Arial" w:cs="Arial"/>
              </w:rPr>
              <w:t>expertise offered by the bidder</w:t>
            </w:r>
            <w:r w:rsidR="001C2119" w:rsidRPr="003B4CA8">
              <w:rPr>
                <w:rFonts w:ascii="Arial" w:hAnsi="Arial" w:cs="Arial"/>
              </w:rPr>
              <w:t>’s core team</w:t>
            </w:r>
            <w:r w:rsidRPr="003B4CA8">
              <w:rPr>
                <w:rFonts w:ascii="Arial" w:hAnsi="Arial" w:cs="Arial"/>
              </w:rPr>
              <w:t>. While there should be a clear focus on the individuals within the bidding organisation(s) whose expertise the Authority will benefit from, the national and international standing and reputation of the bidding organisation(s) themselves is also important.</w:t>
            </w:r>
            <w:r w:rsidR="00CD5C50" w:rsidRPr="003B4CA8">
              <w:rPr>
                <w:rFonts w:ascii="Arial" w:hAnsi="Arial" w:cs="Arial"/>
              </w:rPr>
              <w:t xml:space="preserve"> </w:t>
            </w:r>
            <w:r w:rsidR="005B2B3E" w:rsidRPr="003B4CA8">
              <w:rPr>
                <w:rFonts w:ascii="Arial" w:hAnsi="Arial" w:cs="Arial"/>
              </w:rPr>
              <w:t xml:space="preserve"> </w:t>
            </w:r>
          </w:p>
        </w:tc>
      </w:tr>
      <w:tr w:rsidR="007E30CE" w:rsidRPr="003B4CA8" w14:paraId="1D7228D0" w14:textId="77777777" w:rsidTr="008F4AC2">
        <w:trPr>
          <w:trHeight w:val="433"/>
        </w:trPr>
        <w:tc>
          <w:tcPr>
            <w:tcW w:w="830" w:type="dxa"/>
          </w:tcPr>
          <w:p w14:paraId="5504ECBA" w14:textId="77777777" w:rsidR="007E30CE" w:rsidRPr="003B4CA8" w:rsidRDefault="007E30CE" w:rsidP="007E30CE">
            <w:pPr>
              <w:pStyle w:val="ListParagraph"/>
              <w:numPr>
                <w:ilvl w:val="0"/>
                <w:numId w:val="7"/>
              </w:numPr>
              <w:rPr>
                <w:rFonts w:ascii="Arial" w:hAnsi="Arial" w:cs="Arial"/>
              </w:rPr>
            </w:pPr>
          </w:p>
        </w:tc>
        <w:tc>
          <w:tcPr>
            <w:tcW w:w="1170" w:type="dxa"/>
          </w:tcPr>
          <w:p w14:paraId="38FA7689" w14:textId="77777777" w:rsidR="007E30CE" w:rsidRPr="003B4CA8" w:rsidRDefault="007E30CE">
            <w:pPr>
              <w:rPr>
                <w:rFonts w:ascii="Arial" w:hAnsi="Arial" w:cs="Arial"/>
              </w:rPr>
            </w:pPr>
            <w:r w:rsidRPr="003B4CA8">
              <w:rPr>
                <w:rFonts w:ascii="Arial" w:hAnsi="Arial" w:cs="Arial"/>
              </w:rPr>
              <w:t>H</w:t>
            </w:r>
          </w:p>
        </w:tc>
        <w:tc>
          <w:tcPr>
            <w:tcW w:w="1887" w:type="dxa"/>
          </w:tcPr>
          <w:p w14:paraId="7BA22CE0" w14:textId="77777777" w:rsidR="007E30CE" w:rsidRPr="003B4CA8" w:rsidRDefault="007E30CE">
            <w:pPr>
              <w:rPr>
                <w:rFonts w:ascii="Arial" w:hAnsi="Arial" w:cs="Arial"/>
              </w:rPr>
            </w:pPr>
            <w:r w:rsidRPr="003B4CA8">
              <w:rPr>
                <w:rFonts w:ascii="Arial" w:hAnsi="Arial" w:cs="Arial"/>
              </w:rPr>
              <w:t>Proven delivery of relevant and effective strategic analysis</w:t>
            </w:r>
          </w:p>
        </w:tc>
        <w:tc>
          <w:tcPr>
            <w:tcW w:w="1662" w:type="dxa"/>
          </w:tcPr>
          <w:p w14:paraId="17A075AE" w14:textId="3BA1E2B1" w:rsidR="007E30CE" w:rsidRPr="003B4CA8" w:rsidRDefault="00F75118" w:rsidP="000E1D48">
            <w:pPr>
              <w:rPr>
                <w:rFonts w:ascii="Arial" w:hAnsi="Arial" w:cs="Arial"/>
              </w:rPr>
            </w:pPr>
            <w:r w:rsidRPr="003B4CA8">
              <w:rPr>
                <w:rFonts w:ascii="Arial" w:hAnsi="Arial" w:cs="Arial"/>
              </w:rPr>
              <w:t xml:space="preserve">Para </w:t>
            </w:r>
            <w:r w:rsidR="000E1D48" w:rsidRPr="003B4CA8">
              <w:rPr>
                <w:rFonts w:ascii="Arial" w:hAnsi="Arial" w:cs="Arial"/>
              </w:rPr>
              <w:t>17</w:t>
            </w:r>
            <w:r w:rsidRPr="003B4CA8">
              <w:rPr>
                <w:rFonts w:ascii="Arial" w:hAnsi="Arial" w:cs="Arial"/>
              </w:rPr>
              <w:t>(a)</w:t>
            </w:r>
          </w:p>
        </w:tc>
        <w:tc>
          <w:tcPr>
            <w:tcW w:w="8196" w:type="dxa"/>
          </w:tcPr>
          <w:p w14:paraId="01CF41B2" w14:textId="09914BC7" w:rsidR="001C2119" w:rsidRPr="003B4CA8" w:rsidRDefault="007E30CE">
            <w:pPr>
              <w:rPr>
                <w:rFonts w:ascii="Arial" w:hAnsi="Arial" w:cs="Arial"/>
              </w:rPr>
            </w:pPr>
            <w:r w:rsidRPr="003B4CA8">
              <w:rPr>
                <w:rFonts w:ascii="Arial" w:hAnsi="Arial" w:cs="Arial"/>
              </w:rPr>
              <w:t xml:space="preserve">A strong bid will provide evidence of recent (within the last 5 years) research and analysis projects, delivered to inform and support the development of defence and security policy and strategy. </w:t>
            </w:r>
            <w:r w:rsidR="00800549">
              <w:rPr>
                <w:rFonts w:ascii="Arial" w:hAnsi="Arial" w:cs="Arial"/>
              </w:rPr>
              <w:t>At least three examples should be provided here.</w:t>
            </w:r>
          </w:p>
          <w:p w14:paraId="071806F6" w14:textId="77777777" w:rsidR="001C2119" w:rsidRPr="003B4CA8" w:rsidRDefault="001C2119">
            <w:pPr>
              <w:rPr>
                <w:rFonts w:ascii="Arial" w:hAnsi="Arial" w:cs="Arial"/>
              </w:rPr>
            </w:pPr>
          </w:p>
          <w:p w14:paraId="29802ACE" w14:textId="77777777" w:rsidR="008F271C" w:rsidRDefault="001C2119" w:rsidP="00E91A7B">
            <w:pPr>
              <w:rPr>
                <w:rFonts w:ascii="Arial" w:hAnsi="Arial" w:cs="Arial"/>
              </w:rPr>
            </w:pPr>
            <w:r w:rsidRPr="003B4CA8">
              <w:rPr>
                <w:rFonts w:ascii="Arial" w:hAnsi="Arial" w:cs="Arial"/>
              </w:rPr>
              <w:t xml:space="preserve">The bidder will demonstrate the quality and pedigree of previous research and analysis. </w:t>
            </w:r>
            <w:r w:rsidR="007E30CE" w:rsidRPr="003B4CA8">
              <w:rPr>
                <w:rFonts w:ascii="Arial" w:hAnsi="Arial" w:cs="Arial"/>
              </w:rPr>
              <w:t xml:space="preserve">The bidder will </w:t>
            </w:r>
            <w:r w:rsidRPr="003B4CA8">
              <w:rPr>
                <w:rFonts w:ascii="Arial" w:hAnsi="Arial" w:cs="Arial"/>
              </w:rPr>
              <w:t xml:space="preserve">also </w:t>
            </w:r>
            <w:r w:rsidR="007E30CE" w:rsidRPr="003B4CA8">
              <w:rPr>
                <w:rFonts w:ascii="Arial" w:hAnsi="Arial" w:cs="Arial"/>
              </w:rPr>
              <w:t>demonstrate the successful impact of the</w:t>
            </w:r>
            <w:r w:rsidRPr="003B4CA8">
              <w:rPr>
                <w:rFonts w:ascii="Arial" w:hAnsi="Arial" w:cs="Arial"/>
              </w:rPr>
              <w:t xml:space="preserve">ir work </w:t>
            </w:r>
            <w:r w:rsidR="007E30CE" w:rsidRPr="003B4CA8">
              <w:rPr>
                <w:rFonts w:ascii="Arial" w:hAnsi="Arial" w:cs="Arial"/>
              </w:rPr>
              <w:t>on the relevant customer or target audience.</w:t>
            </w:r>
          </w:p>
          <w:p w14:paraId="3FCFAED0" w14:textId="2254C7C2" w:rsidR="008F271C" w:rsidRPr="003B4CA8" w:rsidRDefault="008F271C" w:rsidP="00E91A7B">
            <w:pPr>
              <w:rPr>
                <w:rFonts w:ascii="Arial" w:hAnsi="Arial" w:cs="Arial"/>
              </w:rPr>
            </w:pPr>
          </w:p>
        </w:tc>
      </w:tr>
      <w:tr w:rsidR="007E30CE" w:rsidRPr="003B4CA8" w14:paraId="7768D8F5" w14:textId="77777777" w:rsidTr="008F4AC2">
        <w:tc>
          <w:tcPr>
            <w:tcW w:w="830" w:type="dxa"/>
          </w:tcPr>
          <w:p w14:paraId="3F947427" w14:textId="77777777" w:rsidR="007E30CE" w:rsidRPr="003B4CA8" w:rsidRDefault="007E30CE" w:rsidP="007E30CE">
            <w:pPr>
              <w:pStyle w:val="ListParagraph"/>
              <w:numPr>
                <w:ilvl w:val="0"/>
                <w:numId w:val="7"/>
              </w:numPr>
              <w:rPr>
                <w:rFonts w:ascii="Arial" w:hAnsi="Arial" w:cs="Arial"/>
              </w:rPr>
            </w:pPr>
          </w:p>
        </w:tc>
        <w:tc>
          <w:tcPr>
            <w:tcW w:w="1170" w:type="dxa"/>
          </w:tcPr>
          <w:p w14:paraId="3D38C5AC" w14:textId="77777777" w:rsidR="007E30CE" w:rsidRPr="003B4CA8" w:rsidRDefault="007E30CE" w:rsidP="007E30CE">
            <w:pPr>
              <w:rPr>
                <w:rFonts w:ascii="Arial" w:hAnsi="Arial" w:cs="Arial"/>
              </w:rPr>
            </w:pPr>
            <w:r w:rsidRPr="003B4CA8">
              <w:rPr>
                <w:rFonts w:ascii="Arial" w:hAnsi="Arial" w:cs="Arial"/>
              </w:rPr>
              <w:t>M</w:t>
            </w:r>
          </w:p>
        </w:tc>
        <w:tc>
          <w:tcPr>
            <w:tcW w:w="1887" w:type="dxa"/>
          </w:tcPr>
          <w:p w14:paraId="46043897" w14:textId="77777777" w:rsidR="007E30CE" w:rsidRPr="003B4CA8" w:rsidRDefault="007E30CE" w:rsidP="007E30CE">
            <w:pPr>
              <w:rPr>
                <w:rFonts w:ascii="Arial" w:hAnsi="Arial" w:cs="Arial"/>
              </w:rPr>
            </w:pPr>
            <w:r w:rsidRPr="003B4CA8">
              <w:rPr>
                <w:rFonts w:ascii="Arial" w:hAnsi="Arial" w:cs="Arial"/>
              </w:rPr>
              <w:t>Ability to offer novel and challenging perspectives</w:t>
            </w:r>
          </w:p>
        </w:tc>
        <w:tc>
          <w:tcPr>
            <w:tcW w:w="1662" w:type="dxa"/>
          </w:tcPr>
          <w:p w14:paraId="5D723CB3" w14:textId="77777777" w:rsidR="000E1D48" w:rsidRPr="003B4CA8" w:rsidRDefault="007E30CE" w:rsidP="007E30CE">
            <w:pPr>
              <w:rPr>
                <w:rFonts w:ascii="Arial" w:hAnsi="Arial" w:cs="Arial"/>
              </w:rPr>
            </w:pPr>
            <w:r w:rsidRPr="003B4CA8">
              <w:rPr>
                <w:rFonts w:ascii="Arial" w:hAnsi="Arial" w:cs="Arial"/>
              </w:rPr>
              <w:t xml:space="preserve">Para </w:t>
            </w:r>
            <w:r w:rsidR="000E1D48" w:rsidRPr="003B4CA8">
              <w:rPr>
                <w:rFonts w:ascii="Arial" w:hAnsi="Arial" w:cs="Arial"/>
              </w:rPr>
              <w:t>11</w:t>
            </w:r>
          </w:p>
          <w:p w14:paraId="461E6DE4" w14:textId="7B07D6ED" w:rsidR="00F75118" w:rsidRPr="003B4CA8" w:rsidRDefault="00F75118" w:rsidP="000E1D48">
            <w:pPr>
              <w:rPr>
                <w:rFonts w:ascii="Arial" w:hAnsi="Arial" w:cs="Arial"/>
              </w:rPr>
            </w:pPr>
            <w:r w:rsidRPr="003B4CA8">
              <w:rPr>
                <w:rFonts w:ascii="Arial" w:hAnsi="Arial" w:cs="Arial"/>
              </w:rPr>
              <w:t xml:space="preserve">Para </w:t>
            </w:r>
            <w:r w:rsidR="000E1D48" w:rsidRPr="003B4CA8">
              <w:rPr>
                <w:rFonts w:ascii="Arial" w:hAnsi="Arial" w:cs="Arial"/>
              </w:rPr>
              <w:t>17</w:t>
            </w:r>
            <w:r w:rsidRPr="003B4CA8">
              <w:rPr>
                <w:rFonts w:ascii="Arial" w:hAnsi="Arial" w:cs="Arial"/>
              </w:rPr>
              <w:t>(b)</w:t>
            </w:r>
          </w:p>
        </w:tc>
        <w:tc>
          <w:tcPr>
            <w:tcW w:w="8196" w:type="dxa"/>
          </w:tcPr>
          <w:p w14:paraId="186A9341" w14:textId="77777777" w:rsidR="007E30CE" w:rsidRPr="003B4CA8" w:rsidRDefault="007E30CE" w:rsidP="007E30CE">
            <w:pPr>
              <w:rPr>
                <w:rFonts w:ascii="Arial" w:hAnsi="Arial" w:cs="Arial"/>
              </w:rPr>
            </w:pPr>
            <w:r w:rsidRPr="003B4CA8">
              <w:rPr>
                <w:rFonts w:ascii="Arial" w:hAnsi="Arial" w:cs="Arial"/>
              </w:rPr>
              <w:t>A strong bid will demonstrate that the bidder is able to offer the Authority a proven ability to:</w:t>
            </w:r>
          </w:p>
          <w:p w14:paraId="4B9FECC5" w14:textId="77777777" w:rsidR="007E30CE" w:rsidRPr="003B4CA8" w:rsidRDefault="007E30CE" w:rsidP="007E30CE">
            <w:pPr>
              <w:rPr>
                <w:rFonts w:ascii="Arial" w:hAnsi="Arial" w:cs="Arial"/>
              </w:rPr>
            </w:pPr>
          </w:p>
          <w:p w14:paraId="514B1855" w14:textId="77777777" w:rsidR="007E30CE" w:rsidRPr="003B4CA8" w:rsidRDefault="007E30CE" w:rsidP="007E30CE">
            <w:pPr>
              <w:pStyle w:val="ListParagraph"/>
              <w:numPr>
                <w:ilvl w:val="0"/>
                <w:numId w:val="5"/>
              </w:numPr>
              <w:rPr>
                <w:rFonts w:ascii="Arial" w:hAnsi="Arial" w:cs="Arial"/>
              </w:rPr>
            </w:pPr>
            <w:r w:rsidRPr="003B4CA8">
              <w:rPr>
                <w:rFonts w:ascii="Arial" w:hAnsi="Arial" w:cs="Arial"/>
              </w:rPr>
              <w:t xml:space="preserve">take novel approaches </w:t>
            </w:r>
            <w:r w:rsidR="00CD5C50" w:rsidRPr="003B4CA8">
              <w:rPr>
                <w:rFonts w:ascii="Arial" w:hAnsi="Arial" w:cs="Arial"/>
              </w:rPr>
              <w:t xml:space="preserve">and offer alternative perspectives </w:t>
            </w:r>
            <w:r w:rsidRPr="003B4CA8">
              <w:rPr>
                <w:rFonts w:ascii="Arial" w:hAnsi="Arial" w:cs="Arial"/>
              </w:rPr>
              <w:t>to contemporary challenges</w:t>
            </w:r>
            <w:r w:rsidR="00CD5C50" w:rsidRPr="003B4CA8">
              <w:rPr>
                <w:rFonts w:ascii="Arial" w:hAnsi="Arial" w:cs="Arial"/>
              </w:rPr>
              <w:t xml:space="preserve"> in the field</w:t>
            </w:r>
          </w:p>
          <w:p w14:paraId="48F15BC1" w14:textId="77777777" w:rsidR="007E30CE" w:rsidRPr="003B4CA8" w:rsidRDefault="007E30CE" w:rsidP="007E30CE">
            <w:pPr>
              <w:pStyle w:val="ListParagraph"/>
              <w:numPr>
                <w:ilvl w:val="0"/>
                <w:numId w:val="5"/>
              </w:numPr>
              <w:rPr>
                <w:rFonts w:ascii="Arial" w:hAnsi="Arial" w:cs="Arial"/>
              </w:rPr>
            </w:pPr>
            <w:r w:rsidRPr="003B4CA8">
              <w:rPr>
                <w:rFonts w:ascii="Arial" w:hAnsi="Arial" w:cs="Arial"/>
              </w:rPr>
              <w:t>keep up with emerging best practice and latest thinking in their field, leading by example where possible</w:t>
            </w:r>
          </w:p>
          <w:p w14:paraId="6E59E403" w14:textId="77777777" w:rsidR="007E30CE" w:rsidRPr="003B4CA8" w:rsidRDefault="007E30CE" w:rsidP="007E30CE">
            <w:pPr>
              <w:pStyle w:val="ListParagraph"/>
              <w:numPr>
                <w:ilvl w:val="0"/>
                <w:numId w:val="5"/>
              </w:numPr>
              <w:rPr>
                <w:rFonts w:ascii="Arial" w:hAnsi="Arial" w:cs="Arial"/>
              </w:rPr>
            </w:pPr>
            <w:r w:rsidRPr="003B4CA8">
              <w:rPr>
                <w:rFonts w:ascii="Arial" w:hAnsi="Arial" w:cs="Arial"/>
              </w:rPr>
              <w:t>invest in continuous professional development at the individual and organisational level</w:t>
            </w:r>
          </w:p>
          <w:p w14:paraId="098D2C52" w14:textId="77777777" w:rsidR="007E30CE" w:rsidRPr="003B4CA8" w:rsidRDefault="007E30CE" w:rsidP="007E30CE">
            <w:pPr>
              <w:pStyle w:val="ListParagraph"/>
              <w:numPr>
                <w:ilvl w:val="0"/>
                <w:numId w:val="5"/>
              </w:numPr>
              <w:rPr>
                <w:rFonts w:ascii="Arial" w:hAnsi="Arial" w:cs="Arial"/>
              </w:rPr>
            </w:pPr>
            <w:r w:rsidRPr="003B4CA8">
              <w:rPr>
                <w:rFonts w:ascii="Arial" w:hAnsi="Arial" w:cs="Arial"/>
              </w:rPr>
              <w:t>apply critical approaches</w:t>
            </w:r>
          </w:p>
          <w:p w14:paraId="07EA088E" w14:textId="77777777" w:rsidR="007E30CE" w:rsidRPr="003B4CA8" w:rsidRDefault="007E30CE" w:rsidP="007E30CE">
            <w:pPr>
              <w:pStyle w:val="ListParagraph"/>
              <w:numPr>
                <w:ilvl w:val="0"/>
                <w:numId w:val="5"/>
              </w:numPr>
              <w:rPr>
                <w:rFonts w:ascii="Arial" w:hAnsi="Arial" w:cs="Arial"/>
              </w:rPr>
            </w:pPr>
            <w:r w:rsidRPr="003B4CA8">
              <w:rPr>
                <w:rFonts w:ascii="Arial" w:hAnsi="Arial" w:cs="Arial"/>
              </w:rPr>
              <w:t>challenge consensus, ‘groupthink’ and complacency in their field</w:t>
            </w:r>
          </w:p>
          <w:p w14:paraId="16FBC48D" w14:textId="77777777" w:rsidR="00CD5C50" w:rsidRDefault="00CD5C50" w:rsidP="00CD5C50">
            <w:pPr>
              <w:pStyle w:val="ListParagraph"/>
              <w:numPr>
                <w:ilvl w:val="0"/>
                <w:numId w:val="5"/>
              </w:numPr>
              <w:rPr>
                <w:rFonts w:ascii="Arial" w:hAnsi="Arial" w:cs="Arial"/>
              </w:rPr>
            </w:pPr>
            <w:proofErr w:type="gramStart"/>
            <w:r w:rsidRPr="003B4CA8">
              <w:rPr>
                <w:rFonts w:ascii="Arial" w:hAnsi="Arial" w:cs="Arial"/>
              </w:rPr>
              <w:t>benefit</w:t>
            </w:r>
            <w:proofErr w:type="gramEnd"/>
            <w:r w:rsidRPr="003B4CA8">
              <w:rPr>
                <w:rFonts w:ascii="Arial" w:hAnsi="Arial" w:cs="Arial"/>
              </w:rPr>
              <w:t xml:space="preserve"> from a diverse set of perspectives across nationality, age, background, ethnicity, gender, experience, expertise, etc.</w:t>
            </w:r>
          </w:p>
          <w:p w14:paraId="3856DCFE" w14:textId="77777777" w:rsidR="008F271C" w:rsidRPr="003B4CA8" w:rsidRDefault="008F271C" w:rsidP="008F271C">
            <w:pPr>
              <w:pStyle w:val="ListParagraph"/>
              <w:ind w:left="770"/>
              <w:rPr>
                <w:rFonts w:ascii="Arial" w:hAnsi="Arial" w:cs="Arial"/>
              </w:rPr>
            </w:pPr>
          </w:p>
        </w:tc>
      </w:tr>
      <w:tr w:rsidR="007E30CE" w:rsidRPr="003B4CA8" w14:paraId="56B33F69" w14:textId="77777777" w:rsidTr="008F4AC2">
        <w:tc>
          <w:tcPr>
            <w:tcW w:w="830" w:type="dxa"/>
          </w:tcPr>
          <w:p w14:paraId="0C58234C" w14:textId="028F89BB" w:rsidR="007E30CE" w:rsidRPr="003B4CA8" w:rsidRDefault="007E30CE" w:rsidP="007E30CE">
            <w:pPr>
              <w:pStyle w:val="ListParagraph"/>
              <w:numPr>
                <w:ilvl w:val="0"/>
                <w:numId w:val="7"/>
              </w:numPr>
              <w:rPr>
                <w:rFonts w:ascii="Arial" w:hAnsi="Arial" w:cs="Arial"/>
              </w:rPr>
            </w:pPr>
          </w:p>
        </w:tc>
        <w:tc>
          <w:tcPr>
            <w:tcW w:w="1170" w:type="dxa"/>
          </w:tcPr>
          <w:p w14:paraId="2C4ECA7D" w14:textId="77777777" w:rsidR="007E30CE" w:rsidRPr="003B4CA8" w:rsidRDefault="007E30CE" w:rsidP="007E30CE">
            <w:pPr>
              <w:rPr>
                <w:rFonts w:ascii="Arial" w:hAnsi="Arial" w:cs="Arial"/>
              </w:rPr>
            </w:pPr>
            <w:r w:rsidRPr="003B4CA8">
              <w:rPr>
                <w:rFonts w:ascii="Arial" w:hAnsi="Arial" w:cs="Arial"/>
              </w:rPr>
              <w:t>M</w:t>
            </w:r>
          </w:p>
        </w:tc>
        <w:tc>
          <w:tcPr>
            <w:tcW w:w="1887" w:type="dxa"/>
          </w:tcPr>
          <w:p w14:paraId="65BAF9DF" w14:textId="77777777" w:rsidR="007E30CE" w:rsidRPr="003B4CA8" w:rsidRDefault="007E30CE" w:rsidP="007E30CE">
            <w:pPr>
              <w:rPr>
                <w:rFonts w:ascii="Arial" w:hAnsi="Arial" w:cs="Arial"/>
              </w:rPr>
            </w:pPr>
            <w:r w:rsidRPr="003B4CA8">
              <w:rPr>
                <w:rFonts w:ascii="Arial" w:hAnsi="Arial" w:cs="Arial"/>
              </w:rPr>
              <w:t>Assured access to a network of wider subject-matter and international expertise</w:t>
            </w:r>
          </w:p>
        </w:tc>
        <w:tc>
          <w:tcPr>
            <w:tcW w:w="1662" w:type="dxa"/>
          </w:tcPr>
          <w:p w14:paraId="5110BF65" w14:textId="7CA6D98B" w:rsidR="007E30CE" w:rsidRPr="003B4CA8" w:rsidRDefault="00F75118" w:rsidP="007D704F">
            <w:pPr>
              <w:rPr>
                <w:rFonts w:ascii="Arial" w:hAnsi="Arial" w:cs="Arial"/>
              </w:rPr>
            </w:pPr>
            <w:r w:rsidRPr="003B4CA8">
              <w:rPr>
                <w:rFonts w:ascii="Arial" w:hAnsi="Arial" w:cs="Arial"/>
              </w:rPr>
              <w:t xml:space="preserve">Para </w:t>
            </w:r>
            <w:r w:rsidR="007D704F" w:rsidRPr="003B4CA8">
              <w:rPr>
                <w:rFonts w:ascii="Arial" w:hAnsi="Arial" w:cs="Arial"/>
              </w:rPr>
              <w:t>17</w:t>
            </w:r>
            <w:r w:rsidRPr="003B4CA8">
              <w:rPr>
                <w:rFonts w:ascii="Arial" w:hAnsi="Arial" w:cs="Arial"/>
              </w:rPr>
              <w:t>(b)</w:t>
            </w:r>
          </w:p>
        </w:tc>
        <w:tc>
          <w:tcPr>
            <w:tcW w:w="8196" w:type="dxa"/>
          </w:tcPr>
          <w:p w14:paraId="0A8B684D" w14:textId="77777777" w:rsidR="007E30CE" w:rsidRPr="003B4CA8" w:rsidRDefault="007E30CE" w:rsidP="007E30CE">
            <w:pPr>
              <w:rPr>
                <w:rFonts w:ascii="Arial" w:hAnsi="Arial" w:cs="Arial"/>
              </w:rPr>
            </w:pPr>
            <w:r w:rsidRPr="003B4CA8">
              <w:rPr>
                <w:rFonts w:ascii="Arial" w:hAnsi="Arial" w:cs="Arial"/>
              </w:rPr>
              <w:t xml:space="preserve">A strong bid will demonstrate the breadth and depth of the wider network of expertise to which the bidding organisation(s) can call upon to deliver the Authority’s requirements. This network is not part of the bidder’s ‘core team’ </w:t>
            </w:r>
            <w:r w:rsidR="00D15B14" w:rsidRPr="003B4CA8">
              <w:rPr>
                <w:rFonts w:ascii="Arial" w:hAnsi="Arial" w:cs="Arial"/>
              </w:rPr>
              <w:t>(</w:t>
            </w:r>
            <w:r w:rsidRPr="003B4CA8">
              <w:rPr>
                <w:rFonts w:ascii="Arial" w:hAnsi="Arial" w:cs="Arial"/>
              </w:rPr>
              <w:t xml:space="preserve">which will </w:t>
            </w:r>
            <w:r w:rsidR="00D15B14" w:rsidRPr="003B4CA8">
              <w:rPr>
                <w:rFonts w:ascii="Arial" w:hAnsi="Arial" w:cs="Arial"/>
              </w:rPr>
              <w:t>conduct</w:t>
            </w:r>
            <w:r w:rsidRPr="003B4CA8">
              <w:rPr>
                <w:rFonts w:ascii="Arial" w:hAnsi="Arial" w:cs="Arial"/>
              </w:rPr>
              <w:t xml:space="preserve"> the majority</w:t>
            </w:r>
            <w:r w:rsidR="00D15B14" w:rsidRPr="003B4CA8">
              <w:rPr>
                <w:rFonts w:ascii="Arial" w:hAnsi="Arial" w:cs="Arial"/>
              </w:rPr>
              <w:t xml:space="preserve"> of the work under the contract)</w:t>
            </w:r>
            <w:r w:rsidRPr="003B4CA8">
              <w:rPr>
                <w:rFonts w:ascii="Arial" w:hAnsi="Arial" w:cs="Arial"/>
              </w:rPr>
              <w:t xml:space="preserve"> but offers the Authority the ability to benefit from a wider pool of expertise </w:t>
            </w:r>
            <w:r w:rsidR="00194315" w:rsidRPr="003B4CA8">
              <w:rPr>
                <w:rFonts w:ascii="Arial" w:hAnsi="Arial" w:cs="Arial"/>
              </w:rPr>
              <w:t xml:space="preserve">depending on the </w:t>
            </w:r>
            <w:r w:rsidR="00D15B14" w:rsidRPr="003B4CA8">
              <w:rPr>
                <w:rFonts w:ascii="Arial" w:hAnsi="Arial" w:cs="Arial"/>
              </w:rPr>
              <w:t xml:space="preserve">specific </w:t>
            </w:r>
            <w:r w:rsidR="00194315" w:rsidRPr="003B4CA8">
              <w:rPr>
                <w:rFonts w:ascii="Arial" w:hAnsi="Arial" w:cs="Arial"/>
              </w:rPr>
              <w:t>nature of research and analysis required.</w:t>
            </w:r>
          </w:p>
          <w:p w14:paraId="212D06F3" w14:textId="77777777" w:rsidR="007E30CE" w:rsidRPr="003B4CA8" w:rsidRDefault="007E30CE" w:rsidP="007E30CE">
            <w:pPr>
              <w:rPr>
                <w:rFonts w:ascii="Arial" w:hAnsi="Arial" w:cs="Arial"/>
              </w:rPr>
            </w:pPr>
          </w:p>
          <w:p w14:paraId="57705BDD" w14:textId="77777777" w:rsidR="00194315" w:rsidRPr="003B4CA8" w:rsidRDefault="00194315" w:rsidP="007E30CE">
            <w:pPr>
              <w:rPr>
                <w:rFonts w:ascii="Arial" w:hAnsi="Arial" w:cs="Arial"/>
              </w:rPr>
            </w:pPr>
            <w:r w:rsidRPr="003B4CA8">
              <w:rPr>
                <w:rFonts w:ascii="Arial" w:hAnsi="Arial" w:cs="Arial"/>
              </w:rPr>
              <w:t xml:space="preserve">A strong bid will demonstrate access to a wider network of expertise </w:t>
            </w:r>
            <w:r w:rsidR="00D15B14" w:rsidRPr="003B4CA8">
              <w:rPr>
                <w:rFonts w:ascii="Arial" w:hAnsi="Arial" w:cs="Arial"/>
              </w:rPr>
              <w:t xml:space="preserve">beyond their core team </w:t>
            </w:r>
            <w:r w:rsidRPr="003B4CA8">
              <w:rPr>
                <w:rFonts w:ascii="Arial" w:hAnsi="Arial" w:cs="Arial"/>
              </w:rPr>
              <w:t>that includes:</w:t>
            </w:r>
          </w:p>
          <w:p w14:paraId="0C8100FC" w14:textId="77777777" w:rsidR="00D15B14" w:rsidRPr="003B4CA8" w:rsidRDefault="00D15B14" w:rsidP="007E30CE">
            <w:pPr>
              <w:rPr>
                <w:rFonts w:ascii="Arial" w:hAnsi="Arial" w:cs="Arial"/>
              </w:rPr>
            </w:pPr>
          </w:p>
          <w:p w14:paraId="4C0F72E7" w14:textId="77777777" w:rsidR="00194315" w:rsidRPr="003B4CA8" w:rsidRDefault="00194315" w:rsidP="007E30CE">
            <w:pPr>
              <w:pStyle w:val="ListParagraph"/>
              <w:numPr>
                <w:ilvl w:val="0"/>
                <w:numId w:val="8"/>
              </w:numPr>
              <w:rPr>
                <w:rFonts w:ascii="Arial" w:hAnsi="Arial" w:cs="Arial"/>
              </w:rPr>
            </w:pPr>
            <w:r w:rsidRPr="003B4CA8">
              <w:rPr>
                <w:rFonts w:ascii="Arial" w:hAnsi="Arial" w:cs="Arial"/>
              </w:rPr>
              <w:lastRenderedPageBreak/>
              <w:t xml:space="preserve">Strong international links, particularly amongst NATO and EU nations, but also with rising powers and emerging economies </w:t>
            </w:r>
          </w:p>
          <w:p w14:paraId="07B7D9F8" w14:textId="77777777" w:rsidR="00D15B14" w:rsidRPr="003B4CA8" w:rsidRDefault="00D15B14" w:rsidP="00D15B14">
            <w:pPr>
              <w:pStyle w:val="ListParagraph"/>
              <w:numPr>
                <w:ilvl w:val="0"/>
                <w:numId w:val="8"/>
              </w:numPr>
              <w:rPr>
                <w:rFonts w:ascii="Arial" w:hAnsi="Arial" w:cs="Arial"/>
              </w:rPr>
            </w:pPr>
            <w:r w:rsidRPr="003B4CA8">
              <w:rPr>
                <w:rFonts w:ascii="Arial" w:hAnsi="Arial" w:cs="Arial"/>
              </w:rPr>
              <w:t>Access to multi-disciplinary expertise beyond their core expertise</w:t>
            </w:r>
          </w:p>
          <w:p w14:paraId="3331AE99" w14:textId="77777777" w:rsidR="00D15B14" w:rsidRPr="003B4CA8" w:rsidRDefault="00D15B14" w:rsidP="00D15B14">
            <w:pPr>
              <w:pStyle w:val="ListParagraph"/>
              <w:numPr>
                <w:ilvl w:val="0"/>
                <w:numId w:val="8"/>
              </w:numPr>
              <w:rPr>
                <w:rFonts w:ascii="Arial" w:hAnsi="Arial" w:cs="Arial"/>
              </w:rPr>
            </w:pPr>
            <w:r w:rsidRPr="003B4CA8">
              <w:rPr>
                <w:rFonts w:ascii="Arial" w:hAnsi="Arial" w:cs="Arial"/>
              </w:rPr>
              <w:t>Institutional and individual links</w:t>
            </w:r>
          </w:p>
          <w:p w14:paraId="14040391" w14:textId="77777777" w:rsidR="00D15B14" w:rsidRPr="003B4CA8" w:rsidRDefault="00D15B14" w:rsidP="00D15B14">
            <w:pPr>
              <w:pStyle w:val="ListParagraph"/>
              <w:numPr>
                <w:ilvl w:val="0"/>
                <w:numId w:val="8"/>
              </w:numPr>
              <w:rPr>
                <w:rFonts w:ascii="Arial" w:hAnsi="Arial" w:cs="Arial"/>
              </w:rPr>
            </w:pPr>
            <w:r w:rsidRPr="003B4CA8">
              <w:rPr>
                <w:rFonts w:ascii="Arial" w:hAnsi="Arial" w:cs="Arial"/>
              </w:rPr>
              <w:t xml:space="preserve">Proven working relationships </w:t>
            </w:r>
          </w:p>
          <w:p w14:paraId="79099F4C" w14:textId="77777777" w:rsidR="00D15B14" w:rsidRPr="003B4CA8" w:rsidRDefault="00D15B14" w:rsidP="00D15B14">
            <w:pPr>
              <w:rPr>
                <w:rFonts w:ascii="Arial" w:hAnsi="Arial" w:cs="Arial"/>
              </w:rPr>
            </w:pPr>
          </w:p>
          <w:p w14:paraId="34F6E5B2" w14:textId="77777777" w:rsidR="007E30CE" w:rsidRDefault="00D15B14" w:rsidP="00CD5C50">
            <w:pPr>
              <w:rPr>
                <w:rFonts w:ascii="Arial" w:hAnsi="Arial" w:cs="Arial"/>
              </w:rPr>
            </w:pPr>
            <w:r w:rsidRPr="003B4CA8">
              <w:rPr>
                <w:rFonts w:ascii="Arial" w:hAnsi="Arial" w:cs="Arial"/>
              </w:rPr>
              <w:t>The bidder will also demonstrate how they will provide assured access to expertise and resources that are not under their organisational control.</w:t>
            </w:r>
          </w:p>
          <w:p w14:paraId="01312DB6" w14:textId="77777777" w:rsidR="008F271C" w:rsidRPr="003B4CA8" w:rsidRDefault="008F271C" w:rsidP="00CD5C50">
            <w:pPr>
              <w:rPr>
                <w:rFonts w:ascii="Arial" w:hAnsi="Arial" w:cs="Arial"/>
              </w:rPr>
            </w:pPr>
          </w:p>
        </w:tc>
      </w:tr>
      <w:tr w:rsidR="007E30CE" w:rsidRPr="003B4CA8" w14:paraId="437DE75A" w14:textId="77777777" w:rsidTr="008F4AC2">
        <w:tc>
          <w:tcPr>
            <w:tcW w:w="830" w:type="dxa"/>
          </w:tcPr>
          <w:p w14:paraId="35948400" w14:textId="77777777" w:rsidR="007E30CE" w:rsidRPr="003B4CA8" w:rsidRDefault="007E30CE" w:rsidP="007E30CE">
            <w:pPr>
              <w:pStyle w:val="ListParagraph"/>
              <w:numPr>
                <w:ilvl w:val="0"/>
                <w:numId w:val="7"/>
              </w:numPr>
              <w:rPr>
                <w:rFonts w:ascii="Arial" w:hAnsi="Arial" w:cs="Arial"/>
              </w:rPr>
            </w:pPr>
          </w:p>
        </w:tc>
        <w:tc>
          <w:tcPr>
            <w:tcW w:w="1170" w:type="dxa"/>
          </w:tcPr>
          <w:p w14:paraId="1D98C5AD" w14:textId="77777777" w:rsidR="007E30CE" w:rsidRPr="003B4CA8" w:rsidRDefault="007E30CE" w:rsidP="007E30CE">
            <w:pPr>
              <w:rPr>
                <w:rFonts w:ascii="Arial" w:hAnsi="Arial" w:cs="Arial"/>
              </w:rPr>
            </w:pPr>
            <w:r w:rsidRPr="003B4CA8">
              <w:rPr>
                <w:rFonts w:ascii="Arial" w:hAnsi="Arial" w:cs="Arial"/>
              </w:rPr>
              <w:t>H</w:t>
            </w:r>
          </w:p>
        </w:tc>
        <w:tc>
          <w:tcPr>
            <w:tcW w:w="1887" w:type="dxa"/>
          </w:tcPr>
          <w:p w14:paraId="08E430E1" w14:textId="77777777" w:rsidR="007E30CE" w:rsidRPr="003B4CA8" w:rsidRDefault="007E30CE" w:rsidP="007E30CE">
            <w:pPr>
              <w:rPr>
                <w:rFonts w:ascii="Arial" w:hAnsi="Arial" w:cs="Arial"/>
              </w:rPr>
            </w:pPr>
            <w:r w:rsidRPr="003B4CA8">
              <w:rPr>
                <w:rFonts w:ascii="Arial" w:hAnsi="Arial" w:cs="Arial"/>
              </w:rPr>
              <w:t>Proven ability to deliver successful conferences</w:t>
            </w:r>
          </w:p>
        </w:tc>
        <w:tc>
          <w:tcPr>
            <w:tcW w:w="1662" w:type="dxa"/>
          </w:tcPr>
          <w:p w14:paraId="3533CF9A" w14:textId="20415DD1" w:rsidR="007E30CE" w:rsidRPr="003B4CA8" w:rsidRDefault="003B5821" w:rsidP="007D704F">
            <w:pPr>
              <w:rPr>
                <w:rFonts w:ascii="Arial" w:hAnsi="Arial" w:cs="Arial"/>
              </w:rPr>
            </w:pPr>
            <w:r w:rsidRPr="003B4CA8">
              <w:rPr>
                <w:rFonts w:ascii="Arial" w:hAnsi="Arial" w:cs="Arial"/>
              </w:rPr>
              <w:t xml:space="preserve">Para </w:t>
            </w:r>
            <w:r w:rsidR="007D704F" w:rsidRPr="003B4CA8">
              <w:rPr>
                <w:rFonts w:ascii="Arial" w:hAnsi="Arial" w:cs="Arial"/>
              </w:rPr>
              <w:t>15(b)</w:t>
            </w:r>
          </w:p>
        </w:tc>
        <w:tc>
          <w:tcPr>
            <w:tcW w:w="8196" w:type="dxa"/>
          </w:tcPr>
          <w:p w14:paraId="1FB012B3" w14:textId="2614B82F" w:rsidR="001C2119" w:rsidRPr="003B4CA8" w:rsidRDefault="001C2119" w:rsidP="007E30CE">
            <w:pPr>
              <w:rPr>
                <w:rFonts w:ascii="Arial" w:hAnsi="Arial" w:cs="Arial"/>
              </w:rPr>
            </w:pPr>
            <w:r w:rsidRPr="003B4CA8">
              <w:rPr>
                <w:rFonts w:ascii="Arial" w:hAnsi="Arial" w:cs="Arial"/>
              </w:rPr>
              <w:t xml:space="preserve">A strong bid will provide </w:t>
            </w:r>
            <w:r w:rsidR="00800549">
              <w:rPr>
                <w:rFonts w:ascii="Arial" w:hAnsi="Arial" w:cs="Arial"/>
              </w:rPr>
              <w:t xml:space="preserve">at least three </w:t>
            </w:r>
            <w:r w:rsidRPr="003B4CA8">
              <w:rPr>
                <w:rFonts w:ascii="Arial" w:hAnsi="Arial" w:cs="Arial"/>
              </w:rPr>
              <w:t>examples of recent (within the last 5 years) conferences they have delivered, where those conferences:</w:t>
            </w:r>
          </w:p>
          <w:p w14:paraId="40CA2901" w14:textId="77777777" w:rsidR="003B5821" w:rsidRPr="003B4CA8" w:rsidRDefault="003B5821" w:rsidP="007E30CE">
            <w:pPr>
              <w:rPr>
                <w:rFonts w:ascii="Arial" w:hAnsi="Arial" w:cs="Arial"/>
              </w:rPr>
            </w:pPr>
          </w:p>
          <w:p w14:paraId="2693EC3F" w14:textId="77777777" w:rsidR="001C2119" w:rsidRPr="003B4CA8" w:rsidRDefault="001C2119" w:rsidP="001C2119">
            <w:pPr>
              <w:pStyle w:val="ListParagraph"/>
              <w:numPr>
                <w:ilvl w:val="0"/>
                <w:numId w:val="9"/>
              </w:numPr>
              <w:rPr>
                <w:rFonts w:ascii="Arial" w:hAnsi="Arial" w:cs="Arial"/>
              </w:rPr>
            </w:pPr>
            <w:r w:rsidRPr="003B4CA8">
              <w:rPr>
                <w:rFonts w:ascii="Arial" w:hAnsi="Arial" w:cs="Arial"/>
              </w:rPr>
              <w:t>Delivered impact</w:t>
            </w:r>
            <w:r w:rsidR="003B5821" w:rsidRPr="003B4CA8">
              <w:rPr>
                <w:rFonts w:ascii="Arial" w:hAnsi="Arial" w:cs="Arial"/>
              </w:rPr>
              <w:t xml:space="preserve"> and success through moving contemporary policy and strategy debates forward</w:t>
            </w:r>
          </w:p>
          <w:p w14:paraId="13DB0169" w14:textId="77777777" w:rsidR="001C2119" w:rsidRPr="003B4CA8" w:rsidRDefault="001C2119" w:rsidP="001C2119">
            <w:pPr>
              <w:pStyle w:val="ListParagraph"/>
              <w:numPr>
                <w:ilvl w:val="0"/>
                <w:numId w:val="9"/>
              </w:numPr>
              <w:rPr>
                <w:rFonts w:ascii="Arial" w:hAnsi="Arial" w:cs="Arial"/>
              </w:rPr>
            </w:pPr>
            <w:r w:rsidRPr="003B4CA8">
              <w:rPr>
                <w:rFonts w:ascii="Arial" w:hAnsi="Arial" w:cs="Arial"/>
              </w:rPr>
              <w:t xml:space="preserve">Had an international </w:t>
            </w:r>
            <w:r w:rsidR="003B5821" w:rsidRPr="003B4CA8">
              <w:rPr>
                <w:rFonts w:ascii="Arial" w:hAnsi="Arial" w:cs="Arial"/>
              </w:rPr>
              <w:t xml:space="preserve">focus and attendance </w:t>
            </w:r>
          </w:p>
          <w:p w14:paraId="53D1C86C" w14:textId="3A064978" w:rsidR="003B5821" w:rsidRPr="00F627C1" w:rsidRDefault="003B5821" w:rsidP="00F627C1">
            <w:pPr>
              <w:ind w:left="360"/>
              <w:rPr>
                <w:rFonts w:ascii="Arial" w:hAnsi="Arial" w:cs="Arial"/>
              </w:rPr>
            </w:pPr>
          </w:p>
          <w:p w14:paraId="3202C8AD" w14:textId="77777777" w:rsidR="003B5821" w:rsidRPr="003B4CA8" w:rsidRDefault="003B5821" w:rsidP="003B5821">
            <w:pPr>
              <w:rPr>
                <w:rFonts w:ascii="Arial" w:hAnsi="Arial" w:cs="Arial"/>
              </w:rPr>
            </w:pPr>
          </w:p>
          <w:p w14:paraId="7ED6B4BA" w14:textId="3B1A782B" w:rsidR="007E30CE" w:rsidRDefault="001C2119" w:rsidP="003B4CA8">
            <w:pPr>
              <w:rPr>
                <w:rFonts w:ascii="Arial" w:hAnsi="Arial" w:cs="Arial"/>
              </w:rPr>
            </w:pPr>
            <w:r w:rsidRPr="003B4CA8">
              <w:rPr>
                <w:rFonts w:ascii="Arial" w:hAnsi="Arial" w:cs="Arial"/>
              </w:rPr>
              <w:t xml:space="preserve">The bidder should also demonstrate assured access to suitable conference and seminar facilities. The location of the </w:t>
            </w:r>
            <w:r w:rsidR="003B5821" w:rsidRPr="003B4CA8">
              <w:rPr>
                <w:rFonts w:ascii="Arial" w:hAnsi="Arial" w:cs="Arial"/>
              </w:rPr>
              <w:t xml:space="preserve">proposed </w:t>
            </w:r>
            <w:r w:rsidRPr="003B4CA8">
              <w:rPr>
                <w:rFonts w:ascii="Arial" w:hAnsi="Arial" w:cs="Arial"/>
              </w:rPr>
              <w:t xml:space="preserve">facilities will be taken into account in order to minimise the additional costs to the Authority for MOD and government personnel </w:t>
            </w:r>
            <w:r w:rsidR="003B5821" w:rsidRPr="003B4CA8">
              <w:rPr>
                <w:rFonts w:ascii="Arial" w:hAnsi="Arial" w:cs="Arial"/>
              </w:rPr>
              <w:t>to attend future CDS Strategy Forums.</w:t>
            </w:r>
            <w:r w:rsidR="004600BA" w:rsidRPr="003B4CA8">
              <w:rPr>
                <w:rFonts w:ascii="Arial" w:hAnsi="Arial" w:cs="Arial"/>
              </w:rPr>
              <w:t xml:space="preserve"> A higher mark will be awarded to a proposed conference location that is </w:t>
            </w:r>
            <w:r w:rsidR="00F627C1">
              <w:rPr>
                <w:rFonts w:ascii="Arial" w:hAnsi="Arial" w:cs="Arial"/>
              </w:rPr>
              <w:t>up to 90 minutes</w:t>
            </w:r>
            <w:r w:rsidR="004600BA" w:rsidRPr="003B4CA8">
              <w:rPr>
                <w:rFonts w:ascii="Arial" w:hAnsi="Arial" w:cs="Arial"/>
              </w:rPr>
              <w:t xml:space="preserve"> from central London.</w:t>
            </w:r>
          </w:p>
          <w:p w14:paraId="2FD96ED6" w14:textId="4EC353FC" w:rsidR="008F271C" w:rsidRPr="003B4CA8" w:rsidRDefault="008F271C" w:rsidP="003B4CA8">
            <w:pPr>
              <w:rPr>
                <w:rFonts w:ascii="Arial" w:hAnsi="Arial" w:cs="Arial"/>
              </w:rPr>
            </w:pPr>
          </w:p>
        </w:tc>
      </w:tr>
      <w:tr w:rsidR="007E30CE" w:rsidRPr="003B4CA8" w14:paraId="1F3C670B" w14:textId="77777777" w:rsidTr="008F4AC2">
        <w:tc>
          <w:tcPr>
            <w:tcW w:w="830" w:type="dxa"/>
          </w:tcPr>
          <w:p w14:paraId="502138D8" w14:textId="77777777" w:rsidR="007E30CE" w:rsidRPr="003B4CA8" w:rsidRDefault="007E30CE" w:rsidP="007E30CE">
            <w:pPr>
              <w:pStyle w:val="ListParagraph"/>
              <w:numPr>
                <w:ilvl w:val="0"/>
                <w:numId w:val="7"/>
              </w:numPr>
              <w:rPr>
                <w:rFonts w:ascii="Arial" w:hAnsi="Arial" w:cs="Arial"/>
              </w:rPr>
            </w:pPr>
          </w:p>
        </w:tc>
        <w:tc>
          <w:tcPr>
            <w:tcW w:w="1170" w:type="dxa"/>
          </w:tcPr>
          <w:p w14:paraId="258E8572" w14:textId="77777777" w:rsidR="007E30CE" w:rsidRPr="003B4CA8" w:rsidRDefault="007E30CE" w:rsidP="007E30CE">
            <w:pPr>
              <w:rPr>
                <w:rFonts w:ascii="Arial" w:hAnsi="Arial" w:cs="Arial"/>
              </w:rPr>
            </w:pPr>
            <w:r w:rsidRPr="003B4CA8">
              <w:rPr>
                <w:rFonts w:ascii="Arial" w:hAnsi="Arial" w:cs="Arial"/>
              </w:rPr>
              <w:t>M</w:t>
            </w:r>
          </w:p>
        </w:tc>
        <w:tc>
          <w:tcPr>
            <w:tcW w:w="1887" w:type="dxa"/>
          </w:tcPr>
          <w:p w14:paraId="67A22B1F" w14:textId="77777777" w:rsidR="007E30CE" w:rsidRPr="003B4CA8" w:rsidRDefault="007E30CE" w:rsidP="007E30CE">
            <w:pPr>
              <w:rPr>
                <w:rFonts w:ascii="Arial" w:hAnsi="Arial" w:cs="Arial"/>
              </w:rPr>
            </w:pPr>
            <w:r w:rsidRPr="003B4CA8">
              <w:rPr>
                <w:rFonts w:ascii="Arial" w:hAnsi="Arial" w:cs="Arial"/>
              </w:rPr>
              <w:t>Assured management and delivery of strategic analysis tasks and projects</w:t>
            </w:r>
          </w:p>
        </w:tc>
        <w:tc>
          <w:tcPr>
            <w:tcW w:w="1662" w:type="dxa"/>
          </w:tcPr>
          <w:p w14:paraId="535D33C1" w14:textId="5C3C59EB" w:rsidR="007E30CE" w:rsidRPr="003B4CA8" w:rsidRDefault="008061CA" w:rsidP="0064127E">
            <w:pPr>
              <w:rPr>
                <w:rFonts w:ascii="Arial" w:hAnsi="Arial" w:cs="Arial"/>
              </w:rPr>
            </w:pPr>
            <w:r w:rsidRPr="003B4CA8">
              <w:rPr>
                <w:rFonts w:ascii="Arial" w:hAnsi="Arial" w:cs="Arial"/>
              </w:rPr>
              <w:t xml:space="preserve">Para </w:t>
            </w:r>
            <w:r w:rsidR="007D704F" w:rsidRPr="003B4CA8">
              <w:rPr>
                <w:rFonts w:ascii="Arial" w:hAnsi="Arial" w:cs="Arial"/>
              </w:rPr>
              <w:t>15(</w:t>
            </w:r>
            <w:r w:rsidR="0064127E">
              <w:rPr>
                <w:rFonts w:ascii="Arial" w:hAnsi="Arial" w:cs="Arial"/>
              </w:rPr>
              <w:t>a</w:t>
            </w:r>
            <w:r w:rsidR="007D704F" w:rsidRPr="003B4CA8">
              <w:rPr>
                <w:rFonts w:ascii="Arial" w:hAnsi="Arial" w:cs="Arial"/>
              </w:rPr>
              <w:t>)</w:t>
            </w:r>
          </w:p>
        </w:tc>
        <w:tc>
          <w:tcPr>
            <w:tcW w:w="8196" w:type="dxa"/>
          </w:tcPr>
          <w:p w14:paraId="399757BE" w14:textId="77777777" w:rsidR="008061CA" w:rsidRPr="003B4CA8" w:rsidRDefault="008061CA" w:rsidP="008061CA">
            <w:pPr>
              <w:rPr>
                <w:rFonts w:ascii="Arial" w:hAnsi="Arial" w:cs="Arial"/>
              </w:rPr>
            </w:pPr>
            <w:r w:rsidRPr="003B4CA8">
              <w:rPr>
                <w:rFonts w:ascii="Arial" w:hAnsi="Arial" w:cs="Arial"/>
              </w:rPr>
              <w:t>A strong bid will demonstrate a proven ability and commitment to managing the delivery of a demanding programme of research and analysis within the performance, cost and time constraints required by the Authority.</w:t>
            </w:r>
          </w:p>
          <w:p w14:paraId="7E0DEBB0" w14:textId="77777777" w:rsidR="008061CA" w:rsidRPr="003B4CA8" w:rsidRDefault="008061CA" w:rsidP="008061CA">
            <w:pPr>
              <w:rPr>
                <w:rFonts w:ascii="Arial" w:hAnsi="Arial" w:cs="Arial"/>
              </w:rPr>
            </w:pPr>
          </w:p>
          <w:p w14:paraId="7717ACB4" w14:textId="77777777" w:rsidR="008061CA" w:rsidRPr="003B4CA8" w:rsidRDefault="008061CA" w:rsidP="008061CA">
            <w:pPr>
              <w:rPr>
                <w:rFonts w:ascii="Arial" w:hAnsi="Arial" w:cs="Arial"/>
              </w:rPr>
            </w:pPr>
            <w:r w:rsidRPr="003B4CA8">
              <w:rPr>
                <w:rFonts w:ascii="Arial" w:hAnsi="Arial" w:cs="Arial"/>
              </w:rPr>
              <w:t xml:space="preserve">To achieve this bidders will demonstrate:  </w:t>
            </w:r>
          </w:p>
          <w:p w14:paraId="624979A3" w14:textId="77777777" w:rsidR="008061CA" w:rsidRPr="003B4CA8" w:rsidRDefault="008061CA" w:rsidP="008061CA">
            <w:pPr>
              <w:rPr>
                <w:rFonts w:ascii="Arial" w:hAnsi="Arial" w:cs="Arial"/>
              </w:rPr>
            </w:pPr>
          </w:p>
          <w:p w14:paraId="179BD690" w14:textId="77777777" w:rsidR="00800549" w:rsidRPr="003B4CA8" w:rsidRDefault="00800549" w:rsidP="00800549">
            <w:pPr>
              <w:pStyle w:val="ListParagraph"/>
              <w:numPr>
                <w:ilvl w:val="0"/>
                <w:numId w:val="4"/>
              </w:numPr>
              <w:rPr>
                <w:rFonts w:ascii="Arial" w:hAnsi="Arial" w:cs="Arial"/>
              </w:rPr>
            </w:pPr>
            <w:r>
              <w:rPr>
                <w:rFonts w:ascii="Arial" w:hAnsi="Arial" w:cs="Arial"/>
              </w:rPr>
              <w:t>At least three e</w:t>
            </w:r>
            <w:r w:rsidRPr="003B4CA8">
              <w:rPr>
                <w:rFonts w:ascii="Arial" w:hAnsi="Arial" w:cs="Arial"/>
              </w:rPr>
              <w:t>xamples of successful previous delivery within cost/time/performance requirements</w:t>
            </w:r>
          </w:p>
          <w:p w14:paraId="37CC52FC" w14:textId="77777777" w:rsidR="007E30CE" w:rsidRPr="003B4CA8" w:rsidRDefault="008061CA" w:rsidP="007E30CE">
            <w:pPr>
              <w:pStyle w:val="ListParagraph"/>
              <w:numPr>
                <w:ilvl w:val="0"/>
                <w:numId w:val="4"/>
              </w:numPr>
              <w:rPr>
                <w:rFonts w:ascii="Arial" w:hAnsi="Arial" w:cs="Arial"/>
              </w:rPr>
            </w:pPr>
            <w:r w:rsidRPr="003B4CA8">
              <w:rPr>
                <w:rFonts w:ascii="Arial" w:hAnsi="Arial" w:cs="Arial"/>
              </w:rPr>
              <w:t>What d</w:t>
            </w:r>
            <w:r w:rsidR="007E30CE" w:rsidRPr="003B4CA8">
              <w:rPr>
                <w:rFonts w:ascii="Arial" w:hAnsi="Arial" w:cs="Arial"/>
              </w:rPr>
              <w:t>e</w:t>
            </w:r>
            <w:r w:rsidRPr="003B4CA8">
              <w:rPr>
                <w:rFonts w:ascii="Arial" w:hAnsi="Arial" w:cs="Arial"/>
              </w:rPr>
              <w:t xml:space="preserve">dicated resources and personnel they intend to devote to managing programme delivery </w:t>
            </w:r>
            <w:r w:rsidR="007E30CE" w:rsidRPr="003B4CA8">
              <w:rPr>
                <w:rFonts w:ascii="Arial" w:hAnsi="Arial" w:cs="Arial"/>
              </w:rPr>
              <w:t>(incl</w:t>
            </w:r>
            <w:r w:rsidR="008F4AC2" w:rsidRPr="003B4CA8">
              <w:rPr>
                <w:rFonts w:ascii="Arial" w:hAnsi="Arial" w:cs="Arial"/>
              </w:rPr>
              <w:t>uding</w:t>
            </w:r>
            <w:r w:rsidRPr="003B4CA8">
              <w:rPr>
                <w:rFonts w:ascii="Arial" w:hAnsi="Arial" w:cs="Arial"/>
              </w:rPr>
              <w:t xml:space="preserve"> relevant qualifications and experience</w:t>
            </w:r>
            <w:r w:rsidR="007E30CE" w:rsidRPr="003B4CA8">
              <w:rPr>
                <w:rFonts w:ascii="Arial" w:hAnsi="Arial" w:cs="Arial"/>
              </w:rPr>
              <w:t>)</w:t>
            </w:r>
          </w:p>
          <w:p w14:paraId="52229C68" w14:textId="77777777" w:rsidR="008061CA" w:rsidRPr="003B4CA8" w:rsidRDefault="008F4AC2" w:rsidP="007E30CE">
            <w:pPr>
              <w:pStyle w:val="ListParagraph"/>
              <w:numPr>
                <w:ilvl w:val="0"/>
                <w:numId w:val="4"/>
              </w:numPr>
              <w:rPr>
                <w:rFonts w:ascii="Arial" w:hAnsi="Arial" w:cs="Arial"/>
              </w:rPr>
            </w:pPr>
            <w:r w:rsidRPr="003B4CA8">
              <w:rPr>
                <w:rFonts w:ascii="Arial" w:hAnsi="Arial" w:cs="Arial"/>
              </w:rPr>
              <w:lastRenderedPageBreak/>
              <w:t>What governance structures will be employed to oversee and assure programme delivery</w:t>
            </w:r>
          </w:p>
          <w:p w14:paraId="14D735EC" w14:textId="77777777" w:rsidR="007E30CE" w:rsidRPr="003B4CA8" w:rsidRDefault="007E30CE" w:rsidP="007E30CE">
            <w:pPr>
              <w:pStyle w:val="ListParagraph"/>
              <w:rPr>
                <w:rFonts w:ascii="Arial" w:hAnsi="Arial" w:cs="Arial"/>
              </w:rPr>
            </w:pPr>
          </w:p>
        </w:tc>
      </w:tr>
      <w:tr w:rsidR="007E30CE" w:rsidRPr="003B4CA8" w14:paraId="5AFE777E" w14:textId="77777777" w:rsidTr="008F4AC2">
        <w:tc>
          <w:tcPr>
            <w:tcW w:w="830" w:type="dxa"/>
          </w:tcPr>
          <w:p w14:paraId="6B49CF56" w14:textId="77777777" w:rsidR="007E30CE" w:rsidRPr="003B4CA8" w:rsidRDefault="007E30CE" w:rsidP="007E30CE">
            <w:pPr>
              <w:pStyle w:val="ListParagraph"/>
              <w:numPr>
                <w:ilvl w:val="0"/>
                <w:numId w:val="7"/>
              </w:numPr>
              <w:rPr>
                <w:rFonts w:ascii="Arial" w:hAnsi="Arial" w:cs="Arial"/>
              </w:rPr>
            </w:pPr>
          </w:p>
        </w:tc>
        <w:tc>
          <w:tcPr>
            <w:tcW w:w="1170" w:type="dxa"/>
          </w:tcPr>
          <w:p w14:paraId="09A3F4E1" w14:textId="77777777" w:rsidR="007E30CE" w:rsidRPr="003B4CA8" w:rsidRDefault="008F4AC2" w:rsidP="007E30CE">
            <w:pPr>
              <w:rPr>
                <w:rFonts w:ascii="Arial" w:hAnsi="Arial" w:cs="Arial"/>
              </w:rPr>
            </w:pPr>
            <w:r w:rsidRPr="003B4CA8">
              <w:rPr>
                <w:rFonts w:ascii="Arial" w:hAnsi="Arial" w:cs="Arial"/>
              </w:rPr>
              <w:t>L</w:t>
            </w:r>
          </w:p>
        </w:tc>
        <w:tc>
          <w:tcPr>
            <w:tcW w:w="1887" w:type="dxa"/>
          </w:tcPr>
          <w:p w14:paraId="71F61F19" w14:textId="77777777" w:rsidR="007E30CE" w:rsidRPr="003B4CA8" w:rsidRDefault="007E30CE" w:rsidP="007E30CE">
            <w:pPr>
              <w:rPr>
                <w:rFonts w:ascii="Arial" w:hAnsi="Arial" w:cs="Arial"/>
              </w:rPr>
            </w:pPr>
            <w:r w:rsidRPr="003B4CA8">
              <w:rPr>
                <w:rFonts w:ascii="Arial" w:hAnsi="Arial" w:cs="Arial"/>
              </w:rPr>
              <w:t>Ability to provide dedicated personnel for specific projects</w:t>
            </w:r>
          </w:p>
        </w:tc>
        <w:tc>
          <w:tcPr>
            <w:tcW w:w="1662" w:type="dxa"/>
          </w:tcPr>
          <w:p w14:paraId="3579397C" w14:textId="7085D68C" w:rsidR="007D704F" w:rsidRPr="003B4CA8" w:rsidRDefault="008F4AC2" w:rsidP="007D704F">
            <w:pPr>
              <w:rPr>
                <w:rFonts w:ascii="Arial" w:hAnsi="Arial" w:cs="Arial"/>
              </w:rPr>
            </w:pPr>
            <w:r w:rsidRPr="003B4CA8">
              <w:rPr>
                <w:rFonts w:ascii="Arial" w:hAnsi="Arial" w:cs="Arial"/>
              </w:rPr>
              <w:t xml:space="preserve">Para </w:t>
            </w:r>
            <w:r w:rsidR="007D704F" w:rsidRPr="003B4CA8">
              <w:rPr>
                <w:rFonts w:ascii="Arial" w:hAnsi="Arial" w:cs="Arial"/>
              </w:rPr>
              <w:t xml:space="preserve">15(a) </w:t>
            </w:r>
          </w:p>
          <w:p w14:paraId="0A13E73D" w14:textId="069F16A1" w:rsidR="007E30CE" w:rsidRPr="003B4CA8" w:rsidRDefault="007D704F" w:rsidP="007D704F">
            <w:pPr>
              <w:rPr>
                <w:rFonts w:ascii="Arial" w:hAnsi="Arial" w:cs="Arial"/>
              </w:rPr>
            </w:pPr>
            <w:r w:rsidRPr="003B4CA8">
              <w:rPr>
                <w:rFonts w:ascii="Arial" w:hAnsi="Arial" w:cs="Arial"/>
              </w:rPr>
              <w:t>Para 15(d)2</w:t>
            </w:r>
          </w:p>
        </w:tc>
        <w:tc>
          <w:tcPr>
            <w:tcW w:w="8196" w:type="dxa"/>
          </w:tcPr>
          <w:p w14:paraId="0DE04653" w14:textId="77777777" w:rsidR="007E30CE" w:rsidRDefault="008F4AC2" w:rsidP="007E30CE">
            <w:pPr>
              <w:rPr>
                <w:rFonts w:ascii="Arial" w:hAnsi="Arial" w:cs="Arial"/>
              </w:rPr>
            </w:pPr>
            <w:r w:rsidRPr="003B4CA8">
              <w:rPr>
                <w:rFonts w:ascii="Arial" w:hAnsi="Arial" w:cs="Arial"/>
              </w:rPr>
              <w:t>A strong bid will demonstrate a proven ability and a commitment to providing high-quality individuals to undertake specific research and analysis tasks and projects for the Authority. They should also have experience of working and interacting with clients, preferably government customers.</w:t>
            </w:r>
          </w:p>
          <w:p w14:paraId="2E75099C" w14:textId="7A41A20D" w:rsidR="008F271C" w:rsidRPr="003B4CA8" w:rsidRDefault="008F271C" w:rsidP="007E30CE">
            <w:pPr>
              <w:rPr>
                <w:rFonts w:ascii="Arial" w:hAnsi="Arial" w:cs="Arial"/>
              </w:rPr>
            </w:pPr>
          </w:p>
        </w:tc>
      </w:tr>
      <w:tr w:rsidR="008F4AC2" w:rsidRPr="003B4CA8" w14:paraId="5CF8B8E0" w14:textId="77777777" w:rsidTr="008F4AC2">
        <w:tc>
          <w:tcPr>
            <w:tcW w:w="830" w:type="dxa"/>
          </w:tcPr>
          <w:p w14:paraId="6F3B0419" w14:textId="77777777" w:rsidR="008F4AC2" w:rsidRPr="003B4CA8" w:rsidRDefault="008F4AC2" w:rsidP="008F4AC2">
            <w:pPr>
              <w:pStyle w:val="ListParagraph"/>
              <w:numPr>
                <w:ilvl w:val="0"/>
                <w:numId w:val="7"/>
              </w:numPr>
              <w:rPr>
                <w:rFonts w:ascii="Arial" w:hAnsi="Arial" w:cs="Arial"/>
              </w:rPr>
            </w:pPr>
          </w:p>
        </w:tc>
        <w:tc>
          <w:tcPr>
            <w:tcW w:w="1170" w:type="dxa"/>
          </w:tcPr>
          <w:p w14:paraId="46191F6E" w14:textId="77777777" w:rsidR="008F4AC2" w:rsidRPr="003B4CA8" w:rsidRDefault="001065EF" w:rsidP="008F4AC2">
            <w:pPr>
              <w:rPr>
                <w:rFonts w:ascii="Arial" w:hAnsi="Arial" w:cs="Arial"/>
              </w:rPr>
            </w:pPr>
            <w:r w:rsidRPr="003B4CA8">
              <w:rPr>
                <w:rFonts w:ascii="Arial" w:hAnsi="Arial" w:cs="Arial"/>
              </w:rPr>
              <w:t>M</w:t>
            </w:r>
          </w:p>
        </w:tc>
        <w:tc>
          <w:tcPr>
            <w:tcW w:w="1887" w:type="dxa"/>
          </w:tcPr>
          <w:p w14:paraId="4CD78B9D" w14:textId="77777777" w:rsidR="008F4AC2" w:rsidRPr="003B4CA8" w:rsidRDefault="0054208B" w:rsidP="008F4AC2">
            <w:pPr>
              <w:rPr>
                <w:rFonts w:ascii="Arial" w:hAnsi="Arial" w:cs="Arial"/>
              </w:rPr>
            </w:pPr>
            <w:r w:rsidRPr="003B4CA8">
              <w:rPr>
                <w:rFonts w:ascii="Arial" w:hAnsi="Arial" w:cs="Arial"/>
              </w:rPr>
              <w:t>Provision of the Assistant Head (AH) of the Development, Analysis and Research (DAR) team</w:t>
            </w:r>
          </w:p>
        </w:tc>
        <w:tc>
          <w:tcPr>
            <w:tcW w:w="1662" w:type="dxa"/>
          </w:tcPr>
          <w:p w14:paraId="0413D8E9" w14:textId="34DDEBBB" w:rsidR="008F4AC2" w:rsidRPr="003B4CA8" w:rsidRDefault="001065EF" w:rsidP="007D704F">
            <w:pPr>
              <w:rPr>
                <w:rFonts w:ascii="Arial" w:hAnsi="Arial" w:cs="Arial"/>
              </w:rPr>
            </w:pPr>
            <w:r w:rsidRPr="003B4CA8">
              <w:rPr>
                <w:rFonts w:ascii="Arial" w:hAnsi="Arial" w:cs="Arial"/>
              </w:rPr>
              <w:t xml:space="preserve">Para </w:t>
            </w:r>
            <w:r w:rsidR="007D704F" w:rsidRPr="003B4CA8">
              <w:rPr>
                <w:rFonts w:ascii="Arial" w:hAnsi="Arial" w:cs="Arial"/>
              </w:rPr>
              <w:t>15(d)1</w:t>
            </w:r>
          </w:p>
        </w:tc>
        <w:tc>
          <w:tcPr>
            <w:tcW w:w="8196" w:type="dxa"/>
          </w:tcPr>
          <w:p w14:paraId="08751214" w14:textId="77777777" w:rsidR="008F4AC2" w:rsidRPr="003B4CA8" w:rsidRDefault="0054208B" w:rsidP="0054208B">
            <w:pPr>
              <w:rPr>
                <w:rFonts w:ascii="Arial" w:hAnsi="Arial" w:cs="Arial"/>
              </w:rPr>
            </w:pPr>
            <w:r w:rsidRPr="003B4CA8">
              <w:rPr>
                <w:rFonts w:ascii="Arial" w:hAnsi="Arial" w:cs="Arial"/>
              </w:rPr>
              <w:t>A strong bid will indicate the ability to provide a suitably qualified and experienced member of the team to provide overview support to the DCDC DAR team in the AH DAR function.</w:t>
            </w:r>
          </w:p>
          <w:p w14:paraId="0E433BEC" w14:textId="77777777" w:rsidR="007E3055" w:rsidRPr="003B4CA8" w:rsidRDefault="007E3055" w:rsidP="0054208B">
            <w:pPr>
              <w:rPr>
                <w:rFonts w:ascii="Arial" w:hAnsi="Arial" w:cs="Arial"/>
              </w:rPr>
            </w:pPr>
          </w:p>
          <w:p w14:paraId="445E781E" w14:textId="77777777" w:rsidR="007E3055" w:rsidRDefault="007E3055" w:rsidP="0054208B">
            <w:pPr>
              <w:rPr>
                <w:rFonts w:ascii="Arial" w:hAnsi="Arial" w:cs="Arial"/>
              </w:rPr>
            </w:pPr>
            <w:r w:rsidRPr="003B4CA8">
              <w:rPr>
                <w:rFonts w:ascii="Arial" w:hAnsi="Arial" w:cs="Arial"/>
              </w:rPr>
              <w:t xml:space="preserve">The proposed person must demonstrate a proven ability in: </w:t>
            </w:r>
          </w:p>
          <w:p w14:paraId="2D5AC7E6" w14:textId="77777777" w:rsidR="008F271C" w:rsidRPr="003B4CA8" w:rsidRDefault="008F271C" w:rsidP="0054208B">
            <w:pPr>
              <w:rPr>
                <w:rFonts w:ascii="Arial" w:hAnsi="Arial" w:cs="Arial"/>
              </w:rPr>
            </w:pPr>
          </w:p>
          <w:p w14:paraId="7732F741" w14:textId="77777777" w:rsidR="007E3055" w:rsidRPr="003B4CA8" w:rsidRDefault="007E3055" w:rsidP="008F271C">
            <w:pPr>
              <w:pStyle w:val="ListParagraph"/>
              <w:numPr>
                <w:ilvl w:val="0"/>
                <w:numId w:val="14"/>
              </w:numPr>
              <w:rPr>
                <w:rFonts w:ascii="Arial" w:hAnsi="Arial" w:cs="Arial"/>
              </w:rPr>
            </w:pPr>
            <w:r w:rsidRPr="003B4CA8">
              <w:rPr>
                <w:rFonts w:ascii="Arial" w:hAnsi="Arial" w:cs="Arial"/>
              </w:rPr>
              <w:t>Commissioning, assessing and delivering research and analysis.</w:t>
            </w:r>
          </w:p>
          <w:p w14:paraId="79446914" w14:textId="77777777" w:rsidR="007E3055" w:rsidRPr="003B4CA8" w:rsidRDefault="007E3055" w:rsidP="008F271C">
            <w:pPr>
              <w:pStyle w:val="ListParagraph"/>
              <w:numPr>
                <w:ilvl w:val="0"/>
                <w:numId w:val="14"/>
              </w:numPr>
              <w:rPr>
                <w:rFonts w:ascii="Arial" w:hAnsi="Arial" w:cs="Arial"/>
              </w:rPr>
            </w:pPr>
            <w:r w:rsidRPr="003B4CA8">
              <w:rPr>
                <w:rFonts w:ascii="Arial" w:hAnsi="Arial" w:cs="Arial"/>
              </w:rPr>
              <w:t>Managing a programme of research to successful delivery in terms of quality, cost and time.</w:t>
            </w:r>
          </w:p>
          <w:p w14:paraId="0EB37E2A" w14:textId="77777777" w:rsidR="007E3055" w:rsidRDefault="007E3055" w:rsidP="008F271C">
            <w:pPr>
              <w:pStyle w:val="ListParagraph"/>
              <w:numPr>
                <w:ilvl w:val="0"/>
                <w:numId w:val="14"/>
              </w:numPr>
              <w:rPr>
                <w:rFonts w:ascii="Arial" w:hAnsi="Arial" w:cs="Arial"/>
              </w:rPr>
            </w:pPr>
            <w:r w:rsidRPr="003B4CA8">
              <w:rPr>
                <w:rFonts w:ascii="Arial" w:hAnsi="Arial" w:cs="Arial"/>
              </w:rPr>
              <w:t>Sufficient professional and personal credibility to excel in providing challenge and advice to the DCDC Command Board.</w:t>
            </w:r>
          </w:p>
          <w:p w14:paraId="508016D5" w14:textId="77777777" w:rsidR="008F271C" w:rsidRPr="003B4CA8" w:rsidRDefault="008F271C" w:rsidP="008F271C">
            <w:pPr>
              <w:pStyle w:val="ListParagraph"/>
              <w:rPr>
                <w:rFonts w:ascii="Arial" w:hAnsi="Arial" w:cs="Arial"/>
              </w:rPr>
            </w:pPr>
          </w:p>
        </w:tc>
      </w:tr>
      <w:tr w:rsidR="008D6019" w:rsidRPr="003B4CA8" w14:paraId="4F9BCA6A" w14:textId="77777777" w:rsidTr="008F4AC2">
        <w:tc>
          <w:tcPr>
            <w:tcW w:w="830" w:type="dxa"/>
          </w:tcPr>
          <w:p w14:paraId="4CD95EDD" w14:textId="1E3AC349" w:rsidR="008D6019" w:rsidRPr="003B4CA8" w:rsidRDefault="006767E0" w:rsidP="00173DC9">
            <w:pPr>
              <w:jc w:val="right"/>
              <w:rPr>
                <w:rFonts w:ascii="Arial" w:hAnsi="Arial" w:cs="Arial"/>
              </w:rPr>
            </w:pPr>
            <w:r w:rsidRPr="003B4CA8">
              <w:rPr>
                <w:rFonts w:ascii="Arial" w:hAnsi="Arial" w:cs="Arial"/>
              </w:rPr>
              <w:t>9</w:t>
            </w:r>
            <w:r w:rsidR="00173DC9">
              <w:rPr>
                <w:rFonts w:ascii="Arial" w:hAnsi="Arial" w:cs="Arial"/>
              </w:rPr>
              <w:t>.</w:t>
            </w:r>
          </w:p>
        </w:tc>
        <w:tc>
          <w:tcPr>
            <w:tcW w:w="1170" w:type="dxa"/>
          </w:tcPr>
          <w:p w14:paraId="4A1916EE" w14:textId="77777777" w:rsidR="008D6019" w:rsidRPr="003B4CA8" w:rsidRDefault="008D6019" w:rsidP="008D6019">
            <w:pPr>
              <w:rPr>
                <w:rFonts w:ascii="Arial" w:hAnsi="Arial" w:cs="Arial"/>
              </w:rPr>
            </w:pPr>
            <w:r w:rsidRPr="003B4CA8">
              <w:rPr>
                <w:rFonts w:ascii="Arial" w:hAnsi="Arial" w:cs="Arial"/>
              </w:rPr>
              <w:t>L</w:t>
            </w:r>
          </w:p>
        </w:tc>
        <w:tc>
          <w:tcPr>
            <w:tcW w:w="1887" w:type="dxa"/>
          </w:tcPr>
          <w:p w14:paraId="3F918FB6" w14:textId="77777777" w:rsidR="008D6019" w:rsidRPr="003B4CA8" w:rsidRDefault="008D6019" w:rsidP="008D6019">
            <w:pPr>
              <w:rPr>
                <w:rFonts w:ascii="Arial" w:hAnsi="Arial" w:cs="Arial"/>
              </w:rPr>
            </w:pPr>
            <w:r w:rsidRPr="003B4CA8">
              <w:rPr>
                <w:rFonts w:ascii="Arial" w:hAnsi="Arial" w:cs="Arial"/>
              </w:rPr>
              <w:t>Ability to edit and publish research and analysis</w:t>
            </w:r>
          </w:p>
        </w:tc>
        <w:tc>
          <w:tcPr>
            <w:tcW w:w="1662" w:type="dxa"/>
          </w:tcPr>
          <w:p w14:paraId="4E431E7F" w14:textId="519B7FD2" w:rsidR="008D6019" w:rsidRPr="003B4CA8" w:rsidRDefault="008D6019" w:rsidP="007D704F">
            <w:pPr>
              <w:rPr>
                <w:rFonts w:ascii="Arial" w:hAnsi="Arial" w:cs="Arial"/>
              </w:rPr>
            </w:pPr>
            <w:r w:rsidRPr="003B4CA8">
              <w:rPr>
                <w:rFonts w:ascii="Arial" w:hAnsi="Arial" w:cs="Arial"/>
              </w:rPr>
              <w:t xml:space="preserve">Para </w:t>
            </w:r>
            <w:r w:rsidR="007D704F" w:rsidRPr="003B4CA8">
              <w:rPr>
                <w:rFonts w:ascii="Arial" w:hAnsi="Arial" w:cs="Arial"/>
              </w:rPr>
              <w:t>15(e)</w:t>
            </w:r>
          </w:p>
        </w:tc>
        <w:tc>
          <w:tcPr>
            <w:tcW w:w="8196" w:type="dxa"/>
          </w:tcPr>
          <w:p w14:paraId="7FF5BEC2" w14:textId="77777777" w:rsidR="008D6019" w:rsidRPr="003B4CA8" w:rsidRDefault="008D6019" w:rsidP="008D6019">
            <w:pPr>
              <w:rPr>
                <w:rFonts w:ascii="Arial" w:hAnsi="Arial" w:cs="Arial"/>
              </w:rPr>
            </w:pPr>
            <w:r w:rsidRPr="003B4CA8">
              <w:rPr>
                <w:rFonts w:ascii="Arial" w:hAnsi="Arial" w:cs="Arial"/>
              </w:rPr>
              <w:t xml:space="preserve">A strong bid will demonstrate experience and expertise in editing and publishing research and analysis to high international standards in order to disseminate best practice and latest thinking. This will include traditional means of publication (such as </w:t>
            </w:r>
            <w:r w:rsidR="00D73185" w:rsidRPr="003B4CA8">
              <w:rPr>
                <w:rFonts w:ascii="Arial" w:hAnsi="Arial" w:cs="Arial"/>
              </w:rPr>
              <w:t xml:space="preserve">academic and policy journals) and novel digital means. </w:t>
            </w:r>
          </w:p>
          <w:p w14:paraId="11A40367" w14:textId="77777777" w:rsidR="00D73185" w:rsidRPr="003B4CA8" w:rsidRDefault="00D73185" w:rsidP="008D6019">
            <w:pPr>
              <w:rPr>
                <w:rFonts w:ascii="Arial" w:hAnsi="Arial" w:cs="Arial"/>
              </w:rPr>
            </w:pPr>
          </w:p>
          <w:p w14:paraId="6FF69047" w14:textId="77777777" w:rsidR="00D73185" w:rsidRDefault="00D73185" w:rsidP="008D6019">
            <w:pPr>
              <w:rPr>
                <w:rFonts w:ascii="Arial" w:hAnsi="Arial" w:cs="Arial"/>
              </w:rPr>
            </w:pPr>
            <w:r w:rsidRPr="003B4CA8">
              <w:rPr>
                <w:rFonts w:ascii="Arial" w:hAnsi="Arial" w:cs="Arial"/>
              </w:rPr>
              <w:t xml:space="preserve">The bidder must also demonstrate their ability and capacity to edit and publish research and analysis produced under the contract, should the Authority wish to publish its work. </w:t>
            </w:r>
          </w:p>
          <w:p w14:paraId="5C2341AF" w14:textId="77777777" w:rsidR="008F271C" w:rsidRPr="003B4CA8" w:rsidRDefault="008F271C" w:rsidP="008D6019">
            <w:pPr>
              <w:rPr>
                <w:rFonts w:ascii="Arial" w:hAnsi="Arial" w:cs="Arial"/>
              </w:rPr>
            </w:pPr>
          </w:p>
        </w:tc>
      </w:tr>
    </w:tbl>
    <w:p w14:paraId="26B1174E" w14:textId="77777777" w:rsidR="00704F99" w:rsidRPr="003B4CA8" w:rsidRDefault="00704F99">
      <w:pPr>
        <w:rPr>
          <w:rFonts w:ascii="Arial" w:hAnsi="Arial" w:cs="Arial"/>
        </w:rPr>
      </w:pPr>
    </w:p>
    <w:p w14:paraId="72D7DA28" w14:textId="77777777" w:rsidR="000801F2" w:rsidRPr="003B4CA8" w:rsidRDefault="000801F2">
      <w:pPr>
        <w:rPr>
          <w:rFonts w:ascii="Arial" w:hAnsi="Arial" w:cs="Arial"/>
        </w:rPr>
      </w:pPr>
      <w:r w:rsidRPr="003B4CA8">
        <w:rPr>
          <w:rFonts w:ascii="Arial" w:hAnsi="Arial" w:cs="Arial"/>
        </w:rPr>
        <w:t>All of the criteria above are related to the detail laid out in the Statement of Requirement (SOR). They should be read and interpreted in conjunction with the SOR.</w:t>
      </w:r>
    </w:p>
    <w:p w14:paraId="5DD93407" w14:textId="77777777" w:rsidR="000801F2" w:rsidRPr="003B4CA8" w:rsidRDefault="000801F2">
      <w:pPr>
        <w:rPr>
          <w:rFonts w:ascii="Arial" w:hAnsi="Arial" w:cs="Arial"/>
        </w:rPr>
      </w:pPr>
      <w:r w:rsidRPr="003B4CA8">
        <w:rPr>
          <w:rFonts w:ascii="Arial" w:hAnsi="Arial" w:cs="Arial"/>
        </w:rPr>
        <w:lastRenderedPageBreak/>
        <w:t>It is up to the bidder to demonstrate how they meet these criteria. Some examples of relevant evidence are suggested above, but these are indicative only – the bidder should provide whatever evidence they consider relevant and app</w:t>
      </w:r>
      <w:r w:rsidR="00C11BB1" w:rsidRPr="003B4CA8">
        <w:rPr>
          <w:rFonts w:ascii="Arial" w:hAnsi="Arial" w:cs="Arial"/>
        </w:rPr>
        <w:t>ropriate to the requirement for the Authority to consider.</w:t>
      </w:r>
    </w:p>
    <w:p w14:paraId="70ADE85A" w14:textId="77777777" w:rsidR="001151C4" w:rsidRPr="003B4CA8" w:rsidRDefault="001151C4" w:rsidP="001151C4">
      <w:pPr>
        <w:rPr>
          <w:rFonts w:ascii="Arial" w:hAnsi="Arial" w:cs="Arial"/>
          <w:b/>
        </w:rPr>
      </w:pPr>
      <w:r w:rsidRPr="003B4CA8">
        <w:rPr>
          <w:rFonts w:ascii="Arial" w:hAnsi="Arial" w:cs="Arial"/>
          <w:b/>
        </w:rPr>
        <w:t>Scoring Guide:</w:t>
      </w:r>
    </w:p>
    <w:p w14:paraId="5AB7AF8B" w14:textId="77777777" w:rsidR="001151C4" w:rsidRPr="003B4CA8" w:rsidRDefault="001151C4" w:rsidP="001151C4">
      <w:pPr>
        <w:numPr>
          <w:ilvl w:val="0"/>
          <w:numId w:val="12"/>
        </w:numPr>
        <w:spacing w:after="0" w:line="240" w:lineRule="auto"/>
        <w:rPr>
          <w:rFonts w:ascii="Arial" w:hAnsi="Arial" w:cs="Arial"/>
        </w:rPr>
      </w:pPr>
      <w:r w:rsidRPr="003B4CA8">
        <w:rPr>
          <w:rFonts w:ascii="Arial" w:hAnsi="Arial" w:cs="Arial"/>
        </w:rPr>
        <w:t>0 - No response, no evidence of appropriate capability or non-compliant and does not meet the requirement.</w:t>
      </w:r>
    </w:p>
    <w:p w14:paraId="53D6423C" w14:textId="77777777" w:rsidR="001151C4" w:rsidRPr="003B4CA8" w:rsidRDefault="001151C4" w:rsidP="001151C4">
      <w:pPr>
        <w:numPr>
          <w:ilvl w:val="0"/>
          <w:numId w:val="12"/>
        </w:numPr>
        <w:spacing w:after="0" w:line="240" w:lineRule="auto"/>
        <w:rPr>
          <w:rFonts w:ascii="Arial" w:hAnsi="Arial" w:cs="Arial"/>
          <w:b/>
        </w:rPr>
      </w:pPr>
      <w:r w:rsidRPr="003B4CA8">
        <w:rPr>
          <w:rFonts w:ascii="Arial" w:hAnsi="Arial" w:cs="Arial"/>
        </w:rPr>
        <w:t>1 – Subject covered, but no supporting evidence and significantly fails to meet expectations</w:t>
      </w:r>
    </w:p>
    <w:p w14:paraId="5DB7D05C" w14:textId="77777777" w:rsidR="001151C4" w:rsidRPr="003B4CA8" w:rsidRDefault="001151C4" w:rsidP="001151C4">
      <w:pPr>
        <w:numPr>
          <w:ilvl w:val="0"/>
          <w:numId w:val="12"/>
        </w:numPr>
        <w:spacing w:after="0" w:line="240" w:lineRule="auto"/>
        <w:rPr>
          <w:rFonts w:ascii="Arial" w:hAnsi="Arial" w:cs="Arial"/>
          <w:b/>
        </w:rPr>
      </w:pPr>
      <w:r w:rsidRPr="003B4CA8">
        <w:rPr>
          <w:rFonts w:ascii="Arial" w:hAnsi="Arial" w:cs="Arial"/>
        </w:rPr>
        <w:t>2 - Response meets some expectations but not all</w:t>
      </w:r>
    </w:p>
    <w:p w14:paraId="6FC14E15" w14:textId="77777777" w:rsidR="001151C4" w:rsidRPr="003B4CA8" w:rsidRDefault="001151C4" w:rsidP="001151C4">
      <w:pPr>
        <w:numPr>
          <w:ilvl w:val="0"/>
          <w:numId w:val="12"/>
        </w:numPr>
        <w:spacing w:after="0" w:line="240" w:lineRule="auto"/>
        <w:rPr>
          <w:rFonts w:ascii="Arial" w:hAnsi="Arial" w:cs="Arial"/>
          <w:b/>
        </w:rPr>
      </w:pPr>
      <w:r w:rsidRPr="003B4CA8">
        <w:rPr>
          <w:rFonts w:ascii="Arial" w:hAnsi="Arial" w:cs="Arial"/>
        </w:rPr>
        <w:t>3 - Response fully meets all expectations (this score represents a 'pass')</w:t>
      </w:r>
    </w:p>
    <w:p w14:paraId="65DD74B6" w14:textId="77777777" w:rsidR="001151C4" w:rsidRPr="003B4CA8" w:rsidRDefault="001151C4" w:rsidP="001151C4">
      <w:pPr>
        <w:numPr>
          <w:ilvl w:val="0"/>
          <w:numId w:val="12"/>
        </w:numPr>
        <w:spacing w:after="0" w:line="240" w:lineRule="auto"/>
        <w:rPr>
          <w:rFonts w:ascii="Arial" w:hAnsi="Arial" w:cs="Arial"/>
          <w:b/>
        </w:rPr>
      </w:pPr>
      <w:r w:rsidRPr="003B4CA8">
        <w:rPr>
          <w:rFonts w:ascii="Arial" w:hAnsi="Arial" w:cs="Arial"/>
        </w:rPr>
        <w:t>4 - Response fully meets all expectation and in some cases exceeds expectations</w:t>
      </w:r>
    </w:p>
    <w:p w14:paraId="7BD35855" w14:textId="77777777" w:rsidR="001151C4" w:rsidRPr="003B4CA8" w:rsidRDefault="001151C4" w:rsidP="001151C4">
      <w:pPr>
        <w:numPr>
          <w:ilvl w:val="0"/>
          <w:numId w:val="12"/>
        </w:numPr>
        <w:spacing w:after="0" w:line="240" w:lineRule="auto"/>
        <w:rPr>
          <w:rFonts w:ascii="Arial" w:hAnsi="Arial" w:cs="Arial"/>
          <w:b/>
        </w:rPr>
      </w:pPr>
      <w:r w:rsidRPr="003B4CA8">
        <w:rPr>
          <w:rFonts w:ascii="Arial" w:hAnsi="Arial" w:cs="Arial"/>
        </w:rPr>
        <w:t>5 - Response exceeds expectations and demonstrates best practice solutions and/or innovative proposals</w:t>
      </w:r>
    </w:p>
    <w:p w14:paraId="75F0BC7F" w14:textId="77777777" w:rsidR="001151C4" w:rsidRPr="003B4CA8" w:rsidRDefault="001151C4" w:rsidP="001151C4">
      <w:pPr>
        <w:rPr>
          <w:rFonts w:ascii="Arial" w:hAnsi="Arial" w:cs="Arial"/>
          <w:b/>
        </w:rPr>
      </w:pPr>
    </w:p>
    <w:p w14:paraId="2F7C4BA6" w14:textId="38D487B9" w:rsidR="001151C4" w:rsidRPr="003B4CA8" w:rsidRDefault="001151C4" w:rsidP="001151C4">
      <w:pPr>
        <w:rPr>
          <w:rFonts w:ascii="Arial" w:hAnsi="Arial" w:cs="Arial"/>
          <w:b/>
        </w:rPr>
      </w:pPr>
      <w:r w:rsidRPr="003B4CA8">
        <w:rPr>
          <w:rFonts w:ascii="Arial" w:hAnsi="Arial" w:cs="Arial"/>
          <w:b/>
        </w:rPr>
        <w:t xml:space="preserve">This rank will then multiplied by a weighting factor (‘weighting’) attributed to that criterion, giving the final score for the </w:t>
      </w:r>
      <w:r w:rsidR="0093237F">
        <w:rPr>
          <w:rFonts w:ascii="Arial" w:hAnsi="Arial" w:cs="Arial"/>
          <w:b/>
        </w:rPr>
        <w:t>t</w:t>
      </w:r>
      <w:r w:rsidRPr="003B4CA8">
        <w:rPr>
          <w:rFonts w:ascii="Arial" w:hAnsi="Arial" w:cs="Arial"/>
          <w:b/>
        </w:rPr>
        <w:t>enderer against that criterion.  The weightings provided are:</w:t>
      </w:r>
    </w:p>
    <w:p w14:paraId="4E6EEE5A" w14:textId="77777777" w:rsidR="001151C4" w:rsidRPr="003B4CA8" w:rsidRDefault="001151C4" w:rsidP="001151C4">
      <w:pPr>
        <w:rPr>
          <w:rFonts w:ascii="Arial" w:hAnsi="Arial" w:cs="Arial"/>
          <w:b/>
        </w:rPr>
      </w:pPr>
      <w:bookmarkStart w:id="0" w:name="_GoBack"/>
      <w:bookmarkEnd w:id="0"/>
    </w:p>
    <w:p w14:paraId="10BAE4BD" w14:textId="77777777" w:rsidR="001151C4" w:rsidRPr="003B4CA8" w:rsidRDefault="001151C4" w:rsidP="001151C4">
      <w:pPr>
        <w:numPr>
          <w:ilvl w:val="0"/>
          <w:numId w:val="13"/>
        </w:numPr>
        <w:spacing w:after="0" w:line="240" w:lineRule="auto"/>
        <w:rPr>
          <w:rFonts w:ascii="Arial" w:hAnsi="Arial" w:cs="Arial"/>
        </w:rPr>
      </w:pPr>
      <w:r w:rsidRPr="003B4CA8">
        <w:rPr>
          <w:rFonts w:ascii="Arial" w:hAnsi="Arial" w:cs="Arial"/>
        </w:rPr>
        <w:t>10 – high importance</w:t>
      </w:r>
    </w:p>
    <w:p w14:paraId="6CE5EBAB" w14:textId="77777777" w:rsidR="001151C4" w:rsidRPr="003B4CA8" w:rsidRDefault="001151C4" w:rsidP="001151C4">
      <w:pPr>
        <w:numPr>
          <w:ilvl w:val="0"/>
          <w:numId w:val="13"/>
        </w:numPr>
        <w:spacing w:after="0" w:line="240" w:lineRule="auto"/>
        <w:rPr>
          <w:rFonts w:ascii="Arial" w:hAnsi="Arial" w:cs="Arial"/>
        </w:rPr>
      </w:pPr>
      <w:r w:rsidRPr="003B4CA8">
        <w:rPr>
          <w:rFonts w:ascii="Arial" w:hAnsi="Arial" w:cs="Arial"/>
        </w:rPr>
        <w:t>6 – medium importance</w:t>
      </w:r>
    </w:p>
    <w:p w14:paraId="4B8EE420" w14:textId="77777777" w:rsidR="001151C4" w:rsidRPr="003B4CA8" w:rsidRDefault="001151C4" w:rsidP="001151C4">
      <w:pPr>
        <w:numPr>
          <w:ilvl w:val="0"/>
          <w:numId w:val="13"/>
        </w:numPr>
        <w:spacing w:after="0" w:line="240" w:lineRule="auto"/>
        <w:rPr>
          <w:rFonts w:ascii="Arial" w:hAnsi="Arial" w:cs="Arial"/>
        </w:rPr>
      </w:pPr>
      <w:r w:rsidRPr="003B4CA8">
        <w:rPr>
          <w:rFonts w:ascii="Arial" w:hAnsi="Arial" w:cs="Arial"/>
        </w:rPr>
        <w:t>2 – low importance</w:t>
      </w:r>
    </w:p>
    <w:p w14:paraId="43D273C5" w14:textId="77777777" w:rsidR="001151C4" w:rsidRPr="003B4CA8" w:rsidRDefault="001151C4" w:rsidP="001151C4">
      <w:pPr>
        <w:rPr>
          <w:rFonts w:ascii="Arial" w:hAnsi="Arial" w:cs="Arial"/>
          <w:b/>
          <w:sz w:val="24"/>
          <w:szCs w:val="24"/>
        </w:rPr>
      </w:pPr>
    </w:p>
    <w:p w14:paraId="7BB025BA" w14:textId="77777777" w:rsidR="001065EF" w:rsidRPr="003B4CA8" w:rsidRDefault="001065EF">
      <w:pPr>
        <w:rPr>
          <w:rFonts w:ascii="Arial" w:hAnsi="Arial" w:cs="Arial"/>
        </w:rPr>
      </w:pPr>
    </w:p>
    <w:p w14:paraId="4C1D707F" w14:textId="7D822BA3" w:rsidR="00F74CAE" w:rsidRPr="003B4CA8" w:rsidRDefault="00F74CAE">
      <w:pPr>
        <w:rPr>
          <w:rFonts w:ascii="Arial" w:hAnsi="Arial" w:cs="Arial"/>
        </w:rPr>
      </w:pPr>
    </w:p>
    <w:sectPr w:rsidR="00F74CAE" w:rsidRPr="003B4CA8" w:rsidSect="008F4AC2">
      <w:headerReference w:type="default" r:id="rId8"/>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90404D" w14:textId="77777777" w:rsidR="00FB7D05" w:rsidRDefault="00FB7D05" w:rsidP="00FB7D05">
      <w:pPr>
        <w:spacing w:after="0" w:line="240" w:lineRule="auto"/>
      </w:pPr>
      <w:r>
        <w:separator/>
      </w:r>
    </w:p>
  </w:endnote>
  <w:endnote w:type="continuationSeparator" w:id="0">
    <w:p w14:paraId="30B2DF28" w14:textId="77777777" w:rsidR="00FB7D05" w:rsidRDefault="00FB7D05" w:rsidP="00FB7D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9207F4" w14:textId="77777777" w:rsidR="00FB7D05" w:rsidRDefault="00FB7D05" w:rsidP="00FB7D05">
      <w:pPr>
        <w:spacing w:after="0" w:line="240" w:lineRule="auto"/>
      </w:pPr>
      <w:r>
        <w:separator/>
      </w:r>
    </w:p>
  </w:footnote>
  <w:footnote w:type="continuationSeparator" w:id="0">
    <w:p w14:paraId="0DCFD7A2" w14:textId="77777777" w:rsidR="00FB7D05" w:rsidRDefault="00FB7D05" w:rsidP="00FB7D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4EAE0B" w14:textId="148614D2" w:rsidR="00FB7D05" w:rsidRPr="00FB7D05" w:rsidRDefault="002E4717" w:rsidP="002E4717">
    <w:pPr>
      <w:pStyle w:val="Header"/>
      <w:rPr>
        <w:b/>
        <w:sz w:val="24"/>
        <w:szCs w:val="24"/>
      </w:rPr>
    </w:pPr>
    <w:r>
      <w:rPr>
        <w:b/>
      </w:rPr>
      <w:t>TECHNICAL EVALUATION MATRIX</w:t>
    </w:r>
    <w:r>
      <w:rPr>
        <w:b/>
      </w:rPr>
      <w:tab/>
    </w:r>
    <w:r>
      <w:rPr>
        <w:b/>
      </w:rPr>
      <w:tab/>
    </w:r>
    <w:r>
      <w:rPr>
        <w:b/>
      </w:rPr>
      <w:tab/>
    </w:r>
    <w:r>
      <w:rPr>
        <w:b/>
      </w:rPr>
      <w:tab/>
    </w:r>
    <w:r>
      <w:rPr>
        <w:b/>
      </w:rPr>
      <w:tab/>
    </w:r>
    <w:r w:rsidR="0070537B">
      <w:rPr>
        <w:b/>
      </w:rPr>
      <w:t>A</w:t>
    </w:r>
    <w:r w:rsidR="00724429">
      <w:rPr>
        <w:b/>
      </w:rPr>
      <w:t>NNEX B</w:t>
    </w:r>
    <w:r w:rsidR="00FB7D05">
      <w:rPr>
        <w:b/>
      </w:rPr>
      <w:t xml:space="preserve"> TO DEFFORM 47</w:t>
    </w:r>
  </w:p>
  <w:p w14:paraId="288658B7" w14:textId="77777777" w:rsidR="00FB7D05" w:rsidRDefault="00FB7D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7D7C2F"/>
    <w:multiLevelType w:val="hybridMultilevel"/>
    <w:tmpl w:val="B9E89158"/>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 w15:restartNumberingAfterBreak="0">
    <w:nsid w:val="089E556E"/>
    <w:multiLevelType w:val="hybridMultilevel"/>
    <w:tmpl w:val="33025E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82647F"/>
    <w:multiLevelType w:val="hybridMultilevel"/>
    <w:tmpl w:val="51DE2D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953011A"/>
    <w:multiLevelType w:val="hybridMultilevel"/>
    <w:tmpl w:val="052235A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956563C"/>
    <w:multiLevelType w:val="hybridMultilevel"/>
    <w:tmpl w:val="51DE2D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5B861A8"/>
    <w:multiLevelType w:val="hybridMultilevel"/>
    <w:tmpl w:val="75BAFB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0B730F8"/>
    <w:multiLevelType w:val="hybridMultilevel"/>
    <w:tmpl w:val="99889F1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4644D6B"/>
    <w:multiLevelType w:val="hybridMultilevel"/>
    <w:tmpl w:val="930A7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813083C"/>
    <w:multiLevelType w:val="hybridMultilevel"/>
    <w:tmpl w:val="0B88B7E8"/>
    <w:lvl w:ilvl="0" w:tplc="08090001">
      <w:start w:val="1"/>
      <w:numFmt w:val="bullet"/>
      <w:lvlText w:val=""/>
      <w:lvlJc w:val="left"/>
      <w:pPr>
        <w:tabs>
          <w:tab w:val="num" w:pos="720"/>
        </w:tabs>
        <w:ind w:left="720" w:hanging="360"/>
      </w:pPr>
      <w:rPr>
        <w:rFonts w:ascii="Symbol" w:hAnsi="Symbol" w:hint="default"/>
        <w:b/>
        <w:sz w:val="24"/>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9" w15:restartNumberingAfterBreak="0">
    <w:nsid w:val="66D4117F"/>
    <w:multiLevelType w:val="hybridMultilevel"/>
    <w:tmpl w:val="E8AA6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7AE47E7"/>
    <w:multiLevelType w:val="hybridMultilevel"/>
    <w:tmpl w:val="5C963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08622B8"/>
    <w:multiLevelType w:val="hybridMultilevel"/>
    <w:tmpl w:val="4394DF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67069D0"/>
    <w:multiLevelType w:val="hybridMultilevel"/>
    <w:tmpl w:val="240A05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79A2122"/>
    <w:multiLevelType w:val="hybridMultilevel"/>
    <w:tmpl w:val="B136DE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12"/>
  </w:num>
  <w:num w:numId="3">
    <w:abstractNumId w:val="10"/>
  </w:num>
  <w:num w:numId="4">
    <w:abstractNumId w:val="9"/>
  </w:num>
  <w:num w:numId="5">
    <w:abstractNumId w:val="0"/>
  </w:num>
  <w:num w:numId="6">
    <w:abstractNumId w:val="7"/>
  </w:num>
  <w:num w:numId="7">
    <w:abstractNumId w:val="4"/>
  </w:num>
  <w:num w:numId="8">
    <w:abstractNumId w:val="1"/>
  </w:num>
  <w:num w:numId="9">
    <w:abstractNumId w:val="11"/>
  </w:num>
  <w:num w:numId="10">
    <w:abstractNumId w:val="5"/>
  </w:num>
  <w:num w:numId="11">
    <w:abstractNumId w:val="2"/>
  </w:num>
  <w:num w:numId="1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4F99"/>
    <w:rsid w:val="00011218"/>
    <w:rsid w:val="000801F2"/>
    <w:rsid w:val="000B6DA0"/>
    <w:rsid w:val="000E1D48"/>
    <w:rsid w:val="00104168"/>
    <w:rsid w:val="001065EF"/>
    <w:rsid w:val="001151C4"/>
    <w:rsid w:val="00173DC9"/>
    <w:rsid w:val="00194315"/>
    <w:rsid w:val="001C023B"/>
    <w:rsid w:val="001C2119"/>
    <w:rsid w:val="001E40F1"/>
    <w:rsid w:val="00273CF9"/>
    <w:rsid w:val="002B539C"/>
    <w:rsid w:val="002D6C92"/>
    <w:rsid w:val="002D6EF5"/>
    <w:rsid w:val="002E4717"/>
    <w:rsid w:val="002F7EBE"/>
    <w:rsid w:val="00347A7A"/>
    <w:rsid w:val="00351E61"/>
    <w:rsid w:val="003B4CA8"/>
    <w:rsid w:val="003B5821"/>
    <w:rsid w:val="003C48DE"/>
    <w:rsid w:val="004600BA"/>
    <w:rsid w:val="00532D01"/>
    <w:rsid w:val="0054208B"/>
    <w:rsid w:val="005B2B3E"/>
    <w:rsid w:val="006266E4"/>
    <w:rsid w:val="0064127E"/>
    <w:rsid w:val="006767E0"/>
    <w:rsid w:val="00704F99"/>
    <w:rsid w:val="0070537B"/>
    <w:rsid w:val="00724429"/>
    <w:rsid w:val="007619F2"/>
    <w:rsid w:val="00786347"/>
    <w:rsid w:val="00794C4F"/>
    <w:rsid w:val="007D704F"/>
    <w:rsid w:val="007E3055"/>
    <w:rsid w:val="007E30CE"/>
    <w:rsid w:val="00800549"/>
    <w:rsid w:val="008061CA"/>
    <w:rsid w:val="00807ECD"/>
    <w:rsid w:val="008B6B94"/>
    <w:rsid w:val="008D6019"/>
    <w:rsid w:val="008F271C"/>
    <w:rsid w:val="008F4AC2"/>
    <w:rsid w:val="00905868"/>
    <w:rsid w:val="00930FDA"/>
    <w:rsid w:val="0093237F"/>
    <w:rsid w:val="0097108F"/>
    <w:rsid w:val="009C51C5"/>
    <w:rsid w:val="00C05617"/>
    <w:rsid w:val="00C11BB1"/>
    <w:rsid w:val="00C23407"/>
    <w:rsid w:val="00CD5C50"/>
    <w:rsid w:val="00D15B14"/>
    <w:rsid w:val="00D279D7"/>
    <w:rsid w:val="00D549AE"/>
    <w:rsid w:val="00D641B5"/>
    <w:rsid w:val="00D73185"/>
    <w:rsid w:val="00E52CCE"/>
    <w:rsid w:val="00E565D1"/>
    <w:rsid w:val="00E64496"/>
    <w:rsid w:val="00E91A7B"/>
    <w:rsid w:val="00F627C1"/>
    <w:rsid w:val="00F74CAE"/>
    <w:rsid w:val="00F75118"/>
    <w:rsid w:val="00FB7D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0A1B5"/>
  <w15:chartTrackingRefBased/>
  <w15:docId w15:val="{40BFAF91-586E-45F6-8142-73D545E64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04F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C023B"/>
    <w:pPr>
      <w:ind w:left="720"/>
      <w:contextualSpacing/>
    </w:pPr>
  </w:style>
  <w:style w:type="character" w:styleId="CommentReference">
    <w:name w:val="annotation reference"/>
    <w:basedOn w:val="DefaultParagraphFont"/>
    <w:uiPriority w:val="99"/>
    <w:semiHidden/>
    <w:unhideWhenUsed/>
    <w:rsid w:val="00905868"/>
    <w:rPr>
      <w:sz w:val="16"/>
      <w:szCs w:val="16"/>
    </w:rPr>
  </w:style>
  <w:style w:type="paragraph" w:styleId="CommentText">
    <w:name w:val="annotation text"/>
    <w:basedOn w:val="Normal"/>
    <w:link w:val="CommentTextChar"/>
    <w:uiPriority w:val="99"/>
    <w:semiHidden/>
    <w:unhideWhenUsed/>
    <w:rsid w:val="00905868"/>
    <w:pPr>
      <w:spacing w:line="240" w:lineRule="auto"/>
    </w:pPr>
    <w:rPr>
      <w:sz w:val="20"/>
      <w:szCs w:val="20"/>
    </w:rPr>
  </w:style>
  <w:style w:type="character" w:customStyle="1" w:styleId="CommentTextChar">
    <w:name w:val="Comment Text Char"/>
    <w:basedOn w:val="DefaultParagraphFont"/>
    <w:link w:val="CommentText"/>
    <w:uiPriority w:val="99"/>
    <w:semiHidden/>
    <w:rsid w:val="00905868"/>
    <w:rPr>
      <w:sz w:val="20"/>
      <w:szCs w:val="20"/>
    </w:rPr>
  </w:style>
  <w:style w:type="paragraph" w:styleId="CommentSubject">
    <w:name w:val="annotation subject"/>
    <w:basedOn w:val="CommentText"/>
    <w:next w:val="CommentText"/>
    <w:link w:val="CommentSubjectChar"/>
    <w:uiPriority w:val="99"/>
    <w:semiHidden/>
    <w:unhideWhenUsed/>
    <w:rsid w:val="00905868"/>
    <w:rPr>
      <w:b/>
      <w:bCs/>
    </w:rPr>
  </w:style>
  <w:style w:type="character" w:customStyle="1" w:styleId="CommentSubjectChar">
    <w:name w:val="Comment Subject Char"/>
    <w:basedOn w:val="CommentTextChar"/>
    <w:link w:val="CommentSubject"/>
    <w:uiPriority w:val="99"/>
    <w:semiHidden/>
    <w:rsid w:val="00905868"/>
    <w:rPr>
      <w:b/>
      <w:bCs/>
      <w:sz w:val="20"/>
      <w:szCs w:val="20"/>
    </w:rPr>
  </w:style>
  <w:style w:type="paragraph" w:styleId="BalloonText">
    <w:name w:val="Balloon Text"/>
    <w:basedOn w:val="Normal"/>
    <w:link w:val="BalloonTextChar"/>
    <w:uiPriority w:val="99"/>
    <w:semiHidden/>
    <w:unhideWhenUsed/>
    <w:rsid w:val="009058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5868"/>
    <w:rPr>
      <w:rFonts w:ascii="Segoe UI" w:hAnsi="Segoe UI" w:cs="Segoe UI"/>
      <w:sz w:val="18"/>
      <w:szCs w:val="18"/>
    </w:rPr>
  </w:style>
  <w:style w:type="paragraph" w:styleId="Revision">
    <w:name w:val="Revision"/>
    <w:hidden/>
    <w:uiPriority w:val="99"/>
    <w:semiHidden/>
    <w:rsid w:val="00E52CCE"/>
    <w:pPr>
      <w:spacing w:after="0" w:line="240" w:lineRule="auto"/>
    </w:pPr>
  </w:style>
  <w:style w:type="paragraph" w:styleId="Header">
    <w:name w:val="header"/>
    <w:basedOn w:val="Normal"/>
    <w:link w:val="HeaderChar"/>
    <w:uiPriority w:val="99"/>
    <w:unhideWhenUsed/>
    <w:rsid w:val="00FB7D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7D05"/>
  </w:style>
  <w:style w:type="paragraph" w:styleId="Footer">
    <w:name w:val="footer"/>
    <w:basedOn w:val="Normal"/>
    <w:link w:val="FooterChar"/>
    <w:uiPriority w:val="99"/>
    <w:unhideWhenUsed/>
    <w:rsid w:val="00FB7D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7D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1923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F9F9D9-0D94-42EE-B658-7EB12F44E1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1155</Words>
  <Characters>6585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Hobbs, Ursula D (Def Comrcl CC-JFC 8b1)</cp:lastModifiedBy>
  <cp:revision>6</cp:revision>
  <cp:lastPrinted>2017-08-03T08:34:00Z</cp:lastPrinted>
  <dcterms:created xsi:type="dcterms:W3CDTF">2017-08-17T08:31:00Z</dcterms:created>
  <dcterms:modified xsi:type="dcterms:W3CDTF">2017-08-17T15:08:00Z</dcterms:modified>
</cp:coreProperties>
</file>