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ABE25E" w14:textId="77777777" w:rsidR="00D5089B" w:rsidRDefault="004C3E08">
      <w:pPr>
        <w:spacing w:after="0"/>
        <w:ind w:left="4402" w:right="2594" w:hanging="998"/>
      </w:pPr>
      <w:r>
        <w:rPr>
          <w:noProof/>
        </w:rPr>
        <w:drawing>
          <wp:anchor distT="0" distB="0" distL="114300" distR="114300" simplePos="0" relativeHeight="251658240" behindDoc="0" locked="0" layoutInCell="1" allowOverlap="0" wp14:anchorId="69B755E9" wp14:editId="3967C242">
            <wp:simplePos x="0" y="0"/>
            <wp:positionH relativeFrom="page">
              <wp:posOffset>462915</wp:posOffset>
            </wp:positionH>
            <wp:positionV relativeFrom="page">
              <wp:posOffset>334645</wp:posOffset>
            </wp:positionV>
            <wp:extent cx="495300" cy="679450"/>
            <wp:effectExtent l="0" t="0" r="0" b="0"/>
            <wp:wrapTopAndBottom/>
            <wp:docPr id="465" name="Picture 465"/>
            <wp:cNvGraphicFramePr/>
            <a:graphic xmlns:a="http://schemas.openxmlformats.org/drawingml/2006/main">
              <a:graphicData uri="http://schemas.openxmlformats.org/drawingml/2006/picture">
                <pic:pic xmlns:pic="http://schemas.openxmlformats.org/drawingml/2006/picture">
                  <pic:nvPicPr>
                    <pic:cNvPr id="465" name="Picture 465"/>
                    <pic:cNvPicPr/>
                  </pic:nvPicPr>
                  <pic:blipFill>
                    <a:blip r:embed="rId7"/>
                    <a:stretch>
                      <a:fillRect/>
                    </a:stretch>
                  </pic:blipFill>
                  <pic:spPr>
                    <a:xfrm>
                      <a:off x="0" y="0"/>
                      <a:ext cx="495300" cy="679450"/>
                    </a:xfrm>
                    <a:prstGeom prst="rect">
                      <a:avLst/>
                    </a:prstGeom>
                  </pic:spPr>
                </pic:pic>
              </a:graphicData>
            </a:graphic>
          </wp:anchor>
        </w:drawing>
      </w:r>
      <w:r>
        <w:rPr>
          <w:b/>
          <w:sz w:val="16"/>
        </w:rPr>
        <w:t xml:space="preserve">FT CORPORATE DIGITAL CONTENT </w:t>
      </w:r>
      <w:proofErr w:type="gramStart"/>
      <w:r>
        <w:rPr>
          <w:b/>
          <w:sz w:val="16"/>
        </w:rPr>
        <w:t>LICENCE  TERM</w:t>
      </w:r>
      <w:proofErr w:type="gramEnd"/>
      <w:r>
        <w:rPr>
          <w:b/>
          <w:sz w:val="16"/>
        </w:rPr>
        <w:t xml:space="preserve"> SHEET </w:t>
      </w:r>
    </w:p>
    <w:tbl>
      <w:tblPr>
        <w:tblStyle w:val="TableGrid"/>
        <w:tblW w:w="10490" w:type="dxa"/>
        <w:tblInd w:w="-424" w:type="dxa"/>
        <w:tblCellMar>
          <w:top w:w="36" w:type="dxa"/>
          <w:left w:w="106" w:type="dxa"/>
          <w:right w:w="71" w:type="dxa"/>
        </w:tblCellMar>
        <w:tblLook w:val="04A0" w:firstRow="1" w:lastRow="0" w:firstColumn="1" w:lastColumn="0" w:noHBand="0" w:noVBand="1"/>
      </w:tblPr>
      <w:tblGrid>
        <w:gridCol w:w="1986"/>
        <w:gridCol w:w="1412"/>
        <w:gridCol w:w="2416"/>
        <w:gridCol w:w="3544"/>
        <w:gridCol w:w="1132"/>
      </w:tblGrid>
      <w:tr w:rsidR="00D5089B" w14:paraId="2A20D418" w14:textId="77777777">
        <w:trPr>
          <w:trHeight w:val="307"/>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CC99"/>
          </w:tcPr>
          <w:p w14:paraId="251823C4" w14:textId="77777777" w:rsidR="00D5089B" w:rsidRDefault="004C3E08">
            <w:pPr>
              <w:ind w:left="1"/>
            </w:pPr>
            <w:r>
              <w:rPr>
                <w:b/>
                <w:sz w:val="18"/>
              </w:rPr>
              <w:t xml:space="preserve">Parties </w:t>
            </w:r>
          </w:p>
        </w:tc>
      </w:tr>
      <w:tr w:rsidR="00D5089B" w14:paraId="733AA82E" w14:textId="77777777">
        <w:trPr>
          <w:trHeight w:val="287"/>
        </w:trPr>
        <w:tc>
          <w:tcPr>
            <w:tcW w:w="1986" w:type="dxa"/>
            <w:tcBorders>
              <w:top w:val="single" w:sz="4" w:space="0" w:color="000000"/>
              <w:left w:val="single" w:sz="4" w:space="0" w:color="000000"/>
              <w:bottom w:val="single" w:sz="4" w:space="0" w:color="000000"/>
              <w:right w:val="single" w:sz="4" w:space="0" w:color="000000"/>
            </w:tcBorders>
          </w:tcPr>
          <w:p w14:paraId="487577E8" w14:textId="77777777" w:rsidR="00D5089B" w:rsidRDefault="004C3E08">
            <w:pPr>
              <w:ind w:left="1"/>
            </w:pPr>
            <w:r>
              <w:rPr>
                <w:b/>
                <w:sz w:val="16"/>
              </w:rPr>
              <w:t xml:space="preserve">FT </w:t>
            </w:r>
          </w:p>
        </w:tc>
        <w:tc>
          <w:tcPr>
            <w:tcW w:w="8504" w:type="dxa"/>
            <w:gridSpan w:val="4"/>
            <w:tcBorders>
              <w:top w:val="single" w:sz="4" w:space="0" w:color="000000"/>
              <w:left w:val="single" w:sz="4" w:space="0" w:color="000000"/>
              <w:bottom w:val="single" w:sz="4" w:space="0" w:color="000000"/>
              <w:right w:val="single" w:sz="4" w:space="0" w:color="000000"/>
            </w:tcBorders>
          </w:tcPr>
          <w:p w14:paraId="5D85DB4B" w14:textId="77777777" w:rsidR="00D5089B" w:rsidRDefault="004C3E08">
            <w:r>
              <w:rPr>
                <w:b/>
                <w:sz w:val="16"/>
              </w:rPr>
              <w:t xml:space="preserve">THE FINANCIAL TIMES LIMITED </w:t>
            </w:r>
            <w:r>
              <w:rPr>
                <w:sz w:val="16"/>
              </w:rPr>
              <w:t xml:space="preserve">whose registered office is at Bracken House, 1 Friday Street, London EC4M 9BT </w:t>
            </w:r>
          </w:p>
        </w:tc>
      </w:tr>
      <w:tr w:rsidR="00D5089B" w14:paraId="5FFA3493" w14:textId="77777777">
        <w:trPr>
          <w:trHeight w:val="1656"/>
        </w:trPr>
        <w:tc>
          <w:tcPr>
            <w:tcW w:w="1986" w:type="dxa"/>
            <w:vMerge w:val="restart"/>
            <w:tcBorders>
              <w:top w:val="single" w:sz="4" w:space="0" w:color="000000"/>
              <w:left w:val="single" w:sz="4" w:space="0" w:color="000000"/>
              <w:bottom w:val="single" w:sz="4" w:space="0" w:color="000000"/>
              <w:right w:val="single" w:sz="4" w:space="0" w:color="000000"/>
            </w:tcBorders>
          </w:tcPr>
          <w:p w14:paraId="2C52E80B" w14:textId="77777777" w:rsidR="00D5089B" w:rsidRDefault="004C3E08">
            <w:pPr>
              <w:ind w:left="1"/>
            </w:pPr>
            <w:r>
              <w:rPr>
                <w:b/>
                <w:sz w:val="16"/>
              </w:rPr>
              <w:t xml:space="preserve">Client </w:t>
            </w:r>
          </w:p>
        </w:tc>
        <w:tc>
          <w:tcPr>
            <w:tcW w:w="8504" w:type="dxa"/>
            <w:gridSpan w:val="4"/>
            <w:tcBorders>
              <w:top w:val="single" w:sz="4" w:space="0" w:color="000000"/>
              <w:left w:val="single" w:sz="4" w:space="0" w:color="000000"/>
              <w:bottom w:val="single" w:sz="4" w:space="0" w:color="000000"/>
              <w:right w:val="single" w:sz="4" w:space="0" w:color="000000"/>
            </w:tcBorders>
          </w:tcPr>
          <w:p w14:paraId="039CC73D" w14:textId="77777777" w:rsidR="00D5089B" w:rsidRDefault="004C3E08">
            <w:pPr>
              <w:spacing w:after="23"/>
            </w:pPr>
            <w:r>
              <w:rPr>
                <w:b/>
                <w:sz w:val="16"/>
              </w:rPr>
              <w:t xml:space="preserve">HM Revenue and Customs </w:t>
            </w:r>
          </w:p>
          <w:p w14:paraId="30942F73" w14:textId="77777777" w:rsidR="00D5089B" w:rsidRDefault="004C3E08">
            <w:r>
              <w:rPr>
                <w:sz w:val="16"/>
              </w:rPr>
              <w:t xml:space="preserve">100 Parliament Street </w:t>
            </w:r>
          </w:p>
          <w:p w14:paraId="3FED22C6" w14:textId="77777777" w:rsidR="00D5089B" w:rsidRDefault="004C3E08">
            <w:pPr>
              <w:spacing w:after="23"/>
            </w:pPr>
            <w:r>
              <w:rPr>
                <w:sz w:val="16"/>
              </w:rPr>
              <w:t xml:space="preserve">Westminster </w:t>
            </w:r>
          </w:p>
          <w:p w14:paraId="075BD129" w14:textId="77777777" w:rsidR="00D5089B" w:rsidRDefault="004C3E08">
            <w:pPr>
              <w:spacing w:after="23"/>
            </w:pPr>
            <w:r>
              <w:rPr>
                <w:sz w:val="16"/>
              </w:rPr>
              <w:t xml:space="preserve">London </w:t>
            </w:r>
          </w:p>
          <w:p w14:paraId="6873D374" w14:textId="77777777" w:rsidR="00D5089B" w:rsidRDefault="004C3E08">
            <w:pPr>
              <w:spacing w:after="23"/>
            </w:pPr>
            <w:r>
              <w:rPr>
                <w:sz w:val="16"/>
              </w:rPr>
              <w:t xml:space="preserve"> </w:t>
            </w:r>
          </w:p>
          <w:p w14:paraId="3E8406DF" w14:textId="77777777" w:rsidR="00D5089B" w:rsidRDefault="004C3E08">
            <w:pPr>
              <w:spacing w:after="23"/>
            </w:pPr>
            <w:r>
              <w:rPr>
                <w:sz w:val="16"/>
              </w:rPr>
              <w:t xml:space="preserve">SW1A 2BQ </w:t>
            </w:r>
          </w:p>
          <w:p w14:paraId="6A086AE8" w14:textId="77777777" w:rsidR="00D5089B" w:rsidRDefault="004C3E08">
            <w:r>
              <w:rPr>
                <w:sz w:val="16"/>
              </w:rPr>
              <w:t xml:space="preserve">United Kingdom </w:t>
            </w:r>
          </w:p>
        </w:tc>
      </w:tr>
      <w:tr w:rsidR="00D5089B" w14:paraId="50A1CF29" w14:textId="77777777">
        <w:trPr>
          <w:trHeight w:val="522"/>
        </w:trPr>
        <w:tc>
          <w:tcPr>
            <w:tcW w:w="0" w:type="auto"/>
            <w:vMerge/>
            <w:tcBorders>
              <w:top w:val="nil"/>
              <w:left w:val="single" w:sz="4" w:space="0" w:color="000000"/>
              <w:bottom w:val="single" w:sz="4" w:space="0" w:color="000000"/>
              <w:right w:val="single" w:sz="4" w:space="0" w:color="000000"/>
            </w:tcBorders>
          </w:tcPr>
          <w:p w14:paraId="1CBFD3A1" w14:textId="77777777" w:rsidR="00D5089B" w:rsidRDefault="00D5089B"/>
        </w:tc>
        <w:tc>
          <w:tcPr>
            <w:tcW w:w="3828" w:type="dxa"/>
            <w:gridSpan w:val="2"/>
            <w:tcBorders>
              <w:top w:val="single" w:sz="4" w:space="0" w:color="000000"/>
              <w:left w:val="single" w:sz="4" w:space="0" w:color="000000"/>
              <w:bottom w:val="single" w:sz="4" w:space="0" w:color="000000"/>
              <w:right w:val="single" w:sz="4" w:space="0" w:color="000000"/>
            </w:tcBorders>
          </w:tcPr>
          <w:p w14:paraId="0626945E" w14:textId="77777777" w:rsidR="00D5089B" w:rsidRDefault="004C3E08">
            <w:pPr>
              <w:spacing w:after="23"/>
            </w:pPr>
            <w:r>
              <w:rPr>
                <w:b/>
                <w:sz w:val="16"/>
              </w:rPr>
              <w:t xml:space="preserve"> </w:t>
            </w:r>
          </w:p>
          <w:p w14:paraId="11169B90" w14:textId="77777777" w:rsidR="00D5089B" w:rsidRDefault="004C3E08">
            <w:r>
              <w:rPr>
                <w:sz w:val="16"/>
              </w:rPr>
              <w:t xml:space="preserve"> </w:t>
            </w:r>
          </w:p>
        </w:tc>
        <w:tc>
          <w:tcPr>
            <w:tcW w:w="4676" w:type="dxa"/>
            <w:gridSpan w:val="2"/>
            <w:tcBorders>
              <w:top w:val="single" w:sz="4" w:space="0" w:color="000000"/>
              <w:left w:val="single" w:sz="4" w:space="0" w:color="000000"/>
              <w:bottom w:val="single" w:sz="4" w:space="0" w:color="000000"/>
              <w:right w:val="single" w:sz="4" w:space="0" w:color="000000"/>
            </w:tcBorders>
            <w:vAlign w:val="center"/>
          </w:tcPr>
          <w:p w14:paraId="2B5AACBE" w14:textId="77777777" w:rsidR="00D5089B" w:rsidRDefault="004C3E08">
            <w:pPr>
              <w:ind w:left="1"/>
            </w:pPr>
            <w:r>
              <w:rPr>
                <w:b/>
                <w:sz w:val="16"/>
              </w:rPr>
              <w:t xml:space="preserve"> </w:t>
            </w:r>
          </w:p>
        </w:tc>
      </w:tr>
      <w:tr w:rsidR="00D5089B" w14:paraId="7B95C8F4" w14:textId="77777777">
        <w:trPr>
          <w:trHeight w:val="284"/>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CC99"/>
          </w:tcPr>
          <w:p w14:paraId="6A954570" w14:textId="77777777" w:rsidR="00D5089B" w:rsidRDefault="004C3E08">
            <w:pPr>
              <w:ind w:left="1"/>
            </w:pPr>
            <w:r>
              <w:rPr>
                <w:b/>
                <w:sz w:val="16"/>
              </w:rPr>
              <w:t>Period of Services</w:t>
            </w:r>
            <w:r>
              <w:rPr>
                <w:b/>
                <w:sz w:val="18"/>
              </w:rPr>
              <w:t xml:space="preserve"> </w:t>
            </w:r>
          </w:p>
        </w:tc>
      </w:tr>
      <w:tr w:rsidR="00D5089B" w14:paraId="2FE1CF3B" w14:textId="77777777">
        <w:trPr>
          <w:trHeight w:val="344"/>
        </w:trPr>
        <w:tc>
          <w:tcPr>
            <w:tcW w:w="1986" w:type="dxa"/>
            <w:tcBorders>
              <w:top w:val="single" w:sz="4" w:space="0" w:color="000000"/>
              <w:left w:val="single" w:sz="4" w:space="0" w:color="000000"/>
              <w:bottom w:val="single" w:sz="4" w:space="0" w:color="000000"/>
              <w:right w:val="single" w:sz="4" w:space="0" w:color="000000"/>
            </w:tcBorders>
          </w:tcPr>
          <w:p w14:paraId="3C4B2EBA" w14:textId="77777777" w:rsidR="00D5089B" w:rsidRDefault="004C3E08">
            <w:pPr>
              <w:ind w:left="1"/>
            </w:pPr>
            <w:r>
              <w:rPr>
                <w:b/>
                <w:sz w:val="16"/>
              </w:rPr>
              <w:t>Service Start Date</w:t>
            </w:r>
            <w:r>
              <w:rPr>
                <w:rFonts w:ascii="Times New Roman" w:eastAsia="Times New Roman" w:hAnsi="Times New Roman" w:cs="Times New Roman"/>
                <w:sz w:val="24"/>
              </w:rPr>
              <w:t xml:space="preserve"> </w:t>
            </w:r>
          </w:p>
        </w:tc>
        <w:tc>
          <w:tcPr>
            <w:tcW w:w="8504" w:type="dxa"/>
            <w:gridSpan w:val="4"/>
            <w:tcBorders>
              <w:top w:val="single" w:sz="4" w:space="0" w:color="000000"/>
              <w:left w:val="single" w:sz="4" w:space="0" w:color="000000"/>
              <w:bottom w:val="single" w:sz="4" w:space="0" w:color="000000"/>
              <w:right w:val="single" w:sz="4" w:space="0" w:color="000000"/>
            </w:tcBorders>
          </w:tcPr>
          <w:p w14:paraId="2B4C799A" w14:textId="77777777" w:rsidR="00D5089B" w:rsidRDefault="004C3E08">
            <w:r>
              <w:rPr>
                <w:sz w:val="16"/>
              </w:rPr>
              <w:t>01/05/2022</w:t>
            </w:r>
            <w:r>
              <w:rPr>
                <w:rFonts w:ascii="Times New Roman" w:eastAsia="Times New Roman" w:hAnsi="Times New Roman" w:cs="Times New Roman"/>
                <w:sz w:val="16"/>
              </w:rPr>
              <w:t xml:space="preserve"> </w:t>
            </w:r>
          </w:p>
        </w:tc>
      </w:tr>
      <w:tr w:rsidR="00D5089B" w14:paraId="39A0EC9B" w14:textId="77777777">
        <w:trPr>
          <w:trHeight w:val="307"/>
        </w:trPr>
        <w:tc>
          <w:tcPr>
            <w:tcW w:w="1986" w:type="dxa"/>
            <w:tcBorders>
              <w:top w:val="single" w:sz="4" w:space="0" w:color="000000"/>
              <w:left w:val="single" w:sz="4" w:space="0" w:color="000000"/>
              <w:bottom w:val="single" w:sz="4" w:space="0" w:color="000000"/>
              <w:right w:val="single" w:sz="4" w:space="0" w:color="000000"/>
            </w:tcBorders>
          </w:tcPr>
          <w:p w14:paraId="04D7CC73" w14:textId="77777777" w:rsidR="00D5089B" w:rsidRDefault="004C3E08">
            <w:pPr>
              <w:ind w:left="1"/>
            </w:pPr>
            <w:r>
              <w:rPr>
                <w:b/>
                <w:sz w:val="16"/>
              </w:rPr>
              <w:t xml:space="preserve">Service End Date </w:t>
            </w:r>
          </w:p>
        </w:tc>
        <w:tc>
          <w:tcPr>
            <w:tcW w:w="8504" w:type="dxa"/>
            <w:gridSpan w:val="4"/>
            <w:tcBorders>
              <w:top w:val="single" w:sz="4" w:space="0" w:color="000000"/>
              <w:left w:val="single" w:sz="4" w:space="0" w:color="000000"/>
              <w:bottom w:val="single" w:sz="4" w:space="0" w:color="000000"/>
              <w:right w:val="single" w:sz="4" w:space="0" w:color="000000"/>
            </w:tcBorders>
          </w:tcPr>
          <w:p w14:paraId="65CB0C3A" w14:textId="77777777" w:rsidR="00D5089B" w:rsidRDefault="004C3E08">
            <w:r>
              <w:rPr>
                <w:b/>
                <w:sz w:val="16"/>
              </w:rPr>
              <w:t xml:space="preserve">30/04/2025 </w:t>
            </w:r>
          </w:p>
        </w:tc>
      </w:tr>
      <w:tr w:rsidR="00D5089B" w14:paraId="71624E81" w14:textId="77777777">
        <w:trPr>
          <w:trHeight w:val="308"/>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CC99"/>
          </w:tcPr>
          <w:p w14:paraId="6DA1C07C" w14:textId="77777777" w:rsidR="00D5089B" w:rsidRDefault="004C3E08">
            <w:pPr>
              <w:ind w:left="1"/>
            </w:pPr>
            <w:r>
              <w:rPr>
                <w:b/>
                <w:sz w:val="18"/>
              </w:rPr>
              <w:t>Type of Licence, Number of Readers and Access Rights</w:t>
            </w:r>
            <w:r>
              <w:rPr>
                <w:sz w:val="14"/>
              </w:rPr>
              <w:t xml:space="preserve"> </w:t>
            </w:r>
          </w:p>
        </w:tc>
      </w:tr>
      <w:tr w:rsidR="00D5089B" w14:paraId="77ACE7DE" w14:textId="77777777">
        <w:trPr>
          <w:trHeight w:val="2248"/>
        </w:trPr>
        <w:tc>
          <w:tcPr>
            <w:tcW w:w="10490" w:type="dxa"/>
            <w:gridSpan w:val="5"/>
            <w:tcBorders>
              <w:top w:val="single" w:sz="4" w:space="0" w:color="000000"/>
              <w:left w:val="single" w:sz="4" w:space="0" w:color="000000"/>
              <w:bottom w:val="single" w:sz="4" w:space="0" w:color="000000"/>
              <w:right w:val="single" w:sz="4" w:space="0" w:color="000000"/>
            </w:tcBorders>
          </w:tcPr>
          <w:p w14:paraId="636A95A2" w14:textId="77777777" w:rsidR="00D5089B" w:rsidRDefault="004C3E08">
            <w:pPr>
              <w:spacing w:after="87" w:line="241" w:lineRule="auto"/>
              <w:ind w:left="1"/>
            </w:pPr>
            <w:r>
              <w:rPr>
                <w:sz w:val="16"/>
              </w:rPr>
              <w:t xml:space="preserve">This Agreement is for the number of readers set out below working within the Client entity (including employees, partners, on-site contractors, </w:t>
            </w:r>
            <w:proofErr w:type="gramStart"/>
            <w:r>
              <w:rPr>
                <w:sz w:val="16"/>
              </w:rPr>
              <w:t>interns</w:t>
            </w:r>
            <w:proofErr w:type="gramEnd"/>
            <w:r>
              <w:rPr>
                <w:sz w:val="16"/>
              </w:rPr>
              <w:t xml:space="preserve"> and students), who are given access rights to the Content under this Agreement via the Channel and who are classified as “Core Readers” and/or “Licensed Readers”. </w:t>
            </w:r>
          </w:p>
          <w:p w14:paraId="0AFB61EA" w14:textId="77777777" w:rsidR="00D5089B" w:rsidRDefault="004C3E08">
            <w:pPr>
              <w:numPr>
                <w:ilvl w:val="0"/>
                <w:numId w:val="1"/>
              </w:numPr>
              <w:spacing w:after="87" w:line="241" w:lineRule="auto"/>
              <w:ind w:left="745" w:hanging="744"/>
            </w:pPr>
            <w:r>
              <w:rPr>
                <w:b/>
                <w:sz w:val="16"/>
              </w:rPr>
              <w:t>Core Readers</w:t>
            </w:r>
            <w:r>
              <w:rPr>
                <w:sz w:val="16"/>
              </w:rPr>
              <w:t xml:space="preserve"> are the individuals requiring access to nine or more FT articles within any period of thirty days during the Term. The number of Core Readers forms the basis of the Fee.  </w:t>
            </w:r>
          </w:p>
          <w:p w14:paraId="68E7FD5C" w14:textId="77777777" w:rsidR="00D5089B" w:rsidRDefault="004C3E08">
            <w:pPr>
              <w:numPr>
                <w:ilvl w:val="0"/>
                <w:numId w:val="1"/>
              </w:numPr>
              <w:spacing w:after="77" w:line="241" w:lineRule="auto"/>
              <w:ind w:left="745" w:hanging="744"/>
            </w:pPr>
            <w:r>
              <w:rPr>
                <w:b/>
                <w:sz w:val="16"/>
              </w:rPr>
              <w:t>Licensed Readers</w:t>
            </w:r>
            <w:r>
              <w:rPr>
                <w:sz w:val="16"/>
              </w:rPr>
              <w:t xml:space="preserve"> are the individuals that are expressly authorised to read Content under this Agreement. Core Readers form a subset of Licensed Readers. </w:t>
            </w:r>
          </w:p>
          <w:p w14:paraId="26EFAAD5" w14:textId="77777777" w:rsidR="00D5089B" w:rsidRDefault="004C3E08">
            <w:pPr>
              <w:spacing w:after="64"/>
              <w:ind w:left="1"/>
            </w:pPr>
            <w:r>
              <w:rPr>
                <w:sz w:val="16"/>
              </w:rPr>
              <w:t>“Licensed Readers" are referred to as “</w:t>
            </w:r>
            <w:r>
              <w:rPr>
                <w:b/>
                <w:sz w:val="16"/>
              </w:rPr>
              <w:t>Readers</w:t>
            </w:r>
            <w:r>
              <w:rPr>
                <w:sz w:val="16"/>
              </w:rPr>
              <w:t xml:space="preserve">” within the Terms and Conditions. </w:t>
            </w:r>
          </w:p>
          <w:p w14:paraId="5379833F" w14:textId="77777777" w:rsidR="00D5089B" w:rsidRDefault="004C3E08">
            <w:pPr>
              <w:ind w:left="1"/>
            </w:pPr>
            <w:r>
              <w:rPr>
                <w:sz w:val="16"/>
              </w:rPr>
              <w:t xml:space="preserve">There are three types of FT Corporate Licences. The completed section below shows the type of licence granted under this Agreement.  </w:t>
            </w:r>
          </w:p>
        </w:tc>
      </w:tr>
      <w:tr w:rsidR="00D5089B" w14:paraId="16BAE560" w14:textId="77777777">
        <w:trPr>
          <w:trHeight w:val="2747"/>
        </w:trPr>
        <w:tc>
          <w:tcPr>
            <w:tcW w:w="10490" w:type="dxa"/>
            <w:gridSpan w:val="5"/>
            <w:tcBorders>
              <w:top w:val="single" w:sz="4" w:space="0" w:color="000000"/>
              <w:left w:val="single" w:sz="4" w:space="0" w:color="000000"/>
              <w:bottom w:val="single" w:sz="4" w:space="0" w:color="000000"/>
              <w:right w:val="single" w:sz="4" w:space="0" w:color="000000"/>
            </w:tcBorders>
          </w:tcPr>
          <w:p w14:paraId="3F4823A3" w14:textId="77777777" w:rsidR="00D5089B" w:rsidRDefault="004C3E08">
            <w:pPr>
              <w:ind w:left="1"/>
            </w:pPr>
            <w:r>
              <w:rPr>
                <w:sz w:val="16"/>
              </w:rPr>
              <w:t xml:space="preserve">Enterprise:  </w:t>
            </w:r>
          </w:p>
          <w:p w14:paraId="4D8C04F2" w14:textId="292DED0C" w:rsidR="00D5089B" w:rsidRDefault="004C3E08">
            <w:pPr>
              <w:spacing w:line="238" w:lineRule="auto"/>
              <w:ind w:left="1"/>
            </w:pPr>
            <w:r>
              <w:rPr>
                <w:sz w:val="16"/>
              </w:rPr>
              <w:t xml:space="preserve">Year 1: For </w:t>
            </w:r>
            <w:r w:rsidR="00182009" w:rsidRPr="00182009">
              <w:rPr>
                <w:b/>
                <w:sz w:val="16"/>
                <w:highlight w:val="black"/>
              </w:rPr>
              <w:t>XXX</w:t>
            </w:r>
            <w:r>
              <w:rPr>
                <w:sz w:val="16"/>
              </w:rPr>
              <w:t xml:space="preserve"> Core Readers working within the Client entity. Everyone else working within the Client entity are Licensed Readers. The number of such Licensed Readers is </w:t>
            </w:r>
            <w:r w:rsidR="00182009" w:rsidRPr="00182009">
              <w:rPr>
                <w:b/>
                <w:sz w:val="16"/>
                <w:highlight w:val="black"/>
              </w:rPr>
              <w:t>XXXXX</w:t>
            </w:r>
          </w:p>
          <w:p w14:paraId="0FA6A4DD" w14:textId="67DEABD5" w:rsidR="00D5089B" w:rsidRDefault="004C3E08">
            <w:pPr>
              <w:spacing w:line="241" w:lineRule="auto"/>
              <w:ind w:left="1"/>
            </w:pPr>
            <w:r>
              <w:rPr>
                <w:sz w:val="16"/>
              </w:rPr>
              <w:t xml:space="preserve">Year 2: For </w:t>
            </w:r>
            <w:r w:rsidR="00182009" w:rsidRPr="00182009">
              <w:rPr>
                <w:b/>
                <w:sz w:val="16"/>
                <w:highlight w:val="black"/>
              </w:rPr>
              <w:t>XXX</w:t>
            </w:r>
            <w:r>
              <w:rPr>
                <w:sz w:val="16"/>
              </w:rPr>
              <w:t xml:space="preserve"> Core Readers working within the Client entity. Everyone else working within the Client entity are Licensed Readers. The number of such Licensed Readers is </w:t>
            </w:r>
            <w:r w:rsidR="00182009" w:rsidRPr="00182009">
              <w:rPr>
                <w:b/>
                <w:sz w:val="16"/>
                <w:highlight w:val="black"/>
              </w:rPr>
              <w:t>XXXXX</w:t>
            </w:r>
          </w:p>
          <w:p w14:paraId="070F69D0" w14:textId="0BA8BBDE" w:rsidR="00D5089B" w:rsidRDefault="004C3E08">
            <w:pPr>
              <w:spacing w:line="241" w:lineRule="auto"/>
              <w:ind w:left="1"/>
            </w:pPr>
            <w:r>
              <w:rPr>
                <w:sz w:val="16"/>
              </w:rPr>
              <w:t xml:space="preserve">Year 3: For </w:t>
            </w:r>
            <w:r w:rsidR="00182009" w:rsidRPr="00182009">
              <w:rPr>
                <w:b/>
                <w:sz w:val="16"/>
                <w:highlight w:val="black"/>
              </w:rPr>
              <w:t>XXX</w:t>
            </w:r>
            <w:r>
              <w:rPr>
                <w:sz w:val="16"/>
              </w:rPr>
              <w:t xml:space="preserve"> Core Readers working within the Client entity. Everyone else working within the Client entity are Licensed Readers. The number of such Licensed Readers is </w:t>
            </w:r>
            <w:r w:rsidR="00182009" w:rsidRPr="00182009">
              <w:rPr>
                <w:b/>
                <w:sz w:val="16"/>
                <w:highlight w:val="black"/>
              </w:rPr>
              <w:t>XXXXX</w:t>
            </w:r>
          </w:p>
          <w:p w14:paraId="755AF486" w14:textId="7B9F7E39" w:rsidR="00D5089B" w:rsidRDefault="00182009" w:rsidP="00182009">
            <w:pPr>
              <w:jc w:val="center"/>
              <w:rPr>
                <w:rFonts w:asciiTheme="minorHAnsi" w:hAnsiTheme="minorHAnsi" w:cstheme="minorHAnsi"/>
                <w:b/>
                <w:bCs/>
                <w:sz w:val="16"/>
                <w:szCs w:val="16"/>
              </w:rPr>
            </w:pPr>
            <w:r w:rsidRPr="004C3E08">
              <w:rPr>
                <w:rFonts w:asciiTheme="minorHAnsi" w:hAnsiTheme="minorHAnsi" w:cstheme="minorHAnsi"/>
                <w:b/>
                <w:bCs/>
                <w:sz w:val="16"/>
                <w:szCs w:val="16"/>
              </w:rPr>
              <w:t>Information redacted under section 43 (2) of FOI Act 2000.</w:t>
            </w:r>
          </w:p>
          <w:p w14:paraId="30BA5867" w14:textId="77777777" w:rsidR="00182009" w:rsidRDefault="00182009" w:rsidP="00182009">
            <w:pPr>
              <w:ind w:left="1"/>
              <w:jc w:val="center"/>
            </w:pPr>
          </w:p>
          <w:p w14:paraId="3D63C013" w14:textId="77777777" w:rsidR="00D5089B" w:rsidRDefault="004C3E08">
            <w:pPr>
              <w:spacing w:line="241" w:lineRule="auto"/>
              <w:ind w:left="1" w:right="11"/>
            </w:pPr>
            <w:r>
              <w:rPr>
                <w:b/>
                <w:sz w:val="16"/>
              </w:rPr>
              <w:t xml:space="preserve">“Readers” </w:t>
            </w:r>
            <w:r>
              <w:rPr>
                <w:sz w:val="16"/>
              </w:rPr>
              <w:t xml:space="preserve">as defined above may also include individuals working within the Affiliate.  Readers working within the Affiliate will count towards the total number of Core Readers and/or Licensed Readers as described above. </w:t>
            </w:r>
          </w:p>
          <w:p w14:paraId="36CC7B6F" w14:textId="77777777" w:rsidR="00D5089B" w:rsidRDefault="004C3E08">
            <w:pPr>
              <w:ind w:left="1"/>
            </w:pPr>
            <w:r>
              <w:rPr>
                <w:sz w:val="16"/>
              </w:rPr>
              <w:t xml:space="preserve"> </w:t>
            </w:r>
          </w:p>
          <w:p w14:paraId="5DA825B1" w14:textId="77777777" w:rsidR="00D5089B" w:rsidRDefault="004C3E08">
            <w:pPr>
              <w:ind w:left="1"/>
            </w:pPr>
            <w:r>
              <w:rPr>
                <w:sz w:val="16"/>
              </w:rPr>
              <w:t xml:space="preserve">An </w:t>
            </w:r>
            <w:r>
              <w:rPr>
                <w:b/>
                <w:sz w:val="16"/>
              </w:rPr>
              <w:t xml:space="preserve">“Affiliate” </w:t>
            </w:r>
            <w:r>
              <w:rPr>
                <w:sz w:val="16"/>
              </w:rPr>
              <w:t>means the entity listed at Schedule A, for so long</w:t>
            </w:r>
            <w:r>
              <w:rPr>
                <w:b/>
                <w:sz w:val="16"/>
              </w:rPr>
              <w:t xml:space="preserve"> </w:t>
            </w:r>
            <w:r>
              <w:rPr>
                <w:sz w:val="16"/>
              </w:rPr>
              <w:t>as it remains a UK Government</w:t>
            </w:r>
            <w:r>
              <w:rPr>
                <w:b/>
                <w:sz w:val="16"/>
              </w:rPr>
              <w:t xml:space="preserve"> </w:t>
            </w:r>
            <w:r>
              <w:rPr>
                <w:sz w:val="16"/>
              </w:rPr>
              <w:t xml:space="preserve">Executive Agency sponsored by the Client.  The Client will ensure that the Affiliate and its Readers comply with all applicable obligations as if they were its own. </w:t>
            </w:r>
            <w:proofErr w:type="gramStart"/>
            <w:r>
              <w:rPr>
                <w:sz w:val="16"/>
              </w:rPr>
              <w:t>For the purpose of</w:t>
            </w:r>
            <w:proofErr w:type="gramEnd"/>
            <w:r>
              <w:rPr>
                <w:sz w:val="16"/>
              </w:rPr>
              <w:t xml:space="preserve"> clauses 7.3 and 7.4 only of the attached Terms and Conditions, references to the Client are deemed to include the Affiliate </w:t>
            </w:r>
          </w:p>
        </w:tc>
      </w:tr>
      <w:tr w:rsidR="00D5089B" w14:paraId="40389412" w14:textId="77777777">
        <w:trPr>
          <w:trHeight w:val="827"/>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CC99"/>
          </w:tcPr>
          <w:p w14:paraId="1AFE40D6" w14:textId="77777777" w:rsidR="00D5089B" w:rsidRDefault="004C3E08">
            <w:pPr>
              <w:ind w:left="1"/>
            </w:pPr>
            <w:r>
              <w:rPr>
                <w:b/>
                <w:sz w:val="18"/>
              </w:rPr>
              <w:t xml:space="preserve">Digital Channels </w:t>
            </w:r>
            <w:r>
              <w:rPr>
                <w:b/>
                <w:sz w:val="16"/>
              </w:rPr>
              <w:t xml:space="preserve">(Information provided by the Client) </w:t>
            </w:r>
          </w:p>
          <w:p w14:paraId="270A049F" w14:textId="77777777" w:rsidR="00D5089B" w:rsidRDefault="004C3E08">
            <w:pPr>
              <w:spacing w:after="27"/>
              <w:ind w:left="1"/>
            </w:pPr>
            <w:r>
              <w:rPr>
                <w:i/>
                <w:sz w:val="12"/>
              </w:rPr>
              <w:t xml:space="preserve">The below percentages are based on the Client's own percentage estimate of the channel split, which are applied to the Total Core Reader Number and then system generated. </w:t>
            </w:r>
          </w:p>
          <w:p w14:paraId="4660080D" w14:textId="77777777" w:rsidR="00D5089B" w:rsidRDefault="004C3E08">
            <w:pPr>
              <w:spacing w:after="2"/>
              <w:ind w:left="1"/>
            </w:pPr>
            <w:r>
              <w:rPr>
                <w:i/>
                <w:sz w:val="12"/>
              </w:rPr>
              <w:t xml:space="preserve">Please note that these are the channels through which your Readers will be able to access FT Content. This includes the FT Site itself and the specified </w:t>
            </w:r>
            <w:proofErr w:type="gramStart"/>
            <w:r>
              <w:rPr>
                <w:i/>
                <w:sz w:val="12"/>
              </w:rPr>
              <w:t>Third Party</w:t>
            </w:r>
            <w:proofErr w:type="gramEnd"/>
            <w:r>
              <w:rPr>
                <w:i/>
                <w:sz w:val="12"/>
              </w:rPr>
              <w:t xml:space="preserve"> Channels (defined in clause 1 of the Terms and </w:t>
            </w:r>
          </w:p>
          <w:p w14:paraId="6D21AEB7" w14:textId="77777777" w:rsidR="00D5089B" w:rsidRDefault="004C3E08">
            <w:pPr>
              <w:ind w:left="1"/>
            </w:pPr>
            <w:r>
              <w:rPr>
                <w:i/>
                <w:sz w:val="12"/>
              </w:rPr>
              <w:t>Conditions)</w:t>
            </w:r>
            <w:r>
              <w:rPr>
                <w:sz w:val="14"/>
              </w:rPr>
              <w:t xml:space="preserve"> </w:t>
            </w:r>
          </w:p>
        </w:tc>
      </w:tr>
      <w:tr w:rsidR="00D5089B" w14:paraId="2DA5BD38" w14:textId="77777777">
        <w:trPr>
          <w:trHeight w:val="1205"/>
        </w:trPr>
        <w:tc>
          <w:tcPr>
            <w:tcW w:w="3398" w:type="dxa"/>
            <w:gridSpan w:val="2"/>
            <w:tcBorders>
              <w:top w:val="single" w:sz="4" w:space="0" w:color="000000"/>
              <w:left w:val="single" w:sz="4" w:space="0" w:color="000000"/>
              <w:bottom w:val="single" w:sz="4" w:space="0" w:color="000000"/>
              <w:right w:val="single" w:sz="4" w:space="0" w:color="000000"/>
            </w:tcBorders>
          </w:tcPr>
          <w:p w14:paraId="55955E77" w14:textId="77777777" w:rsidR="00D5089B" w:rsidRDefault="004C3E08">
            <w:pPr>
              <w:ind w:left="1"/>
            </w:pPr>
            <w:r>
              <w:rPr>
                <w:b/>
                <w:sz w:val="16"/>
              </w:rPr>
              <w:t>Channel</w:t>
            </w:r>
            <w:r>
              <w:rPr>
                <w:sz w:val="16"/>
              </w:rPr>
              <w:t xml:space="preserve">: </w:t>
            </w:r>
          </w:p>
        </w:tc>
        <w:tc>
          <w:tcPr>
            <w:tcW w:w="2416" w:type="dxa"/>
            <w:tcBorders>
              <w:top w:val="single" w:sz="4" w:space="0" w:color="000000"/>
              <w:left w:val="single" w:sz="4" w:space="0" w:color="000000"/>
              <w:bottom w:val="single" w:sz="4" w:space="0" w:color="000000"/>
              <w:right w:val="single" w:sz="4" w:space="0" w:color="000000"/>
            </w:tcBorders>
          </w:tcPr>
          <w:p w14:paraId="5E55D298" w14:textId="77777777" w:rsidR="00D5089B" w:rsidRDefault="004C3E08">
            <w:pPr>
              <w:spacing w:after="4" w:line="239" w:lineRule="auto"/>
              <w:ind w:right="37"/>
              <w:jc w:val="both"/>
            </w:pPr>
            <w:r>
              <w:rPr>
                <w:sz w:val="16"/>
              </w:rPr>
              <w:t xml:space="preserve">Please estimate (as a %) which </w:t>
            </w:r>
            <w:r>
              <w:rPr>
                <w:b/>
                <w:sz w:val="16"/>
              </w:rPr>
              <w:t xml:space="preserve">Channel </w:t>
            </w:r>
            <w:r>
              <w:rPr>
                <w:sz w:val="16"/>
              </w:rPr>
              <w:t xml:space="preserve">your </w:t>
            </w:r>
            <w:r>
              <w:rPr>
                <w:b/>
                <w:sz w:val="16"/>
              </w:rPr>
              <w:t>Core Readers</w:t>
            </w:r>
            <w:r>
              <w:rPr>
                <w:sz w:val="16"/>
              </w:rPr>
              <w:t xml:space="preserve"> will use most frequently to access FT Content </w:t>
            </w:r>
          </w:p>
          <w:p w14:paraId="1D7D097B" w14:textId="77777777" w:rsidR="00D5089B" w:rsidRDefault="004C3E08">
            <w:pPr>
              <w:jc w:val="both"/>
            </w:pPr>
            <w:r>
              <w:rPr>
                <w:i/>
                <w:sz w:val="12"/>
              </w:rPr>
              <w:t>[</w:t>
            </w:r>
            <w:proofErr w:type="gramStart"/>
            <w:r>
              <w:rPr>
                <w:i/>
                <w:sz w:val="12"/>
              </w:rPr>
              <w:t>i.e.</w:t>
            </w:r>
            <w:proofErr w:type="gramEnd"/>
            <w:r>
              <w:rPr>
                <w:i/>
                <w:sz w:val="12"/>
              </w:rPr>
              <w:t xml:space="preserve"> if half your Core Readers are most likely to use one particular channel then insert 50%]</w:t>
            </w:r>
            <w:r>
              <w:rPr>
                <w:sz w:val="16"/>
              </w:rPr>
              <w:t xml:space="preserve"> </w:t>
            </w:r>
          </w:p>
        </w:tc>
        <w:tc>
          <w:tcPr>
            <w:tcW w:w="3544" w:type="dxa"/>
            <w:tcBorders>
              <w:top w:val="single" w:sz="4" w:space="0" w:color="000000"/>
              <w:left w:val="single" w:sz="4" w:space="0" w:color="000000"/>
              <w:bottom w:val="single" w:sz="4" w:space="0" w:color="000000"/>
              <w:right w:val="single" w:sz="4" w:space="0" w:color="000000"/>
            </w:tcBorders>
          </w:tcPr>
          <w:p w14:paraId="60E17B9D" w14:textId="77777777" w:rsidR="00D5089B" w:rsidRDefault="004C3E08">
            <w:pPr>
              <w:ind w:left="1" w:right="36"/>
              <w:jc w:val="both"/>
            </w:pPr>
            <w:r>
              <w:rPr>
                <w:sz w:val="16"/>
              </w:rPr>
              <w:t xml:space="preserve">Please state how many of your </w:t>
            </w:r>
            <w:r>
              <w:rPr>
                <w:b/>
                <w:sz w:val="16"/>
              </w:rPr>
              <w:t>total Readers</w:t>
            </w:r>
            <w:r>
              <w:rPr>
                <w:sz w:val="16"/>
              </w:rPr>
              <w:t xml:space="preserve"> (as a number) will be able to access FT Content through each </w:t>
            </w:r>
            <w:proofErr w:type="gramStart"/>
            <w:r>
              <w:rPr>
                <w:b/>
                <w:sz w:val="16"/>
              </w:rPr>
              <w:t>Third Party</w:t>
            </w:r>
            <w:proofErr w:type="gramEnd"/>
            <w:r>
              <w:rPr>
                <w:b/>
                <w:sz w:val="16"/>
              </w:rPr>
              <w:t xml:space="preserve"> Channel</w:t>
            </w:r>
            <w:r>
              <w:rPr>
                <w:sz w:val="16"/>
              </w:rPr>
              <w:t xml:space="preserve">  </w:t>
            </w:r>
          </w:p>
        </w:tc>
        <w:tc>
          <w:tcPr>
            <w:tcW w:w="113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5501E43" w14:textId="77777777" w:rsidR="00D5089B" w:rsidRDefault="004C3E08">
            <w:pPr>
              <w:jc w:val="center"/>
            </w:pPr>
            <w:r>
              <w:rPr>
                <w:sz w:val="16"/>
              </w:rPr>
              <w:t xml:space="preserve">For FT office use </w:t>
            </w:r>
          </w:p>
        </w:tc>
      </w:tr>
      <w:tr w:rsidR="00D5089B" w14:paraId="6B1C7054" w14:textId="77777777">
        <w:trPr>
          <w:trHeight w:val="756"/>
        </w:trPr>
        <w:tc>
          <w:tcPr>
            <w:tcW w:w="3398" w:type="dxa"/>
            <w:gridSpan w:val="2"/>
            <w:tcBorders>
              <w:top w:val="single" w:sz="4" w:space="0" w:color="000000"/>
              <w:left w:val="single" w:sz="4" w:space="0" w:color="000000"/>
              <w:bottom w:val="single" w:sz="4" w:space="0" w:color="000000"/>
              <w:right w:val="single" w:sz="4" w:space="0" w:color="000000"/>
            </w:tcBorders>
            <w:vAlign w:val="center"/>
          </w:tcPr>
          <w:p w14:paraId="4A58CEC1" w14:textId="77777777" w:rsidR="00D5089B" w:rsidRDefault="004C3E08">
            <w:pPr>
              <w:spacing w:after="64"/>
              <w:ind w:right="40"/>
              <w:jc w:val="center"/>
            </w:pPr>
            <w:r>
              <w:rPr>
                <w:sz w:val="16"/>
              </w:rPr>
              <w:t xml:space="preserve">Lexis Nexis </w:t>
            </w:r>
          </w:p>
          <w:p w14:paraId="4C00B1E8" w14:textId="77777777" w:rsidR="00D5089B" w:rsidRDefault="004C3E08">
            <w:pPr>
              <w:ind w:right="40"/>
              <w:jc w:val="center"/>
            </w:pPr>
            <w:r>
              <w:rPr>
                <w:sz w:val="16"/>
              </w:rPr>
              <w:t xml:space="preserve"> Hosted </w:t>
            </w:r>
          </w:p>
        </w:tc>
        <w:tc>
          <w:tcPr>
            <w:tcW w:w="2416" w:type="dxa"/>
            <w:tcBorders>
              <w:top w:val="single" w:sz="4" w:space="0" w:color="000000"/>
              <w:left w:val="single" w:sz="4" w:space="0" w:color="000000"/>
              <w:bottom w:val="single" w:sz="4" w:space="0" w:color="000000"/>
              <w:right w:val="single" w:sz="4" w:space="0" w:color="000000"/>
            </w:tcBorders>
          </w:tcPr>
          <w:p w14:paraId="51B5EB6B" w14:textId="77777777" w:rsidR="00D5089B" w:rsidRDefault="004C3E08">
            <w:pPr>
              <w:ind w:right="36"/>
              <w:jc w:val="center"/>
            </w:pPr>
            <w:r>
              <w:rPr>
                <w:sz w:val="16"/>
              </w:rPr>
              <w:t xml:space="preserve">11% </w:t>
            </w:r>
          </w:p>
        </w:tc>
        <w:tc>
          <w:tcPr>
            <w:tcW w:w="3544" w:type="dxa"/>
            <w:tcBorders>
              <w:top w:val="single" w:sz="4" w:space="0" w:color="000000"/>
              <w:left w:val="single" w:sz="4" w:space="0" w:color="000000"/>
              <w:bottom w:val="single" w:sz="4" w:space="0" w:color="000000"/>
              <w:right w:val="single" w:sz="4" w:space="0" w:color="000000"/>
            </w:tcBorders>
          </w:tcPr>
          <w:p w14:paraId="4B15556A" w14:textId="77777777" w:rsidR="00D5089B" w:rsidRDefault="004C3E08">
            <w:pPr>
              <w:spacing w:after="23"/>
              <w:ind w:right="2"/>
              <w:jc w:val="center"/>
            </w:pPr>
            <w:r>
              <w:rPr>
                <w:sz w:val="16"/>
              </w:rPr>
              <w:t xml:space="preserve"> </w:t>
            </w:r>
          </w:p>
          <w:p w14:paraId="0C7AB2C8" w14:textId="77777777" w:rsidR="00D5089B" w:rsidRDefault="004C3E08">
            <w:pPr>
              <w:spacing w:after="23"/>
              <w:ind w:right="35"/>
              <w:jc w:val="center"/>
            </w:pPr>
            <w:r>
              <w:rPr>
                <w:sz w:val="16"/>
              </w:rPr>
              <w:t xml:space="preserve">All </w:t>
            </w:r>
          </w:p>
          <w:p w14:paraId="5A294C04" w14:textId="77777777" w:rsidR="00D5089B" w:rsidRDefault="004C3E08">
            <w:pPr>
              <w:ind w:right="2"/>
              <w:jc w:val="center"/>
            </w:pPr>
            <w:r>
              <w:rPr>
                <w:sz w:val="16"/>
              </w:rPr>
              <w:t xml:space="preserve"> </w:t>
            </w:r>
          </w:p>
        </w:tc>
        <w:tc>
          <w:tcPr>
            <w:tcW w:w="113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D56197B" w14:textId="77777777" w:rsidR="00D5089B" w:rsidRDefault="004C3E08">
            <w:pPr>
              <w:ind w:left="3"/>
              <w:jc w:val="center"/>
            </w:pPr>
            <w:r>
              <w:rPr>
                <w:sz w:val="16"/>
              </w:rPr>
              <w:t xml:space="preserve"> </w:t>
            </w:r>
          </w:p>
        </w:tc>
      </w:tr>
      <w:tr w:rsidR="00D5089B" w14:paraId="6BACEED2" w14:textId="77777777">
        <w:trPr>
          <w:trHeight w:val="756"/>
        </w:trPr>
        <w:tc>
          <w:tcPr>
            <w:tcW w:w="3398" w:type="dxa"/>
            <w:gridSpan w:val="2"/>
            <w:tcBorders>
              <w:top w:val="single" w:sz="4" w:space="0" w:color="000000"/>
              <w:left w:val="single" w:sz="4" w:space="0" w:color="000000"/>
              <w:bottom w:val="single" w:sz="4" w:space="0" w:color="000000"/>
              <w:right w:val="single" w:sz="4" w:space="0" w:color="000000"/>
            </w:tcBorders>
            <w:vAlign w:val="center"/>
          </w:tcPr>
          <w:p w14:paraId="3D0E2F0B" w14:textId="77777777" w:rsidR="00D5089B" w:rsidRDefault="004C3E08">
            <w:pPr>
              <w:spacing w:after="64"/>
              <w:ind w:right="43"/>
              <w:jc w:val="center"/>
            </w:pPr>
            <w:proofErr w:type="spellStart"/>
            <w:r>
              <w:rPr>
                <w:sz w:val="16"/>
              </w:rPr>
              <w:t>Gorkana</w:t>
            </w:r>
            <w:proofErr w:type="spellEnd"/>
            <w:r>
              <w:rPr>
                <w:sz w:val="16"/>
              </w:rPr>
              <w:t xml:space="preserve"> </w:t>
            </w:r>
          </w:p>
          <w:p w14:paraId="642F7B75" w14:textId="77777777" w:rsidR="00D5089B" w:rsidRDefault="004C3E08">
            <w:pPr>
              <w:ind w:right="40"/>
              <w:jc w:val="center"/>
            </w:pPr>
            <w:r>
              <w:rPr>
                <w:sz w:val="16"/>
              </w:rPr>
              <w:t xml:space="preserve"> Hosted </w:t>
            </w:r>
          </w:p>
        </w:tc>
        <w:tc>
          <w:tcPr>
            <w:tcW w:w="2416" w:type="dxa"/>
            <w:tcBorders>
              <w:top w:val="single" w:sz="4" w:space="0" w:color="000000"/>
              <w:left w:val="single" w:sz="4" w:space="0" w:color="000000"/>
              <w:bottom w:val="single" w:sz="4" w:space="0" w:color="000000"/>
              <w:right w:val="single" w:sz="4" w:space="0" w:color="000000"/>
            </w:tcBorders>
          </w:tcPr>
          <w:p w14:paraId="0CA015C4" w14:textId="77777777" w:rsidR="00D5089B" w:rsidRDefault="004C3E08">
            <w:pPr>
              <w:ind w:right="36"/>
              <w:jc w:val="center"/>
            </w:pPr>
            <w:r>
              <w:rPr>
                <w:sz w:val="16"/>
              </w:rPr>
              <w:t xml:space="preserve">1% </w:t>
            </w:r>
          </w:p>
        </w:tc>
        <w:tc>
          <w:tcPr>
            <w:tcW w:w="3544" w:type="dxa"/>
            <w:tcBorders>
              <w:top w:val="single" w:sz="4" w:space="0" w:color="000000"/>
              <w:left w:val="single" w:sz="4" w:space="0" w:color="000000"/>
              <w:bottom w:val="single" w:sz="4" w:space="0" w:color="000000"/>
              <w:right w:val="single" w:sz="4" w:space="0" w:color="000000"/>
            </w:tcBorders>
          </w:tcPr>
          <w:p w14:paraId="746FC702" w14:textId="77777777" w:rsidR="00D5089B" w:rsidRDefault="004C3E08">
            <w:pPr>
              <w:spacing w:after="23"/>
              <w:ind w:right="2"/>
              <w:jc w:val="center"/>
            </w:pPr>
            <w:r>
              <w:rPr>
                <w:sz w:val="16"/>
              </w:rPr>
              <w:t xml:space="preserve"> </w:t>
            </w:r>
          </w:p>
          <w:p w14:paraId="7F328A83" w14:textId="77777777" w:rsidR="00D5089B" w:rsidRDefault="004C3E08">
            <w:pPr>
              <w:spacing w:after="23"/>
              <w:ind w:right="35"/>
              <w:jc w:val="center"/>
            </w:pPr>
            <w:r>
              <w:rPr>
                <w:sz w:val="16"/>
              </w:rPr>
              <w:t xml:space="preserve">All </w:t>
            </w:r>
          </w:p>
          <w:p w14:paraId="50F8CE48" w14:textId="77777777" w:rsidR="00D5089B" w:rsidRDefault="004C3E08">
            <w:pPr>
              <w:ind w:right="2"/>
              <w:jc w:val="center"/>
            </w:pPr>
            <w:r>
              <w:rPr>
                <w:sz w:val="16"/>
              </w:rPr>
              <w:t xml:space="preserve"> </w:t>
            </w:r>
          </w:p>
        </w:tc>
        <w:tc>
          <w:tcPr>
            <w:tcW w:w="113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40E8262" w14:textId="77777777" w:rsidR="00D5089B" w:rsidRDefault="004C3E08">
            <w:pPr>
              <w:ind w:left="3"/>
              <w:jc w:val="center"/>
            </w:pPr>
            <w:r>
              <w:rPr>
                <w:sz w:val="16"/>
              </w:rPr>
              <w:t xml:space="preserve"> </w:t>
            </w:r>
          </w:p>
        </w:tc>
      </w:tr>
      <w:tr w:rsidR="00D5089B" w14:paraId="3731DD6F" w14:textId="77777777">
        <w:trPr>
          <w:trHeight w:val="756"/>
        </w:trPr>
        <w:tc>
          <w:tcPr>
            <w:tcW w:w="3398" w:type="dxa"/>
            <w:gridSpan w:val="2"/>
            <w:tcBorders>
              <w:top w:val="single" w:sz="4" w:space="0" w:color="000000"/>
              <w:left w:val="single" w:sz="4" w:space="0" w:color="000000"/>
              <w:bottom w:val="single" w:sz="4" w:space="0" w:color="000000"/>
              <w:right w:val="single" w:sz="4" w:space="0" w:color="000000"/>
            </w:tcBorders>
            <w:vAlign w:val="center"/>
          </w:tcPr>
          <w:p w14:paraId="6452ECFE" w14:textId="77777777" w:rsidR="00D5089B" w:rsidRDefault="004C3E08">
            <w:pPr>
              <w:spacing w:after="64"/>
              <w:ind w:right="37"/>
              <w:jc w:val="center"/>
            </w:pPr>
            <w:r>
              <w:rPr>
                <w:sz w:val="16"/>
              </w:rPr>
              <w:lastRenderedPageBreak/>
              <w:t xml:space="preserve">FT.com Premium </w:t>
            </w:r>
          </w:p>
          <w:p w14:paraId="5C5AAC1B" w14:textId="77777777" w:rsidR="00D5089B" w:rsidRDefault="004C3E08">
            <w:pPr>
              <w:ind w:right="4"/>
              <w:jc w:val="center"/>
            </w:pPr>
            <w:r>
              <w:rPr>
                <w:sz w:val="16"/>
              </w:rPr>
              <w:t xml:space="preserve"> </w:t>
            </w:r>
          </w:p>
        </w:tc>
        <w:tc>
          <w:tcPr>
            <w:tcW w:w="2416" w:type="dxa"/>
            <w:tcBorders>
              <w:top w:val="single" w:sz="4" w:space="0" w:color="000000"/>
              <w:left w:val="single" w:sz="4" w:space="0" w:color="000000"/>
              <w:bottom w:val="single" w:sz="4" w:space="0" w:color="000000"/>
              <w:right w:val="single" w:sz="4" w:space="0" w:color="000000"/>
            </w:tcBorders>
          </w:tcPr>
          <w:p w14:paraId="1D896DDD" w14:textId="77777777" w:rsidR="00D5089B" w:rsidRDefault="004C3E08">
            <w:pPr>
              <w:ind w:right="36"/>
              <w:jc w:val="center"/>
            </w:pPr>
            <w:r>
              <w:rPr>
                <w:sz w:val="16"/>
              </w:rPr>
              <w:t xml:space="preserve">88% </w:t>
            </w:r>
          </w:p>
        </w:tc>
        <w:tc>
          <w:tcPr>
            <w:tcW w:w="3544" w:type="dxa"/>
            <w:tcBorders>
              <w:top w:val="single" w:sz="4" w:space="0" w:color="000000"/>
              <w:left w:val="single" w:sz="4" w:space="0" w:color="000000"/>
              <w:bottom w:val="single" w:sz="4" w:space="0" w:color="000000"/>
              <w:right w:val="single" w:sz="4" w:space="0" w:color="000000"/>
            </w:tcBorders>
          </w:tcPr>
          <w:p w14:paraId="3C4879E6" w14:textId="77777777" w:rsidR="00D5089B" w:rsidRDefault="004C3E08">
            <w:pPr>
              <w:spacing w:after="23"/>
              <w:ind w:right="34"/>
              <w:jc w:val="center"/>
            </w:pPr>
            <w:r>
              <w:rPr>
                <w:sz w:val="16"/>
              </w:rPr>
              <w:t xml:space="preserve">N/A </w:t>
            </w:r>
          </w:p>
          <w:p w14:paraId="43793263" w14:textId="77777777" w:rsidR="00D5089B" w:rsidRDefault="004C3E08">
            <w:pPr>
              <w:spacing w:after="24"/>
              <w:ind w:right="2"/>
              <w:jc w:val="center"/>
            </w:pPr>
            <w:r>
              <w:rPr>
                <w:sz w:val="16"/>
              </w:rPr>
              <w:t xml:space="preserve"> </w:t>
            </w:r>
          </w:p>
          <w:p w14:paraId="1B8EE4E5" w14:textId="77777777" w:rsidR="00D5089B" w:rsidRDefault="004C3E08">
            <w:pPr>
              <w:ind w:right="2"/>
              <w:jc w:val="center"/>
            </w:pPr>
            <w:r>
              <w:rPr>
                <w:sz w:val="16"/>
              </w:rPr>
              <w:t xml:space="preserve"> </w:t>
            </w:r>
          </w:p>
        </w:tc>
        <w:tc>
          <w:tcPr>
            <w:tcW w:w="1132"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3EFF25E" w14:textId="77777777" w:rsidR="00D5089B" w:rsidRDefault="004C3E08">
            <w:pPr>
              <w:ind w:left="3"/>
              <w:jc w:val="center"/>
            </w:pPr>
            <w:r>
              <w:rPr>
                <w:sz w:val="16"/>
              </w:rPr>
              <w:t xml:space="preserve"> </w:t>
            </w:r>
          </w:p>
        </w:tc>
      </w:tr>
      <w:tr w:rsidR="00D5089B" w14:paraId="7BEE95FF" w14:textId="77777777">
        <w:trPr>
          <w:trHeight w:val="365"/>
        </w:trPr>
        <w:tc>
          <w:tcPr>
            <w:tcW w:w="3398" w:type="dxa"/>
            <w:gridSpan w:val="2"/>
            <w:tcBorders>
              <w:top w:val="single" w:sz="4" w:space="0" w:color="000000"/>
              <w:left w:val="single" w:sz="4" w:space="0" w:color="000000"/>
              <w:bottom w:val="single" w:sz="4" w:space="0" w:color="000000"/>
              <w:right w:val="single" w:sz="4" w:space="0" w:color="000000"/>
            </w:tcBorders>
          </w:tcPr>
          <w:p w14:paraId="0F08CAA3" w14:textId="77777777" w:rsidR="00D5089B" w:rsidRDefault="004C3E08">
            <w:pPr>
              <w:ind w:right="37"/>
              <w:jc w:val="center"/>
            </w:pPr>
            <w:r>
              <w:rPr>
                <w:b/>
                <w:sz w:val="16"/>
              </w:rPr>
              <w:t xml:space="preserve">Total </w:t>
            </w:r>
          </w:p>
        </w:tc>
        <w:tc>
          <w:tcPr>
            <w:tcW w:w="2416" w:type="dxa"/>
            <w:tcBorders>
              <w:top w:val="single" w:sz="4" w:space="0" w:color="000000"/>
              <w:left w:val="single" w:sz="4" w:space="0" w:color="000000"/>
              <w:bottom w:val="single" w:sz="4" w:space="0" w:color="000000"/>
              <w:right w:val="single" w:sz="4" w:space="0" w:color="000000"/>
            </w:tcBorders>
          </w:tcPr>
          <w:p w14:paraId="5F52847D" w14:textId="77777777" w:rsidR="00D5089B" w:rsidRDefault="004C3E08">
            <w:pPr>
              <w:ind w:right="36"/>
              <w:jc w:val="center"/>
            </w:pPr>
            <w:r>
              <w:rPr>
                <w:sz w:val="16"/>
              </w:rPr>
              <w:t xml:space="preserve">100% </w:t>
            </w:r>
          </w:p>
        </w:tc>
        <w:tc>
          <w:tcPr>
            <w:tcW w:w="3544" w:type="dxa"/>
            <w:tcBorders>
              <w:top w:val="single" w:sz="4" w:space="0" w:color="000000"/>
              <w:left w:val="single" w:sz="4" w:space="0" w:color="000000"/>
              <w:bottom w:val="single" w:sz="4" w:space="0" w:color="000000"/>
              <w:right w:val="single" w:sz="4" w:space="0" w:color="000000"/>
            </w:tcBorders>
            <w:shd w:val="clear" w:color="auto" w:fill="C0C0C0"/>
          </w:tcPr>
          <w:p w14:paraId="7BB18EDE" w14:textId="77777777" w:rsidR="00D5089B" w:rsidRDefault="004C3E08">
            <w:pPr>
              <w:ind w:right="2"/>
              <w:jc w:val="center"/>
            </w:pPr>
            <w:r>
              <w:rPr>
                <w:sz w:val="16"/>
              </w:rPr>
              <w:t xml:space="preserve"> </w:t>
            </w:r>
          </w:p>
        </w:tc>
        <w:tc>
          <w:tcPr>
            <w:tcW w:w="1132" w:type="dxa"/>
            <w:tcBorders>
              <w:top w:val="single" w:sz="4" w:space="0" w:color="000000"/>
              <w:left w:val="single" w:sz="4" w:space="0" w:color="000000"/>
              <w:bottom w:val="single" w:sz="4" w:space="0" w:color="000000"/>
              <w:right w:val="single" w:sz="4" w:space="0" w:color="000000"/>
            </w:tcBorders>
            <w:shd w:val="clear" w:color="auto" w:fill="C0C0C0"/>
          </w:tcPr>
          <w:p w14:paraId="65C2C438" w14:textId="77777777" w:rsidR="00D5089B" w:rsidRDefault="004C3E08">
            <w:pPr>
              <w:ind w:left="3"/>
              <w:jc w:val="center"/>
            </w:pPr>
            <w:r>
              <w:rPr>
                <w:sz w:val="16"/>
              </w:rPr>
              <w:t xml:space="preserve"> </w:t>
            </w:r>
          </w:p>
        </w:tc>
      </w:tr>
      <w:tr w:rsidR="00D5089B" w14:paraId="31E39E84" w14:textId="77777777">
        <w:trPr>
          <w:trHeight w:val="308"/>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ABF8F"/>
          </w:tcPr>
          <w:p w14:paraId="0AFD48EF" w14:textId="77777777" w:rsidR="00D5089B" w:rsidRDefault="004C3E08">
            <w:pPr>
              <w:ind w:left="1"/>
            </w:pPr>
            <w:r>
              <w:rPr>
                <w:b/>
                <w:sz w:val="18"/>
              </w:rPr>
              <w:t xml:space="preserve">Access Method </w:t>
            </w:r>
          </w:p>
        </w:tc>
      </w:tr>
    </w:tbl>
    <w:p w14:paraId="0444EF72" w14:textId="77777777" w:rsidR="00D5089B" w:rsidRDefault="00D5089B">
      <w:pPr>
        <w:spacing w:after="0"/>
        <w:ind w:left="-1133" w:right="10424"/>
      </w:pPr>
    </w:p>
    <w:tbl>
      <w:tblPr>
        <w:tblStyle w:val="TableGrid"/>
        <w:tblW w:w="10490" w:type="dxa"/>
        <w:tblInd w:w="-424" w:type="dxa"/>
        <w:tblCellMar>
          <w:top w:w="35" w:type="dxa"/>
          <w:left w:w="106" w:type="dxa"/>
          <w:right w:w="119" w:type="dxa"/>
        </w:tblCellMar>
        <w:tblLook w:val="04A0" w:firstRow="1" w:lastRow="0" w:firstColumn="1" w:lastColumn="0" w:noHBand="0" w:noVBand="1"/>
      </w:tblPr>
      <w:tblGrid>
        <w:gridCol w:w="1986"/>
        <w:gridCol w:w="1700"/>
        <w:gridCol w:w="708"/>
        <w:gridCol w:w="1560"/>
        <w:gridCol w:w="4536"/>
      </w:tblGrid>
      <w:tr w:rsidR="00D5089B" w14:paraId="1A0C28AB" w14:textId="77777777">
        <w:trPr>
          <w:trHeight w:val="599"/>
        </w:trPr>
        <w:tc>
          <w:tcPr>
            <w:tcW w:w="10490" w:type="dxa"/>
            <w:gridSpan w:val="5"/>
            <w:tcBorders>
              <w:top w:val="single" w:sz="4" w:space="0" w:color="000000"/>
              <w:left w:val="single" w:sz="4" w:space="0" w:color="000000"/>
              <w:bottom w:val="single" w:sz="4" w:space="0" w:color="000000"/>
              <w:right w:val="single" w:sz="4" w:space="0" w:color="000000"/>
            </w:tcBorders>
          </w:tcPr>
          <w:p w14:paraId="63A29272" w14:textId="77777777" w:rsidR="00D5089B" w:rsidRDefault="004C3E08">
            <w:pPr>
              <w:ind w:left="1"/>
            </w:pPr>
            <w:r>
              <w:rPr>
                <w:sz w:val="16"/>
              </w:rPr>
              <w:t xml:space="preserve"> </w:t>
            </w:r>
          </w:p>
          <w:p w14:paraId="6ED91BCB" w14:textId="77777777" w:rsidR="00D5089B" w:rsidRDefault="004C3E08">
            <w:pPr>
              <w:ind w:left="1"/>
            </w:pPr>
            <w:r>
              <w:rPr>
                <w:sz w:val="16"/>
              </w:rPr>
              <w:t xml:space="preserve">Access to the FT Site will be via Access Manager or such alternative access method agreed between the parties. </w:t>
            </w:r>
            <w:proofErr w:type="gramStart"/>
            <w:r>
              <w:rPr>
                <w:sz w:val="16"/>
              </w:rPr>
              <w:t>In order to</w:t>
            </w:r>
            <w:proofErr w:type="gramEnd"/>
            <w:r>
              <w:rPr>
                <w:sz w:val="16"/>
              </w:rPr>
              <w:t xml:space="preserve"> facilitate access through the agreed access method the Client may be required to provide FT with a list of relevant IP addresses and notify FT of any changes from time to time. </w:t>
            </w:r>
          </w:p>
        </w:tc>
      </w:tr>
      <w:tr w:rsidR="00D5089B" w14:paraId="70272F37" w14:textId="77777777">
        <w:trPr>
          <w:trHeight w:val="307"/>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CC99"/>
          </w:tcPr>
          <w:p w14:paraId="5F80ED94" w14:textId="77777777" w:rsidR="00D5089B" w:rsidRDefault="004C3E08">
            <w:pPr>
              <w:ind w:left="1"/>
            </w:pPr>
            <w:r>
              <w:rPr>
                <w:b/>
                <w:sz w:val="18"/>
              </w:rPr>
              <w:t>Redistribution Rights</w:t>
            </w:r>
            <w:r>
              <w:rPr>
                <w:sz w:val="16"/>
              </w:rPr>
              <w:t xml:space="preserve"> </w:t>
            </w:r>
          </w:p>
        </w:tc>
      </w:tr>
      <w:tr w:rsidR="00D5089B" w14:paraId="21E73E54" w14:textId="77777777">
        <w:trPr>
          <w:trHeight w:val="368"/>
        </w:trPr>
        <w:tc>
          <w:tcPr>
            <w:tcW w:w="10490" w:type="dxa"/>
            <w:gridSpan w:val="5"/>
            <w:tcBorders>
              <w:top w:val="single" w:sz="4" w:space="0" w:color="000000"/>
              <w:left w:val="single" w:sz="4" w:space="0" w:color="000000"/>
              <w:bottom w:val="single" w:sz="4" w:space="0" w:color="000000"/>
              <w:right w:val="single" w:sz="4" w:space="0" w:color="000000"/>
            </w:tcBorders>
          </w:tcPr>
          <w:p w14:paraId="2A4B32C3" w14:textId="77777777" w:rsidR="00D5089B" w:rsidRDefault="004C3E08">
            <w:pPr>
              <w:ind w:left="1"/>
            </w:pPr>
            <w:r>
              <w:rPr>
                <w:sz w:val="16"/>
              </w:rPr>
              <w:t xml:space="preserve">Subject to clause 3.3.2 of the Terms and Conditions, this Licence does not grant any rights for the redistribution of full text articles internally or externally. </w:t>
            </w:r>
          </w:p>
        </w:tc>
      </w:tr>
      <w:tr w:rsidR="00D5089B" w14:paraId="520EC116" w14:textId="77777777">
        <w:trPr>
          <w:trHeight w:val="307"/>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CC99"/>
          </w:tcPr>
          <w:p w14:paraId="3F4EEE0A" w14:textId="77777777" w:rsidR="00D5089B" w:rsidRDefault="004C3E08">
            <w:pPr>
              <w:ind w:left="1"/>
            </w:pPr>
            <w:r>
              <w:rPr>
                <w:b/>
                <w:sz w:val="18"/>
              </w:rPr>
              <w:t xml:space="preserve">Newspapers - </w:t>
            </w:r>
            <w:r>
              <w:rPr>
                <w:sz w:val="16"/>
              </w:rPr>
              <w:t xml:space="preserve">(if applicable) </w:t>
            </w:r>
          </w:p>
        </w:tc>
      </w:tr>
      <w:tr w:rsidR="00D5089B" w14:paraId="26195CDF" w14:textId="77777777">
        <w:trPr>
          <w:trHeight w:val="287"/>
        </w:trPr>
        <w:tc>
          <w:tcPr>
            <w:tcW w:w="10490" w:type="dxa"/>
            <w:gridSpan w:val="5"/>
            <w:tcBorders>
              <w:top w:val="single" w:sz="4" w:space="0" w:color="000000"/>
              <w:left w:val="single" w:sz="4" w:space="0" w:color="000000"/>
              <w:bottom w:val="single" w:sz="4" w:space="0" w:color="000000"/>
              <w:right w:val="single" w:sz="4" w:space="0" w:color="000000"/>
            </w:tcBorders>
          </w:tcPr>
          <w:p w14:paraId="1B123F76" w14:textId="77777777" w:rsidR="00D5089B" w:rsidRDefault="004C3E08">
            <w:pPr>
              <w:ind w:left="1"/>
            </w:pPr>
            <w:r>
              <w:rPr>
                <w:sz w:val="16"/>
              </w:rPr>
              <w:t xml:space="preserve">FT shall provide the Client with the copies of FT Newspaper set out below in accordance with clause 13 of the Terms and Conditions. </w:t>
            </w:r>
          </w:p>
        </w:tc>
      </w:tr>
      <w:tr w:rsidR="00D5089B" w14:paraId="78EBD818" w14:textId="77777777">
        <w:trPr>
          <w:trHeight w:val="286"/>
        </w:trPr>
        <w:tc>
          <w:tcPr>
            <w:tcW w:w="1986" w:type="dxa"/>
            <w:vMerge w:val="restart"/>
            <w:tcBorders>
              <w:top w:val="single" w:sz="4" w:space="0" w:color="000000"/>
              <w:left w:val="single" w:sz="4" w:space="0" w:color="000000"/>
              <w:bottom w:val="single" w:sz="4" w:space="0" w:color="000000"/>
              <w:right w:val="single" w:sz="4" w:space="0" w:color="000000"/>
            </w:tcBorders>
          </w:tcPr>
          <w:p w14:paraId="360CAA08" w14:textId="77777777" w:rsidR="00D5089B" w:rsidRDefault="004C3E08">
            <w:pPr>
              <w:ind w:left="1"/>
            </w:pPr>
            <w:r>
              <w:rPr>
                <w:b/>
                <w:sz w:val="16"/>
              </w:rPr>
              <w:t xml:space="preserve">FT Newspaper </w:t>
            </w:r>
          </w:p>
        </w:tc>
        <w:tc>
          <w:tcPr>
            <w:tcW w:w="1700" w:type="dxa"/>
            <w:tcBorders>
              <w:top w:val="single" w:sz="4" w:space="0" w:color="000000"/>
              <w:left w:val="single" w:sz="4" w:space="0" w:color="000000"/>
              <w:bottom w:val="single" w:sz="4" w:space="0" w:color="000000"/>
              <w:right w:val="single" w:sz="4" w:space="0" w:color="000000"/>
            </w:tcBorders>
          </w:tcPr>
          <w:p w14:paraId="1EE3D8A3" w14:textId="77777777" w:rsidR="00D5089B" w:rsidRDefault="004C3E08">
            <w:r>
              <w:rPr>
                <w:sz w:val="16"/>
              </w:rPr>
              <w:t xml:space="preserve">Monday-Friday </w:t>
            </w:r>
          </w:p>
        </w:tc>
        <w:tc>
          <w:tcPr>
            <w:tcW w:w="708" w:type="dxa"/>
            <w:tcBorders>
              <w:top w:val="single" w:sz="4" w:space="0" w:color="000000"/>
              <w:left w:val="single" w:sz="4" w:space="0" w:color="000000"/>
              <w:bottom w:val="single" w:sz="4" w:space="0" w:color="000000"/>
              <w:right w:val="single" w:sz="4" w:space="0" w:color="000000"/>
            </w:tcBorders>
          </w:tcPr>
          <w:p w14:paraId="25FAB5FD" w14:textId="77777777" w:rsidR="00D5089B" w:rsidRDefault="004C3E08">
            <w:pPr>
              <w:ind w:left="2"/>
            </w:pPr>
            <w:r>
              <w:rPr>
                <w:b/>
                <w:sz w:val="16"/>
              </w:rPr>
              <w:t>0</w:t>
            </w:r>
            <w:r>
              <w:rPr>
                <w:sz w:val="16"/>
              </w:rPr>
              <w:t xml:space="preserve"> </w:t>
            </w:r>
          </w:p>
        </w:tc>
        <w:tc>
          <w:tcPr>
            <w:tcW w:w="6096" w:type="dxa"/>
            <w:gridSpan w:val="2"/>
            <w:tcBorders>
              <w:top w:val="single" w:sz="4" w:space="0" w:color="000000"/>
              <w:left w:val="single" w:sz="4" w:space="0" w:color="000000"/>
              <w:bottom w:val="single" w:sz="4" w:space="0" w:color="000000"/>
              <w:right w:val="single" w:sz="4" w:space="0" w:color="000000"/>
            </w:tcBorders>
          </w:tcPr>
          <w:p w14:paraId="1E247D69" w14:textId="77777777" w:rsidR="00D5089B" w:rsidRDefault="004C3E08">
            <w:pPr>
              <w:ind w:left="2"/>
            </w:pPr>
            <w:r>
              <w:rPr>
                <w:sz w:val="16"/>
              </w:rPr>
              <w:t xml:space="preserve">(Copies per day) </w:t>
            </w:r>
          </w:p>
        </w:tc>
      </w:tr>
      <w:tr w:rsidR="00D5089B" w14:paraId="265AC010" w14:textId="77777777">
        <w:trPr>
          <w:trHeight w:val="287"/>
        </w:trPr>
        <w:tc>
          <w:tcPr>
            <w:tcW w:w="0" w:type="auto"/>
            <w:vMerge/>
            <w:tcBorders>
              <w:top w:val="nil"/>
              <w:left w:val="single" w:sz="4" w:space="0" w:color="000000"/>
              <w:bottom w:val="single" w:sz="4" w:space="0" w:color="000000"/>
              <w:right w:val="single" w:sz="4" w:space="0" w:color="000000"/>
            </w:tcBorders>
          </w:tcPr>
          <w:p w14:paraId="0ACDFE58" w14:textId="77777777" w:rsidR="00D5089B" w:rsidRDefault="00D5089B"/>
        </w:tc>
        <w:tc>
          <w:tcPr>
            <w:tcW w:w="1700" w:type="dxa"/>
            <w:tcBorders>
              <w:top w:val="single" w:sz="4" w:space="0" w:color="000000"/>
              <w:left w:val="single" w:sz="4" w:space="0" w:color="000000"/>
              <w:bottom w:val="single" w:sz="4" w:space="0" w:color="000000"/>
              <w:right w:val="single" w:sz="4" w:space="0" w:color="000000"/>
            </w:tcBorders>
          </w:tcPr>
          <w:p w14:paraId="1BA31F8E" w14:textId="77777777" w:rsidR="00D5089B" w:rsidRDefault="004C3E08">
            <w:r>
              <w:rPr>
                <w:sz w:val="16"/>
              </w:rPr>
              <w:t xml:space="preserve">Saturday </w:t>
            </w:r>
          </w:p>
        </w:tc>
        <w:tc>
          <w:tcPr>
            <w:tcW w:w="708" w:type="dxa"/>
            <w:tcBorders>
              <w:top w:val="single" w:sz="4" w:space="0" w:color="000000"/>
              <w:left w:val="single" w:sz="4" w:space="0" w:color="000000"/>
              <w:bottom w:val="single" w:sz="4" w:space="0" w:color="000000"/>
              <w:right w:val="single" w:sz="4" w:space="0" w:color="000000"/>
            </w:tcBorders>
          </w:tcPr>
          <w:p w14:paraId="5BFE5D28" w14:textId="77777777" w:rsidR="00D5089B" w:rsidRDefault="004C3E08">
            <w:pPr>
              <w:ind w:left="2"/>
            </w:pPr>
            <w:r>
              <w:rPr>
                <w:b/>
                <w:sz w:val="16"/>
              </w:rPr>
              <w:t>0</w:t>
            </w:r>
            <w:r>
              <w:rPr>
                <w:sz w:val="16"/>
              </w:rPr>
              <w:t xml:space="preserve"> </w:t>
            </w:r>
          </w:p>
        </w:tc>
        <w:tc>
          <w:tcPr>
            <w:tcW w:w="6096" w:type="dxa"/>
            <w:gridSpan w:val="2"/>
            <w:tcBorders>
              <w:top w:val="single" w:sz="4" w:space="0" w:color="000000"/>
              <w:left w:val="single" w:sz="4" w:space="0" w:color="000000"/>
              <w:bottom w:val="single" w:sz="4" w:space="0" w:color="000000"/>
              <w:right w:val="single" w:sz="4" w:space="0" w:color="000000"/>
            </w:tcBorders>
          </w:tcPr>
          <w:p w14:paraId="4848A7D0" w14:textId="77777777" w:rsidR="00D5089B" w:rsidRDefault="004C3E08">
            <w:pPr>
              <w:ind w:left="2"/>
            </w:pPr>
            <w:r>
              <w:rPr>
                <w:sz w:val="16"/>
              </w:rPr>
              <w:t xml:space="preserve">(Copies) </w:t>
            </w:r>
          </w:p>
        </w:tc>
      </w:tr>
      <w:tr w:rsidR="00D5089B" w14:paraId="0E9A8BE6" w14:textId="77777777">
        <w:trPr>
          <w:trHeight w:val="307"/>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CC99"/>
          </w:tcPr>
          <w:p w14:paraId="0286F611" w14:textId="77777777" w:rsidR="00D5089B" w:rsidRDefault="004C3E08">
            <w:pPr>
              <w:ind w:left="1"/>
            </w:pPr>
            <w:r>
              <w:rPr>
                <w:b/>
                <w:sz w:val="18"/>
              </w:rPr>
              <w:t>Fee</w:t>
            </w:r>
            <w:r>
              <w:rPr>
                <w:sz w:val="16"/>
              </w:rPr>
              <w:t xml:space="preserve"> </w:t>
            </w:r>
          </w:p>
        </w:tc>
      </w:tr>
      <w:tr w:rsidR="00D5089B" w14:paraId="35737F3B" w14:textId="77777777">
        <w:trPr>
          <w:trHeight w:val="757"/>
        </w:trPr>
        <w:tc>
          <w:tcPr>
            <w:tcW w:w="1986" w:type="dxa"/>
            <w:tcBorders>
              <w:top w:val="single" w:sz="4" w:space="0" w:color="000000"/>
              <w:left w:val="single" w:sz="4" w:space="0" w:color="000000"/>
              <w:bottom w:val="single" w:sz="4" w:space="0" w:color="000000"/>
              <w:right w:val="single" w:sz="4" w:space="0" w:color="000000"/>
            </w:tcBorders>
          </w:tcPr>
          <w:p w14:paraId="59F59FFE" w14:textId="77777777" w:rsidR="00D5089B" w:rsidRDefault="004C3E08">
            <w:pPr>
              <w:ind w:left="1"/>
            </w:pPr>
            <w:r>
              <w:rPr>
                <w:b/>
                <w:sz w:val="16"/>
              </w:rPr>
              <w:t xml:space="preserve">Fee Breakdown  </w:t>
            </w:r>
          </w:p>
        </w:tc>
        <w:tc>
          <w:tcPr>
            <w:tcW w:w="3968" w:type="dxa"/>
            <w:gridSpan w:val="3"/>
            <w:tcBorders>
              <w:top w:val="single" w:sz="4" w:space="0" w:color="000000"/>
              <w:left w:val="single" w:sz="4" w:space="0" w:color="000000"/>
              <w:bottom w:val="single" w:sz="4" w:space="0" w:color="000000"/>
              <w:right w:val="single" w:sz="4" w:space="0" w:color="000000"/>
            </w:tcBorders>
          </w:tcPr>
          <w:p w14:paraId="3F07AEE9" w14:textId="4F3D96A6" w:rsidR="00D5089B" w:rsidRDefault="004C3E08">
            <w:pPr>
              <w:spacing w:after="23"/>
            </w:pPr>
            <w:r>
              <w:rPr>
                <w:b/>
                <w:sz w:val="16"/>
              </w:rPr>
              <w:t>Year 1: Digital element:</w:t>
            </w:r>
            <w:r>
              <w:rPr>
                <w:sz w:val="16"/>
              </w:rPr>
              <w:t xml:space="preserve"> </w:t>
            </w:r>
            <w:r>
              <w:rPr>
                <w:b/>
                <w:sz w:val="16"/>
              </w:rPr>
              <w:t xml:space="preserve">GBP </w:t>
            </w:r>
            <w:r w:rsidRPr="004C3E08">
              <w:rPr>
                <w:b/>
                <w:sz w:val="16"/>
                <w:highlight w:val="black"/>
              </w:rPr>
              <w:t>XXXXXXXXX</w:t>
            </w:r>
            <w:r>
              <w:rPr>
                <w:b/>
                <w:sz w:val="16"/>
              </w:rPr>
              <w:t xml:space="preserve"> </w:t>
            </w:r>
          </w:p>
          <w:p w14:paraId="24CE001B" w14:textId="2E46E8CE" w:rsidR="00D5089B" w:rsidRDefault="004C3E08">
            <w:pPr>
              <w:spacing w:after="23"/>
            </w:pPr>
            <w:r>
              <w:rPr>
                <w:b/>
                <w:sz w:val="16"/>
              </w:rPr>
              <w:t xml:space="preserve">Year 2: Digital element: GBP </w:t>
            </w:r>
            <w:r w:rsidRPr="004C3E08">
              <w:rPr>
                <w:b/>
                <w:sz w:val="16"/>
                <w:highlight w:val="black"/>
              </w:rPr>
              <w:t>XXXXXXXXX</w:t>
            </w:r>
            <w:r>
              <w:rPr>
                <w:b/>
                <w:sz w:val="16"/>
              </w:rPr>
              <w:t xml:space="preserve"> </w:t>
            </w:r>
          </w:p>
          <w:p w14:paraId="0DE6CF06" w14:textId="31B89A21" w:rsidR="00D5089B" w:rsidRDefault="004C3E08">
            <w:r>
              <w:rPr>
                <w:b/>
                <w:sz w:val="16"/>
              </w:rPr>
              <w:t xml:space="preserve">Year 3: Digital element: GBP </w:t>
            </w:r>
            <w:r w:rsidRPr="004C3E08">
              <w:rPr>
                <w:b/>
                <w:color w:val="auto"/>
                <w:sz w:val="16"/>
                <w:highlight w:val="black"/>
              </w:rPr>
              <w:t>XXXXXXXXX</w:t>
            </w:r>
            <w:r w:rsidRPr="004C3E08">
              <w:rPr>
                <w:color w:val="auto"/>
                <w:sz w:val="16"/>
              </w:rPr>
              <w:t xml:space="preserve"> </w:t>
            </w:r>
          </w:p>
        </w:tc>
        <w:tc>
          <w:tcPr>
            <w:tcW w:w="4535" w:type="dxa"/>
            <w:tcBorders>
              <w:top w:val="single" w:sz="4" w:space="0" w:color="000000"/>
              <w:left w:val="single" w:sz="4" w:space="0" w:color="000000"/>
              <w:bottom w:val="single" w:sz="4" w:space="0" w:color="000000"/>
              <w:right w:val="single" w:sz="4" w:space="0" w:color="000000"/>
            </w:tcBorders>
          </w:tcPr>
          <w:p w14:paraId="6AA0CA08" w14:textId="2E924BB7" w:rsidR="00D5089B" w:rsidRDefault="004C3E08">
            <w:pPr>
              <w:ind w:left="2"/>
            </w:pPr>
            <w:r>
              <w:rPr>
                <w:b/>
                <w:sz w:val="16"/>
              </w:rPr>
              <w:t>Print element:</w:t>
            </w:r>
            <w:r>
              <w:rPr>
                <w:sz w:val="16"/>
              </w:rPr>
              <w:t xml:space="preserve"> </w:t>
            </w:r>
            <w:r>
              <w:rPr>
                <w:b/>
                <w:sz w:val="16"/>
              </w:rPr>
              <w:t xml:space="preserve">GBP </w:t>
            </w:r>
            <w:r w:rsidRPr="004C3E08">
              <w:rPr>
                <w:b/>
                <w:sz w:val="16"/>
                <w:highlight w:val="black"/>
              </w:rPr>
              <w:t>XXX</w:t>
            </w:r>
            <w:r>
              <w:rPr>
                <w:sz w:val="16"/>
              </w:rPr>
              <w:t xml:space="preserve"> </w:t>
            </w:r>
          </w:p>
        </w:tc>
      </w:tr>
      <w:tr w:rsidR="00D5089B" w14:paraId="1B413F40" w14:textId="77777777">
        <w:trPr>
          <w:trHeight w:val="596"/>
        </w:trPr>
        <w:tc>
          <w:tcPr>
            <w:tcW w:w="1986" w:type="dxa"/>
            <w:tcBorders>
              <w:top w:val="single" w:sz="4" w:space="0" w:color="000000"/>
              <w:left w:val="single" w:sz="4" w:space="0" w:color="000000"/>
              <w:bottom w:val="single" w:sz="4" w:space="0" w:color="000000"/>
              <w:right w:val="single" w:sz="4" w:space="0" w:color="000000"/>
            </w:tcBorders>
          </w:tcPr>
          <w:p w14:paraId="2AE4CA9C" w14:textId="77777777" w:rsidR="00D5089B" w:rsidRDefault="004C3E08">
            <w:pPr>
              <w:ind w:left="1"/>
            </w:pPr>
            <w:r>
              <w:rPr>
                <w:b/>
                <w:sz w:val="16"/>
              </w:rPr>
              <w:t xml:space="preserve">Total Fee </w:t>
            </w:r>
          </w:p>
        </w:tc>
        <w:tc>
          <w:tcPr>
            <w:tcW w:w="8504" w:type="dxa"/>
            <w:gridSpan w:val="4"/>
            <w:tcBorders>
              <w:top w:val="single" w:sz="4" w:space="0" w:color="000000"/>
              <w:left w:val="single" w:sz="4" w:space="0" w:color="000000"/>
              <w:bottom w:val="single" w:sz="4" w:space="0" w:color="000000"/>
              <w:right w:val="single" w:sz="4" w:space="0" w:color="000000"/>
            </w:tcBorders>
          </w:tcPr>
          <w:p w14:paraId="263D83C9" w14:textId="33D7C5B7" w:rsidR="00D5089B" w:rsidRDefault="004C3E08">
            <w:r>
              <w:rPr>
                <w:b/>
                <w:sz w:val="16"/>
              </w:rPr>
              <w:t xml:space="preserve">Year 1: GBP </w:t>
            </w:r>
            <w:r w:rsidRPr="004C3E08">
              <w:rPr>
                <w:b/>
                <w:sz w:val="16"/>
                <w:highlight w:val="black"/>
              </w:rPr>
              <w:t>XXXXXXXXX</w:t>
            </w:r>
            <w:r>
              <w:rPr>
                <w:b/>
                <w:sz w:val="16"/>
              </w:rPr>
              <w:t xml:space="preserve"> </w:t>
            </w:r>
            <w:r>
              <w:rPr>
                <w:sz w:val="16"/>
              </w:rPr>
              <w:t xml:space="preserve">to be paid within </w:t>
            </w:r>
            <w:r>
              <w:rPr>
                <w:b/>
                <w:sz w:val="16"/>
              </w:rPr>
              <w:t xml:space="preserve">25 Days </w:t>
            </w:r>
            <w:r>
              <w:rPr>
                <w:sz w:val="16"/>
              </w:rPr>
              <w:t xml:space="preserve">of the FT invoice date (exclusive of VAT/Sales tax). </w:t>
            </w:r>
          </w:p>
          <w:p w14:paraId="20F589F1" w14:textId="7EEF0D22" w:rsidR="00D5089B" w:rsidRDefault="004C3E08">
            <w:r>
              <w:rPr>
                <w:b/>
                <w:sz w:val="16"/>
              </w:rPr>
              <w:t xml:space="preserve">Year 2: GBP </w:t>
            </w:r>
            <w:r w:rsidRPr="004C3E08">
              <w:rPr>
                <w:b/>
                <w:sz w:val="16"/>
                <w:highlight w:val="black"/>
              </w:rPr>
              <w:t>XXXXXXXXX</w:t>
            </w:r>
            <w:r>
              <w:rPr>
                <w:b/>
                <w:sz w:val="16"/>
              </w:rPr>
              <w:t xml:space="preserve"> </w:t>
            </w:r>
            <w:r>
              <w:rPr>
                <w:sz w:val="16"/>
              </w:rPr>
              <w:t xml:space="preserve">to be paid within </w:t>
            </w:r>
            <w:r>
              <w:rPr>
                <w:b/>
                <w:sz w:val="16"/>
              </w:rPr>
              <w:t xml:space="preserve">25 Days </w:t>
            </w:r>
            <w:r>
              <w:rPr>
                <w:sz w:val="16"/>
              </w:rPr>
              <w:t xml:space="preserve">of the FT invoice date (exclusive of VAT/Sales tax). </w:t>
            </w:r>
          </w:p>
          <w:p w14:paraId="3BBF405A" w14:textId="77777777" w:rsidR="00D5089B" w:rsidRDefault="004C3E08">
            <w:pPr>
              <w:rPr>
                <w:sz w:val="16"/>
              </w:rPr>
            </w:pPr>
            <w:r>
              <w:rPr>
                <w:b/>
                <w:sz w:val="16"/>
              </w:rPr>
              <w:t xml:space="preserve">Year 3: GBP </w:t>
            </w:r>
            <w:r w:rsidRPr="004C3E08">
              <w:rPr>
                <w:b/>
                <w:sz w:val="16"/>
                <w:highlight w:val="black"/>
              </w:rPr>
              <w:t>XXXXXXXXX</w:t>
            </w:r>
            <w:r>
              <w:rPr>
                <w:b/>
                <w:sz w:val="16"/>
              </w:rPr>
              <w:t xml:space="preserve"> </w:t>
            </w:r>
            <w:r>
              <w:rPr>
                <w:sz w:val="16"/>
              </w:rPr>
              <w:t xml:space="preserve">to be paid within </w:t>
            </w:r>
            <w:r>
              <w:rPr>
                <w:b/>
                <w:sz w:val="16"/>
              </w:rPr>
              <w:t xml:space="preserve">25 Days </w:t>
            </w:r>
            <w:r>
              <w:rPr>
                <w:sz w:val="16"/>
              </w:rPr>
              <w:t xml:space="preserve">of the FT invoice date (exclusive of VAT/Sales tax). </w:t>
            </w:r>
          </w:p>
          <w:p w14:paraId="06B9A6D0" w14:textId="4F42B369" w:rsidR="004C3E08" w:rsidRPr="004C3E08" w:rsidRDefault="004C3E08" w:rsidP="004C3E08">
            <w:pPr>
              <w:jc w:val="center"/>
              <w:rPr>
                <w:rFonts w:asciiTheme="minorHAnsi" w:hAnsiTheme="minorHAnsi" w:cstheme="minorHAnsi"/>
                <w:b/>
                <w:bCs/>
                <w:sz w:val="16"/>
                <w:szCs w:val="16"/>
                <w:lang w:eastAsia="en-US"/>
              </w:rPr>
            </w:pPr>
            <w:r w:rsidRPr="004C3E08">
              <w:rPr>
                <w:rFonts w:asciiTheme="minorHAnsi" w:hAnsiTheme="minorHAnsi" w:cstheme="minorHAnsi"/>
                <w:b/>
                <w:bCs/>
                <w:sz w:val="16"/>
                <w:szCs w:val="16"/>
              </w:rPr>
              <w:t>Information redacted under section 43 (2) of FOI Act 2000.</w:t>
            </w:r>
          </w:p>
        </w:tc>
      </w:tr>
      <w:tr w:rsidR="00D5089B" w14:paraId="538DCF28" w14:textId="77777777">
        <w:trPr>
          <w:trHeight w:val="307"/>
        </w:trPr>
        <w:tc>
          <w:tcPr>
            <w:tcW w:w="10490" w:type="dxa"/>
            <w:gridSpan w:val="5"/>
            <w:tcBorders>
              <w:top w:val="single" w:sz="4" w:space="0" w:color="000000"/>
              <w:left w:val="single" w:sz="4" w:space="0" w:color="000000"/>
              <w:bottom w:val="single" w:sz="4" w:space="0" w:color="000000"/>
              <w:right w:val="single" w:sz="4" w:space="0" w:color="000000"/>
            </w:tcBorders>
            <w:shd w:val="clear" w:color="auto" w:fill="FFCC99"/>
          </w:tcPr>
          <w:p w14:paraId="31242AE1" w14:textId="77777777" w:rsidR="00D5089B" w:rsidRDefault="004C3E08">
            <w:pPr>
              <w:ind w:left="1"/>
            </w:pPr>
            <w:r>
              <w:rPr>
                <w:b/>
                <w:sz w:val="18"/>
              </w:rPr>
              <w:t>Relationship Managers</w:t>
            </w:r>
            <w:r>
              <w:rPr>
                <w:sz w:val="16"/>
              </w:rPr>
              <w:t xml:space="preserve"> </w:t>
            </w:r>
          </w:p>
        </w:tc>
      </w:tr>
      <w:tr w:rsidR="00D5089B" w14:paraId="7CAD0AC1" w14:textId="77777777">
        <w:trPr>
          <w:trHeight w:val="523"/>
        </w:trPr>
        <w:tc>
          <w:tcPr>
            <w:tcW w:w="1986" w:type="dxa"/>
            <w:tcBorders>
              <w:top w:val="single" w:sz="4" w:space="0" w:color="000000"/>
              <w:left w:val="single" w:sz="4" w:space="0" w:color="000000"/>
              <w:bottom w:val="single" w:sz="4" w:space="0" w:color="000000"/>
              <w:right w:val="single" w:sz="4" w:space="0" w:color="000000"/>
            </w:tcBorders>
          </w:tcPr>
          <w:p w14:paraId="02510E12" w14:textId="77777777" w:rsidR="00D5089B" w:rsidRDefault="004C3E08">
            <w:pPr>
              <w:spacing w:after="23"/>
              <w:ind w:left="1"/>
            </w:pPr>
            <w:r>
              <w:rPr>
                <w:b/>
                <w:sz w:val="16"/>
              </w:rPr>
              <w:t>FT</w:t>
            </w:r>
            <w:r>
              <w:rPr>
                <w:sz w:val="16"/>
              </w:rPr>
              <w:t xml:space="preserve"> </w:t>
            </w:r>
          </w:p>
          <w:p w14:paraId="7A958886" w14:textId="77777777" w:rsidR="00D5089B" w:rsidRDefault="004C3E08">
            <w:pPr>
              <w:ind w:left="1"/>
            </w:pPr>
            <w:r>
              <w:rPr>
                <w:sz w:val="16"/>
              </w:rPr>
              <w:t xml:space="preserve"> </w:t>
            </w:r>
          </w:p>
        </w:tc>
        <w:tc>
          <w:tcPr>
            <w:tcW w:w="8504" w:type="dxa"/>
            <w:gridSpan w:val="4"/>
            <w:tcBorders>
              <w:top w:val="single" w:sz="4" w:space="0" w:color="000000"/>
              <w:left w:val="single" w:sz="4" w:space="0" w:color="000000"/>
              <w:bottom w:val="single" w:sz="4" w:space="0" w:color="000000"/>
              <w:right w:val="single" w:sz="4" w:space="0" w:color="000000"/>
            </w:tcBorders>
            <w:vAlign w:val="center"/>
          </w:tcPr>
          <w:p w14:paraId="55A38187" w14:textId="6855C6F1" w:rsidR="00D5089B" w:rsidRDefault="004C3E08">
            <w:r w:rsidRPr="004C3E08">
              <w:rPr>
                <w:sz w:val="16"/>
                <w:highlight w:val="black"/>
              </w:rPr>
              <w:t>XXXXXXXXXXXXXXXXXXXXXXXXXXXXXXXXXXXXXXXXXXXXXXXXXXXXXXXXXX</w:t>
            </w:r>
            <w:r>
              <w:rPr>
                <w:b/>
                <w:sz w:val="16"/>
              </w:rPr>
              <w:t xml:space="preserve"> </w:t>
            </w:r>
          </w:p>
        </w:tc>
      </w:tr>
      <w:tr w:rsidR="00D5089B" w14:paraId="513BD87E" w14:textId="77777777">
        <w:trPr>
          <w:trHeight w:val="562"/>
        </w:trPr>
        <w:tc>
          <w:tcPr>
            <w:tcW w:w="1986" w:type="dxa"/>
            <w:tcBorders>
              <w:top w:val="single" w:sz="4" w:space="0" w:color="000000"/>
              <w:left w:val="single" w:sz="4" w:space="0" w:color="000000"/>
              <w:bottom w:val="single" w:sz="4" w:space="0" w:color="000000"/>
              <w:right w:val="single" w:sz="4" w:space="0" w:color="000000"/>
            </w:tcBorders>
          </w:tcPr>
          <w:p w14:paraId="158291D7" w14:textId="77777777" w:rsidR="00D5089B" w:rsidRDefault="004C3E08">
            <w:pPr>
              <w:ind w:left="1"/>
            </w:pPr>
            <w:r>
              <w:rPr>
                <w:b/>
                <w:sz w:val="16"/>
              </w:rPr>
              <w:t xml:space="preserve">Client </w:t>
            </w:r>
          </w:p>
        </w:tc>
        <w:tc>
          <w:tcPr>
            <w:tcW w:w="8504" w:type="dxa"/>
            <w:gridSpan w:val="4"/>
            <w:tcBorders>
              <w:top w:val="single" w:sz="4" w:space="0" w:color="000000"/>
              <w:left w:val="single" w:sz="4" w:space="0" w:color="000000"/>
              <w:bottom w:val="single" w:sz="4" w:space="0" w:color="000000"/>
              <w:right w:val="single" w:sz="4" w:space="0" w:color="000000"/>
            </w:tcBorders>
          </w:tcPr>
          <w:p w14:paraId="19FE8B03" w14:textId="77777777" w:rsidR="004C3E08" w:rsidRDefault="004C3E08">
            <w:pPr>
              <w:rPr>
                <w:sz w:val="16"/>
                <w:highlight w:val="black"/>
              </w:rPr>
            </w:pPr>
          </w:p>
          <w:p w14:paraId="7179CA22" w14:textId="77777777" w:rsidR="00D5089B" w:rsidRDefault="004C3E08">
            <w:pPr>
              <w:rPr>
                <w:sz w:val="16"/>
              </w:rPr>
            </w:pPr>
            <w:r w:rsidRPr="004C3E08">
              <w:rPr>
                <w:sz w:val="16"/>
                <w:highlight w:val="black"/>
              </w:rPr>
              <w:t>XXXXXXXXXXXXXXXXXXXXXXXXXXXXXXXXXXXXXXXXXXXXXXXXXXXXXXXXXX</w:t>
            </w:r>
            <w:r>
              <w:rPr>
                <w:sz w:val="16"/>
              </w:rPr>
              <w:t xml:space="preserve">   </w:t>
            </w:r>
          </w:p>
          <w:p w14:paraId="55DBCFCD" w14:textId="77777777" w:rsidR="004C3E08" w:rsidRDefault="004C3E08"/>
          <w:p w14:paraId="1ECA4814" w14:textId="7475615A" w:rsidR="004C3E08" w:rsidRDefault="004C3E08" w:rsidP="004C3E08">
            <w:pPr>
              <w:jc w:val="center"/>
            </w:pPr>
            <w:r w:rsidRPr="004C3E08">
              <w:rPr>
                <w:rFonts w:asciiTheme="minorHAnsi" w:hAnsiTheme="minorHAnsi" w:cstheme="minorHAnsi"/>
                <w:b/>
                <w:bCs/>
                <w:sz w:val="16"/>
                <w:szCs w:val="16"/>
              </w:rPr>
              <w:t>Information redacted under section 43 (2) of FOI Act 2000.</w:t>
            </w:r>
          </w:p>
        </w:tc>
      </w:tr>
      <w:tr w:rsidR="00D5089B" w14:paraId="31008A1D" w14:textId="77777777">
        <w:trPr>
          <w:trHeight w:val="10072"/>
        </w:trPr>
        <w:tc>
          <w:tcPr>
            <w:tcW w:w="10490" w:type="dxa"/>
            <w:gridSpan w:val="5"/>
            <w:tcBorders>
              <w:top w:val="single" w:sz="4" w:space="0" w:color="000000"/>
              <w:left w:val="single" w:sz="4" w:space="0" w:color="000000"/>
              <w:bottom w:val="single" w:sz="4" w:space="0" w:color="000000"/>
              <w:right w:val="single" w:sz="4" w:space="0" w:color="000000"/>
            </w:tcBorders>
          </w:tcPr>
          <w:p w14:paraId="7FED4092" w14:textId="77777777" w:rsidR="00D5089B" w:rsidRDefault="004C3E08">
            <w:pPr>
              <w:spacing w:after="23"/>
              <w:ind w:left="1"/>
            </w:pPr>
            <w:r>
              <w:rPr>
                <w:color w:val="212121"/>
                <w:sz w:val="16"/>
              </w:rPr>
              <w:lastRenderedPageBreak/>
              <w:t xml:space="preserve">It is agreed by the parties that the following additional Special Conditions will apply to this Agreement: </w:t>
            </w:r>
          </w:p>
          <w:p w14:paraId="4BD32955" w14:textId="77777777" w:rsidR="00D5089B" w:rsidRDefault="004C3E08">
            <w:pPr>
              <w:spacing w:after="23"/>
              <w:ind w:left="1"/>
            </w:pPr>
            <w:r>
              <w:rPr>
                <w:color w:val="212121"/>
                <w:sz w:val="16"/>
              </w:rPr>
              <w:t xml:space="preserve"> </w:t>
            </w:r>
          </w:p>
          <w:p w14:paraId="7EE58B4D" w14:textId="77777777" w:rsidR="00D5089B" w:rsidRDefault="004C3E08">
            <w:pPr>
              <w:ind w:left="1"/>
            </w:pPr>
            <w:r>
              <w:rPr>
                <w:color w:val="222222"/>
                <w:sz w:val="16"/>
              </w:rPr>
              <w:t xml:space="preserve">1. FT has and </w:t>
            </w:r>
            <w:proofErr w:type="gramStart"/>
            <w:r>
              <w:rPr>
                <w:color w:val="222222"/>
                <w:sz w:val="16"/>
              </w:rPr>
              <w:t>at all times</w:t>
            </w:r>
            <w:proofErr w:type="gramEnd"/>
            <w:r>
              <w:rPr>
                <w:color w:val="222222"/>
                <w:sz w:val="16"/>
              </w:rPr>
              <w:t xml:space="preserve"> will: </w:t>
            </w:r>
          </w:p>
          <w:p w14:paraId="471DF89E" w14:textId="77777777" w:rsidR="00D5089B" w:rsidRDefault="004C3E08">
            <w:pPr>
              <w:numPr>
                <w:ilvl w:val="0"/>
                <w:numId w:val="2"/>
              </w:numPr>
              <w:ind w:left="469" w:hanging="468"/>
            </w:pPr>
            <w:r>
              <w:rPr>
                <w:color w:val="222222"/>
                <w:sz w:val="16"/>
              </w:rPr>
              <w:t xml:space="preserve">comply with the Anti-Financial Crime </w:t>
            </w:r>
            <w:proofErr w:type="gramStart"/>
            <w:r>
              <w:rPr>
                <w:color w:val="222222"/>
                <w:sz w:val="16"/>
              </w:rPr>
              <w:t>Laws;</w:t>
            </w:r>
            <w:proofErr w:type="gramEnd"/>
            <w:r>
              <w:rPr>
                <w:color w:val="222222"/>
                <w:sz w:val="16"/>
              </w:rPr>
              <w:t xml:space="preserve">  </w:t>
            </w:r>
          </w:p>
          <w:p w14:paraId="63D791C0" w14:textId="77777777" w:rsidR="00D5089B" w:rsidRDefault="004C3E08">
            <w:pPr>
              <w:numPr>
                <w:ilvl w:val="0"/>
                <w:numId w:val="2"/>
              </w:numPr>
              <w:ind w:left="469" w:hanging="468"/>
            </w:pPr>
            <w:r>
              <w:rPr>
                <w:color w:val="222222"/>
                <w:sz w:val="16"/>
              </w:rPr>
              <w:t xml:space="preserve">not engage in any activity, </w:t>
            </w:r>
            <w:proofErr w:type="gramStart"/>
            <w:r>
              <w:rPr>
                <w:color w:val="222222"/>
                <w:sz w:val="16"/>
              </w:rPr>
              <w:t>practice</w:t>
            </w:r>
            <w:proofErr w:type="gramEnd"/>
            <w:r>
              <w:rPr>
                <w:color w:val="222222"/>
                <w:sz w:val="16"/>
              </w:rPr>
              <w:t xml:space="preserve"> or conduct which would constitute an offence under any Anti-Financial Crime Laws; and </w:t>
            </w:r>
          </w:p>
          <w:p w14:paraId="5FFF501C" w14:textId="77777777" w:rsidR="00D5089B" w:rsidRDefault="004C3E08">
            <w:pPr>
              <w:numPr>
                <w:ilvl w:val="0"/>
                <w:numId w:val="2"/>
              </w:numPr>
              <w:ind w:left="469" w:hanging="468"/>
            </w:pPr>
            <w:r>
              <w:rPr>
                <w:color w:val="222222"/>
                <w:sz w:val="16"/>
              </w:rPr>
              <w:t xml:space="preserve">have and maintain in place such policies and procedures as are reasonable to ensure compliance with the Anti-Financial Crime Laws. </w:t>
            </w:r>
          </w:p>
          <w:p w14:paraId="60B12873" w14:textId="77777777" w:rsidR="00D5089B" w:rsidRDefault="004C3E08">
            <w:pPr>
              <w:spacing w:after="2" w:line="239" w:lineRule="auto"/>
              <w:ind w:left="1"/>
            </w:pPr>
            <w:r>
              <w:rPr>
                <w:color w:val="222222"/>
                <w:sz w:val="16"/>
              </w:rPr>
              <w:t xml:space="preserve">FT will comply with any reasonable request made by the Client to ensure or demonstrate compliance with the Anti-Financial Crime Laws. “Anti-Financial Crime Laws” means </w:t>
            </w:r>
            <w:proofErr w:type="gramStart"/>
            <w:r>
              <w:rPr>
                <w:color w:val="222222"/>
                <w:sz w:val="16"/>
              </w:rPr>
              <w:t>any and all</w:t>
            </w:r>
            <w:proofErr w:type="gramEnd"/>
            <w:r>
              <w:rPr>
                <w:color w:val="222222"/>
                <w:sz w:val="16"/>
              </w:rPr>
              <w:t xml:space="preserve"> applicable laws relating to bribery, corruption, modern slavery, money laundering, tax evasion or other financial crimes, including the US Foreign Corrupt Practices Act, the Bribery Act 2010, the Modern Slavery Act, the Proceeds of Crime Act 2002 and the Criminal Finances Act 2017; and  </w:t>
            </w:r>
          </w:p>
          <w:p w14:paraId="07699B4C" w14:textId="77777777" w:rsidR="00D5089B" w:rsidRDefault="004C3E08">
            <w:pPr>
              <w:ind w:left="1"/>
            </w:pPr>
            <w:r>
              <w:rPr>
                <w:color w:val="222222"/>
                <w:sz w:val="16"/>
              </w:rPr>
              <w:t xml:space="preserve"> </w:t>
            </w:r>
          </w:p>
          <w:p w14:paraId="79776C14" w14:textId="77777777" w:rsidR="00D5089B" w:rsidRDefault="004C3E08">
            <w:pPr>
              <w:numPr>
                <w:ilvl w:val="0"/>
                <w:numId w:val="3"/>
              </w:numPr>
              <w:spacing w:after="24" w:line="238" w:lineRule="auto"/>
            </w:pPr>
            <w:r>
              <w:rPr>
                <w:color w:val="222222"/>
                <w:sz w:val="16"/>
              </w:rPr>
              <w:t>Prior to invoicing the Client FT shall seek a valid purchase order number from the Client which it shall include in its invoice provided the Client gives such a valid purchase order number promptly to FT. Invoices shall be submitted via the Client's electronic transaction systems.</w:t>
            </w:r>
            <w:r>
              <w:rPr>
                <w:color w:val="212121"/>
                <w:sz w:val="14"/>
              </w:rPr>
              <w:t xml:space="preserve"> </w:t>
            </w:r>
          </w:p>
          <w:p w14:paraId="757A2151" w14:textId="77777777" w:rsidR="00D5089B" w:rsidRDefault="004C3E08">
            <w:pPr>
              <w:spacing w:after="71"/>
              <w:ind w:left="1"/>
            </w:pPr>
            <w:r>
              <w:rPr>
                <w:color w:val="212121"/>
                <w:sz w:val="14"/>
              </w:rPr>
              <w:t xml:space="preserve"> </w:t>
            </w:r>
          </w:p>
          <w:p w14:paraId="695D098C" w14:textId="77777777" w:rsidR="00D5089B" w:rsidRDefault="004C3E08">
            <w:pPr>
              <w:numPr>
                <w:ilvl w:val="0"/>
                <w:numId w:val="3"/>
              </w:numPr>
              <w:spacing w:after="24"/>
            </w:pPr>
            <w:r>
              <w:rPr>
                <w:b/>
                <w:sz w:val="16"/>
              </w:rPr>
              <w:t xml:space="preserve">Additional Warranties </w:t>
            </w:r>
          </w:p>
          <w:p w14:paraId="31443A12" w14:textId="77777777" w:rsidR="00D5089B" w:rsidRDefault="004C3E08">
            <w:pPr>
              <w:numPr>
                <w:ilvl w:val="1"/>
                <w:numId w:val="3"/>
              </w:numPr>
              <w:spacing w:after="24"/>
              <w:ind w:hanging="427"/>
            </w:pPr>
            <w:r>
              <w:rPr>
                <w:sz w:val="16"/>
              </w:rPr>
              <w:t>FT represents and warrants that:</w:t>
            </w:r>
            <w:r>
              <w:rPr>
                <w:b/>
                <w:sz w:val="16"/>
              </w:rPr>
              <w:t xml:space="preserve"> </w:t>
            </w:r>
          </w:p>
          <w:p w14:paraId="217481D5" w14:textId="77777777" w:rsidR="00D5089B" w:rsidRDefault="004C3E08">
            <w:pPr>
              <w:numPr>
                <w:ilvl w:val="2"/>
                <w:numId w:val="3"/>
              </w:numPr>
              <w:ind w:hanging="706"/>
            </w:pPr>
            <w:r>
              <w:rPr>
                <w:sz w:val="16"/>
              </w:rPr>
              <w:t xml:space="preserve">in the three years prior to the Service Start Date, it has been in full compliance with all applicable securities and Laws related to Tax in the </w:t>
            </w:r>
          </w:p>
          <w:p w14:paraId="0DA59230" w14:textId="77777777" w:rsidR="00D5089B" w:rsidRDefault="004C3E08">
            <w:pPr>
              <w:spacing w:after="24"/>
              <w:ind w:left="1134"/>
            </w:pPr>
            <w:r>
              <w:rPr>
                <w:sz w:val="16"/>
              </w:rPr>
              <w:t xml:space="preserve">United Kingdom and in the jurisdiction in which it is </w:t>
            </w:r>
            <w:proofErr w:type="gramStart"/>
            <w:r>
              <w:rPr>
                <w:sz w:val="16"/>
              </w:rPr>
              <w:t>established;</w:t>
            </w:r>
            <w:proofErr w:type="gramEnd"/>
            <w:r>
              <w:rPr>
                <w:sz w:val="16"/>
              </w:rPr>
              <w:t xml:space="preserve"> </w:t>
            </w:r>
          </w:p>
          <w:p w14:paraId="23E5EBB2" w14:textId="77777777" w:rsidR="00D5089B" w:rsidRDefault="004C3E08">
            <w:pPr>
              <w:numPr>
                <w:ilvl w:val="2"/>
                <w:numId w:val="3"/>
              </w:numPr>
              <w:spacing w:after="22"/>
              <w:ind w:hanging="706"/>
            </w:pPr>
            <w:r>
              <w:rPr>
                <w:sz w:val="16"/>
              </w:rPr>
              <w:t xml:space="preserve">it has notified the Client in writing of any Tax Non-Compliance it is involved in; and </w:t>
            </w:r>
          </w:p>
          <w:p w14:paraId="468FBE3E" w14:textId="77777777" w:rsidR="00D5089B" w:rsidRDefault="004C3E08">
            <w:pPr>
              <w:numPr>
                <w:ilvl w:val="2"/>
                <w:numId w:val="3"/>
              </w:numPr>
              <w:spacing w:after="25" w:line="258" w:lineRule="auto"/>
              <w:ind w:hanging="706"/>
            </w:pPr>
            <w:r>
              <w:rPr>
                <w:sz w:val="16"/>
              </w:rPr>
              <w:t xml:space="preserve">no proceedings or other steps have been taken and not discharged (nor, to the best of its knowledge, are threatened) for the winding up of FT or for its dissolution or for the appointment of a receiver, administrative receiver, liquidator, manager, </w:t>
            </w:r>
            <w:proofErr w:type="gramStart"/>
            <w:r>
              <w:rPr>
                <w:sz w:val="16"/>
              </w:rPr>
              <w:t>administrator</w:t>
            </w:r>
            <w:proofErr w:type="gramEnd"/>
            <w:r>
              <w:rPr>
                <w:sz w:val="16"/>
              </w:rPr>
              <w:t xml:space="preserve"> or similar officer in relation to any of FT’s assets or revenue and FT has notified the Client of any profit warnings issued in respect of FT in the three years prior to the Service Start Date. </w:t>
            </w:r>
          </w:p>
          <w:p w14:paraId="13821B4E" w14:textId="77777777" w:rsidR="00D5089B" w:rsidRDefault="004C3E08">
            <w:pPr>
              <w:numPr>
                <w:ilvl w:val="1"/>
                <w:numId w:val="3"/>
              </w:numPr>
              <w:spacing w:after="26" w:line="257" w:lineRule="auto"/>
              <w:ind w:hanging="427"/>
            </w:pPr>
            <w:r>
              <w:rPr>
                <w:sz w:val="16"/>
              </w:rPr>
              <w:t xml:space="preserve">If at any time FT becomes aware that a representation or warranty given by it under Special Condition 3.1.1, 3.1.2 and/or 3.1.3 has been breached, is untrue, or is misleading, it shall immediately notify the Client of the relevant occurrence in sufficient detail to enable the Client to make an accurate assessment of the situation.  </w:t>
            </w:r>
          </w:p>
          <w:p w14:paraId="015E3D75" w14:textId="77777777" w:rsidR="00D5089B" w:rsidRDefault="004C3E08">
            <w:pPr>
              <w:numPr>
                <w:ilvl w:val="1"/>
                <w:numId w:val="3"/>
              </w:numPr>
              <w:ind w:hanging="427"/>
            </w:pPr>
            <w:proofErr w:type="gramStart"/>
            <w:r>
              <w:rPr>
                <w:sz w:val="16"/>
              </w:rPr>
              <w:t>In the event that</w:t>
            </w:r>
            <w:proofErr w:type="gramEnd"/>
            <w:r>
              <w:rPr>
                <w:sz w:val="16"/>
              </w:rPr>
              <w:t xml:space="preserve"> the warranty given by the Client pursuant to Special Condition 3.1.2 is materially untrue, the Client shall be entitled to terminate the Agreement. </w:t>
            </w:r>
          </w:p>
          <w:p w14:paraId="176854DF" w14:textId="77777777" w:rsidR="00D5089B" w:rsidRDefault="004C3E08">
            <w:pPr>
              <w:spacing w:after="9"/>
              <w:ind w:left="428"/>
            </w:pPr>
            <w:r>
              <w:rPr>
                <w:sz w:val="16"/>
              </w:rPr>
              <w:t xml:space="preserve"> </w:t>
            </w:r>
          </w:p>
          <w:p w14:paraId="188CBEAA" w14:textId="77777777" w:rsidR="00D5089B" w:rsidRDefault="004C3E08">
            <w:pPr>
              <w:numPr>
                <w:ilvl w:val="0"/>
                <w:numId w:val="3"/>
              </w:numPr>
              <w:spacing w:after="24"/>
            </w:pPr>
            <w:r>
              <w:rPr>
                <w:b/>
                <w:sz w:val="16"/>
              </w:rPr>
              <w:t xml:space="preserve">Promoting Tax Compliance </w:t>
            </w:r>
          </w:p>
          <w:p w14:paraId="6A7B41F4" w14:textId="77777777" w:rsidR="00D5089B" w:rsidRDefault="004C3E08">
            <w:pPr>
              <w:numPr>
                <w:ilvl w:val="1"/>
                <w:numId w:val="3"/>
              </w:numPr>
              <w:spacing w:after="25" w:line="258" w:lineRule="auto"/>
              <w:ind w:hanging="427"/>
            </w:pPr>
            <w:r>
              <w:rPr>
                <w:sz w:val="16"/>
              </w:rPr>
              <w:t xml:space="preserve">All amounts stated are stated exclusive of VAT, which shall be added at the prevailing rate as applicable and paid by the Client following delivery of a valid VAT invoice. </w:t>
            </w:r>
          </w:p>
          <w:p w14:paraId="159E2D0F" w14:textId="77777777" w:rsidR="00D5089B" w:rsidRDefault="004C3E08">
            <w:pPr>
              <w:numPr>
                <w:ilvl w:val="1"/>
                <w:numId w:val="3"/>
              </w:numPr>
              <w:spacing w:after="22" w:line="258" w:lineRule="auto"/>
              <w:ind w:hanging="427"/>
            </w:pPr>
            <w:r>
              <w:rPr>
                <w:sz w:val="16"/>
              </w:rPr>
              <w:t xml:space="preserve">To the extent applicable to FT, FT shall </w:t>
            </w:r>
            <w:proofErr w:type="gramStart"/>
            <w:r>
              <w:rPr>
                <w:sz w:val="16"/>
              </w:rPr>
              <w:t>at all times</w:t>
            </w:r>
            <w:proofErr w:type="gramEnd"/>
            <w:r>
              <w:rPr>
                <w:sz w:val="16"/>
              </w:rPr>
              <w:t xml:space="preserve"> comply with all Laws relating to Tax and with the equivalent legal provisions of the country in which FT is established.  </w:t>
            </w:r>
          </w:p>
          <w:p w14:paraId="70335A89" w14:textId="77777777" w:rsidR="00D5089B" w:rsidRDefault="004C3E08">
            <w:pPr>
              <w:numPr>
                <w:ilvl w:val="1"/>
                <w:numId w:val="3"/>
              </w:numPr>
              <w:ind w:hanging="427"/>
            </w:pPr>
            <w:r>
              <w:rPr>
                <w:sz w:val="16"/>
              </w:rPr>
              <w:t xml:space="preserve">FT shall provide to the Client the name and, as applicable, the Value Added Tax registration number, PAYE collection number and either the </w:t>
            </w:r>
          </w:p>
          <w:p w14:paraId="7D251B8C" w14:textId="77777777" w:rsidR="00D5089B" w:rsidRDefault="004C3E08">
            <w:pPr>
              <w:spacing w:after="25" w:line="258" w:lineRule="auto"/>
              <w:ind w:left="428"/>
            </w:pPr>
            <w:r>
              <w:rPr>
                <w:sz w:val="16"/>
              </w:rPr>
              <w:t xml:space="preserve">Corporation Tax or self-assessment reference of any agent, </w:t>
            </w:r>
            <w:proofErr w:type="gramStart"/>
            <w:r>
              <w:rPr>
                <w:sz w:val="16"/>
              </w:rPr>
              <w:t>supplier</w:t>
            </w:r>
            <w:proofErr w:type="gramEnd"/>
            <w:r>
              <w:rPr>
                <w:sz w:val="16"/>
              </w:rPr>
              <w:t xml:space="preserve"> or Subcontractor of FT prior to the provision of any material Services under the Agreement by that agent, supplier or Subcontractor.  Upon a request by the Client, FT shall not contract, or will cease to contract, with any agent, supplier or Subcontractor supplying Services under the Agreement.   </w:t>
            </w:r>
          </w:p>
          <w:p w14:paraId="139ECBB7" w14:textId="77777777" w:rsidR="00D5089B" w:rsidRDefault="004C3E08">
            <w:pPr>
              <w:numPr>
                <w:ilvl w:val="1"/>
                <w:numId w:val="3"/>
              </w:numPr>
              <w:spacing w:after="22"/>
              <w:ind w:hanging="427"/>
            </w:pPr>
            <w:r>
              <w:rPr>
                <w:sz w:val="16"/>
              </w:rPr>
              <w:t xml:space="preserve">If, at any point during the Term there is Tax Non-Compliance, FT shall: </w:t>
            </w:r>
          </w:p>
          <w:p w14:paraId="4DF9D6B7" w14:textId="77777777" w:rsidR="00D5089B" w:rsidRDefault="004C3E08">
            <w:pPr>
              <w:numPr>
                <w:ilvl w:val="2"/>
                <w:numId w:val="3"/>
              </w:numPr>
              <w:spacing w:line="288" w:lineRule="auto"/>
              <w:ind w:hanging="706"/>
            </w:pPr>
            <w:r>
              <w:rPr>
                <w:sz w:val="16"/>
              </w:rPr>
              <w:t xml:space="preserve">notify the Client in writing of such fact within five (5) Working Days of its occurrence; and </w:t>
            </w:r>
            <w:r>
              <w:rPr>
                <w:b/>
                <w:sz w:val="16"/>
              </w:rPr>
              <w:t>4.4.2</w:t>
            </w:r>
            <w:r>
              <w:rPr>
                <w:rFonts w:ascii="Arial" w:eastAsia="Arial" w:hAnsi="Arial" w:cs="Arial"/>
                <w:b/>
                <w:sz w:val="16"/>
              </w:rPr>
              <w:t xml:space="preserve"> </w:t>
            </w:r>
            <w:r>
              <w:rPr>
                <w:rFonts w:ascii="Arial" w:eastAsia="Arial" w:hAnsi="Arial" w:cs="Arial"/>
                <w:b/>
                <w:sz w:val="16"/>
              </w:rPr>
              <w:tab/>
            </w:r>
            <w:r>
              <w:rPr>
                <w:sz w:val="16"/>
              </w:rPr>
              <w:t xml:space="preserve">promptly provide to the Client: </w:t>
            </w:r>
          </w:p>
          <w:p w14:paraId="04AEFCE8" w14:textId="77777777" w:rsidR="00D5089B" w:rsidRDefault="004C3E08">
            <w:pPr>
              <w:numPr>
                <w:ilvl w:val="3"/>
                <w:numId w:val="3"/>
              </w:numPr>
              <w:spacing w:after="25" w:line="258" w:lineRule="auto"/>
              <w:ind w:hanging="360"/>
            </w:pPr>
            <w:r>
              <w:rPr>
                <w:sz w:val="16"/>
              </w:rPr>
              <w:t xml:space="preserve">details of the steps which FT is taking to resolve the Tax Non-Compliance and to prevent the same from recurring, together with any mitigating factors that it considers relevant; and  </w:t>
            </w:r>
          </w:p>
          <w:p w14:paraId="4828FC44" w14:textId="77777777" w:rsidR="00D5089B" w:rsidRDefault="004C3E08">
            <w:pPr>
              <w:numPr>
                <w:ilvl w:val="3"/>
                <w:numId w:val="3"/>
              </w:numPr>
              <w:spacing w:after="24"/>
              <w:ind w:hanging="360"/>
            </w:pPr>
            <w:r>
              <w:rPr>
                <w:sz w:val="16"/>
              </w:rPr>
              <w:t xml:space="preserve">such other information in relation to the Tax Non-Compliance as the Client may reasonably require. </w:t>
            </w:r>
          </w:p>
          <w:p w14:paraId="67628814" w14:textId="77777777" w:rsidR="00D5089B" w:rsidRDefault="004C3E08">
            <w:pPr>
              <w:numPr>
                <w:ilvl w:val="1"/>
                <w:numId w:val="3"/>
              </w:numPr>
              <w:ind w:hanging="427"/>
            </w:pPr>
            <w:r>
              <w:rPr>
                <w:sz w:val="16"/>
              </w:rPr>
              <w:t xml:space="preserve">FT shall indemnify the Client on a continuing basis against any liability, including any interest, penalties or costs incurred, that is levied, demanded or </w:t>
            </w:r>
          </w:p>
          <w:p w14:paraId="4A0B5D21" w14:textId="77777777" w:rsidR="00D5089B" w:rsidRDefault="004C3E08">
            <w:pPr>
              <w:ind w:left="428"/>
            </w:pPr>
            <w:r>
              <w:rPr>
                <w:sz w:val="16"/>
              </w:rPr>
              <w:t xml:space="preserve">assessed on the Client at any time in respect of FT's failure to account for or to pay any Tax relating to payments made to FT under this Agreement.  Any amounts due under this Special Condition 4.5 shall be paid in cleared funds by FT to the Client not less than five (5) Working Days before the date upon which the Tax or other liability is payable by the Client.   </w:t>
            </w:r>
          </w:p>
        </w:tc>
      </w:tr>
    </w:tbl>
    <w:p w14:paraId="7CBF4D2D" w14:textId="77777777" w:rsidR="00D5089B" w:rsidRDefault="00D5089B">
      <w:pPr>
        <w:spacing w:after="0"/>
        <w:ind w:left="-1133" w:right="10424"/>
      </w:pPr>
    </w:p>
    <w:tbl>
      <w:tblPr>
        <w:tblStyle w:val="TableGrid"/>
        <w:tblW w:w="10492" w:type="dxa"/>
        <w:tblInd w:w="-425" w:type="dxa"/>
        <w:tblCellMar>
          <w:top w:w="35" w:type="dxa"/>
          <w:left w:w="108" w:type="dxa"/>
          <w:right w:w="72" w:type="dxa"/>
        </w:tblCellMar>
        <w:tblLook w:val="04A0" w:firstRow="1" w:lastRow="0" w:firstColumn="1" w:lastColumn="0" w:noHBand="0" w:noVBand="1"/>
      </w:tblPr>
      <w:tblGrid>
        <w:gridCol w:w="5106"/>
        <w:gridCol w:w="5386"/>
      </w:tblGrid>
      <w:tr w:rsidR="00D5089B" w14:paraId="784ABE4F" w14:textId="77777777">
        <w:trPr>
          <w:trHeight w:val="15041"/>
        </w:trPr>
        <w:tc>
          <w:tcPr>
            <w:tcW w:w="10492" w:type="dxa"/>
            <w:gridSpan w:val="2"/>
            <w:tcBorders>
              <w:top w:val="single" w:sz="4" w:space="0" w:color="000000"/>
              <w:left w:val="single" w:sz="4" w:space="0" w:color="000000"/>
              <w:bottom w:val="single" w:sz="4" w:space="0" w:color="000000"/>
              <w:right w:val="single" w:sz="4" w:space="0" w:color="000000"/>
            </w:tcBorders>
          </w:tcPr>
          <w:p w14:paraId="5200C4F6" w14:textId="77777777" w:rsidR="00D5089B" w:rsidRDefault="004C3E08">
            <w:pPr>
              <w:spacing w:after="26" w:line="255" w:lineRule="auto"/>
              <w:ind w:left="427" w:hanging="427"/>
            </w:pPr>
            <w:r>
              <w:rPr>
                <w:b/>
                <w:sz w:val="16"/>
              </w:rPr>
              <w:lastRenderedPageBreak/>
              <w:t>4.6</w:t>
            </w:r>
            <w:r>
              <w:rPr>
                <w:rFonts w:ascii="Arial" w:eastAsia="Arial" w:hAnsi="Arial" w:cs="Arial"/>
                <w:b/>
                <w:sz w:val="16"/>
              </w:rPr>
              <w:t xml:space="preserve"> </w:t>
            </w:r>
            <w:r>
              <w:rPr>
                <w:rFonts w:ascii="Arial" w:eastAsia="Arial" w:hAnsi="Arial" w:cs="Arial"/>
                <w:b/>
                <w:sz w:val="16"/>
              </w:rPr>
              <w:tab/>
            </w:r>
            <w:r>
              <w:rPr>
                <w:sz w:val="16"/>
              </w:rPr>
              <w:t xml:space="preserve">Upon the Client’s request, FT shall provide (promptly or within such other period notified by the Client) information which demonstrates how FT complies with its Tax obligations.  </w:t>
            </w:r>
          </w:p>
          <w:p w14:paraId="0290F6E6" w14:textId="77777777" w:rsidR="00D5089B" w:rsidRDefault="004C3E08">
            <w:pPr>
              <w:tabs>
                <w:tab w:val="center" w:pos="103"/>
                <w:tab w:val="center" w:pos="588"/>
              </w:tabs>
              <w:spacing w:after="22"/>
            </w:pPr>
            <w:r>
              <w:tab/>
            </w:r>
            <w:r>
              <w:rPr>
                <w:b/>
                <w:sz w:val="16"/>
              </w:rPr>
              <w:t>4.7</w:t>
            </w:r>
            <w:r>
              <w:rPr>
                <w:rFonts w:ascii="Arial" w:eastAsia="Arial" w:hAnsi="Arial" w:cs="Arial"/>
                <w:b/>
                <w:sz w:val="16"/>
              </w:rPr>
              <w:t xml:space="preserve"> </w:t>
            </w:r>
            <w:r>
              <w:rPr>
                <w:rFonts w:ascii="Arial" w:eastAsia="Arial" w:hAnsi="Arial" w:cs="Arial"/>
                <w:b/>
                <w:sz w:val="16"/>
              </w:rPr>
              <w:tab/>
            </w:r>
            <w:r>
              <w:rPr>
                <w:sz w:val="16"/>
              </w:rPr>
              <w:t xml:space="preserve">If FT:  </w:t>
            </w:r>
          </w:p>
          <w:p w14:paraId="0E5C8DC1" w14:textId="77777777" w:rsidR="00D5089B" w:rsidRDefault="004C3E08">
            <w:pPr>
              <w:tabs>
                <w:tab w:val="center" w:pos="732"/>
                <w:tab w:val="center" w:pos="5630"/>
              </w:tabs>
            </w:pPr>
            <w:r>
              <w:tab/>
            </w:r>
            <w:r>
              <w:rPr>
                <w:b/>
                <w:sz w:val="16"/>
              </w:rPr>
              <w:t>4.7.1</w:t>
            </w:r>
            <w:r>
              <w:rPr>
                <w:rFonts w:ascii="Arial" w:eastAsia="Arial" w:hAnsi="Arial" w:cs="Arial"/>
                <w:b/>
                <w:sz w:val="16"/>
              </w:rPr>
              <w:t xml:space="preserve"> </w:t>
            </w:r>
            <w:r>
              <w:rPr>
                <w:rFonts w:ascii="Arial" w:eastAsia="Arial" w:hAnsi="Arial" w:cs="Arial"/>
                <w:b/>
                <w:sz w:val="16"/>
              </w:rPr>
              <w:tab/>
            </w:r>
            <w:r>
              <w:rPr>
                <w:sz w:val="16"/>
              </w:rPr>
              <w:t xml:space="preserve">fails to comply (or if the Client receives information which demonstrates to it that FT has failed to comply) with Special Conditions 4.2, </w:t>
            </w:r>
          </w:p>
          <w:p w14:paraId="0FB6E170" w14:textId="77777777" w:rsidR="00D5089B" w:rsidRDefault="004C3E08">
            <w:pPr>
              <w:spacing w:after="8"/>
              <w:ind w:left="1277"/>
            </w:pPr>
            <w:r>
              <w:rPr>
                <w:sz w:val="16"/>
              </w:rPr>
              <w:t xml:space="preserve">4.4.1 and/or 4.6 this may be a material breach of the </w:t>
            </w:r>
            <w:proofErr w:type="gramStart"/>
            <w:r>
              <w:rPr>
                <w:sz w:val="16"/>
              </w:rPr>
              <w:t>Agreement;</w:t>
            </w:r>
            <w:proofErr w:type="gramEnd"/>
            <w:r>
              <w:rPr>
                <w:sz w:val="16"/>
              </w:rPr>
              <w:t xml:space="preserve">  </w:t>
            </w:r>
          </w:p>
          <w:p w14:paraId="75F33244" w14:textId="77777777" w:rsidR="00D5089B" w:rsidRDefault="004C3E08">
            <w:pPr>
              <w:spacing w:after="24" w:line="239" w:lineRule="auto"/>
              <w:ind w:left="1277" w:hanging="710"/>
            </w:pPr>
            <w:r>
              <w:rPr>
                <w:b/>
                <w:sz w:val="16"/>
              </w:rPr>
              <w:t>4.7.2</w:t>
            </w:r>
            <w:r>
              <w:rPr>
                <w:rFonts w:ascii="Arial" w:eastAsia="Arial" w:hAnsi="Arial" w:cs="Arial"/>
                <w:b/>
                <w:sz w:val="16"/>
              </w:rPr>
              <w:t xml:space="preserve"> </w:t>
            </w:r>
            <w:r>
              <w:rPr>
                <w:rFonts w:ascii="Arial" w:eastAsia="Arial" w:hAnsi="Arial" w:cs="Arial"/>
                <w:b/>
                <w:sz w:val="16"/>
              </w:rPr>
              <w:tab/>
            </w:r>
            <w:r>
              <w:rPr>
                <w:sz w:val="16"/>
              </w:rPr>
              <w:t xml:space="preserve">fails to comply (or if the Client receives information which demonstrates to it that FT has failed to comply) with a reasonable request by the Client that it must not contract, or must cease to contract, with any agent, supplier or Subcontractor of FT as required by Special Condition 4.3 on the grounds that the agent, </w:t>
            </w:r>
            <w:proofErr w:type="gramStart"/>
            <w:r>
              <w:rPr>
                <w:sz w:val="16"/>
              </w:rPr>
              <w:t>supplier</w:t>
            </w:r>
            <w:proofErr w:type="gramEnd"/>
            <w:r>
              <w:rPr>
                <w:sz w:val="16"/>
              </w:rPr>
              <w:t xml:space="preserve"> or Subcontractor of the FT is involved in Tax Non-Compliance this shall be a material breach of the Agreement; and/or </w:t>
            </w:r>
          </w:p>
          <w:p w14:paraId="0DDC5DD5" w14:textId="77777777" w:rsidR="00D5089B" w:rsidRDefault="004C3E08">
            <w:pPr>
              <w:spacing w:line="241" w:lineRule="auto"/>
              <w:ind w:left="1277" w:hanging="710"/>
            </w:pPr>
            <w:r>
              <w:rPr>
                <w:b/>
                <w:sz w:val="16"/>
              </w:rPr>
              <w:t>4.7.3</w:t>
            </w:r>
            <w:r>
              <w:rPr>
                <w:rFonts w:ascii="Arial" w:eastAsia="Arial" w:hAnsi="Arial" w:cs="Arial"/>
                <w:b/>
                <w:sz w:val="16"/>
              </w:rPr>
              <w:t xml:space="preserve"> </w:t>
            </w:r>
            <w:r>
              <w:rPr>
                <w:rFonts w:ascii="Arial" w:eastAsia="Arial" w:hAnsi="Arial" w:cs="Arial"/>
                <w:b/>
                <w:sz w:val="16"/>
              </w:rPr>
              <w:tab/>
            </w:r>
            <w:r>
              <w:rPr>
                <w:sz w:val="16"/>
              </w:rPr>
              <w:t xml:space="preserve">fails to provide details of steps being taken and mitigating factors pursuant to Special Condition 4.4.2 which in the reasonable opinion of the Client are acceptable this shall be a material breach of the </w:t>
            </w:r>
            <w:proofErr w:type="gramStart"/>
            <w:r>
              <w:rPr>
                <w:sz w:val="16"/>
              </w:rPr>
              <w:t>Agreement;</w:t>
            </w:r>
            <w:proofErr w:type="gramEnd"/>
            <w:r>
              <w:rPr>
                <w:sz w:val="16"/>
              </w:rPr>
              <w:t xml:space="preserve"> </w:t>
            </w:r>
          </w:p>
          <w:p w14:paraId="5A08630F" w14:textId="77777777" w:rsidR="00D5089B" w:rsidRDefault="004C3E08">
            <w:pPr>
              <w:spacing w:after="25" w:line="241" w:lineRule="auto"/>
              <w:ind w:left="427" w:right="4674" w:hanging="427"/>
            </w:pPr>
            <w:r>
              <w:rPr>
                <w:sz w:val="16"/>
              </w:rPr>
              <w:t xml:space="preserve"> and any such material breach shall allow the Client to terminate the Agreement.  </w:t>
            </w:r>
          </w:p>
          <w:p w14:paraId="0ECD1683" w14:textId="77777777" w:rsidR="00D5089B" w:rsidRDefault="004C3E08">
            <w:pPr>
              <w:spacing w:line="258" w:lineRule="auto"/>
              <w:ind w:left="427" w:hanging="427"/>
            </w:pPr>
            <w:r>
              <w:rPr>
                <w:b/>
                <w:sz w:val="16"/>
              </w:rPr>
              <w:t>4.8</w:t>
            </w:r>
            <w:r>
              <w:rPr>
                <w:rFonts w:ascii="Arial" w:eastAsia="Arial" w:hAnsi="Arial" w:cs="Arial"/>
                <w:b/>
                <w:sz w:val="16"/>
              </w:rPr>
              <w:t xml:space="preserve"> </w:t>
            </w:r>
            <w:r>
              <w:rPr>
                <w:rFonts w:ascii="Arial" w:eastAsia="Arial" w:hAnsi="Arial" w:cs="Arial"/>
                <w:b/>
                <w:sz w:val="16"/>
              </w:rPr>
              <w:tab/>
            </w:r>
            <w:r>
              <w:rPr>
                <w:sz w:val="16"/>
              </w:rPr>
              <w:t xml:space="preserve">The Client may internally share any information which it receives under Special Conditions 4.3 to 4.4 (inclusive) and 4.6, for the purpose of the collection and management of revenue for which the Client is responsible.  </w:t>
            </w:r>
          </w:p>
          <w:p w14:paraId="6CE54DD1" w14:textId="77777777" w:rsidR="00D5089B" w:rsidRDefault="004C3E08">
            <w:pPr>
              <w:spacing w:after="9"/>
              <w:ind w:left="427"/>
            </w:pPr>
            <w:r>
              <w:rPr>
                <w:sz w:val="16"/>
              </w:rPr>
              <w:t xml:space="preserve"> </w:t>
            </w:r>
          </w:p>
          <w:p w14:paraId="33E74DE7" w14:textId="77777777" w:rsidR="00D5089B" w:rsidRDefault="004C3E08">
            <w:pPr>
              <w:numPr>
                <w:ilvl w:val="0"/>
                <w:numId w:val="4"/>
              </w:numPr>
              <w:spacing w:after="24"/>
              <w:ind w:hanging="427"/>
            </w:pPr>
            <w:r>
              <w:rPr>
                <w:b/>
                <w:sz w:val="16"/>
              </w:rPr>
              <w:t xml:space="preserve">Use of Off-shore Tax Structures </w:t>
            </w:r>
          </w:p>
          <w:p w14:paraId="4BA45DE0" w14:textId="77777777" w:rsidR="00D5089B" w:rsidRDefault="004C3E08">
            <w:pPr>
              <w:numPr>
                <w:ilvl w:val="1"/>
                <w:numId w:val="4"/>
              </w:numPr>
              <w:spacing w:line="258" w:lineRule="auto"/>
              <w:ind w:hanging="427"/>
            </w:pPr>
            <w:r>
              <w:rPr>
                <w:sz w:val="16"/>
              </w:rPr>
              <w:t xml:space="preserve">Subject to the principles of non-discrimination against undertakings based either in member countries of the European Union or in signatory countries of the World Trade Organisation Agreement on Government Procurement, FT shall not, and shall ensure that its Connected Companies, Key </w:t>
            </w:r>
          </w:p>
          <w:p w14:paraId="7BB234BC" w14:textId="77777777" w:rsidR="00D5089B" w:rsidRDefault="004C3E08">
            <w:pPr>
              <w:spacing w:line="258" w:lineRule="auto"/>
              <w:ind w:left="427" w:right="5"/>
            </w:pPr>
            <w:r>
              <w:rPr>
                <w:sz w:val="16"/>
              </w:rPr>
              <w:t xml:space="preserve">Subcontractors (and their respective Connected Companies) shall not, have or put in place (unless otherwise agreed with the Client)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Client under or pursuant to this Agreement or (in the case of any Key Subcontractor and its Connected Companies) United Kingdom Tax which would be payable by it or them on or in connection with payments made by or on behalf of FT under or pursuant to the applicable Key Subcontract </w:t>
            </w:r>
          </w:p>
          <w:p w14:paraId="7E9E12BE" w14:textId="77777777" w:rsidR="00D5089B" w:rsidRDefault="004C3E08">
            <w:pPr>
              <w:ind w:left="427"/>
            </w:pPr>
            <w:r>
              <w:rPr>
                <w:sz w:val="16"/>
              </w:rPr>
              <w:t>(</w:t>
            </w:r>
            <w:r>
              <w:rPr>
                <w:b/>
                <w:sz w:val="16"/>
              </w:rPr>
              <w:t>“Prohibited Transactions”</w:t>
            </w:r>
            <w:r>
              <w:rPr>
                <w:sz w:val="16"/>
              </w:rPr>
              <w:t xml:space="preserve">). Prohibited Transactions shall not include transactions made between FT and its Connected Companies or a Key </w:t>
            </w:r>
          </w:p>
          <w:p w14:paraId="11420C5F" w14:textId="77777777" w:rsidR="00D5089B" w:rsidRDefault="004C3E08">
            <w:pPr>
              <w:spacing w:after="25" w:line="258" w:lineRule="auto"/>
              <w:ind w:left="427"/>
            </w:pPr>
            <w:r>
              <w:rPr>
                <w:sz w:val="16"/>
              </w:rPr>
              <w:t>Subcontractor and its Connected Companies on terms which are at arms-length and are entered into in the ordinary course of the transacting parties’ business.</w:t>
            </w:r>
            <w:r>
              <w:rPr>
                <w:b/>
                <w:sz w:val="16"/>
              </w:rPr>
              <w:t xml:space="preserve"> </w:t>
            </w:r>
          </w:p>
          <w:p w14:paraId="2DE14A0A" w14:textId="77777777" w:rsidR="00D5089B" w:rsidRDefault="004C3E08">
            <w:pPr>
              <w:numPr>
                <w:ilvl w:val="1"/>
                <w:numId w:val="4"/>
              </w:numPr>
              <w:spacing w:after="22" w:line="258" w:lineRule="auto"/>
              <w:ind w:hanging="427"/>
            </w:pPr>
            <w:r>
              <w:rPr>
                <w:sz w:val="16"/>
              </w:rPr>
              <w:t xml:space="preserve">FT shall notify the Client in writing (with reasonable supporting detail) of any proposal for FT or any of its Connected Companies, or for a Key Subcontractor (or any of its Connected Companies), to </w:t>
            </w:r>
            <w:proofErr w:type="gramStart"/>
            <w:r>
              <w:rPr>
                <w:sz w:val="16"/>
              </w:rPr>
              <w:t>enter into</w:t>
            </w:r>
            <w:proofErr w:type="gramEnd"/>
            <w:r>
              <w:rPr>
                <w:sz w:val="16"/>
              </w:rPr>
              <w:t xml:space="preserve"> any Prohibited Transaction. FT shall notify the Client within a reasonable time to allow the Client to consider the proposed Prohibited Transaction before it is due to be put in place.</w:t>
            </w:r>
            <w:r>
              <w:rPr>
                <w:b/>
                <w:sz w:val="16"/>
              </w:rPr>
              <w:t xml:space="preserve"> </w:t>
            </w:r>
          </w:p>
          <w:p w14:paraId="36E23DF2" w14:textId="77777777" w:rsidR="00D5089B" w:rsidRDefault="004C3E08">
            <w:pPr>
              <w:numPr>
                <w:ilvl w:val="1"/>
                <w:numId w:val="4"/>
              </w:numPr>
              <w:spacing w:after="22" w:line="258" w:lineRule="auto"/>
              <w:ind w:hanging="427"/>
            </w:pPr>
            <w:r>
              <w:rPr>
                <w:sz w:val="16"/>
              </w:rPr>
              <w:t>In the event of a Prohibited Transaction being entered into in breach of Special Condition 5.1 above, or in the event that circumstances arise which may result in such a breach, FT and/or the Key Subcontractor (as applicable) shall discuss the situation with the Client and, in order to ensure future compliance with the requirements of Special Conditions 5.1 and 5.2, the Parties (and FT shall procure that the Key Subcontractor, where applicable) shall agree (at no cost to the Client) timely and appropriate changes to any such arrangements by the undertakings concerned, resolving the matter (if required) through the escalation process in the Agreement.</w:t>
            </w:r>
            <w:r>
              <w:rPr>
                <w:b/>
                <w:sz w:val="16"/>
              </w:rPr>
              <w:t xml:space="preserve"> </w:t>
            </w:r>
          </w:p>
          <w:p w14:paraId="206F3E5D" w14:textId="77777777" w:rsidR="00D5089B" w:rsidRDefault="004C3E08">
            <w:pPr>
              <w:numPr>
                <w:ilvl w:val="1"/>
                <w:numId w:val="4"/>
              </w:numPr>
              <w:spacing w:after="41" w:line="238" w:lineRule="auto"/>
              <w:ind w:hanging="427"/>
            </w:pPr>
            <w:r>
              <w:rPr>
                <w:sz w:val="16"/>
              </w:rPr>
              <w:t xml:space="preserve">Failure by FT (or a Key Subcontractor) to comply with the obligations set out in Special Conditions 5.2 and 5.3 shall allow the Client to terminate the Agreement. </w:t>
            </w:r>
          </w:p>
          <w:p w14:paraId="66B83A45" w14:textId="77777777" w:rsidR="00D5089B" w:rsidRDefault="004C3E08">
            <w:pPr>
              <w:spacing w:after="34"/>
            </w:pPr>
            <w:r>
              <w:rPr>
                <w:sz w:val="16"/>
              </w:rPr>
              <w:t xml:space="preserve">The following definitions will apply to Special Conditions 3 to 5 above: </w:t>
            </w:r>
          </w:p>
          <w:p w14:paraId="44A043A8" w14:textId="77777777" w:rsidR="00D5089B" w:rsidRDefault="004C3E08">
            <w:pPr>
              <w:spacing w:after="2" w:line="238" w:lineRule="auto"/>
              <w:ind w:left="2376" w:right="1351" w:hanging="2160"/>
            </w:pPr>
            <w:r>
              <w:rPr>
                <w:b/>
                <w:sz w:val="16"/>
              </w:rPr>
              <w:t xml:space="preserve">“Affiliate” </w:t>
            </w:r>
            <w:r>
              <w:rPr>
                <w:b/>
                <w:sz w:val="16"/>
              </w:rPr>
              <w:tab/>
            </w:r>
            <w:r>
              <w:rPr>
                <w:sz w:val="16"/>
              </w:rPr>
              <w:t xml:space="preserve">in relation to a body corporate, any other entity which directly or indirectly Controls, is Controlled by, or is under direct or indirect common Control with, that body corporate from time to </w:t>
            </w:r>
            <w:proofErr w:type="gramStart"/>
            <w:r>
              <w:rPr>
                <w:sz w:val="16"/>
              </w:rPr>
              <w:t>time;</w:t>
            </w:r>
            <w:proofErr w:type="gramEnd"/>
            <w:r>
              <w:rPr>
                <w:sz w:val="16"/>
              </w:rPr>
              <w:t xml:space="preserve"> </w:t>
            </w:r>
          </w:p>
          <w:p w14:paraId="53504EA9" w14:textId="77777777" w:rsidR="00D5089B" w:rsidRDefault="004C3E08">
            <w:pPr>
              <w:spacing w:after="2" w:line="238" w:lineRule="auto"/>
              <w:ind w:left="2376" w:right="908" w:hanging="2160"/>
              <w:jc w:val="both"/>
            </w:pPr>
            <w:r>
              <w:rPr>
                <w:b/>
                <w:sz w:val="16"/>
              </w:rPr>
              <w:t>“Connected Company”</w:t>
            </w:r>
            <w:r>
              <w:rPr>
                <w:sz w:val="16"/>
              </w:rPr>
              <w:t xml:space="preserve"> means, in relation to a company, entity or other person, the Affiliates of that company, entity or other person or any other person associated with such company, entity or other </w:t>
            </w:r>
            <w:proofErr w:type="gramStart"/>
            <w:r>
              <w:rPr>
                <w:sz w:val="16"/>
              </w:rPr>
              <w:t>person;</w:t>
            </w:r>
            <w:proofErr w:type="gramEnd"/>
            <w:r>
              <w:rPr>
                <w:sz w:val="16"/>
              </w:rPr>
              <w:t xml:space="preserve"> </w:t>
            </w:r>
          </w:p>
          <w:p w14:paraId="4AE67FF0" w14:textId="77777777" w:rsidR="00D5089B" w:rsidRDefault="004C3E08">
            <w:pPr>
              <w:spacing w:after="13" w:line="238" w:lineRule="auto"/>
              <w:ind w:left="2376" w:right="1394" w:hanging="2160"/>
              <w:jc w:val="both"/>
            </w:pPr>
            <w:r>
              <w:rPr>
                <w:b/>
                <w:sz w:val="16"/>
              </w:rPr>
              <w:t xml:space="preserve">“Control” </w:t>
            </w:r>
            <w:r>
              <w:rPr>
                <w:sz w:val="16"/>
              </w:rPr>
              <w:t xml:space="preserve">the possession by </w:t>
            </w:r>
            <w:proofErr w:type="gramStart"/>
            <w:r>
              <w:rPr>
                <w:sz w:val="16"/>
              </w:rPr>
              <w:t>a  person</w:t>
            </w:r>
            <w:proofErr w:type="gramEnd"/>
            <w:r>
              <w:rPr>
                <w:sz w:val="16"/>
              </w:rPr>
              <w:t xml:space="preserve">, directly or indirectly, of the power to direct or cause the direction of the management and policies of the other person (whether through the ownership of voting shares, by contract or otherwise) and “Controls” and “Controlled” shall be interpreted accordingly; </w:t>
            </w:r>
          </w:p>
          <w:p w14:paraId="07C6EC2A" w14:textId="77777777" w:rsidR="00D5089B" w:rsidRDefault="004C3E08">
            <w:pPr>
              <w:tabs>
                <w:tab w:val="center" w:pos="898"/>
                <w:tab w:val="center" w:pos="2994"/>
              </w:tabs>
              <w:spacing w:after="10"/>
            </w:pPr>
            <w:r>
              <w:tab/>
            </w:r>
            <w:r>
              <w:rPr>
                <w:b/>
                <w:sz w:val="16"/>
              </w:rPr>
              <w:t>“Key Subcontractor”</w:t>
            </w:r>
            <w:r>
              <w:rPr>
                <w:sz w:val="16"/>
              </w:rPr>
              <w:t xml:space="preserve"> </w:t>
            </w:r>
            <w:r>
              <w:rPr>
                <w:sz w:val="16"/>
              </w:rPr>
              <w:tab/>
              <w:t xml:space="preserve">any Subcontractor: </w:t>
            </w:r>
          </w:p>
          <w:p w14:paraId="755EAFCB" w14:textId="77777777" w:rsidR="00D5089B" w:rsidRDefault="004C3E08">
            <w:pPr>
              <w:numPr>
                <w:ilvl w:val="2"/>
                <w:numId w:val="4"/>
              </w:numPr>
              <w:spacing w:after="25" w:line="258" w:lineRule="auto"/>
              <w:ind w:right="1020" w:hanging="425"/>
            </w:pPr>
            <w:r>
              <w:rPr>
                <w:sz w:val="16"/>
              </w:rPr>
              <w:t xml:space="preserve">which, in the opinion of the Client, performs (or would perform if appointed) a critical role in the provision of all or any part of the Services; and/or </w:t>
            </w:r>
          </w:p>
          <w:p w14:paraId="4C8AE2DA" w14:textId="77777777" w:rsidR="00D5089B" w:rsidRDefault="004C3E08">
            <w:pPr>
              <w:numPr>
                <w:ilvl w:val="2"/>
                <w:numId w:val="4"/>
              </w:numPr>
              <w:spacing w:after="6" w:line="258" w:lineRule="auto"/>
              <w:ind w:right="1020" w:hanging="425"/>
            </w:pPr>
            <w:r>
              <w:rPr>
                <w:sz w:val="16"/>
              </w:rPr>
              <w:t xml:space="preserve">with a Subcontract with a contract value which at the time of appointment exceeds (or would exceed if appointed) ten per cent (10%) of the Fee payable under this Agreement. </w:t>
            </w:r>
          </w:p>
          <w:p w14:paraId="072D9273" w14:textId="77777777" w:rsidR="00D5089B" w:rsidRDefault="004C3E08">
            <w:pPr>
              <w:tabs>
                <w:tab w:val="center" w:pos="419"/>
                <w:tab w:val="center" w:pos="5591"/>
              </w:tabs>
            </w:pPr>
            <w:r>
              <w:tab/>
            </w:r>
            <w:r>
              <w:rPr>
                <w:b/>
                <w:sz w:val="16"/>
              </w:rPr>
              <w:t>“Law”</w:t>
            </w:r>
            <w:r>
              <w:rPr>
                <w:sz w:val="16"/>
              </w:rPr>
              <w:t xml:space="preserve"> </w:t>
            </w:r>
            <w:r>
              <w:rPr>
                <w:sz w:val="16"/>
              </w:rPr>
              <w:tab/>
              <w:t xml:space="preserve">any applicable Act of Parliament, subordinate legislation within the meaning of section 21(1) of the </w:t>
            </w:r>
          </w:p>
          <w:p w14:paraId="7A5803AA" w14:textId="77777777" w:rsidR="00D5089B" w:rsidRDefault="004C3E08">
            <w:pPr>
              <w:spacing w:after="10" w:line="239" w:lineRule="auto"/>
              <w:ind w:left="2376" w:right="1018"/>
            </w:pPr>
            <w:r>
              <w:rPr>
                <w:sz w:val="16"/>
              </w:rPr>
              <w:t xml:space="preserve">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FT is bound to </w:t>
            </w:r>
            <w:proofErr w:type="gramStart"/>
            <w:r>
              <w:rPr>
                <w:sz w:val="16"/>
              </w:rPr>
              <w:t>comply;</w:t>
            </w:r>
            <w:proofErr w:type="gramEnd"/>
            <w:r>
              <w:rPr>
                <w:sz w:val="16"/>
              </w:rPr>
              <w:t xml:space="preserve"> </w:t>
            </w:r>
          </w:p>
          <w:p w14:paraId="1D919250" w14:textId="77777777" w:rsidR="00D5089B" w:rsidRDefault="004C3E08">
            <w:pPr>
              <w:spacing w:after="8" w:line="241" w:lineRule="auto"/>
              <w:ind w:left="2376" w:right="1055" w:hanging="2160"/>
            </w:pPr>
            <w:r>
              <w:rPr>
                <w:b/>
                <w:sz w:val="16"/>
              </w:rPr>
              <w:t>“</w:t>
            </w:r>
            <w:proofErr w:type="gramStart"/>
            <w:r>
              <w:rPr>
                <w:b/>
                <w:sz w:val="16"/>
              </w:rPr>
              <w:t>Services”</w:t>
            </w:r>
            <w:r>
              <w:rPr>
                <w:sz w:val="16"/>
              </w:rPr>
              <w:t xml:space="preserve"> </w:t>
            </w:r>
            <w:r>
              <w:rPr>
                <w:b/>
                <w:sz w:val="16"/>
              </w:rPr>
              <w:t xml:space="preserve"> </w:t>
            </w:r>
            <w:r>
              <w:rPr>
                <w:b/>
                <w:sz w:val="16"/>
              </w:rPr>
              <w:tab/>
            </w:r>
            <w:proofErr w:type="gramEnd"/>
            <w:r>
              <w:rPr>
                <w:sz w:val="16"/>
              </w:rPr>
              <w:t xml:space="preserve">the services to be supplied by FT to the Client under the Agreement, including the provision of any Goods; </w:t>
            </w:r>
          </w:p>
          <w:p w14:paraId="74A6BCC8" w14:textId="77777777" w:rsidR="00D5089B" w:rsidRDefault="004C3E08">
            <w:pPr>
              <w:spacing w:line="239" w:lineRule="auto"/>
              <w:ind w:left="2376" w:right="1342" w:hanging="2160"/>
            </w:pPr>
            <w:r>
              <w:rPr>
                <w:b/>
                <w:sz w:val="16"/>
              </w:rPr>
              <w:t xml:space="preserve">“Subcontract” </w:t>
            </w:r>
            <w:r>
              <w:rPr>
                <w:b/>
                <w:sz w:val="16"/>
              </w:rPr>
              <w:tab/>
            </w:r>
            <w:r>
              <w:rPr>
                <w:sz w:val="16"/>
              </w:rPr>
              <w:t xml:space="preserve">any contract or agreement (or proposed contract or agreement) between FT (or a Subcontractor) and any third party whereby that third party agrees to provide to FT (or the Subcontractor) all or any part of the Services, or facilities or services which are material for the provision of the Services, or any part thereof or necessary for the management, direction or control of the Services or any part </w:t>
            </w:r>
            <w:proofErr w:type="gramStart"/>
            <w:r>
              <w:rPr>
                <w:sz w:val="16"/>
              </w:rPr>
              <w:t>thereof;</w:t>
            </w:r>
            <w:proofErr w:type="gramEnd"/>
            <w:r>
              <w:rPr>
                <w:sz w:val="16"/>
              </w:rPr>
              <w:t xml:space="preserve"> </w:t>
            </w:r>
          </w:p>
          <w:p w14:paraId="3BA54DED" w14:textId="77777777" w:rsidR="00D5089B" w:rsidRDefault="004C3E08">
            <w:pPr>
              <w:spacing w:after="165" w:line="216" w:lineRule="auto"/>
              <w:ind w:left="2376" w:right="6159" w:hanging="2160"/>
            </w:pPr>
            <w:r>
              <w:rPr>
                <w:b/>
                <w:sz w:val="16"/>
              </w:rPr>
              <w:t xml:space="preserve">“Subcontractor” </w:t>
            </w:r>
            <w:r>
              <w:rPr>
                <w:sz w:val="16"/>
              </w:rPr>
              <w:t xml:space="preserve">any third party with whom: </w:t>
            </w:r>
          </w:p>
          <w:p w14:paraId="4FAB4DF2" w14:textId="77777777" w:rsidR="00D5089B" w:rsidRDefault="004C3E08">
            <w:pPr>
              <w:numPr>
                <w:ilvl w:val="0"/>
                <w:numId w:val="5"/>
              </w:numPr>
              <w:spacing w:after="144"/>
              <w:ind w:right="1831" w:firstLine="14"/>
            </w:pPr>
            <w:r>
              <w:rPr>
                <w:sz w:val="16"/>
              </w:rPr>
              <w:t xml:space="preserve">FT </w:t>
            </w:r>
            <w:proofErr w:type="gramStart"/>
            <w:r>
              <w:rPr>
                <w:sz w:val="16"/>
              </w:rPr>
              <w:t>enters into</w:t>
            </w:r>
            <w:proofErr w:type="gramEnd"/>
            <w:r>
              <w:rPr>
                <w:sz w:val="16"/>
              </w:rPr>
              <w:t xml:space="preserve"> a Subcontract; or  </w:t>
            </w:r>
          </w:p>
          <w:p w14:paraId="79DA1660" w14:textId="77777777" w:rsidR="00D5089B" w:rsidRDefault="004C3E08">
            <w:pPr>
              <w:numPr>
                <w:ilvl w:val="0"/>
                <w:numId w:val="5"/>
              </w:numPr>
              <w:spacing w:line="402" w:lineRule="auto"/>
              <w:ind w:right="1831" w:firstLine="14"/>
            </w:pPr>
            <w:r>
              <w:rPr>
                <w:sz w:val="16"/>
              </w:rPr>
              <w:t xml:space="preserve">a third party under (a) above enters into a Subcontract, or the servants or agents of that third </w:t>
            </w:r>
            <w:proofErr w:type="gramStart"/>
            <w:r>
              <w:rPr>
                <w:sz w:val="16"/>
              </w:rPr>
              <w:t>party;</w:t>
            </w:r>
            <w:proofErr w:type="gramEnd"/>
            <w:r>
              <w:rPr>
                <w:sz w:val="16"/>
              </w:rPr>
              <w:t xml:space="preserve"> </w:t>
            </w:r>
          </w:p>
          <w:p w14:paraId="3E995C6F" w14:textId="77777777" w:rsidR="00D5089B" w:rsidRDefault="004C3E08">
            <w:pPr>
              <w:ind w:left="216"/>
            </w:pPr>
            <w:r>
              <w:rPr>
                <w:b/>
                <w:sz w:val="16"/>
              </w:rPr>
              <w:t xml:space="preserve">“Tax” </w:t>
            </w:r>
          </w:p>
          <w:p w14:paraId="1C7BD608" w14:textId="77777777" w:rsidR="00D5089B" w:rsidRDefault="004C3E08">
            <w:pPr>
              <w:numPr>
                <w:ilvl w:val="0"/>
                <w:numId w:val="6"/>
              </w:numPr>
              <w:spacing w:after="145"/>
              <w:ind w:right="564" w:hanging="432"/>
            </w:pPr>
            <w:r>
              <w:rPr>
                <w:sz w:val="16"/>
              </w:rPr>
              <w:t xml:space="preserve">all forms of tax whether direct or </w:t>
            </w:r>
            <w:proofErr w:type="gramStart"/>
            <w:r>
              <w:rPr>
                <w:sz w:val="16"/>
              </w:rPr>
              <w:t>indirect;</w:t>
            </w:r>
            <w:proofErr w:type="gramEnd"/>
            <w:r>
              <w:rPr>
                <w:sz w:val="16"/>
              </w:rPr>
              <w:t xml:space="preserve"> </w:t>
            </w:r>
          </w:p>
          <w:p w14:paraId="55CEC43A" w14:textId="77777777" w:rsidR="00D5089B" w:rsidRDefault="004C3E08">
            <w:pPr>
              <w:numPr>
                <w:ilvl w:val="0"/>
                <w:numId w:val="6"/>
              </w:numPr>
              <w:ind w:right="564" w:hanging="432"/>
            </w:pPr>
            <w:r>
              <w:rPr>
                <w:sz w:val="16"/>
              </w:rPr>
              <w:t xml:space="preserve">national insurance contributions in the United Kingdom and similar contributions or obligations in any other jurisdiction; </w:t>
            </w:r>
          </w:p>
        </w:tc>
      </w:tr>
      <w:tr w:rsidR="00D5089B" w14:paraId="599C033A" w14:textId="77777777">
        <w:trPr>
          <w:trHeight w:val="3792"/>
        </w:trPr>
        <w:tc>
          <w:tcPr>
            <w:tcW w:w="10492" w:type="dxa"/>
            <w:gridSpan w:val="2"/>
            <w:tcBorders>
              <w:top w:val="single" w:sz="4" w:space="0" w:color="000000"/>
              <w:left w:val="single" w:sz="4" w:space="0" w:color="000000"/>
              <w:bottom w:val="single" w:sz="4" w:space="0" w:color="000000"/>
              <w:right w:val="single" w:sz="4" w:space="0" w:color="000000"/>
            </w:tcBorders>
          </w:tcPr>
          <w:p w14:paraId="6673C359" w14:textId="77777777" w:rsidR="00D5089B" w:rsidRDefault="004C3E08">
            <w:pPr>
              <w:numPr>
                <w:ilvl w:val="0"/>
                <w:numId w:val="7"/>
              </w:numPr>
              <w:spacing w:after="146" w:line="257" w:lineRule="auto"/>
              <w:ind w:right="1589" w:hanging="432"/>
            </w:pPr>
            <w:r>
              <w:rPr>
                <w:sz w:val="16"/>
              </w:rPr>
              <w:lastRenderedPageBreak/>
              <w:t xml:space="preserve">all statutory, governmental, state, federal, provincial, local government or municipal charges, duties, imports, contributions. levies or liabilities (other than in </w:t>
            </w:r>
            <w:proofErr w:type="gramStart"/>
            <w:r>
              <w:rPr>
                <w:sz w:val="16"/>
              </w:rPr>
              <w:t>return  for</w:t>
            </w:r>
            <w:proofErr w:type="gramEnd"/>
            <w:r>
              <w:rPr>
                <w:sz w:val="16"/>
              </w:rPr>
              <w:t xml:space="preserve"> goods or services supplied or performed or to be performed) and withholdings; and </w:t>
            </w:r>
          </w:p>
          <w:p w14:paraId="021A27D8" w14:textId="77777777" w:rsidR="00D5089B" w:rsidRDefault="004C3E08">
            <w:pPr>
              <w:numPr>
                <w:ilvl w:val="0"/>
                <w:numId w:val="7"/>
              </w:numPr>
              <w:spacing w:line="403" w:lineRule="auto"/>
              <w:ind w:right="1589" w:hanging="432"/>
            </w:pPr>
            <w:r>
              <w:rPr>
                <w:sz w:val="16"/>
              </w:rPr>
              <w:t xml:space="preserve">any penalty, fine, surcharge, interest, charges or costs relating to any of the above, in each case wherever chargeable and whether of the United Kingdom and any other </w:t>
            </w:r>
            <w:proofErr w:type="gramStart"/>
            <w:r>
              <w:rPr>
                <w:sz w:val="16"/>
              </w:rPr>
              <w:t>jurisdiction;</w:t>
            </w:r>
            <w:proofErr w:type="gramEnd"/>
            <w:r>
              <w:rPr>
                <w:sz w:val="16"/>
              </w:rPr>
              <w:t xml:space="preserve"> </w:t>
            </w:r>
          </w:p>
          <w:p w14:paraId="40773C45" w14:textId="77777777" w:rsidR="00D5089B" w:rsidRDefault="004C3E08">
            <w:pPr>
              <w:spacing w:line="241" w:lineRule="auto"/>
              <w:ind w:left="2376" w:right="1043" w:hanging="2160"/>
              <w:jc w:val="both"/>
            </w:pPr>
            <w:r>
              <w:rPr>
                <w:b/>
                <w:sz w:val="16"/>
              </w:rPr>
              <w:t xml:space="preserve">“Tax Non-Compliance” </w:t>
            </w:r>
            <w:r>
              <w:rPr>
                <w:sz w:val="16"/>
              </w:rPr>
              <w:t xml:space="preserve">where an entity or person under consideration meets all 3 conditions contained in the relevant excerpt from HMRC’s “Test for Tax Non-Compliance”, as set out in Annex 1, where: </w:t>
            </w:r>
          </w:p>
          <w:p w14:paraId="395002C1" w14:textId="77777777" w:rsidR="00D5089B" w:rsidRDefault="004C3E08">
            <w:pPr>
              <w:spacing w:after="10"/>
              <w:ind w:left="216"/>
            </w:pPr>
            <w:r>
              <w:rPr>
                <w:b/>
                <w:sz w:val="16"/>
              </w:rPr>
              <w:t xml:space="preserve"> </w:t>
            </w:r>
          </w:p>
          <w:p w14:paraId="4D866EDE" w14:textId="77777777" w:rsidR="00D5089B" w:rsidRDefault="004C3E08">
            <w:pPr>
              <w:numPr>
                <w:ilvl w:val="0"/>
                <w:numId w:val="8"/>
              </w:numPr>
              <w:spacing w:after="25" w:line="258" w:lineRule="auto"/>
              <w:ind w:right="593" w:hanging="360"/>
            </w:pPr>
            <w:r>
              <w:rPr>
                <w:sz w:val="16"/>
              </w:rPr>
              <w:t xml:space="preserve">the “Economic Operator” means </w:t>
            </w:r>
            <w:proofErr w:type="gramStart"/>
            <w:r>
              <w:rPr>
                <w:sz w:val="16"/>
              </w:rPr>
              <w:t>FT</w:t>
            </w:r>
            <w:proofErr w:type="gramEnd"/>
            <w:r>
              <w:rPr>
                <w:sz w:val="16"/>
              </w:rPr>
              <w:t xml:space="preserve"> or any agent, supplier or Subcontractor of FT requested to be replaced pursuant to Special Condition 4.3; and  </w:t>
            </w:r>
          </w:p>
          <w:p w14:paraId="395822CD" w14:textId="77777777" w:rsidR="00D5089B" w:rsidRDefault="004C3E08">
            <w:pPr>
              <w:numPr>
                <w:ilvl w:val="0"/>
                <w:numId w:val="8"/>
              </w:numPr>
              <w:spacing w:after="128"/>
              <w:ind w:right="593" w:hanging="360"/>
            </w:pPr>
            <w:r>
              <w:rPr>
                <w:sz w:val="16"/>
              </w:rPr>
              <w:t xml:space="preserve">any “Essential Subcontractor” means any Key </w:t>
            </w:r>
            <w:proofErr w:type="gramStart"/>
            <w:r>
              <w:rPr>
                <w:sz w:val="16"/>
              </w:rPr>
              <w:t>Subcontractor;</w:t>
            </w:r>
            <w:proofErr w:type="gramEnd"/>
            <w:r>
              <w:rPr>
                <w:sz w:val="16"/>
              </w:rPr>
              <w:t xml:space="preserve"> </w:t>
            </w:r>
          </w:p>
          <w:p w14:paraId="053BD862" w14:textId="77777777" w:rsidR="00D5089B" w:rsidRDefault="004C3E08">
            <w:pPr>
              <w:tabs>
                <w:tab w:val="center" w:pos="423"/>
                <w:tab w:val="center" w:pos="4494"/>
              </w:tabs>
              <w:spacing w:after="124"/>
            </w:pPr>
            <w:r>
              <w:tab/>
            </w:r>
            <w:r>
              <w:rPr>
                <w:b/>
                <w:sz w:val="16"/>
              </w:rPr>
              <w:t xml:space="preserve">“VAT” </w:t>
            </w:r>
            <w:r>
              <w:rPr>
                <w:b/>
                <w:sz w:val="16"/>
              </w:rPr>
              <w:tab/>
            </w:r>
            <w:r>
              <w:rPr>
                <w:sz w:val="16"/>
              </w:rPr>
              <w:t xml:space="preserve">value added tax as provided for in the Value Added Tax Act 1994. </w:t>
            </w:r>
          </w:p>
          <w:p w14:paraId="63E8ED22" w14:textId="77777777" w:rsidR="00D5089B" w:rsidRDefault="004C3E08">
            <w:pPr>
              <w:spacing w:after="41"/>
            </w:pPr>
            <w:r>
              <w:rPr>
                <w:color w:val="212121"/>
                <w:sz w:val="14"/>
              </w:rPr>
              <w:t xml:space="preserve"> </w:t>
            </w:r>
          </w:p>
          <w:p w14:paraId="79DE20C4" w14:textId="77777777" w:rsidR="00D5089B" w:rsidRDefault="004C3E08">
            <w:pPr>
              <w:ind w:right="35"/>
              <w:jc w:val="both"/>
            </w:pPr>
            <w:r>
              <w:rPr>
                <w:color w:val="212121"/>
                <w:sz w:val="14"/>
              </w:rPr>
              <w:t>The Term Sheet and FT's Corporate Licence Terms and Conditions</w:t>
            </w:r>
            <w:r>
              <w:rPr>
                <w:sz w:val="14"/>
              </w:rPr>
              <w:t xml:space="preserve"> (</w:t>
            </w:r>
            <w:proofErr w:type="gramStart"/>
            <w:r>
              <w:rPr>
                <w:sz w:val="14"/>
              </w:rPr>
              <w:t>https://help.ft.com/help/legal/corporate-licence-terms-and-conditions</w:t>
            </w:r>
            <w:r>
              <w:rPr>
                <w:b/>
                <w:sz w:val="14"/>
              </w:rPr>
              <w:t xml:space="preserve"> </w:t>
            </w:r>
            <w:r>
              <w:rPr>
                <w:sz w:val="14"/>
              </w:rPr>
              <w:t>)</w:t>
            </w:r>
            <w:proofErr w:type="gramEnd"/>
            <w:r>
              <w:rPr>
                <w:b/>
                <w:sz w:val="16"/>
              </w:rPr>
              <w:t xml:space="preserve"> </w:t>
            </w:r>
            <w:r>
              <w:rPr>
                <w:color w:val="212121"/>
                <w:sz w:val="14"/>
              </w:rPr>
              <w:t>form the agreement between the parties (the “Agreement”). In the case of conflict or ambiguity between any provisions contained in the Term Sheet and the Terms and Conditions, the Term Sheet shall take precedence. The Client acknowledges that it has read and understood this Agreement. The parties agree that the Agreement will become legally binding when signed on behalf of both parties.</w:t>
            </w:r>
            <w:r>
              <w:rPr>
                <w:sz w:val="14"/>
              </w:rPr>
              <w:t xml:space="preserve"> </w:t>
            </w:r>
          </w:p>
        </w:tc>
      </w:tr>
      <w:tr w:rsidR="00D5089B" w14:paraId="26D63F2D" w14:textId="77777777">
        <w:trPr>
          <w:trHeight w:val="3094"/>
        </w:trPr>
        <w:tc>
          <w:tcPr>
            <w:tcW w:w="5106" w:type="dxa"/>
            <w:tcBorders>
              <w:top w:val="single" w:sz="4" w:space="0" w:color="000000"/>
              <w:left w:val="single" w:sz="4" w:space="0" w:color="000000"/>
              <w:bottom w:val="single" w:sz="4" w:space="0" w:color="000000"/>
              <w:right w:val="single" w:sz="4" w:space="0" w:color="000000"/>
            </w:tcBorders>
          </w:tcPr>
          <w:p w14:paraId="5134A402" w14:textId="77777777" w:rsidR="00D5089B" w:rsidRDefault="004C3E08">
            <w:pPr>
              <w:spacing w:after="21" w:line="238" w:lineRule="auto"/>
            </w:pPr>
            <w:r>
              <w:rPr>
                <w:b/>
                <w:sz w:val="16"/>
              </w:rPr>
              <w:t xml:space="preserve">You agree that any signature of this Agreement by digital or electronic means is legally binding. </w:t>
            </w:r>
          </w:p>
          <w:p w14:paraId="7CA8E5C9" w14:textId="77777777" w:rsidR="004C3E08" w:rsidRDefault="004C3E08">
            <w:pPr>
              <w:tabs>
                <w:tab w:val="center" w:pos="999"/>
              </w:tabs>
              <w:spacing w:after="43"/>
              <w:rPr>
                <w:b/>
                <w:sz w:val="16"/>
              </w:rPr>
            </w:pPr>
          </w:p>
          <w:p w14:paraId="6B84B5B1" w14:textId="49AFE9CB" w:rsidR="00D5089B" w:rsidRDefault="004C3E08">
            <w:pPr>
              <w:tabs>
                <w:tab w:val="center" w:pos="999"/>
              </w:tabs>
              <w:spacing w:after="43"/>
            </w:pPr>
            <w:r w:rsidRPr="004C3E08">
              <w:rPr>
                <w:b/>
                <w:sz w:val="16"/>
                <w:highlight w:val="black"/>
              </w:rPr>
              <w:t>XXXXXXXXXXXXXXXXXXXXXX</w:t>
            </w:r>
            <w:r>
              <w:rPr>
                <w:b/>
                <w:sz w:val="16"/>
              </w:rPr>
              <w:tab/>
              <w:t xml:space="preserve"> </w:t>
            </w:r>
          </w:p>
          <w:p w14:paraId="5D3B46C1" w14:textId="0BD3FC9E" w:rsidR="00D5089B" w:rsidRDefault="004C3E08">
            <w:pPr>
              <w:spacing w:after="3"/>
            </w:pPr>
            <w:r w:rsidRPr="004C3E08">
              <w:rPr>
                <w:b/>
                <w:sz w:val="18"/>
                <w:highlight w:val="black"/>
              </w:rPr>
              <w:t>XXXXXXXXXXXXXXXXXXXXX</w:t>
            </w:r>
          </w:p>
          <w:p w14:paraId="461632E7" w14:textId="189B2AAA" w:rsidR="00D5089B" w:rsidRDefault="004C3E08">
            <w:pPr>
              <w:spacing w:after="23"/>
            </w:pPr>
            <w:r w:rsidRPr="004C3E08">
              <w:rPr>
                <w:sz w:val="16"/>
                <w:highlight w:val="black"/>
              </w:rPr>
              <w:t>XXXXXXXX</w:t>
            </w:r>
          </w:p>
          <w:p w14:paraId="5CABAB1F" w14:textId="4578F189" w:rsidR="00D5089B" w:rsidRDefault="004C3E08">
            <w:pPr>
              <w:spacing w:after="23"/>
            </w:pPr>
            <w:r w:rsidRPr="004C3E08">
              <w:rPr>
                <w:sz w:val="16"/>
                <w:highlight w:val="black"/>
              </w:rPr>
              <w:t>XXXXXXXXXXXXX</w:t>
            </w:r>
          </w:p>
          <w:p w14:paraId="0ED8A4F7" w14:textId="091523C2" w:rsidR="004C3E08" w:rsidRDefault="004C3E08" w:rsidP="004C3E08">
            <w:pPr>
              <w:spacing w:after="23"/>
            </w:pPr>
            <w:r w:rsidRPr="004C3E08">
              <w:rPr>
                <w:sz w:val="16"/>
                <w:highlight w:val="black"/>
              </w:rPr>
              <w:t xml:space="preserve"> XXXXXXXX</w:t>
            </w:r>
            <w:r>
              <w:rPr>
                <w:sz w:val="16"/>
                <w:highlight w:val="black"/>
              </w:rPr>
              <w:t>XXX</w:t>
            </w:r>
            <w:r w:rsidRPr="004C3E08">
              <w:rPr>
                <w:sz w:val="16"/>
                <w:highlight w:val="black"/>
              </w:rPr>
              <w:t>XXXXX</w:t>
            </w:r>
          </w:p>
          <w:p w14:paraId="40D0B0FC" w14:textId="283D4943" w:rsidR="00D5089B" w:rsidRDefault="00D5089B"/>
        </w:tc>
        <w:tc>
          <w:tcPr>
            <w:tcW w:w="5387" w:type="dxa"/>
            <w:tcBorders>
              <w:top w:val="single" w:sz="4" w:space="0" w:color="000000"/>
              <w:left w:val="single" w:sz="4" w:space="0" w:color="000000"/>
              <w:bottom w:val="single" w:sz="4" w:space="0" w:color="000000"/>
              <w:right w:val="single" w:sz="4" w:space="0" w:color="000000"/>
            </w:tcBorders>
          </w:tcPr>
          <w:p w14:paraId="21227C87" w14:textId="77777777" w:rsidR="00D5089B" w:rsidRDefault="004C3E08">
            <w:pPr>
              <w:spacing w:after="40" w:line="238" w:lineRule="auto"/>
            </w:pPr>
            <w:r>
              <w:rPr>
                <w:b/>
                <w:sz w:val="16"/>
              </w:rPr>
              <w:t xml:space="preserve">You agree that any signature of this Agreement by digital or electronic means is legally binding. </w:t>
            </w:r>
          </w:p>
          <w:p w14:paraId="40D5D8E9" w14:textId="379C8D21" w:rsidR="00D5089B" w:rsidRDefault="004C3E08" w:rsidP="004C3E08">
            <w:pPr>
              <w:spacing w:after="223"/>
            </w:pPr>
            <w:r w:rsidRPr="004C3E08">
              <w:rPr>
                <w:highlight w:val="black"/>
              </w:rPr>
              <w:t>XXXXXXXXXXXXXXXXXXX</w:t>
            </w:r>
          </w:p>
          <w:p w14:paraId="66EF477F" w14:textId="5288AC4B" w:rsidR="00D5089B" w:rsidRDefault="004C3E08">
            <w:pPr>
              <w:tabs>
                <w:tab w:val="center" w:pos="2069"/>
              </w:tabs>
              <w:spacing w:after="38"/>
            </w:pPr>
            <w:r>
              <w:rPr>
                <w:b/>
                <w:sz w:val="16"/>
              </w:rPr>
              <w:t xml:space="preserve">Name:  </w:t>
            </w:r>
            <w:r w:rsidRPr="004C3E08">
              <w:rPr>
                <w:b/>
                <w:sz w:val="16"/>
                <w:highlight w:val="black"/>
              </w:rPr>
              <w:t>XXXXXXXXXXXXXXXX</w:t>
            </w:r>
            <w:r>
              <w:rPr>
                <w:sz w:val="28"/>
                <w:vertAlign w:val="subscript"/>
              </w:rPr>
              <w:tab/>
            </w:r>
            <w:r>
              <w:rPr>
                <w:color w:val="FFFFFF"/>
                <w:sz w:val="20"/>
              </w:rPr>
              <w:t xml:space="preserve">\ </w:t>
            </w:r>
            <w:r>
              <w:rPr>
                <w:b/>
                <w:color w:val="FFFFFF"/>
                <w:sz w:val="16"/>
              </w:rPr>
              <w:t xml:space="preserve">     </w:t>
            </w:r>
            <w:r>
              <w:rPr>
                <w:sz w:val="20"/>
              </w:rPr>
              <w:t xml:space="preserve"> </w:t>
            </w:r>
          </w:p>
          <w:p w14:paraId="0496BFB6" w14:textId="13BC17BB" w:rsidR="00D5089B" w:rsidRDefault="004C3E08">
            <w:pPr>
              <w:spacing w:after="128"/>
            </w:pPr>
            <w:r>
              <w:rPr>
                <w:b/>
                <w:sz w:val="16"/>
              </w:rPr>
              <w:t xml:space="preserve">Position:  </w:t>
            </w:r>
            <w:r w:rsidRPr="004C3E08">
              <w:rPr>
                <w:b/>
                <w:sz w:val="16"/>
                <w:highlight w:val="black"/>
              </w:rPr>
              <w:t>XXXXXXXXXXXXXXXX</w:t>
            </w:r>
            <w:r>
              <w:rPr>
                <w:color w:val="FFFFFF"/>
                <w:sz w:val="20"/>
              </w:rPr>
              <w:t>\</w:t>
            </w:r>
            <w:r>
              <w:rPr>
                <w:sz w:val="20"/>
              </w:rPr>
              <w:t xml:space="preserve"> </w:t>
            </w:r>
          </w:p>
          <w:p w14:paraId="2645642A" w14:textId="11852265" w:rsidR="00D5089B" w:rsidRDefault="004C3E08">
            <w:pPr>
              <w:tabs>
                <w:tab w:val="center" w:pos="2084"/>
              </w:tabs>
              <w:spacing w:after="30"/>
            </w:pPr>
            <w:r>
              <w:rPr>
                <w:b/>
                <w:sz w:val="16"/>
              </w:rPr>
              <w:t>Date:</w:t>
            </w:r>
            <w:r>
              <w:rPr>
                <w:sz w:val="20"/>
              </w:rPr>
              <w:t xml:space="preserve"> </w:t>
            </w:r>
            <w:r>
              <w:rPr>
                <w:color w:val="FFFFFF"/>
                <w:sz w:val="20"/>
              </w:rPr>
              <w:t>\</w:t>
            </w:r>
            <w:r w:rsidRPr="004C3E08">
              <w:rPr>
                <w:sz w:val="18"/>
                <w:highlight w:val="black"/>
              </w:rPr>
              <w:t>XXXXXXXXXXXXXXXXX</w:t>
            </w:r>
            <w:r>
              <w:rPr>
                <w:color w:val="FFFFFF"/>
                <w:sz w:val="20"/>
              </w:rPr>
              <w:t>\</w:t>
            </w:r>
            <w:r>
              <w:rPr>
                <w:b/>
                <w:color w:val="FFFFFF"/>
                <w:sz w:val="16"/>
              </w:rPr>
              <w:t xml:space="preserve"> </w:t>
            </w:r>
            <w:r>
              <w:rPr>
                <w:sz w:val="20"/>
              </w:rPr>
              <w:t xml:space="preserve"> </w:t>
            </w:r>
          </w:p>
          <w:p w14:paraId="4F2057D4" w14:textId="77777777" w:rsidR="00D5089B" w:rsidRDefault="004C3E08">
            <w:r>
              <w:rPr>
                <w:sz w:val="16"/>
              </w:rPr>
              <w:t xml:space="preserve"> </w:t>
            </w:r>
          </w:p>
        </w:tc>
      </w:tr>
    </w:tbl>
    <w:p w14:paraId="04426F0D" w14:textId="77777777" w:rsidR="00D5089B" w:rsidRDefault="004C3E08">
      <w:pPr>
        <w:spacing w:after="78"/>
      </w:pPr>
      <w:r>
        <w:rPr>
          <w:sz w:val="14"/>
        </w:rPr>
        <w:t xml:space="preserve"> </w:t>
      </w:r>
    </w:p>
    <w:p w14:paraId="03AB0710" w14:textId="77777777" w:rsidR="00D5089B" w:rsidRDefault="004C3E08">
      <w:pPr>
        <w:spacing w:after="56"/>
      </w:pPr>
      <w:r>
        <w:rPr>
          <w:rFonts w:ascii="Times New Roman" w:eastAsia="Times New Roman" w:hAnsi="Times New Roman" w:cs="Times New Roman"/>
          <w:b/>
          <w:sz w:val="24"/>
        </w:rPr>
        <w:t xml:space="preserve"> </w:t>
      </w:r>
    </w:p>
    <w:p w14:paraId="533AB346" w14:textId="77777777" w:rsidR="00D5089B" w:rsidRDefault="004C3E08">
      <w:pPr>
        <w:pBdr>
          <w:top w:val="single" w:sz="4" w:space="0" w:color="000000"/>
          <w:left w:val="single" w:sz="4" w:space="0" w:color="000000"/>
          <w:bottom w:val="single" w:sz="4" w:space="0" w:color="000000"/>
          <w:right w:val="single" w:sz="4" w:space="0" w:color="000000"/>
        </w:pBdr>
        <w:shd w:val="clear" w:color="auto" w:fill="FFCC99"/>
        <w:spacing w:after="0"/>
        <w:ind w:left="375"/>
        <w:jc w:val="center"/>
      </w:pPr>
      <w:r>
        <w:rPr>
          <w:rFonts w:ascii="Times New Roman" w:eastAsia="Times New Roman" w:hAnsi="Times New Roman" w:cs="Times New Roman"/>
          <w:b/>
          <w:sz w:val="16"/>
        </w:rPr>
        <w:t>SCHEDULE A Affiliate</w:t>
      </w:r>
      <w:r>
        <w:rPr>
          <w:rFonts w:ascii="Times New Roman" w:eastAsia="Times New Roman" w:hAnsi="Times New Roman" w:cs="Times New Roman"/>
          <w:b/>
          <w:sz w:val="24"/>
        </w:rPr>
        <w:t xml:space="preserve"> </w:t>
      </w:r>
    </w:p>
    <w:p w14:paraId="0DFC62B1" w14:textId="77777777" w:rsidR="00D5089B" w:rsidRDefault="004C3E08">
      <w:pPr>
        <w:pBdr>
          <w:top w:val="single" w:sz="4" w:space="0" w:color="000000"/>
          <w:left w:val="single" w:sz="4" w:space="0" w:color="000000"/>
          <w:bottom w:val="single" w:sz="4" w:space="0" w:color="000000"/>
          <w:right w:val="single" w:sz="4" w:space="0" w:color="000000"/>
        </w:pBdr>
        <w:shd w:val="clear" w:color="auto" w:fill="FFCC99"/>
        <w:spacing w:after="51"/>
        <w:ind w:left="375"/>
        <w:jc w:val="center"/>
      </w:pPr>
      <w:r>
        <w:rPr>
          <w:rFonts w:ascii="Times New Roman" w:eastAsia="Times New Roman" w:hAnsi="Times New Roman" w:cs="Times New Roman"/>
          <w:b/>
          <w:sz w:val="16"/>
        </w:rPr>
        <w:t xml:space="preserve"> </w:t>
      </w:r>
    </w:p>
    <w:p w14:paraId="2662E71C" w14:textId="77777777" w:rsidR="00D5089B" w:rsidRDefault="004C3E08">
      <w:pPr>
        <w:spacing w:after="80"/>
      </w:pPr>
      <w:r>
        <w:rPr>
          <w:sz w:val="14"/>
        </w:rPr>
        <w:t xml:space="preserve"> </w:t>
      </w:r>
    </w:p>
    <w:p w14:paraId="3B48E999" w14:textId="77777777" w:rsidR="00D5089B" w:rsidRDefault="004C3E08">
      <w:pPr>
        <w:spacing w:after="0"/>
        <w:ind w:left="308"/>
      </w:pPr>
      <w:r>
        <w:rPr>
          <w:rFonts w:ascii="Times New Roman" w:eastAsia="Times New Roman" w:hAnsi="Times New Roman" w:cs="Times New Roman"/>
          <w:b/>
          <w:sz w:val="24"/>
        </w:rPr>
        <w:t xml:space="preserve"> </w:t>
      </w:r>
    </w:p>
    <w:p w14:paraId="773676E8" w14:textId="77777777" w:rsidR="00D5089B" w:rsidRDefault="004C3E08">
      <w:pPr>
        <w:spacing w:after="31" w:line="242" w:lineRule="auto"/>
        <w:ind w:left="308"/>
      </w:pPr>
      <w:r>
        <w:rPr>
          <w:sz w:val="20"/>
        </w:rPr>
        <w:t xml:space="preserve">The Valuation Office Agency(“VOA”), a UK Government Executive Agency sponsored by Her Majesty’s Revenue Service Head Office, Wingate House, 93-107 Shaftesbury Avenue, London, W1D 5BU </w:t>
      </w:r>
    </w:p>
    <w:p w14:paraId="7F7CAACC" w14:textId="77777777" w:rsidR="00D5089B" w:rsidRDefault="004C3E08">
      <w:pPr>
        <w:spacing w:after="0"/>
        <w:ind w:left="308"/>
      </w:pPr>
      <w:r>
        <w:rPr>
          <w:rFonts w:ascii="Times New Roman" w:eastAsia="Times New Roman" w:hAnsi="Times New Roman" w:cs="Times New Roman"/>
          <w:b/>
          <w:sz w:val="24"/>
        </w:rPr>
        <w:t xml:space="preserve"> </w:t>
      </w:r>
    </w:p>
    <w:p w14:paraId="6CB15283" w14:textId="77777777" w:rsidR="00D5089B" w:rsidRDefault="004C3E08">
      <w:pPr>
        <w:spacing w:after="0"/>
        <w:ind w:left="308"/>
      </w:pPr>
      <w:r>
        <w:rPr>
          <w:rFonts w:ascii="Times New Roman" w:eastAsia="Times New Roman" w:hAnsi="Times New Roman" w:cs="Times New Roman"/>
          <w:sz w:val="24"/>
        </w:rPr>
        <w:t xml:space="preserve"> </w:t>
      </w:r>
    </w:p>
    <w:sectPr w:rsidR="00D5089B">
      <w:headerReference w:type="even" r:id="rId8"/>
      <w:headerReference w:type="default" r:id="rId9"/>
      <w:footerReference w:type="even" r:id="rId10"/>
      <w:footerReference w:type="default" r:id="rId11"/>
      <w:headerReference w:type="first" r:id="rId12"/>
      <w:footerReference w:type="first" r:id="rId13"/>
      <w:pgSz w:w="11906" w:h="16841"/>
      <w:pgMar w:top="610" w:right="1483" w:bottom="667" w:left="1133" w:header="203"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278C7" w14:textId="77777777" w:rsidR="00BD6A42" w:rsidRDefault="004C3E08">
      <w:pPr>
        <w:spacing w:after="0" w:line="240" w:lineRule="auto"/>
      </w:pPr>
      <w:r>
        <w:separator/>
      </w:r>
    </w:p>
  </w:endnote>
  <w:endnote w:type="continuationSeparator" w:id="0">
    <w:p w14:paraId="46F82C1B" w14:textId="77777777" w:rsidR="00BD6A42" w:rsidRDefault="004C3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418DC" w14:textId="77777777" w:rsidR="00D5089B" w:rsidRDefault="004C3E08">
    <w:pPr>
      <w:tabs>
        <w:tab w:val="center" w:pos="0"/>
        <w:tab w:val="center" w:pos="4822"/>
      </w:tabs>
      <w:spacing w:after="0"/>
    </w:pPr>
    <w: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fldChar w:fldCharType="begin"/>
    </w:r>
    <w:r>
      <w:instrText xml:space="preserve"> PAGE   \* MERGEFORMAT </w:instrText>
    </w:r>
    <w:r>
      <w:fldChar w:fldCharType="separate"/>
    </w:r>
    <w:r>
      <w:rPr>
        <w:rFonts w:ascii="Times New Roman" w:eastAsia="Times New Roman" w:hAnsi="Times New Roman" w:cs="Times New Roman"/>
        <w:sz w:val="16"/>
      </w:rPr>
      <w:t>2</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098A0" w14:textId="0589CD89" w:rsidR="00D5089B" w:rsidRDefault="004C3E08">
    <w:pPr>
      <w:tabs>
        <w:tab w:val="center" w:pos="0"/>
        <w:tab w:val="center" w:pos="4822"/>
      </w:tabs>
      <w:spacing w:after="0"/>
    </w:pPr>
    <w:r>
      <w:rPr>
        <w:noProof/>
      </w:rPr>
      <mc:AlternateContent>
        <mc:Choice Requires="wps">
          <w:drawing>
            <wp:anchor distT="0" distB="0" distL="114300" distR="114300" simplePos="0" relativeHeight="251659264" behindDoc="0" locked="0" layoutInCell="0" allowOverlap="1" wp14:anchorId="129EC1BC" wp14:editId="22BDEA80">
              <wp:simplePos x="0" y="0"/>
              <wp:positionH relativeFrom="page">
                <wp:posOffset>0</wp:posOffset>
              </wp:positionH>
              <wp:positionV relativeFrom="page">
                <wp:posOffset>10229850</wp:posOffset>
              </wp:positionV>
              <wp:extent cx="7560310" cy="273050"/>
              <wp:effectExtent l="0" t="0" r="0" b="12700"/>
              <wp:wrapNone/>
              <wp:docPr id="1" name="MSIPCM948a4557921c5feb55f9e556" descr="{&quot;HashCode&quot;:-126484731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E51D6B" w14:textId="6BBE5F19" w:rsidR="004C3E08" w:rsidRPr="004C3E08" w:rsidRDefault="004C3E08" w:rsidP="004C3E08">
                          <w:pPr>
                            <w:spacing w:after="0"/>
                            <w:jc w:val="center"/>
                            <w:rPr>
                              <w:sz w:val="20"/>
                            </w:rPr>
                          </w:pPr>
                          <w:r w:rsidRPr="004C3E08">
                            <w:rPr>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29EC1BC" id="_x0000_t202" coordsize="21600,21600" o:spt="202" path="m,l,21600r21600,l21600,xe">
              <v:stroke joinstyle="miter"/>
              <v:path gradientshapeok="t" o:connecttype="rect"/>
            </v:shapetype>
            <v:shape id="MSIPCM948a4557921c5feb55f9e556" o:spid="_x0000_s1026" type="#_x0000_t202" alt="{&quot;HashCode&quot;:-1264847310,&quot;Height&quot;:842.0,&quot;Width&quot;:595.0,&quot;Placement&quot;:&quot;Footer&quot;,&quot;Index&quot;:&quot;Primary&quot;,&quot;Section&quot;:1,&quot;Top&quot;:0.0,&quot;Left&quot;:0.0}" style="position:absolute;margin-left:0;margin-top:805.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" o:allowincell="f" filled="f" stroked="f" strokeweight=".5pt">
              <v:textbox inset=",0,,0">
                <w:txbxContent>
                  <w:p w14:paraId="66E51D6B" w14:textId="6BBE5F19" w:rsidR="004C3E08" w:rsidRPr="004C3E08" w:rsidRDefault="004C3E08" w:rsidP="004C3E08">
                    <w:pPr>
                      <w:spacing w:after="0"/>
                      <w:jc w:val="center"/>
                      <w:rPr>
                        <w:sz w:val="20"/>
                      </w:rPr>
                    </w:pPr>
                    <w:r w:rsidRPr="004C3E08">
                      <w:rPr>
                        <w:sz w:val="20"/>
                      </w:rPr>
                      <w:t>OFFICIAL</w:t>
                    </w:r>
                  </w:p>
                </w:txbxContent>
              </v:textbox>
              <w10:wrap anchorx="page" anchory="page"/>
            </v:shape>
          </w:pict>
        </mc:Fallback>
      </mc:AlternateContent>
    </w:r>
    <w:r>
      <w:tab/>
    </w:r>
    <w:r>
      <w:rPr>
        <w:rFonts w:ascii="Times New Roman" w:eastAsia="Times New Roman" w:hAnsi="Times New Roman" w:cs="Times New Roman"/>
        <w:sz w:val="16"/>
      </w:rPr>
      <w:t xml:space="preserve"> </w:t>
    </w:r>
    <w:r>
      <w:rPr>
        <w:rFonts w:ascii="Times New Roman" w:eastAsia="Times New Roman" w:hAnsi="Times New Roman" w:cs="Times New Roman"/>
        <w:sz w:val="16"/>
      </w:rPr>
      <w:tab/>
    </w:r>
    <w:r>
      <w:fldChar w:fldCharType="begin"/>
    </w:r>
    <w:r>
      <w:instrText xml:space="preserve"> PAGE   \* MERGEFORMAT </w:instrText>
    </w:r>
    <w:r>
      <w:fldChar w:fldCharType="separate"/>
    </w:r>
    <w:r>
      <w:rPr>
        <w:rFonts w:ascii="Times New Roman" w:eastAsia="Times New Roman" w:hAnsi="Times New Roman" w:cs="Times New Roman"/>
        <w:sz w:val="16"/>
      </w:rPr>
      <w:t>2</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9D4D9" w14:textId="49052633" w:rsidR="00D5089B" w:rsidRDefault="004C3E08">
    <w:r>
      <w:rPr>
        <w:noProof/>
      </w:rPr>
      <mc:AlternateContent>
        <mc:Choice Requires="wps">
          <w:drawing>
            <wp:anchor distT="0" distB="0" distL="114300" distR="114300" simplePos="0" relativeHeight="251660288" behindDoc="0" locked="0" layoutInCell="0" allowOverlap="1" wp14:anchorId="65975BCD" wp14:editId="2FAB9688">
              <wp:simplePos x="0" y="0"/>
              <wp:positionH relativeFrom="page">
                <wp:posOffset>0</wp:posOffset>
              </wp:positionH>
              <wp:positionV relativeFrom="page">
                <wp:posOffset>10229850</wp:posOffset>
              </wp:positionV>
              <wp:extent cx="7560310" cy="273050"/>
              <wp:effectExtent l="0" t="0" r="0" b="12700"/>
              <wp:wrapNone/>
              <wp:docPr id="2" name="MSIPCM95c14679a539c0c451ee6c47" descr="{&quot;HashCode&quot;:-126484731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ADB349" w14:textId="05602395" w:rsidR="004C3E08" w:rsidRPr="004C3E08" w:rsidRDefault="004C3E08" w:rsidP="004C3E08">
                          <w:pPr>
                            <w:spacing w:after="0"/>
                            <w:jc w:val="center"/>
                            <w:rPr>
                              <w:sz w:val="20"/>
                            </w:rPr>
                          </w:pPr>
                          <w:r w:rsidRPr="004C3E08">
                            <w:rPr>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975BCD" id="_x0000_t202" coordsize="21600,21600" o:spt="202" path="m,l,21600r21600,l21600,xe">
              <v:stroke joinstyle="miter"/>
              <v:path gradientshapeok="t" o:connecttype="rect"/>
            </v:shapetype>
            <v:shape id="MSIPCM95c14679a539c0c451ee6c47" o:spid="_x0000_s1027" type="#_x0000_t202" alt="{&quot;HashCode&quot;:-1264847310,&quot;Height&quot;:842.0,&quot;Width&quot;:595.0,&quot;Placement&quot;:&quot;Footer&quot;,&quot;Index&quot;:&quot;FirstPage&quot;,&quot;Section&quot;:1,&quot;Top&quot;:0.0,&quot;Left&quot;:0.0}" style="position:absolute;margin-left:0;margin-top:805.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" o:allowincell="f" filled="f" stroked="f" strokeweight=".5pt">
              <v:textbox inset=",0,,0">
                <w:txbxContent>
                  <w:p w14:paraId="06ADB349" w14:textId="05602395" w:rsidR="004C3E08" w:rsidRPr="004C3E08" w:rsidRDefault="004C3E08" w:rsidP="004C3E08">
                    <w:pPr>
                      <w:spacing w:after="0"/>
                      <w:jc w:val="center"/>
                      <w:rPr>
                        <w:sz w:val="20"/>
                      </w:rPr>
                    </w:pPr>
                    <w:r w:rsidRPr="004C3E08">
                      <w:rPr>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394E0" w14:textId="77777777" w:rsidR="00BD6A42" w:rsidRDefault="004C3E08">
      <w:pPr>
        <w:spacing w:after="0" w:line="240" w:lineRule="auto"/>
      </w:pPr>
      <w:r>
        <w:separator/>
      </w:r>
    </w:p>
  </w:footnote>
  <w:footnote w:type="continuationSeparator" w:id="0">
    <w:p w14:paraId="3D05670D" w14:textId="77777777" w:rsidR="00BD6A42" w:rsidRDefault="004C3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00E88" w14:textId="77777777" w:rsidR="00D5089B" w:rsidRDefault="004C3E08">
    <w:pPr>
      <w:spacing w:after="0"/>
      <w:ind w:left="-793"/>
    </w:pPr>
    <w:r>
      <w:rPr>
        <w:rFonts w:ascii="Arial" w:eastAsia="Arial" w:hAnsi="Arial" w:cs="Arial"/>
        <w:sz w:val="16"/>
      </w:rPr>
      <w:t>DocuSign Envelope ID: 1BCB1F1D-35AE-451B-857D-3789A3864575</w:t>
    </w:r>
  </w:p>
  <w:p w14:paraId="129A58E4" w14:textId="77777777" w:rsidR="00D5089B" w:rsidRDefault="004C3E08">
    <w:pPr>
      <w:spacing w:after="0"/>
      <w:ind w:left="420"/>
      <w:jc w:val="center"/>
    </w:pPr>
    <w:r>
      <w:rPr>
        <w:rFonts w:ascii="Times New Roman" w:eastAsia="Times New Roman" w:hAnsi="Times New Roman" w:cs="Times New Roman"/>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90B30" w14:textId="77777777" w:rsidR="00D5089B" w:rsidRDefault="004C3E08">
    <w:pPr>
      <w:spacing w:after="0"/>
      <w:ind w:left="-793"/>
    </w:pPr>
    <w:r>
      <w:rPr>
        <w:rFonts w:ascii="Arial" w:eastAsia="Arial" w:hAnsi="Arial" w:cs="Arial"/>
        <w:sz w:val="16"/>
      </w:rPr>
      <w:t>DocuSign Envelope ID: 1BCB1F1D-35AE-451B-857D-3789A3864575</w:t>
    </w:r>
  </w:p>
  <w:p w14:paraId="7DFEFE82" w14:textId="77777777" w:rsidR="00D5089B" w:rsidRDefault="004C3E08">
    <w:pPr>
      <w:spacing w:after="0"/>
      <w:ind w:left="420"/>
      <w:jc w:val="center"/>
    </w:pPr>
    <w:r>
      <w:rPr>
        <w:rFonts w:ascii="Times New Roman" w:eastAsia="Times New Roman" w:hAnsi="Times New Roman" w:cs="Times New Roman"/>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EB84D" w14:textId="77777777" w:rsidR="00D5089B" w:rsidRDefault="004C3E08">
    <w:pPr>
      <w:spacing w:after="0"/>
      <w:ind w:left="-793"/>
    </w:pPr>
    <w:r>
      <w:rPr>
        <w:rFonts w:ascii="Arial" w:eastAsia="Arial" w:hAnsi="Arial" w:cs="Arial"/>
        <w:sz w:val="16"/>
      </w:rPr>
      <w:t>DocuSign Envelope ID: 1BCB1F1D-35AE-451B-857D-3789A3864575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0D577E"/>
    <w:multiLevelType w:val="hybridMultilevel"/>
    <w:tmpl w:val="806C30D2"/>
    <w:lvl w:ilvl="0" w:tplc="72B634CA">
      <w:start w:val="1"/>
      <w:numFmt w:val="lowerLetter"/>
      <w:lvlText w:val="(%1)"/>
      <w:lvlJc w:val="left"/>
      <w:pPr>
        <w:ind w:left="470"/>
      </w:pPr>
      <w:rPr>
        <w:rFonts w:ascii="Calibri" w:eastAsia="Calibri" w:hAnsi="Calibri" w:cs="Calibri"/>
        <w:b w:val="0"/>
        <w:i w:val="0"/>
        <w:strike w:val="0"/>
        <w:dstrike w:val="0"/>
        <w:color w:val="222222"/>
        <w:sz w:val="16"/>
        <w:szCs w:val="16"/>
        <w:u w:val="none" w:color="000000"/>
        <w:bdr w:val="none" w:sz="0" w:space="0" w:color="auto"/>
        <w:shd w:val="clear" w:color="auto" w:fill="auto"/>
        <w:vertAlign w:val="baseline"/>
      </w:rPr>
    </w:lvl>
    <w:lvl w:ilvl="1" w:tplc="B9D80C54">
      <w:start w:val="1"/>
      <w:numFmt w:val="lowerLetter"/>
      <w:lvlText w:val="%2"/>
      <w:lvlJc w:val="left"/>
      <w:pPr>
        <w:ind w:left="1187"/>
      </w:pPr>
      <w:rPr>
        <w:rFonts w:ascii="Calibri" w:eastAsia="Calibri" w:hAnsi="Calibri" w:cs="Calibri"/>
        <w:b w:val="0"/>
        <w:i w:val="0"/>
        <w:strike w:val="0"/>
        <w:dstrike w:val="0"/>
        <w:color w:val="222222"/>
        <w:sz w:val="16"/>
        <w:szCs w:val="16"/>
        <w:u w:val="none" w:color="000000"/>
        <w:bdr w:val="none" w:sz="0" w:space="0" w:color="auto"/>
        <w:shd w:val="clear" w:color="auto" w:fill="auto"/>
        <w:vertAlign w:val="baseline"/>
      </w:rPr>
    </w:lvl>
    <w:lvl w:ilvl="2" w:tplc="75466520">
      <w:start w:val="1"/>
      <w:numFmt w:val="lowerRoman"/>
      <w:lvlText w:val="%3"/>
      <w:lvlJc w:val="left"/>
      <w:pPr>
        <w:ind w:left="1907"/>
      </w:pPr>
      <w:rPr>
        <w:rFonts w:ascii="Calibri" w:eastAsia="Calibri" w:hAnsi="Calibri" w:cs="Calibri"/>
        <w:b w:val="0"/>
        <w:i w:val="0"/>
        <w:strike w:val="0"/>
        <w:dstrike w:val="0"/>
        <w:color w:val="222222"/>
        <w:sz w:val="16"/>
        <w:szCs w:val="16"/>
        <w:u w:val="none" w:color="000000"/>
        <w:bdr w:val="none" w:sz="0" w:space="0" w:color="auto"/>
        <w:shd w:val="clear" w:color="auto" w:fill="auto"/>
        <w:vertAlign w:val="baseline"/>
      </w:rPr>
    </w:lvl>
    <w:lvl w:ilvl="3" w:tplc="DD325102">
      <w:start w:val="1"/>
      <w:numFmt w:val="decimal"/>
      <w:lvlText w:val="%4"/>
      <w:lvlJc w:val="left"/>
      <w:pPr>
        <w:ind w:left="2627"/>
      </w:pPr>
      <w:rPr>
        <w:rFonts w:ascii="Calibri" w:eastAsia="Calibri" w:hAnsi="Calibri" w:cs="Calibri"/>
        <w:b w:val="0"/>
        <w:i w:val="0"/>
        <w:strike w:val="0"/>
        <w:dstrike w:val="0"/>
        <w:color w:val="222222"/>
        <w:sz w:val="16"/>
        <w:szCs w:val="16"/>
        <w:u w:val="none" w:color="000000"/>
        <w:bdr w:val="none" w:sz="0" w:space="0" w:color="auto"/>
        <w:shd w:val="clear" w:color="auto" w:fill="auto"/>
        <w:vertAlign w:val="baseline"/>
      </w:rPr>
    </w:lvl>
    <w:lvl w:ilvl="4" w:tplc="13C4B4BC">
      <w:start w:val="1"/>
      <w:numFmt w:val="lowerLetter"/>
      <w:lvlText w:val="%5"/>
      <w:lvlJc w:val="left"/>
      <w:pPr>
        <w:ind w:left="3347"/>
      </w:pPr>
      <w:rPr>
        <w:rFonts w:ascii="Calibri" w:eastAsia="Calibri" w:hAnsi="Calibri" w:cs="Calibri"/>
        <w:b w:val="0"/>
        <w:i w:val="0"/>
        <w:strike w:val="0"/>
        <w:dstrike w:val="0"/>
        <w:color w:val="222222"/>
        <w:sz w:val="16"/>
        <w:szCs w:val="16"/>
        <w:u w:val="none" w:color="000000"/>
        <w:bdr w:val="none" w:sz="0" w:space="0" w:color="auto"/>
        <w:shd w:val="clear" w:color="auto" w:fill="auto"/>
        <w:vertAlign w:val="baseline"/>
      </w:rPr>
    </w:lvl>
    <w:lvl w:ilvl="5" w:tplc="0116E330">
      <w:start w:val="1"/>
      <w:numFmt w:val="lowerRoman"/>
      <w:lvlText w:val="%6"/>
      <w:lvlJc w:val="left"/>
      <w:pPr>
        <w:ind w:left="4067"/>
      </w:pPr>
      <w:rPr>
        <w:rFonts w:ascii="Calibri" w:eastAsia="Calibri" w:hAnsi="Calibri" w:cs="Calibri"/>
        <w:b w:val="0"/>
        <w:i w:val="0"/>
        <w:strike w:val="0"/>
        <w:dstrike w:val="0"/>
        <w:color w:val="222222"/>
        <w:sz w:val="16"/>
        <w:szCs w:val="16"/>
        <w:u w:val="none" w:color="000000"/>
        <w:bdr w:val="none" w:sz="0" w:space="0" w:color="auto"/>
        <w:shd w:val="clear" w:color="auto" w:fill="auto"/>
        <w:vertAlign w:val="baseline"/>
      </w:rPr>
    </w:lvl>
    <w:lvl w:ilvl="6" w:tplc="58D0983C">
      <w:start w:val="1"/>
      <w:numFmt w:val="decimal"/>
      <w:lvlText w:val="%7"/>
      <w:lvlJc w:val="left"/>
      <w:pPr>
        <w:ind w:left="4787"/>
      </w:pPr>
      <w:rPr>
        <w:rFonts w:ascii="Calibri" w:eastAsia="Calibri" w:hAnsi="Calibri" w:cs="Calibri"/>
        <w:b w:val="0"/>
        <w:i w:val="0"/>
        <w:strike w:val="0"/>
        <w:dstrike w:val="0"/>
        <w:color w:val="222222"/>
        <w:sz w:val="16"/>
        <w:szCs w:val="16"/>
        <w:u w:val="none" w:color="000000"/>
        <w:bdr w:val="none" w:sz="0" w:space="0" w:color="auto"/>
        <w:shd w:val="clear" w:color="auto" w:fill="auto"/>
        <w:vertAlign w:val="baseline"/>
      </w:rPr>
    </w:lvl>
    <w:lvl w:ilvl="7" w:tplc="C7CC5082">
      <w:start w:val="1"/>
      <w:numFmt w:val="lowerLetter"/>
      <w:lvlText w:val="%8"/>
      <w:lvlJc w:val="left"/>
      <w:pPr>
        <w:ind w:left="5507"/>
      </w:pPr>
      <w:rPr>
        <w:rFonts w:ascii="Calibri" w:eastAsia="Calibri" w:hAnsi="Calibri" w:cs="Calibri"/>
        <w:b w:val="0"/>
        <w:i w:val="0"/>
        <w:strike w:val="0"/>
        <w:dstrike w:val="0"/>
        <w:color w:val="222222"/>
        <w:sz w:val="16"/>
        <w:szCs w:val="16"/>
        <w:u w:val="none" w:color="000000"/>
        <w:bdr w:val="none" w:sz="0" w:space="0" w:color="auto"/>
        <w:shd w:val="clear" w:color="auto" w:fill="auto"/>
        <w:vertAlign w:val="baseline"/>
      </w:rPr>
    </w:lvl>
    <w:lvl w:ilvl="8" w:tplc="F904C708">
      <w:start w:val="1"/>
      <w:numFmt w:val="lowerRoman"/>
      <w:lvlText w:val="%9"/>
      <w:lvlJc w:val="left"/>
      <w:pPr>
        <w:ind w:left="6227"/>
      </w:pPr>
      <w:rPr>
        <w:rFonts w:ascii="Calibri" w:eastAsia="Calibri" w:hAnsi="Calibri" w:cs="Calibri"/>
        <w:b w:val="0"/>
        <w:i w:val="0"/>
        <w:strike w:val="0"/>
        <w:dstrike w:val="0"/>
        <w:color w:val="222222"/>
        <w:sz w:val="16"/>
        <w:szCs w:val="16"/>
        <w:u w:val="none" w:color="000000"/>
        <w:bdr w:val="none" w:sz="0" w:space="0" w:color="auto"/>
        <w:shd w:val="clear" w:color="auto" w:fill="auto"/>
        <w:vertAlign w:val="baseline"/>
      </w:rPr>
    </w:lvl>
  </w:abstractNum>
  <w:abstractNum w:abstractNumId="1" w15:restartNumberingAfterBreak="0">
    <w:nsid w:val="41CC729C"/>
    <w:multiLevelType w:val="hybridMultilevel"/>
    <w:tmpl w:val="230CE662"/>
    <w:lvl w:ilvl="0" w:tplc="FB42AFE6">
      <w:start w:val="1"/>
      <w:numFmt w:val="bullet"/>
      <w:lvlText w:val="•"/>
      <w:lvlJc w:val="left"/>
      <w:pPr>
        <w:ind w:left="746"/>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E5C9ADA">
      <w:start w:val="1"/>
      <w:numFmt w:val="bullet"/>
      <w:lvlText w:val="o"/>
      <w:lvlJc w:val="left"/>
      <w:pPr>
        <w:ind w:left="11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3F3EBBDE">
      <w:start w:val="1"/>
      <w:numFmt w:val="bullet"/>
      <w:lvlText w:val="▪"/>
      <w:lvlJc w:val="left"/>
      <w:pPr>
        <w:ind w:left="19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7282B88">
      <w:start w:val="1"/>
      <w:numFmt w:val="bullet"/>
      <w:lvlText w:val="•"/>
      <w:lvlJc w:val="left"/>
      <w:pPr>
        <w:ind w:left="26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632C2044">
      <w:start w:val="1"/>
      <w:numFmt w:val="bullet"/>
      <w:lvlText w:val="o"/>
      <w:lvlJc w:val="left"/>
      <w:pPr>
        <w:ind w:left="334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43E8796C">
      <w:start w:val="1"/>
      <w:numFmt w:val="bullet"/>
      <w:lvlText w:val="▪"/>
      <w:lvlJc w:val="left"/>
      <w:pPr>
        <w:ind w:left="406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B69AAFDE">
      <w:start w:val="1"/>
      <w:numFmt w:val="bullet"/>
      <w:lvlText w:val="•"/>
      <w:lvlJc w:val="left"/>
      <w:pPr>
        <w:ind w:left="478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6D10963E">
      <w:start w:val="1"/>
      <w:numFmt w:val="bullet"/>
      <w:lvlText w:val="o"/>
      <w:lvlJc w:val="left"/>
      <w:pPr>
        <w:ind w:left="550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0DC3A64">
      <w:start w:val="1"/>
      <w:numFmt w:val="bullet"/>
      <w:lvlText w:val="▪"/>
      <w:lvlJc w:val="left"/>
      <w:pPr>
        <w:ind w:left="62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43A010A6"/>
    <w:multiLevelType w:val="hybridMultilevel"/>
    <w:tmpl w:val="C074BC64"/>
    <w:lvl w:ilvl="0" w:tplc="DDB4C044">
      <w:start w:val="1"/>
      <w:numFmt w:val="lowerLetter"/>
      <w:lvlText w:val="(%1)"/>
      <w:lvlJc w:val="left"/>
      <w:pPr>
        <w:ind w:left="2782"/>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7BFCE07E">
      <w:start w:val="1"/>
      <w:numFmt w:val="lowerLetter"/>
      <w:lvlText w:val="%2"/>
      <w:lvlJc w:val="left"/>
      <w:pPr>
        <w:ind w:left="36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CAB2A19A">
      <w:start w:val="1"/>
      <w:numFmt w:val="lowerRoman"/>
      <w:lvlText w:val="%3"/>
      <w:lvlJc w:val="left"/>
      <w:pPr>
        <w:ind w:left="43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26D07904">
      <w:start w:val="1"/>
      <w:numFmt w:val="decimal"/>
      <w:lvlText w:val="%4"/>
      <w:lvlJc w:val="left"/>
      <w:pPr>
        <w:ind w:left="50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04C8A670">
      <w:start w:val="1"/>
      <w:numFmt w:val="lowerLetter"/>
      <w:lvlText w:val="%5"/>
      <w:lvlJc w:val="left"/>
      <w:pPr>
        <w:ind w:left="577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995010DC">
      <w:start w:val="1"/>
      <w:numFmt w:val="lowerRoman"/>
      <w:lvlText w:val="%6"/>
      <w:lvlJc w:val="left"/>
      <w:pPr>
        <w:ind w:left="649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299EF81E">
      <w:start w:val="1"/>
      <w:numFmt w:val="decimal"/>
      <w:lvlText w:val="%7"/>
      <w:lvlJc w:val="left"/>
      <w:pPr>
        <w:ind w:left="721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18C6EDC8">
      <w:start w:val="1"/>
      <w:numFmt w:val="lowerLetter"/>
      <w:lvlText w:val="%8"/>
      <w:lvlJc w:val="left"/>
      <w:pPr>
        <w:ind w:left="793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EB48388">
      <w:start w:val="1"/>
      <w:numFmt w:val="lowerRoman"/>
      <w:lvlText w:val="%9"/>
      <w:lvlJc w:val="left"/>
      <w:pPr>
        <w:ind w:left="865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45AE5EB5"/>
    <w:multiLevelType w:val="hybridMultilevel"/>
    <w:tmpl w:val="21AC2E7C"/>
    <w:lvl w:ilvl="0" w:tplc="B792D90A">
      <w:start w:val="1"/>
      <w:numFmt w:val="lowerLetter"/>
      <w:lvlText w:val="(%1)"/>
      <w:lvlJc w:val="left"/>
      <w:pPr>
        <w:ind w:left="236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6369C86">
      <w:start w:val="1"/>
      <w:numFmt w:val="lowerLetter"/>
      <w:lvlText w:val="%2"/>
      <w:lvlJc w:val="left"/>
      <w:pPr>
        <w:ind w:left="35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4E94EE4A">
      <w:start w:val="1"/>
      <w:numFmt w:val="lowerRoman"/>
      <w:lvlText w:val="%3"/>
      <w:lvlJc w:val="left"/>
      <w:pPr>
        <w:ind w:left="4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5BECA42">
      <w:start w:val="1"/>
      <w:numFmt w:val="decimal"/>
      <w:lvlText w:val="%4"/>
      <w:lvlJc w:val="left"/>
      <w:pPr>
        <w:ind w:left="50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DDE00D6">
      <w:start w:val="1"/>
      <w:numFmt w:val="lowerLetter"/>
      <w:lvlText w:val="%5"/>
      <w:lvlJc w:val="left"/>
      <w:pPr>
        <w:ind w:left="57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5448AB70">
      <w:start w:val="1"/>
      <w:numFmt w:val="lowerRoman"/>
      <w:lvlText w:val="%6"/>
      <w:lvlJc w:val="left"/>
      <w:pPr>
        <w:ind w:left="64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53403E46">
      <w:start w:val="1"/>
      <w:numFmt w:val="decimal"/>
      <w:lvlText w:val="%7"/>
      <w:lvlJc w:val="left"/>
      <w:pPr>
        <w:ind w:left="71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751C11EC">
      <w:start w:val="1"/>
      <w:numFmt w:val="lowerLetter"/>
      <w:lvlText w:val="%8"/>
      <w:lvlJc w:val="left"/>
      <w:pPr>
        <w:ind w:left="78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0E2C28B4">
      <w:start w:val="1"/>
      <w:numFmt w:val="lowerRoman"/>
      <w:lvlText w:val="%9"/>
      <w:lvlJc w:val="left"/>
      <w:pPr>
        <w:ind w:left="86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57F64CF6"/>
    <w:multiLevelType w:val="hybridMultilevel"/>
    <w:tmpl w:val="97A286A0"/>
    <w:lvl w:ilvl="0" w:tplc="17902D3E">
      <w:start w:val="3"/>
      <w:numFmt w:val="lowerLetter"/>
      <w:lvlText w:val="(%1)"/>
      <w:lvlJc w:val="left"/>
      <w:pPr>
        <w:ind w:left="28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5042AA4">
      <w:start w:val="1"/>
      <w:numFmt w:val="lowerLetter"/>
      <w:lvlText w:val="%2"/>
      <w:lvlJc w:val="left"/>
      <w:pPr>
        <w:ind w:left="35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5824D1C2">
      <w:start w:val="1"/>
      <w:numFmt w:val="lowerRoman"/>
      <w:lvlText w:val="%3"/>
      <w:lvlJc w:val="left"/>
      <w:pPr>
        <w:ind w:left="4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A0207788">
      <w:start w:val="1"/>
      <w:numFmt w:val="decimal"/>
      <w:lvlText w:val="%4"/>
      <w:lvlJc w:val="left"/>
      <w:pPr>
        <w:ind w:left="50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0888CCA">
      <w:start w:val="1"/>
      <w:numFmt w:val="lowerLetter"/>
      <w:lvlText w:val="%5"/>
      <w:lvlJc w:val="left"/>
      <w:pPr>
        <w:ind w:left="57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ABAA137C">
      <w:start w:val="1"/>
      <w:numFmt w:val="lowerRoman"/>
      <w:lvlText w:val="%6"/>
      <w:lvlJc w:val="left"/>
      <w:pPr>
        <w:ind w:left="64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C2FCE420">
      <w:start w:val="1"/>
      <w:numFmt w:val="decimal"/>
      <w:lvlText w:val="%7"/>
      <w:lvlJc w:val="left"/>
      <w:pPr>
        <w:ind w:left="71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74031D6">
      <w:start w:val="1"/>
      <w:numFmt w:val="lowerLetter"/>
      <w:lvlText w:val="%8"/>
      <w:lvlJc w:val="left"/>
      <w:pPr>
        <w:ind w:left="78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52E47ED0">
      <w:start w:val="1"/>
      <w:numFmt w:val="lowerRoman"/>
      <w:lvlText w:val="%9"/>
      <w:lvlJc w:val="left"/>
      <w:pPr>
        <w:ind w:left="86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6AED5C99"/>
    <w:multiLevelType w:val="multilevel"/>
    <w:tmpl w:val="518CF1EC"/>
    <w:lvl w:ilvl="0">
      <w:start w:val="5"/>
      <w:numFmt w:val="decimal"/>
      <w:lvlText w:val="%1."/>
      <w:lvlJc w:val="left"/>
      <w:pPr>
        <w:ind w:left="427"/>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427"/>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start w:val="1"/>
      <w:numFmt w:val="lowerLetter"/>
      <w:lvlText w:val="(%3)"/>
      <w:lvlJc w:val="left"/>
      <w:pPr>
        <w:ind w:left="283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35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431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503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575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647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719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7CD549FC"/>
    <w:multiLevelType w:val="multilevel"/>
    <w:tmpl w:val="0B68E592"/>
    <w:lvl w:ilvl="0">
      <w:start w:val="2"/>
      <w:numFmt w:val="decimal"/>
      <w:lvlText w:val="%1."/>
      <w:lvlJc w:val="left"/>
      <w:pPr>
        <w:ind w:left="1"/>
      </w:pPr>
      <w:rPr>
        <w:rFonts w:ascii="Calibri" w:eastAsia="Calibri" w:hAnsi="Calibri" w:cs="Calibri"/>
        <w:b w:val="0"/>
        <w:i w:val="0"/>
        <w:strike w:val="0"/>
        <w:dstrike w:val="0"/>
        <w:color w:val="222222"/>
        <w:sz w:val="16"/>
        <w:szCs w:val="16"/>
        <w:u w:val="none" w:color="000000"/>
        <w:bdr w:val="none" w:sz="0" w:space="0" w:color="auto"/>
        <w:shd w:val="clear" w:color="auto" w:fill="auto"/>
        <w:vertAlign w:val="baseline"/>
      </w:rPr>
    </w:lvl>
    <w:lvl w:ilvl="1">
      <w:start w:val="1"/>
      <w:numFmt w:val="decimal"/>
      <w:lvlText w:val="%1.%2"/>
      <w:lvlJc w:val="left"/>
      <w:pPr>
        <w:ind w:left="428"/>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2">
      <w:start w:val="1"/>
      <w:numFmt w:val="decimal"/>
      <w:lvlText w:val="%1.%2.%3"/>
      <w:lvlJc w:val="left"/>
      <w:pPr>
        <w:ind w:left="113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3">
      <w:start w:val="1"/>
      <w:numFmt w:val="lowerLetter"/>
      <w:lvlText w:val="(%4)"/>
      <w:lvlJc w:val="left"/>
      <w:pPr>
        <w:ind w:left="1648"/>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47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19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1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3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354"/>
      </w:pPr>
      <w:rPr>
        <w:rFonts w:ascii="Calibri" w:eastAsia="Calibri" w:hAnsi="Calibri" w:cs="Calibri"/>
        <w:b/>
        <w:bCs/>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7FDC7708"/>
    <w:multiLevelType w:val="hybridMultilevel"/>
    <w:tmpl w:val="66FEAA70"/>
    <w:lvl w:ilvl="0" w:tplc="3A9E3378">
      <w:start w:val="1"/>
      <w:numFmt w:val="lowerLetter"/>
      <w:lvlText w:val="(%1)"/>
      <w:lvlJc w:val="left"/>
      <w:pPr>
        <w:ind w:left="2808"/>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12AC994C">
      <w:start w:val="1"/>
      <w:numFmt w:val="lowerLetter"/>
      <w:lvlText w:val="%2"/>
      <w:lvlJc w:val="left"/>
      <w:pPr>
        <w:ind w:left="35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6A768E16">
      <w:start w:val="1"/>
      <w:numFmt w:val="lowerRoman"/>
      <w:lvlText w:val="%3"/>
      <w:lvlJc w:val="left"/>
      <w:pPr>
        <w:ind w:left="42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60A4DD40">
      <w:start w:val="1"/>
      <w:numFmt w:val="decimal"/>
      <w:lvlText w:val="%4"/>
      <w:lvlJc w:val="left"/>
      <w:pPr>
        <w:ind w:left="50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751C1DE8">
      <w:start w:val="1"/>
      <w:numFmt w:val="lowerLetter"/>
      <w:lvlText w:val="%5"/>
      <w:lvlJc w:val="left"/>
      <w:pPr>
        <w:ind w:left="572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CD0C50C">
      <w:start w:val="1"/>
      <w:numFmt w:val="lowerRoman"/>
      <w:lvlText w:val="%6"/>
      <w:lvlJc w:val="left"/>
      <w:pPr>
        <w:ind w:left="644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E05489C8">
      <w:start w:val="1"/>
      <w:numFmt w:val="decimal"/>
      <w:lvlText w:val="%7"/>
      <w:lvlJc w:val="left"/>
      <w:pPr>
        <w:ind w:left="716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2FA32BC">
      <w:start w:val="1"/>
      <w:numFmt w:val="lowerLetter"/>
      <w:lvlText w:val="%8"/>
      <w:lvlJc w:val="left"/>
      <w:pPr>
        <w:ind w:left="788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C94269A0">
      <w:start w:val="1"/>
      <w:numFmt w:val="lowerRoman"/>
      <w:lvlText w:val="%9"/>
      <w:lvlJc w:val="left"/>
      <w:pPr>
        <w:ind w:left="8604"/>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0"/>
  </w:num>
  <w:num w:numId="3">
    <w:abstractNumId w:val="6"/>
  </w:num>
  <w:num w:numId="4">
    <w:abstractNumId w:val="5"/>
  </w:num>
  <w:num w:numId="5">
    <w:abstractNumId w:val="3"/>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9B"/>
    <w:rsid w:val="00182009"/>
    <w:rsid w:val="004C3E08"/>
    <w:rsid w:val="00BD6A42"/>
    <w:rsid w:val="00D50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4B4AE"/>
  <w15:docId w15:val="{2A8EA407-6348-4BAF-925B-0B23DBE0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2683</Words>
  <Characters>15296</Characters>
  <Application>Microsoft Office Word</Application>
  <DocSecurity>4</DocSecurity>
  <Lines>127</Lines>
  <Paragraphs>35</Paragraphs>
  <ScaleCrop>false</ScaleCrop>
  <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 CORPORATE DIGITAL CONTENT LICENCE</dc:title>
  <dc:subject/>
  <dc:creator>Janya</dc:creator>
  <cp:keywords/>
  <cp:lastModifiedBy>Bradley, Fintan (Commercial)</cp:lastModifiedBy>
  <cp:revision>2</cp:revision>
  <dcterms:created xsi:type="dcterms:W3CDTF">2022-05-31T10:09:00Z</dcterms:created>
  <dcterms:modified xsi:type="dcterms:W3CDTF">2022-05-31T10:09:00Z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2022-05-24T10:03:17Z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e2e7332e-42b7-4dd8-9eaa-30a49f748e5c</vt:lpwstr>
  </property>
  <property fmtid="{D5CDD505-2E9C-101B-9397-08002B2CF9AE}" pid="8" name="MSIP_Label_f9af038e-07b4-4369-a678-c835687cb272_ContentBits">
    <vt:lpwstr>2</vt:lpwstr>
  </property>
</Properties>
</file>