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E8EC" w14:textId="77777777" w:rsidR="003401C5" w:rsidRPr="002C58C9" w:rsidRDefault="00EB6541">
      <w:pPr>
        <w:pStyle w:val="Standard"/>
        <w:spacing w:after="0" w:line="249" w:lineRule="auto"/>
        <w:rPr>
          <w:rFonts w:ascii="Arial" w:eastAsia="Arial" w:hAnsi="Arial" w:cs="Arial"/>
          <w:b/>
          <w:sz w:val="24"/>
          <w:szCs w:val="24"/>
        </w:rPr>
      </w:pPr>
      <w:r w:rsidRPr="002C58C9">
        <w:rPr>
          <w:rFonts w:ascii="Arial" w:eastAsia="Arial" w:hAnsi="Arial" w:cs="Arial"/>
          <w:b/>
          <w:sz w:val="24"/>
          <w:szCs w:val="24"/>
        </w:rPr>
        <w:t>Framework Schedule 6 (Order Form and Call-Off Schedules)</w:t>
      </w:r>
    </w:p>
    <w:p w14:paraId="558663ED" w14:textId="77777777" w:rsidR="003401C5" w:rsidRPr="002C58C9" w:rsidRDefault="003401C5">
      <w:pPr>
        <w:pStyle w:val="Standard"/>
        <w:spacing w:after="0" w:line="249" w:lineRule="auto"/>
        <w:rPr>
          <w:rFonts w:ascii="Arial" w:eastAsia="Arial" w:hAnsi="Arial" w:cs="Arial"/>
          <w:b/>
          <w:sz w:val="24"/>
          <w:szCs w:val="24"/>
        </w:rPr>
      </w:pPr>
    </w:p>
    <w:p w14:paraId="1FB44BCC"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b/>
          <w:sz w:val="24"/>
          <w:szCs w:val="24"/>
        </w:rPr>
        <w:t>Order Form</w:t>
      </w:r>
    </w:p>
    <w:p w14:paraId="62CC9CA3" w14:textId="77777777" w:rsidR="003401C5" w:rsidRPr="002C58C9" w:rsidRDefault="003401C5">
      <w:pPr>
        <w:pStyle w:val="Standard"/>
        <w:spacing w:after="0" w:line="249" w:lineRule="auto"/>
        <w:rPr>
          <w:rFonts w:ascii="Arial" w:eastAsia="Arial" w:hAnsi="Arial" w:cs="Arial"/>
          <w:b/>
          <w:sz w:val="24"/>
          <w:szCs w:val="24"/>
        </w:rPr>
      </w:pPr>
    </w:p>
    <w:p w14:paraId="5EA1F6A6" w14:textId="77777777" w:rsidR="003401C5" w:rsidRPr="002C58C9" w:rsidRDefault="003401C5">
      <w:pPr>
        <w:pStyle w:val="Standard"/>
        <w:spacing w:after="0" w:line="249" w:lineRule="auto"/>
        <w:rPr>
          <w:rFonts w:ascii="Arial" w:eastAsia="Arial" w:hAnsi="Arial" w:cs="Arial"/>
          <w:b/>
          <w:sz w:val="24"/>
          <w:szCs w:val="24"/>
        </w:rPr>
      </w:pPr>
    </w:p>
    <w:p w14:paraId="06802B8E"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REFERENCE:</w:t>
      </w:r>
      <w:r w:rsidRPr="002C58C9">
        <w:rPr>
          <w:rFonts w:ascii="Arial" w:eastAsia="Arial" w:hAnsi="Arial" w:cs="Arial"/>
          <w:sz w:val="24"/>
          <w:szCs w:val="24"/>
        </w:rPr>
        <w:tab/>
      </w:r>
      <w:r w:rsidRPr="002C58C9">
        <w:rPr>
          <w:rFonts w:ascii="Arial" w:eastAsia="Arial" w:hAnsi="Arial" w:cs="Arial"/>
          <w:sz w:val="24"/>
          <w:szCs w:val="24"/>
        </w:rPr>
        <w:tab/>
        <w:t>CCLL23A06</w:t>
      </w:r>
    </w:p>
    <w:p w14:paraId="7E13939D" w14:textId="77777777" w:rsidR="003401C5" w:rsidRPr="002C58C9" w:rsidRDefault="003401C5">
      <w:pPr>
        <w:pStyle w:val="Standard"/>
        <w:spacing w:after="0" w:line="249" w:lineRule="auto"/>
        <w:rPr>
          <w:rFonts w:ascii="Arial" w:eastAsia="Arial" w:hAnsi="Arial" w:cs="Arial"/>
          <w:sz w:val="24"/>
          <w:szCs w:val="24"/>
        </w:rPr>
      </w:pPr>
    </w:p>
    <w:p w14:paraId="5012F49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THE BUYER:</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Government Legal Department</w:t>
      </w:r>
    </w:p>
    <w:p w14:paraId="023EC0D8" w14:textId="77777777" w:rsidR="003401C5" w:rsidRPr="002C58C9" w:rsidRDefault="003401C5">
      <w:pPr>
        <w:pStyle w:val="Standard"/>
        <w:spacing w:after="0" w:line="249" w:lineRule="auto"/>
        <w:rPr>
          <w:rFonts w:ascii="Arial" w:hAnsi="Arial" w:cs="Arial"/>
          <w:sz w:val="24"/>
          <w:szCs w:val="24"/>
        </w:rPr>
      </w:pPr>
    </w:p>
    <w:p w14:paraId="3C78CC7A" w14:textId="5D29B830" w:rsidR="003401C5" w:rsidRPr="002C58C9" w:rsidRDefault="00EB6541" w:rsidP="003E785A">
      <w:pPr>
        <w:pStyle w:val="Standard"/>
        <w:spacing w:line="249" w:lineRule="auto"/>
        <w:ind w:left="3600" w:hanging="3600"/>
        <w:rPr>
          <w:rFonts w:ascii="Arial" w:hAnsi="Arial" w:cs="Arial"/>
          <w:sz w:val="24"/>
          <w:szCs w:val="24"/>
        </w:rPr>
      </w:pPr>
      <w:r w:rsidRPr="002C58C9">
        <w:rPr>
          <w:rFonts w:ascii="Arial" w:eastAsia="Arial" w:hAnsi="Arial" w:cs="Arial"/>
          <w:sz w:val="24"/>
          <w:szCs w:val="24"/>
        </w:rPr>
        <w:t>BUYER ADDRESS</w:t>
      </w:r>
      <w:r w:rsidRPr="002C58C9">
        <w:rPr>
          <w:rFonts w:ascii="Arial" w:eastAsia="Arial" w:hAnsi="Arial" w:cs="Arial"/>
          <w:sz w:val="24"/>
          <w:szCs w:val="24"/>
        </w:rPr>
        <w:tab/>
      </w:r>
      <w:r w:rsidR="003E785A" w:rsidRPr="002C58C9">
        <w:rPr>
          <w:rFonts w:ascii="Arial" w:hAnsi="Arial" w:cs="Arial"/>
          <w:sz w:val="24"/>
          <w:szCs w:val="24"/>
        </w:rPr>
        <w:t>Government Legal Department, 102 Petty France, Westminster, London, SW1H 9GL</w:t>
      </w:r>
    </w:p>
    <w:p w14:paraId="01492C08" w14:textId="77777777" w:rsidR="003401C5" w:rsidRPr="002C58C9" w:rsidRDefault="003401C5">
      <w:pPr>
        <w:pStyle w:val="Standard"/>
        <w:spacing w:after="0" w:line="249" w:lineRule="auto"/>
        <w:rPr>
          <w:rFonts w:ascii="Arial" w:eastAsia="Arial" w:hAnsi="Arial" w:cs="Arial"/>
          <w:sz w:val="24"/>
          <w:szCs w:val="24"/>
        </w:rPr>
      </w:pPr>
    </w:p>
    <w:p w14:paraId="6F2AF2DD" w14:textId="0C21E65F" w:rsidR="003401C5" w:rsidRPr="00BF71F0" w:rsidRDefault="00EB6541" w:rsidP="00BF71F0">
      <w:pPr>
        <w:tabs>
          <w:tab w:val="center" w:pos="4153"/>
          <w:tab w:val="right" w:pos="8306"/>
        </w:tabs>
        <w:spacing w:after="120" w:line="240" w:lineRule="atLeast"/>
        <w:rPr>
          <w:rFonts w:ascii="Arial" w:eastAsiaTheme="minorEastAsia" w:hAnsi="Arial" w:cs="Arial"/>
        </w:rPr>
      </w:pPr>
      <w:r w:rsidRPr="002C58C9">
        <w:rPr>
          <w:rFonts w:ascii="Arial" w:eastAsia="Arial" w:hAnsi="Arial" w:cs="Arial"/>
          <w:sz w:val="24"/>
          <w:szCs w:val="24"/>
        </w:rPr>
        <w:t xml:space="preserve">THE SUPPLIER: </w:t>
      </w:r>
      <w:r w:rsidRPr="002C58C9">
        <w:rPr>
          <w:rFonts w:ascii="Arial" w:eastAsia="Arial" w:hAnsi="Arial" w:cs="Arial"/>
          <w:sz w:val="24"/>
          <w:szCs w:val="24"/>
        </w:rPr>
        <w:tab/>
      </w:r>
      <w:r w:rsidR="00BF71F0">
        <w:rPr>
          <w:rFonts w:ascii="Arial" w:eastAsia="Arial" w:hAnsi="Arial" w:cs="Arial"/>
          <w:sz w:val="24"/>
          <w:szCs w:val="24"/>
        </w:rPr>
        <w:t xml:space="preserve">              </w:t>
      </w:r>
      <w:r w:rsidR="001A5F3A">
        <w:rPr>
          <w:rFonts w:ascii="Arial" w:eastAsia="Arial" w:hAnsi="Arial" w:cs="Arial"/>
          <w:sz w:val="24"/>
          <w:szCs w:val="24"/>
        </w:rPr>
        <w:t xml:space="preserve">            </w:t>
      </w:r>
      <w:r w:rsidR="00BF71F0">
        <w:rPr>
          <w:rFonts w:ascii="Arial" w:eastAsiaTheme="minorEastAsia" w:hAnsi="Arial" w:cs="Arial"/>
        </w:rPr>
        <w:t xml:space="preserve">DAC </w:t>
      </w:r>
      <w:r w:rsidR="001A5F3A">
        <w:rPr>
          <w:rFonts w:ascii="Arial" w:eastAsiaTheme="minorEastAsia" w:hAnsi="Arial" w:cs="Arial"/>
        </w:rPr>
        <w:t>BEACHCROFT CLAIMS LIMITED</w:t>
      </w:r>
      <w:r w:rsidRPr="002C58C9">
        <w:rPr>
          <w:rFonts w:ascii="Arial" w:eastAsia="Arial" w:hAnsi="Arial" w:cs="Arial"/>
          <w:sz w:val="24"/>
          <w:szCs w:val="24"/>
        </w:rPr>
        <w:tab/>
      </w:r>
      <w:r w:rsidRPr="002C58C9">
        <w:rPr>
          <w:rFonts w:ascii="Arial" w:eastAsia="Arial" w:hAnsi="Arial" w:cs="Arial"/>
          <w:sz w:val="24"/>
          <w:szCs w:val="24"/>
        </w:rPr>
        <w:tab/>
      </w:r>
    </w:p>
    <w:p w14:paraId="2F154DEC" w14:textId="0954FD66" w:rsidR="00BF71F0" w:rsidRPr="001A5F3A" w:rsidRDefault="00EB6541" w:rsidP="00BF71F0">
      <w:pPr>
        <w:tabs>
          <w:tab w:val="center" w:pos="4153"/>
          <w:tab w:val="right" w:pos="8306"/>
        </w:tabs>
        <w:spacing w:after="120" w:line="240" w:lineRule="atLeast"/>
        <w:rPr>
          <w:rFonts w:ascii="Arial" w:eastAsiaTheme="minorEastAsia" w:hAnsi="Arial" w:cs="Arial"/>
        </w:rPr>
      </w:pPr>
      <w:r w:rsidRPr="002C58C9">
        <w:rPr>
          <w:rFonts w:ascii="Arial" w:eastAsia="Arial" w:hAnsi="Arial" w:cs="Arial"/>
          <w:sz w:val="24"/>
          <w:szCs w:val="24"/>
        </w:rPr>
        <w:t>SUPPLIER ADDRESS:</w:t>
      </w:r>
      <w:r w:rsidRPr="002C58C9">
        <w:rPr>
          <w:rFonts w:ascii="Arial" w:eastAsia="Arial" w:hAnsi="Arial" w:cs="Arial"/>
          <w:b/>
          <w:sz w:val="24"/>
          <w:szCs w:val="24"/>
        </w:rPr>
        <w:t xml:space="preserve"> </w:t>
      </w:r>
      <w:r w:rsidRPr="002C58C9">
        <w:rPr>
          <w:rFonts w:ascii="Arial" w:eastAsia="Arial" w:hAnsi="Arial" w:cs="Arial"/>
          <w:b/>
          <w:sz w:val="24"/>
          <w:szCs w:val="24"/>
        </w:rPr>
        <w:tab/>
      </w:r>
      <w:r w:rsidR="00BF71F0">
        <w:rPr>
          <w:rFonts w:ascii="Arial" w:eastAsia="Arial" w:hAnsi="Arial" w:cs="Arial"/>
          <w:b/>
          <w:sz w:val="24"/>
          <w:szCs w:val="24"/>
        </w:rPr>
        <w:t xml:space="preserve">                </w:t>
      </w:r>
      <w:proofErr w:type="spellStart"/>
      <w:r w:rsidR="001A5F3A" w:rsidRPr="001A5F3A">
        <w:rPr>
          <w:rFonts w:ascii="Arial" w:eastAsia="Arial" w:hAnsi="Arial" w:cs="Arial"/>
          <w:sz w:val="24"/>
          <w:szCs w:val="24"/>
        </w:rPr>
        <w:t>Portwell</w:t>
      </w:r>
      <w:proofErr w:type="spellEnd"/>
      <w:r w:rsidR="001A5F3A" w:rsidRPr="001A5F3A">
        <w:rPr>
          <w:rFonts w:ascii="Arial" w:eastAsia="Arial" w:hAnsi="Arial" w:cs="Arial"/>
          <w:sz w:val="24"/>
          <w:szCs w:val="24"/>
        </w:rPr>
        <w:t xml:space="preserve"> Place, </w:t>
      </w:r>
      <w:proofErr w:type="spellStart"/>
      <w:r w:rsidR="001A5F3A" w:rsidRPr="001A5F3A">
        <w:rPr>
          <w:rFonts w:ascii="Arial" w:eastAsia="Arial" w:hAnsi="Arial" w:cs="Arial"/>
          <w:sz w:val="24"/>
          <w:szCs w:val="24"/>
        </w:rPr>
        <w:t>Portwell</w:t>
      </w:r>
      <w:proofErr w:type="spellEnd"/>
      <w:r w:rsidR="001A5F3A" w:rsidRPr="001A5F3A">
        <w:rPr>
          <w:rFonts w:ascii="Arial" w:eastAsia="Arial" w:hAnsi="Arial" w:cs="Arial"/>
          <w:sz w:val="24"/>
          <w:szCs w:val="24"/>
        </w:rPr>
        <w:t xml:space="preserve"> Lane, Bristol, BS1 9HS</w:t>
      </w:r>
    </w:p>
    <w:p w14:paraId="5DB3FED2" w14:textId="1E7D40D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 </w:t>
      </w:r>
    </w:p>
    <w:p w14:paraId="5D43B14D" w14:textId="69612E31"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REGISTRATION NUMBER:</w:t>
      </w:r>
      <w:r w:rsidRPr="002C58C9">
        <w:rPr>
          <w:rFonts w:ascii="Arial" w:eastAsia="Arial" w:hAnsi="Arial" w:cs="Arial"/>
          <w:b/>
          <w:sz w:val="24"/>
          <w:szCs w:val="24"/>
        </w:rPr>
        <w:t xml:space="preserve"> </w:t>
      </w:r>
      <w:r w:rsidRPr="002C58C9">
        <w:rPr>
          <w:rFonts w:ascii="Arial" w:eastAsia="Arial" w:hAnsi="Arial" w:cs="Arial"/>
          <w:b/>
          <w:sz w:val="24"/>
          <w:szCs w:val="24"/>
        </w:rPr>
        <w:tab/>
      </w:r>
      <w:r w:rsidR="001A5F3A" w:rsidRPr="001A5F3A">
        <w:rPr>
          <w:rFonts w:ascii="Arial" w:eastAsia="Arial" w:hAnsi="Arial" w:cs="Arial"/>
          <w:sz w:val="24"/>
          <w:szCs w:val="24"/>
        </w:rPr>
        <w:t>04218378</w:t>
      </w:r>
      <w:r w:rsidRPr="001A5F3A">
        <w:rPr>
          <w:rFonts w:ascii="Arial" w:eastAsia="Arial" w:hAnsi="Arial" w:cs="Arial"/>
          <w:sz w:val="24"/>
          <w:szCs w:val="24"/>
        </w:rPr>
        <w:t xml:space="preserve"> </w:t>
      </w:r>
    </w:p>
    <w:p w14:paraId="08F5D036" w14:textId="215B9F83"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DUNS NUMBER:       </w:t>
      </w:r>
      <w:r w:rsidRPr="002C58C9">
        <w:rPr>
          <w:rFonts w:ascii="Arial" w:eastAsia="Arial" w:hAnsi="Arial" w:cs="Arial"/>
          <w:sz w:val="24"/>
          <w:szCs w:val="24"/>
        </w:rPr>
        <w:tab/>
      </w:r>
      <w:r w:rsidRPr="002C58C9">
        <w:rPr>
          <w:rFonts w:ascii="Arial" w:eastAsia="Arial" w:hAnsi="Arial" w:cs="Arial"/>
          <w:sz w:val="24"/>
          <w:szCs w:val="24"/>
        </w:rPr>
        <w:tab/>
      </w:r>
      <w:r w:rsidR="00BF71F0">
        <w:rPr>
          <w:rFonts w:ascii="Source Sans Pro" w:hAnsi="Source Sans Pro"/>
          <w:color w:val="0B0C0C"/>
          <w:sz w:val="26"/>
          <w:szCs w:val="26"/>
          <w:shd w:val="clear" w:color="auto" w:fill="F6F6F6"/>
        </w:rPr>
        <w:t>221994077</w:t>
      </w:r>
    </w:p>
    <w:p w14:paraId="5941570C"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SID4GOV ID:</w:t>
      </w:r>
      <w:r w:rsidRPr="002C58C9">
        <w:rPr>
          <w:rFonts w:ascii="Arial" w:eastAsia="Arial" w:hAnsi="Arial" w:cs="Arial"/>
          <w:b/>
          <w:sz w:val="24"/>
          <w:szCs w:val="24"/>
        </w:rPr>
        <w:t xml:space="preserve">                 </w:t>
      </w:r>
      <w:r w:rsidRPr="002C58C9">
        <w:rPr>
          <w:rFonts w:ascii="Arial" w:eastAsia="Arial" w:hAnsi="Arial" w:cs="Arial"/>
          <w:b/>
          <w:sz w:val="24"/>
          <w:szCs w:val="24"/>
        </w:rPr>
        <w:tab/>
      </w:r>
      <w:r w:rsidRPr="002C58C9">
        <w:rPr>
          <w:rFonts w:ascii="Arial" w:eastAsia="Arial" w:hAnsi="Arial" w:cs="Arial"/>
          <w:b/>
          <w:sz w:val="24"/>
          <w:szCs w:val="24"/>
        </w:rPr>
        <w:tab/>
        <w:t>To be Confirmed</w:t>
      </w:r>
    </w:p>
    <w:p w14:paraId="661A9486" w14:textId="77777777" w:rsidR="003401C5" w:rsidRPr="002C58C9" w:rsidRDefault="003401C5">
      <w:pPr>
        <w:pStyle w:val="Standard"/>
        <w:spacing w:after="0" w:line="249" w:lineRule="auto"/>
        <w:rPr>
          <w:rFonts w:ascii="Arial" w:eastAsia="Arial" w:hAnsi="Arial" w:cs="Arial"/>
          <w:sz w:val="24"/>
          <w:szCs w:val="24"/>
        </w:rPr>
      </w:pPr>
    </w:p>
    <w:p w14:paraId="24C0D596"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APPLICABLE FRAMEWORK CONTRACT</w:t>
      </w:r>
    </w:p>
    <w:p w14:paraId="14CEAD77" w14:textId="77777777" w:rsidR="003401C5" w:rsidRPr="002C58C9" w:rsidRDefault="003401C5">
      <w:pPr>
        <w:pStyle w:val="Standard"/>
        <w:spacing w:after="0" w:line="249" w:lineRule="auto"/>
        <w:rPr>
          <w:rFonts w:ascii="Arial" w:eastAsia="Arial" w:hAnsi="Arial" w:cs="Arial"/>
          <w:sz w:val="24"/>
          <w:szCs w:val="24"/>
        </w:rPr>
      </w:pPr>
    </w:p>
    <w:p w14:paraId="57E17D21" w14:textId="7DA066B0"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 xml:space="preserve">This Order Form is for the provision of the Call-Off Deliverables and dated </w:t>
      </w:r>
      <w:r w:rsidR="00E4132B">
        <w:rPr>
          <w:rFonts w:ascii="Arial" w:eastAsia="Arial" w:hAnsi="Arial" w:cs="Arial"/>
          <w:b/>
          <w:sz w:val="24"/>
          <w:szCs w:val="24"/>
        </w:rPr>
        <w:t>1</w:t>
      </w:r>
      <w:r w:rsidR="005C418E">
        <w:rPr>
          <w:rFonts w:ascii="Arial" w:eastAsia="Arial" w:hAnsi="Arial" w:cs="Arial"/>
          <w:b/>
          <w:sz w:val="24"/>
          <w:szCs w:val="24"/>
        </w:rPr>
        <w:t>3</w:t>
      </w:r>
      <w:r w:rsidR="00E4132B">
        <w:rPr>
          <w:rFonts w:ascii="Arial" w:eastAsia="Arial" w:hAnsi="Arial" w:cs="Arial"/>
          <w:b/>
          <w:sz w:val="24"/>
          <w:szCs w:val="24"/>
        </w:rPr>
        <w:t xml:space="preserve"> December 2023</w:t>
      </w:r>
    </w:p>
    <w:p w14:paraId="008A3F19" w14:textId="77777777"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It’s issued under the Framework Contract with the reference number RM6284 for the provision of Costs Lawyer Services</w:t>
      </w:r>
    </w:p>
    <w:p w14:paraId="52A348F8" w14:textId="77777777" w:rsidR="003401C5" w:rsidRPr="002C58C9" w:rsidRDefault="003401C5">
      <w:pPr>
        <w:pStyle w:val="Standard"/>
        <w:tabs>
          <w:tab w:val="left" w:pos="2257"/>
        </w:tabs>
        <w:spacing w:after="0" w:line="249" w:lineRule="auto"/>
        <w:rPr>
          <w:rFonts w:ascii="Arial" w:eastAsia="Arial" w:hAnsi="Arial" w:cs="Arial"/>
          <w:b/>
          <w:sz w:val="24"/>
          <w:szCs w:val="24"/>
        </w:rPr>
      </w:pPr>
      <w:bookmarkStart w:id="0" w:name="_heading=h.30j0zll"/>
      <w:bookmarkEnd w:id="0"/>
    </w:p>
    <w:p w14:paraId="5D333659" w14:textId="77777777" w:rsidR="003401C5" w:rsidRPr="002C58C9" w:rsidRDefault="00EB6541">
      <w:pPr>
        <w:pStyle w:val="Standard"/>
        <w:tabs>
          <w:tab w:val="left" w:pos="5137"/>
        </w:tabs>
        <w:spacing w:after="0" w:line="249" w:lineRule="auto"/>
        <w:ind w:left="2880" w:hanging="2880"/>
        <w:rPr>
          <w:rFonts w:ascii="Arial" w:hAnsi="Arial" w:cs="Arial"/>
          <w:sz w:val="24"/>
          <w:szCs w:val="24"/>
        </w:rPr>
      </w:pPr>
      <w:r w:rsidRPr="002C58C9">
        <w:rPr>
          <w:rFonts w:ascii="Arial" w:eastAsia="Arial" w:hAnsi="Arial" w:cs="Arial"/>
          <w:sz w:val="24"/>
          <w:szCs w:val="24"/>
        </w:rPr>
        <w:t>CALL-OFF LOT(S):</w:t>
      </w:r>
    </w:p>
    <w:p w14:paraId="10B8DAFD" w14:textId="77777777" w:rsidR="003401C5" w:rsidRPr="002C58C9" w:rsidRDefault="00EB6541">
      <w:pPr>
        <w:pStyle w:val="Standard"/>
        <w:tabs>
          <w:tab w:val="left" w:pos="5137"/>
        </w:tabs>
        <w:spacing w:after="0" w:line="249" w:lineRule="auto"/>
        <w:ind w:left="2880" w:hanging="2880"/>
        <w:rPr>
          <w:rFonts w:ascii="Arial" w:eastAsia="Arial" w:hAnsi="Arial" w:cs="Arial"/>
          <w:sz w:val="24"/>
          <w:szCs w:val="24"/>
        </w:rPr>
      </w:pPr>
      <w:r w:rsidRPr="002C58C9">
        <w:rPr>
          <w:rFonts w:ascii="Arial" w:eastAsia="Arial" w:hAnsi="Arial" w:cs="Arial"/>
          <w:sz w:val="24"/>
          <w:szCs w:val="24"/>
        </w:rPr>
        <w:t>Lot 1- General Costs Law Services</w:t>
      </w:r>
    </w:p>
    <w:p w14:paraId="1EB5C98B" w14:textId="77777777" w:rsidR="003401C5" w:rsidRPr="002C58C9" w:rsidRDefault="003401C5">
      <w:pPr>
        <w:pStyle w:val="Standard"/>
        <w:rPr>
          <w:rFonts w:ascii="Arial" w:eastAsia="Arial" w:hAnsi="Arial" w:cs="Arial"/>
          <w:b/>
          <w:sz w:val="24"/>
          <w:szCs w:val="24"/>
        </w:rPr>
      </w:pPr>
      <w:bookmarkStart w:id="1" w:name="_heading=h.gjdgxs"/>
      <w:bookmarkEnd w:id="1"/>
    </w:p>
    <w:p w14:paraId="3F01A4B9" w14:textId="77777777" w:rsidR="003401C5" w:rsidRPr="002C58C9" w:rsidRDefault="00EB6541">
      <w:pPr>
        <w:pStyle w:val="Standard"/>
        <w:keepNext/>
        <w:spacing w:after="0" w:line="249" w:lineRule="auto"/>
        <w:rPr>
          <w:rFonts w:ascii="Arial" w:hAnsi="Arial" w:cs="Arial"/>
          <w:sz w:val="24"/>
          <w:szCs w:val="24"/>
        </w:rPr>
      </w:pPr>
      <w:r w:rsidRPr="002C58C9">
        <w:rPr>
          <w:rFonts w:ascii="Arial" w:eastAsia="Arial" w:hAnsi="Arial" w:cs="Arial"/>
          <w:sz w:val="24"/>
          <w:szCs w:val="24"/>
        </w:rPr>
        <w:t>CALL-OFF INCORPORATED TERMS</w:t>
      </w:r>
    </w:p>
    <w:p w14:paraId="0B1830B9" w14:textId="77777777" w:rsidR="003401C5" w:rsidRPr="002C58C9" w:rsidRDefault="003401C5">
      <w:pPr>
        <w:pStyle w:val="Standard"/>
        <w:keepNext/>
        <w:spacing w:after="0" w:line="249" w:lineRule="auto"/>
        <w:rPr>
          <w:rFonts w:ascii="Arial" w:eastAsia="Arial" w:hAnsi="Arial" w:cs="Arial"/>
          <w:sz w:val="24"/>
          <w:szCs w:val="24"/>
        </w:rPr>
      </w:pPr>
    </w:p>
    <w:p w14:paraId="3A11D4BE" w14:textId="77777777" w:rsidR="003401C5" w:rsidRPr="002C58C9" w:rsidRDefault="00EB6541">
      <w:pPr>
        <w:pStyle w:val="Standard"/>
        <w:rPr>
          <w:rFonts w:ascii="Arial" w:hAnsi="Arial" w:cs="Arial"/>
          <w:sz w:val="24"/>
          <w:szCs w:val="24"/>
        </w:rPr>
      </w:pPr>
      <w:r w:rsidRPr="002C58C9">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1B44F4" w14:textId="77777777" w:rsidR="003401C5" w:rsidRPr="002C58C9" w:rsidRDefault="00EB6541">
      <w:pPr>
        <w:pStyle w:val="Standard"/>
        <w:numPr>
          <w:ilvl w:val="0"/>
          <w:numId w:val="6"/>
        </w:numPr>
        <w:spacing w:after="0" w:line="240" w:lineRule="auto"/>
        <w:rPr>
          <w:rFonts w:ascii="Arial" w:hAnsi="Arial" w:cs="Arial"/>
          <w:sz w:val="24"/>
          <w:szCs w:val="24"/>
        </w:rPr>
      </w:pPr>
      <w:r w:rsidRPr="002C58C9">
        <w:rPr>
          <w:rFonts w:ascii="Arial" w:eastAsia="Arial" w:hAnsi="Arial" w:cs="Arial"/>
          <w:color w:val="000000"/>
          <w:sz w:val="24"/>
          <w:szCs w:val="24"/>
        </w:rPr>
        <w:t>This Order Form including the Call-Off Special Terms and Call-Off Special Schedules.</w:t>
      </w:r>
    </w:p>
    <w:p w14:paraId="06312CDF"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 xml:space="preserve">Joint Schedule 1(Definitions and Interpretation) </w:t>
      </w:r>
      <w:r w:rsidRPr="002C58C9">
        <w:rPr>
          <w:rFonts w:ascii="Arial" w:eastAsia="Arial" w:hAnsi="Arial" w:cs="Arial"/>
          <w:b/>
          <w:sz w:val="24"/>
          <w:szCs w:val="24"/>
        </w:rPr>
        <w:t>RM6284</w:t>
      </w:r>
    </w:p>
    <w:p w14:paraId="27930D87" w14:textId="39122A8E"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Framework Special Terms</w:t>
      </w:r>
    </w:p>
    <w:p w14:paraId="4F7AB574" w14:textId="77777777" w:rsidR="003401C5" w:rsidRPr="002C58C9" w:rsidRDefault="00EB6541">
      <w:pPr>
        <w:pStyle w:val="Standard"/>
        <w:keepNext/>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The following Schedules in equal order of precedence:</w:t>
      </w:r>
    </w:p>
    <w:p w14:paraId="6A83AEE9" w14:textId="34E16102" w:rsidR="003401C5" w:rsidRPr="002C58C9" w:rsidRDefault="003401C5" w:rsidP="003E785A">
      <w:pPr>
        <w:pStyle w:val="Standard"/>
        <w:keepNext/>
        <w:spacing w:after="0" w:line="244" w:lineRule="auto"/>
        <w:rPr>
          <w:rFonts w:ascii="Arial" w:eastAsia="Arial" w:hAnsi="Arial" w:cs="Arial"/>
          <w:color w:val="000000"/>
          <w:sz w:val="24"/>
          <w:szCs w:val="24"/>
        </w:rPr>
      </w:pPr>
    </w:p>
    <w:p w14:paraId="58DA1010" w14:textId="77777777" w:rsidR="003401C5" w:rsidRPr="002C58C9" w:rsidRDefault="00EB6541">
      <w:pPr>
        <w:pStyle w:val="Standard"/>
        <w:numPr>
          <w:ilvl w:val="0"/>
          <w:numId w:val="7"/>
        </w:numPr>
        <w:spacing w:after="0" w:line="240" w:lineRule="auto"/>
        <w:rPr>
          <w:rFonts w:ascii="Arial" w:hAnsi="Arial" w:cs="Arial"/>
          <w:sz w:val="24"/>
          <w:szCs w:val="24"/>
        </w:rPr>
      </w:pPr>
      <w:r w:rsidRPr="002C58C9">
        <w:rPr>
          <w:rFonts w:ascii="Arial" w:eastAsia="Arial" w:hAnsi="Arial" w:cs="Arial"/>
          <w:color w:val="000000"/>
          <w:sz w:val="24"/>
          <w:szCs w:val="24"/>
        </w:rPr>
        <w:t>Joint Schedules for</w:t>
      </w:r>
      <w:r w:rsidRPr="002C58C9">
        <w:rPr>
          <w:rFonts w:ascii="Arial" w:eastAsia="Arial" w:hAnsi="Arial" w:cs="Arial"/>
          <w:sz w:val="24"/>
          <w:szCs w:val="24"/>
        </w:rPr>
        <w:t xml:space="preserve"> </w:t>
      </w:r>
      <w:r w:rsidRPr="002C58C9">
        <w:rPr>
          <w:rFonts w:ascii="Arial" w:eastAsia="Arial" w:hAnsi="Arial" w:cs="Arial"/>
          <w:b/>
          <w:sz w:val="24"/>
          <w:szCs w:val="24"/>
        </w:rPr>
        <w:t>RM6284</w:t>
      </w:r>
    </w:p>
    <w:p w14:paraId="40A71379"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2 (Variation Form)</w:t>
      </w:r>
    </w:p>
    <w:p w14:paraId="64A2E4BE"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lastRenderedPageBreak/>
        <w:t>Joint Schedule 3 (Insurance Requirements)</w:t>
      </w:r>
    </w:p>
    <w:p w14:paraId="7A0989F4" w14:textId="77777777" w:rsidR="002C58C9"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4 (Commercially Sensitive Information)</w:t>
      </w:r>
    </w:p>
    <w:p w14:paraId="626F2EDB" w14:textId="2AFE54D7" w:rsidR="003401C5"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hAnsi="Arial" w:cs="Arial"/>
          <w:sz w:val="24"/>
          <w:szCs w:val="24"/>
        </w:rPr>
        <w:t>Joint Schedule 7 (Financial Difficulties)</w:t>
      </w:r>
    </w:p>
    <w:p w14:paraId="3DD03E66" w14:textId="34D6CE4B"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10 (Rectification Plan)</w:t>
      </w:r>
    </w:p>
    <w:p w14:paraId="6687AE40" w14:textId="35A030F4"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11 (Processing Data)</w:t>
      </w:r>
    </w:p>
    <w:p w14:paraId="7E34BB17"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47FA6C7F" w14:textId="77777777" w:rsidR="003401C5" w:rsidRPr="002C58C9" w:rsidRDefault="00EB6541">
      <w:pPr>
        <w:pStyle w:val="Standard"/>
        <w:numPr>
          <w:ilvl w:val="0"/>
          <w:numId w:val="4"/>
        </w:numPr>
        <w:spacing w:after="0" w:line="240" w:lineRule="auto"/>
        <w:rPr>
          <w:rFonts w:ascii="Arial" w:hAnsi="Arial" w:cs="Arial"/>
          <w:sz w:val="24"/>
          <w:szCs w:val="24"/>
        </w:rPr>
      </w:pPr>
      <w:r w:rsidRPr="002C58C9">
        <w:rPr>
          <w:rFonts w:ascii="Arial" w:eastAsia="Arial" w:hAnsi="Arial" w:cs="Arial"/>
          <w:color w:val="000000"/>
          <w:sz w:val="24"/>
          <w:szCs w:val="24"/>
        </w:rPr>
        <w:t>Call-Off Schedules for RM6284</w:t>
      </w:r>
      <w:r w:rsidRPr="002C58C9">
        <w:rPr>
          <w:rFonts w:ascii="Arial" w:eastAsia="Arial" w:hAnsi="Arial" w:cs="Arial"/>
          <w:color w:val="000000"/>
          <w:sz w:val="24"/>
          <w:szCs w:val="24"/>
        </w:rPr>
        <w:tab/>
      </w:r>
      <w:r w:rsidRPr="002C58C9">
        <w:rPr>
          <w:rFonts w:ascii="Arial" w:eastAsia="Arial" w:hAnsi="Arial" w:cs="Arial"/>
          <w:color w:val="000000"/>
          <w:sz w:val="24"/>
          <w:szCs w:val="24"/>
        </w:rPr>
        <w:tab/>
      </w:r>
      <w:r w:rsidRPr="002C58C9">
        <w:rPr>
          <w:rFonts w:ascii="Arial" w:eastAsia="Arial" w:hAnsi="Arial" w:cs="Arial"/>
          <w:color w:val="000000"/>
          <w:sz w:val="24"/>
          <w:szCs w:val="24"/>
        </w:rPr>
        <w:tab/>
      </w:r>
    </w:p>
    <w:p w14:paraId="6D2129D0"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1 (Transparency Reports)</w:t>
      </w:r>
    </w:p>
    <w:p w14:paraId="2C4DFD0F"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2 (Staff Transfer)</w:t>
      </w:r>
    </w:p>
    <w:p w14:paraId="46F202E3"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3 (Continuous Improvement)</w:t>
      </w:r>
    </w:p>
    <w:p w14:paraId="68923FF0"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5 (Pricing Details)</w:t>
      </w:r>
    </w:p>
    <w:p w14:paraId="1643AF8A"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7 (Key Supplier Staff)</w:t>
      </w:r>
    </w:p>
    <w:p w14:paraId="699B07B6"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8 (Business Continuity and Disaster Recovery</w:t>
      </w:r>
    </w:p>
    <w:p w14:paraId="6ECFF2D3" w14:textId="26962876" w:rsidR="003401C5"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9 (Security)</w:t>
      </w:r>
    </w:p>
    <w:p w14:paraId="2E2AD24A" w14:textId="2E6DE4FC" w:rsidR="003401C5" w:rsidRPr="002C58C9" w:rsidRDefault="00EB6541" w:rsidP="00BB0EA2">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20 (Call-Off Specification)</w:t>
      </w:r>
    </w:p>
    <w:p w14:paraId="3BD23999" w14:textId="77777777" w:rsidR="003401C5" w:rsidRPr="002C58C9" w:rsidRDefault="003401C5">
      <w:pPr>
        <w:pStyle w:val="Standard"/>
        <w:spacing w:after="0" w:line="249" w:lineRule="auto"/>
        <w:ind w:left="1800"/>
        <w:rPr>
          <w:rFonts w:ascii="Arial" w:hAnsi="Arial" w:cs="Arial"/>
          <w:sz w:val="24"/>
          <w:szCs w:val="24"/>
        </w:rPr>
      </w:pPr>
    </w:p>
    <w:p w14:paraId="0AF87ED3"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7A2608C4"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CCS Core Terms (version 3.0.11)</w:t>
      </w:r>
    </w:p>
    <w:p w14:paraId="202B362D"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Joint Schedule 5 (Corporate Social Responsibility)</w:t>
      </w:r>
    </w:p>
    <w:p w14:paraId="34CA1046"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6DF228C" w14:textId="77777777" w:rsidR="003401C5" w:rsidRPr="002C58C9" w:rsidRDefault="003401C5">
      <w:pPr>
        <w:pStyle w:val="Standard"/>
        <w:spacing w:after="0" w:line="249" w:lineRule="auto"/>
        <w:ind w:left="720"/>
        <w:rPr>
          <w:rFonts w:ascii="Arial" w:eastAsia="Arial" w:hAnsi="Arial" w:cs="Arial"/>
          <w:color w:val="000000"/>
          <w:sz w:val="24"/>
          <w:szCs w:val="24"/>
          <w:shd w:val="clear" w:color="auto" w:fill="FFFF00"/>
        </w:rPr>
      </w:pPr>
    </w:p>
    <w:p w14:paraId="793D3BE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2F43F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94E2B5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SPECIAL TERMS</w:t>
      </w:r>
    </w:p>
    <w:p w14:paraId="26E0E087"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following Special Terms are incorporated into this Call-Off Contract:</w:t>
      </w:r>
    </w:p>
    <w:p w14:paraId="5D71A75E" w14:textId="3157756A" w:rsidR="003401C5" w:rsidRPr="002C58C9" w:rsidRDefault="003401C5" w:rsidP="00BB0EA2">
      <w:pPr>
        <w:pStyle w:val="Standard"/>
        <w:tabs>
          <w:tab w:val="left" w:pos="2257"/>
        </w:tabs>
        <w:spacing w:after="0" w:line="249" w:lineRule="auto"/>
        <w:rPr>
          <w:rFonts w:ascii="Arial" w:hAnsi="Arial" w:cs="Arial"/>
          <w:sz w:val="24"/>
          <w:szCs w:val="24"/>
        </w:rPr>
      </w:pPr>
    </w:p>
    <w:p w14:paraId="6C2EA7B9" w14:textId="5061E951" w:rsidR="003401C5" w:rsidRPr="002C58C9" w:rsidRDefault="00EB6541">
      <w:pPr>
        <w:pStyle w:val="Standard"/>
        <w:spacing w:after="0" w:line="240" w:lineRule="auto"/>
        <w:ind w:right="936"/>
        <w:rPr>
          <w:rFonts w:ascii="Arial" w:hAnsi="Arial" w:cs="Arial"/>
          <w:sz w:val="24"/>
          <w:szCs w:val="24"/>
        </w:rPr>
      </w:pPr>
      <w:r w:rsidRPr="002C58C9">
        <w:rPr>
          <w:rFonts w:ascii="Arial" w:eastAsia="Arial" w:hAnsi="Arial" w:cs="Arial"/>
          <w:sz w:val="24"/>
          <w:szCs w:val="24"/>
        </w:rPr>
        <w:t>None</w:t>
      </w:r>
    </w:p>
    <w:p w14:paraId="54E55798" w14:textId="77777777" w:rsidR="003401C5" w:rsidRPr="002C58C9" w:rsidRDefault="003401C5">
      <w:pPr>
        <w:pStyle w:val="Standard"/>
        <w:spacing w:after="0" w:line="249" w:lineRule="auto"/>
        <w:rPr>
          <w:rFonts w:ascii="Arial" w:eastAsia="Arial" w:hAnsi="Arial" w:cs="Arial"/>
          <w:b/>
          <w:sz w:val="24"/>
          <w:szCs w:val="24"/>
        </w:rPr>
      </w:pPr>
    </w:p>
    <w:p w14:paraId="7D5E57ED"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START DATE:</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18th December 2023</w:t>
      </w:r>
    </w:p>
    <w:p w14:paraId="27602D04" w14:textId="77777777" w:rsidR="003401C5" w:rsidRPr="002C58C9" w:rsidRDefault="003401C5">
      <w:pPr>
        <w:pStyle w:val="Standard"/>
        <w:spacing w:after="0" w:line="249" w:lineRule="auto"/>
        <w:rPr>
          <w:rFonts w:ascii="Arial" w:eastAsia="Arial" w:hAnsi="Arial" w:cs="Arial"/>
          <w:sz w:val="24"/>
          <w:szCs w:val="24"/>
        </w:rPr>
      </w:pPr>
    </w:p>
    <w:p w14:paraId="2FABA721"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 xml:space="preserve">CALL-OFF EXPIRY DATE: </w:t>
      </w:r>
      <w:r w:rsidRPr="002C58C9">
        <w:rPr>
          <w:rFonts w:ascii="Arial" w:eastAsia="Arial" w:hAnsi="Arial" w:cs="Arial"/>
          <w:sz w:val="24"/>
          <w:szCs w:val="24"/>
        </w:rPr>
        <w:tab/>
      </w:r>
      <w:r w:rsidRPr="002C58C9">
        <w:rPr>
          <w:rFonts w:ascii="Arial" w:eastAsia="Arial" w:hAnsi="Arial" w:cs="Arial"/>
          <w:sz w:val="24"/>
          <w:szCs w:val="24"/>
        </w:rPr>
        <w:tab/>
        <w:t>17th December 2025</w:t>
      </w:r>
    </w:p>
    <w:p w14:paraId="67376B10" w14:textId="77777777" w:rsidR="003401C5" w:rsidRPr="002C58C9" w:rsidRDefault="003401C5">
      <w:pPr>
        <w:pStyle w:val="Standard"/>
        <w:spacing w:after="0" w:line="249" w:lineRule="auto"/>
        <w:rPr>
          <w:rFonts w:ascii="Arial" w:eastAsia="Arial" w:hAnsi="Arial" w:cs="Arial"/>
          <w:sz w:val="24"/>
          <w:szCs w:val="24"/>
        </w:rPr>
      </w:pPr>
    </w:p>
    <w:p w14:paraId="541328FE"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CALL-OFF INITIAL PERIOD:</w:t>
      </w:r>
      <w:r w:rsidRPr="002C58C9">
        <w:rPr>
          <w:rFonts w:ascii="Arial" w:eastAsia="Arial" w:hAnsi="Arial" w:cs="Arial"/>
          <w:sz w:val="24"/>
          <w:szCs w:val="24"/>
        </w:rPr>
        <w:tab/>
      </w:r>
      <w:r w:rsidRPr="002C58C9">
        <w:rPr>
          <w:rFonts w:ascii="Arial" w:eastAsia="Arial" w:hAnsi="Arial" w:cs="Arial"/>
          <w:sz w:val="24"/>
          <w:szCs w:val="24"/>
        </w:rPr>
        <w:tab/>
        <w:t>2 years</w:t>
      </w:r>
    </w:p>
    <w:p w14:paraId="7E186C7D"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EXTENSION PERIOD</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2 Years in annual increments (1+1)</w:t>
      </w:r>
    </w:p>
    <w:p w14:paraId="0A06FDE9" w14:textId="77777777" w:rsidR="003401C5" w:rsidRPr="002C58C9" w:rsidRDefault="003401C5">
      <w:pPr>
        <w:pStyle w:val="Standard"/>
        <w:spacing w:after="0" w:line="249" w:lineRule="auto"/>
        <w:rPr>
          <w:rFonts w:ascii="Arial" w:eastAsia="Arial" w:hAnsi="Arial" w:cs="Arial"/>
          <w:sz w:val="24"/>
          <w:szCs w:val="24"/>
        </w:rPr>
      </w:pPr>
    </w:p>
    <w:p w14:paraId="494788E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DELIVERABLES</w:t>
      </w:r>
    </w:p>
    <w:p w14:paraId="6F7A7496" w14:textId="13782489" w:rsidR="00E44794" w:rsidRPr="002C58C9" w:rsidRDefault="00E44794" w:rsidP="00E44794">
      <w:pPr>
        <w:pStyle w:val="Standard"/>
        <w:tabs>
          <w:tab w:val="left" w:pos="2257"/>
        </w:tabs>
        <w:spacing w:after="0" w:line="249" w:lineRule="auto"/>
        <w:rPr>
          <w:rFonts w:ascii="Arial" w:eastAsia="Arial" w:hAnsi="Arial" w:cs="Arial"/>
          <w:sz w:val="24"/>
          <w:szCs w:val="24"/>
          <w:shd w:val="clear" w:color="auto" w:fill="FFFF00"/>
        </w:rPr>
      </w:pPr>
    </w:p>
    <w:p w14:paraId="47D79C12" w14:textId="6277E314"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20 (Call-Off Specification)]</w:t>
      </w:r>
    </w:p>
    <w:p w14:paraId="358B48D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B77167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MAXIMUM LIABILITY</w:t>
      </w:r>
    </w:p>
    <w:p w14:paraId="7F790A1A" w14:textId="5291F7E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limitation of liability for this Call-Off Contract is stated in Clause 11.2 of the Core Terms.</w:t>
      </w:r>
    </w:p>
    <w:p w14:paraId="61857211"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775E24C" w14:textId="0E58F188"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Estimated Year 1 Charges used to calculate liability in the first Contract Year is</w:t>
      </w:r>
      <w:r w:rsidRPr="002C58C9">
        <w:rPr>
          <w:rFonts w:ascii="Arial" w:eastAsia="Arial" w:hAnsi="Arial" w:cs="Arial"/>
          <w:b/>
          <w:sz w:val="24"/>
          <w:szCs w:val="24"/>
          <w:shd w:val="clear" w:color="auto" w:fill="FFFF00"/>
        </w:rPr>
        <w:t xml:space="preserve"> </w:t>
      </w:r>
      <w:r w:rsidR="00E44794" w:rsidRPr="002C58C9">
        <w:rPr>
          <w:rFonts w:ascii="Arial" w:hAnsi="Arial" w:cs="Arial"/>
          <w:sz w:val="24"/>
          <w:szCs w:val="24"/>
        </w:rPr>
        <w:t>£200,000.</w:t>
      </w:r>
    </w:p>
    <w:p w14:paraId="60775B91"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5E00C15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CHARGES</w:t>
      </w:r>
    </w:p>
    <w:p w14:paraId="42603DE1" w14:textId="39DAF5B1"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5 (Pricing Details)</w:t>
      </w:r>
    </w:p>
    <w:p w14:paraId="0132BE54" w14:textId="1B7A31F3"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All changes to the Charges must use procedures that are equivalent to those in Paragraphs 5,6 and 7(if used) in Framework Schedule 3 (Framework Prices)]</w:t>
      </w:r>
    </w:p>
    <w:p w14:paraId="621F7F9F" w14:textId="77777777" w:rsidR="003401C5" w:rsidRPr="002C58C9" w:rsidRDefault="003401C5">
      <w:pPr>
        <w:pStyle w:val="Standard"/>
        <w:tabs>
          <w:tab w:val="left" w:pos="2257"/>
        </w:tabs>
        <w:spacing w:after="0" w:line="249" w:lineRule="auto"/>
        <w:rPr>
          <w:rFonts w:ascii="Arial" w:eastAsia="Arial" w:hAnsi="Arial" w:cs="Arial"/>
          <w:sz w:val="24"/>
          <w:szCs w:val="24"/>
          <w:shd w:val="clear" w:color="auto" w:fill="FFFF00"/>
        </w:rPr>
      </w:pPr>
    </w:p>
    <w:p w14:paraId="6D6FEA99"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REIMBURSABLE EXPENSES</w:t>
      </w:r>
    </w:p>
    <w:p w14:paraId="7987E8BD" w14:textId="697356F9" w:rsidR="003401C5" w:rsidRPr="002C58C9" w:rsidRDefault="00EB6541" w:rsidP="002C58C9">
      <w:pPr>
        <w:rPr>
          <w:rFonts w:ascii="Arial" w:hAnsi="Arial" w:cs="Arial"/>
          <w:sz w:val="24"/>
          <w:szCs w:val="24"/>
        </w:rPr>
      </w:pPr>
      <w:r w:rsidRPr="002C58C9">
        <w:rPr>
          <w:rFonts w:ascii="Arial" w:hAnsi="Arial" w:cs="Arial"/>
          <w:sz w:val="24"/>
          <w:szCs w:val="24"/>
        </w:rPr>
        <w:t>None</w:t>
      </w:r>
    </w:p>
    <w:p w14:paraId="6DF88FEC"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73B634E9" w14:textId="5753390D" w:rsidR="003401C5"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PAYMENT METHOD</w:t>
      </w:r>
    </w:p>
    <w:p w14:paraId="3DBF8832" w14:textId="77777777" w:rsidR="00E4132B" w:rsidRPr="00E4132B" w:rsidRDefault="00E4132B" w:rsidP="00E4132B">
      <w:pPr>
        <w:pStyle w:val="Heading2"/>
        <w:tabs>
          <w:tab w:val="num" w:pos="1288"/>
        </w:tabs>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The Supplier</w:t>
      </w:r>
      <w:r w:rsidRPr="00E4132B" w:rsidDel="005F57A5">
        <w:rPr>
          <w:rFonts w:ascii="Arial" w:hAnsi="Arial" w:cs="Arial"/>
          <w:b w:val="0"/>
          <w:color w:val="000000"/>
          <w:sz w:val="24"/>
          <w:szCs w:val="24"/>
          <w:shd w:val="clear" w:color="auto" w:fill="FFFFFF"/>
        </w:rPr>
        <w:t xml:space="preserve"> </w:t>
      </w:r>
      <w:r w:rsidRPr="00E4132B">
        <w:rPr>
          <w:rFonts w:ascii="Arial" w:hAnsi="Arial" w:cs="Arial"/>
          <w:b w:val="0"/>
          <w:color w:val="000000"/>
          <w:sz w:val="24"/>
          <w:szCs w:val="24"/>
          <w:shd w:val="clear" w:color="auto" w:fill="FFFFFF"/>
        </w:rPr>
        <w:t>is required to provide a completed invoice quoting the GLD case name and reference within 14 days of conclusion of the matter.  Invoices should be submitted at the completion of the matter unless the matter is likely to run for over 6 months in which case invoices should be supplied on a quarterly basis.</w:t>
      </w:r>
    </w:p>
    <w:p w14:paraId="77D8BB21"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Before payment can be considered, each invoice must include the appropriate level of detail of work completed and the associated costs.</w:t>
      </w:r>
    </w:p>
    <w:p w14:paraId="3AA227D7"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Excluding Delegated Authority cases, suppliers must provide GLD costs team with an itemised costs breakdown of the services provided, setting out details of the grade of fee earner undertaking work, hourly rate utilised, time spent together with details of costs claimed and settlement figures.</w:t>
      </w:r>
    </w:p>
    <w:p w14:paraId="79DF464F"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Late submissions of invoices sent after closure of files at GLD result in administrative difficulties which may result in payments being delayed.  Suppliers are therefore expected to adhere to a deadline for submission of invoices of 14 days post conclusion of work.</w:t>
      </w:r>
    </w:p>
    <w:p w14:paraId="41EF7626"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A946E38" w14:textId="0BF1EDC8" w:rsidR="003401C5" w:rsidRPr="002C58C9"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BUYER’S INVOICE ADDRESS:</w:t>
      </w:r>
    </w:p>
    <w:p w14:paraId="5B3BD670" w14:textId="219E7D27" w:rsidR="00C85715" w:rsidRPr="002C58C9" w:rsidRDefault="00C85715">
      <w:pPr>
        <w:pStyle w:val="Standard"/>
        <w:tabs>
          <w:tab w:val="left" w:pos="2257"/>
        </w:tabs>
        <w:spacing w:after="0" w:line="249" w:lineRule="auto"/>
        <w:rPr>
          <w:rFonts w:ascii="Arial" w:eastAsia="Arial" w:hAnsi="Arial" w:cs="Arial"/>
          <w:sz w:val="24"/>
          <w:szCs w:val="24"/>
        </w:rPr>
      </w:pPr>
    </w:p>
    <w:p w14:paraId="3D3762EC"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GLD Case Related</w:t>
      </w:r>
    </w:p>
    <w:p w14:paraId="10DAD972"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PO Box 678</w:t>
      </w:r>
    </w:p>
    <w:p w14:paraId="36D4987F"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Winchester</w:t>
      </w:r>
    </w:p>
    <w:p w14:paraId="69DAE00D" w14:textId="2E320DAB" w:rsidR="003401C5" w:rsidRPr="007C5769" w:rsidRDefault="00C85715" w:rsidP="007C5769">
      <w:pPr>
        <w:pStyle w:val="NoSpacing"/>
        <w:rPr>
          <w:rFonts w:ascii="Arial" w:hAnsi="Arial" w:cs="Arial"/>
          <w:sz w:val="24"/>
          <w:szCs w:val="24"/>
        </w:rPr>
      </w:pPr>
      <w:r w:rsidRPr="002C58C9">
        <w:rPr>
          <w:rFonts w:ascii="Arial" w:hAnsi="Arial" w:cs="Arial"/>
          <w:sz w:val="24"/>
          <w:szCs w:val="24"/>
        </w:rPr>
        <w:t>SO23 5AB</w:t>
      </w:r>
    </w:p>
    <w:p w14:paraId="190C9243"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0CD232C9" w14:textId="2B4534F0"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AUTHORISED REPRESENTATIVE</w:t>
      </w:r>
    </w:p>
    <w:p w14:paraId="79C41F8D"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7FC9E680"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Deputy Director</w:t>
      </w:r>
    </w:p>
    <w:p w14:paraId="18BE5D1B" w14:textId="50F91C92" w:rsidR="00C85715" w:rsidRPr="002C58C9" w:rsidRDefault="00C85715" w:rsidP="00C85715">
      <w:pPr>
        <w:pStyle w:val="NoSpacing"/>
        <w:rPr>
          <w:rFonts w:ascii="Arial" w:hAnsi="Arial" w:cs="Arial"/>
          <w:sz w:val="24"/>
          <w:szCs w:val="24"/>
        </w:rPr>
      </w:pPr>
      <w:r w:rsidRPr="002C58C9">
        <w:rPr>
          <w:rFonts w:ascii="Arial" w:hAnsi="Arial" w:cs="Arial"/>
          <w:sz w:val="24"/>
          <w:szCs w:val="24"/>
        </w:rPr>
        <w:t xml:space="preserve">Costs Litigation Team </w:t>
      </w:r>
    </w:p>
    <w:p w14:paraId="4A4AABCD" w14:textId="74F84685" w:rsidR="00C85715" w:rsidRPr="002C58C9" w:rsidRDefault="00C85715" w:rsidP="00C85715">
      <w:pPr>
        <w:pStyle w:val="NoSpacing"/>
        <w:rPr>
          <w:rFonts w:ascii="Arial" w:hAnsi="Arial" w:cs="Arial"/>
          <w:sz w:val="24"/>
          <w:szCs w:val="24"/>
        </w:rPr>
      </w:pPr>
      <w:r w:rsidRPr="002C58C9">
        <w:rPr>
          <w:rFonts w:ascii="Arial" w:hAnsi="Arial" w:cs="Arial"/>
          <w:sz w:val="24"/>
          <w:szCs w:val="24"/>
        </w:rPr>
        <w:t>Government Legal Department</w:t>
      </w:r>
    </w:p>
    <w:p w14:paraId="2DADA77F" w14:textId="56BEC5A4" w:rsidR="00C85715" w:rsidRPr="002C58C9" w:rsidRDefault="00C85715" w:rsidP="00C85715">
      <w:pPr>
        <w:pStyle w:val="NoSpacing"/>
        <w:rPr>
          <w:rFonts w:ascii="Arial" w:hAnsi="Arial" w:cs="Arial"/>
          <w:sz w:val="24"/>
          <w:szCs w:val="24"/>
        </w:rPr>
      </w:pPr>
      <w:r w:rsidRPr="002C58C9">
        <w:rPr>
          <w:rFonts w:ascii="Arial" w:hAnsi="Arial" w:cs="Arial"/>
          <w:sz w:val="24"/>
          <w:szCs w:val="24"/>
        </w:rPr>
        <w:t>102 Petty France, Westminster, London SW1H 9GL</w:t>
      </w:r>
    </w:p>
    <w:p w14:paraId="6FB10263" w14:textId="77777777" w:rsidR="00C85715" w:rsidRPr="002C58C9" w:rsidRDefault="00C85715" w:rsidP="00C85715">
      <w:pPr>
        <w:pStyle w:val="NoSpacing"/>
        <w:rPr>
          <w:rFonts w:ascii="Arial" w:hAnsi="Arial" w:cs="Arial"/>
          <w:sz w:val="24"/>
          <w:szCs w:val="24"/>
        </w:rPr>
      </w:pPr>
    </w:p>
    <w:p w14:paraId="79638F32" w14:textId="15012482" w:rsidR="00C85715" w:rsidRPr="002A2C08" w:rsidRDefault="00C85715" w:rsidP="002A2C08">
      <w:pPr>
        <w:tabs>
          <w:tab w:val="center" w:pos="4153"/>
          <w:tab w:val="right" w:pos="8306"/>
        </w:tabs>
        <w:spacing w:after="120" w:line="240" w:lineRule="atLeast"/>
        <w:rPr>
          <w:rFonts w:ascii="Arial" w:eastAsia="Times New Roman" w:hAnsi="Arial" w:cs="Arial"/>
        </w:rPr>
      </w:pPr>
      <w:r w:rsidRPr="002C58C9">
        <w:rPr>
          <w:rFonts w:ascii="Arial" w:hAnsi="Arial" w:cs="Arial"/>
          <w:sz w:val="24"/>
          <w:szCs w:val="24"/>
        </w:rPr>
        <w:t xml:space="preserve">Email: </w:t>
      </w:r>
      <w:r w:rsidR="002A2C08">
        <w:rPr>
          <w:rFonts w:ascii="Arial" w:eastAsia="Times New Roman" w:hAnsi="Arial" w:cs="Arial"/>
          <w:b/>
          <w:color w:val="FF0000"/>
          <w:lang w:eastAsia="en-GB"/>
        </w:rPr>
        <w:t>REDACTED TEXT under FOIA Section 40, Personal Information</w:t>
      </w:r>
    </w:p>
    <w:p w14:paraId="7C2D1E68"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7F18AF2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ENVIRONMENTAL POLICY</w:t>
      </w:r>
    </w:p>
    <w:p w14:paraId="2800CC49" w14:textId="7D799A66"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w:t>
      </w:r>
    </w:p>
    <w:p w14:paraId="41A9C265"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893672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SECURITY POLICY</w:t>
      </w:r>
    </w:p>
    <w:p w14:paraId="59343A11" w14:textId="74E4F8E5"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 xml:space="preserve">Appended at Call-Off Schedule </w:t>
      </w:r>
      <w:r w:rsidR="002C58C9" w:rsidRPr="002C58C9">
        <w:rPr>
          <w:rFonts w:ascii="Arial" w:eastAsia="Arial" w:hAnsi="Arial" w:cs="Arial"/>
          <w:sz w:val="24"/>
          <w:szCs w:val="24"/>
        </w:rPr>
        <w:t>9 (Security)</w:t>
      </w:r>
    </w:p>
    <w:p w14:paraId="43A492B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1B9C551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AUTHORISED REPRESENTATIVE</w:t>
      </w:r>
    </w:p>
    <w:p w14:paraId="2D155285"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09AF0B68" w14:textId="76988F9E" w:rsidR="003401C5" w:rsidRPr="002C58C9" w:rsidRDefault="004278F0">
      <w:pPr>
        <w:pStyle w:val="Standard"/>
        <w:tabs>
          <w:tab w:val="left" w:pos="2257"/>
        </w:tabs>
        <w:spacing w:after="0" w:line="249" w:lineRule="auto"/>
        <w:rPr>
          <w:rFonts w:ascii="Arial" w:hAnsi="Arial" w:cs="Arial"/>
          <w:sz w:val="24"/>
          <w:szCs w:val="24"/>
        </w:rPr>
      </w:pPr>
      <w:r w:rsidRPr="00E963F5">
        <w:rPr>
          <w:rFonts w:ascii="Arial" w:eastAsiaTheme="minorEastAsia" w:hAnsi="Arial" w:cs="Arial"/>
        </w:rPr>
        <w:t>Tricorn House, 51-53 Hagley Rd, Birmingham B16 8TP</w:t>
      </w:r>
    </w:p>
    <w:p w14:paraId="1B5537A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F43BA5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CONTRACT MANAGER</w:t>
      </w:r>
    </w:p>
    <w:p w14:paraId="14C401FA"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28E4CE0" w14:textId="6F152712" w:rsidR="003401C5" w:rsidRPr="006D7856" w:rsidRDefault="004278F0">
      <w:pPr>
        <w:pStyle w:val="Standard"/>
        <w:tabs>
          <w:tab w:val="left" w:pos="2257"/>
        </w:tabs>
        <w:spacing w:after="0" w:line="249" w:lineRule="auto"/>
        <w:rPr>
          <w:rFonts w:ascii="Arial" w:eastAsia="Arial" w:hAnsi="Arial" w:cs="Arial"/>
          <w:sz w:val="24"/>
          <w:szCs w:val="24"/>
        </w:rPr>
      </w:pPr>
      <w:r w:rsidRPr="006D7856">
        <w:rPr>
          <w:rFonts w:ascii="Arial" w:eastAsiaTheme="minorEastAsia" w:hAnsi="Arial" w:cs="Arial"/>
          <w:sz w:val="24"/>
          <w:szCs w:val="24"/>
        </w:rPr>
        <w:t>Tricorn House, 51-53 Hagley Rd, Birmingham B16 8TP</w:t>
      </w:r>
    </w:p>
    <w:p w14:paraId="08281468"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04A383E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REPORT FREQUENCY</w:t>
      </w:r>
    </w:p>
    <w:p w14:paraId="10079ED1" w14:textId="6E9F18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On the first Working Day of each calendar month</w:t>
      </w:r>
    </w:p>
    <w:p w14:paraId="0F647B5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CDD648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MEETING FREQUENCY</w:t>
      </w:r>
    </w:p>
    <w:p w14:paraId="74670674" w14:textId="7FFA391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Quarterly on the first Working Day of each quarter</w:t>
      </w:r>
    </w:p>
    <w:p w14:paraId="2F6F87C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4B9A07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STAFF</w:t>
      </w:r>
    </w:p>
    <w:p w14:paraId="09E611E2" w14:textId="355191F3" w:rsidR="003401C5" w:rsidRPr="007C5769" w:rsidRDefault="007C5769" w:rsidP="007C576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bookmarkStart w:id="2" w:name="_GoBack"/>
      <w:bookmarkEnd w:id="2"/>
    </w:p>
    <w:p w14:paraId="5A48BF7A"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33E683E3"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SUBCONTRACTOR(S)</w:t>
      </w:r>
    </w:p>
    <w:p w14:paraId="58F4C257" w14:textId="71973A42" w:rsidR="00BB0EA2" w:rsidRPr="002C58C9" w:rsidRDefault="00BB0EA2"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2D5E69C4" w14:textId="40D0689C" w:rsidR="003401C5" w:rsidRPr="002C58C9" w:rsidRDefault="003401C5">
      <w:pPr>
        <w:pStyle w:val="Standard"/>
        <w:tabs>
          <w:tab w:val="left" w:pos="2257"/>
        </w:tabs>
        <w:spacing w:after="0" w:line="249" w:lineRule="auto"/>
        <w:rPr>
          <w:rFonts w:ascii="Arial" w:hAnsi="Arial" w:cs="Arial"/>
          <w:sz w:val="24"/>
          <w:szCs w:val="24"/>
        </w:rPr>
      </w:pPr>
    </w:p>
    <w:p w14:paraId="1A0C56E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66F89F4"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COMMERCIALLY SENSITIVE INFORMATION</w:t>
      </w:r>
    </w:p>
    <w:p w14:paraId="1B30EDDD" w14:textId="77777777" w:rsidR="007D6B93" w:rsidRDefault="007D6B93" w:rsidP="007D6B93">
      <w:pPr>
        <w:pStyle w:val="Standard"/>
        <w:spacing w:after="0" w:line="247" w:lineRule="auto"/>
        <w:rPr>
          <w:rFonts w:ascii="Arial" w:hAnsi="Arial" w:cs="Arial"/>
          <w:sz w:val="24"/>
          <w:szCs w:val="24"/>
        </w:rPr>
      </w:pPr>
      <w:r>
        <w:rPr>
          <w:rFonts w:ascii="Arial" w:eastAsia="Arial" w:hAnsi="Arial" w:cs="Arial"/>
          <w:sz w:val="24"/>
          <w:szCs w:val="24"/>
        </w:rPr>
        <w:t xml:space="preserve">See details in </w:t>
      </w:r>
      <w:r>
        <w:rPr>
          <w:rFonts w:ascii="Arial" w:eastAsia="Arial" w:hAnsi="Arial" w:cs="Arial"/>
          <w:color w:val="000000"/>
          <w:sz w:val="24"/>
          <w:szCs w:val="24"/>
        </w:rPr>
        <w:t>Joint Schedule 4 (Commercially Sensitive Information)</w:t>
      </w:r>
    </w:p>
    <w:p w14:paraId="4FA2E68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7396A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SERVICE CREDITS</w:t>
      </w:r>
    </w:p>
    <w:p w14:paraId="7526E6E1" w14:textId="11BF6ADB" w:rsidR="003401C5" w:rsidRPr="002C58C9" w:rsidRDefault="00EB6541"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707446C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CB9EF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99DB0B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ADDITIONAL INSURANCES</w:t>
      </w:r>
    </w:p>
    <w:p w14:paraId="43CDAACF" w14:textId="1D784C65" w:rsidR="003401C5" w:rsidRPr="002C58C9" w:rsidRDefault="00EB6541" w:rsidP="00BB0EA2">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441E9008" w14:textId="77777777" w:rsidR="003401C5" w:rsidRPr="002C58C9" w:rsidRDefault="003401C5">
      <w:pPr>
        <w:pStyle w:val="Standard"/>
        <w:spacing w:after="0" w:line="240" w:lineRule="auto"/>
        <w:jc w:val="both"/>
        <w:rPr>
          <w:rFonts w:ascii="Arial" w:eastAsia="Arial" w:hAnsi="Arial" w:cs="Arial"/>
          <w:sz w:val="24"/>
          <w:szCs w:val="24"/>
        </w:rPr>
      </w:pPr>
    </w:p>
    <w:p w14:paraId="63884BA9"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GUARANTEE</w:t>
      </w:r>
    </w:p>
    <w:p w14:paraId="7ECB7A8B" w14:textId="2B1778D6"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381BEF5F" w14:textId="77777777" w:rsidR="003401C5" w:rsidRPr="002C58C9" w:rsidRDefault="003401C5">
      <w:pPr>
        <w:pStyle w:val="Standard"/>
        <w:spacing w:after="0" w:line="249" w:lineRule="auto"/>
        <w:rPr>
          <w:rFonts w:ascii="Arial" w:eastAsia="Arial" w:hAnsi="Arial" w:cs="Arial"/>
          <w:b/>
          <w:sz w:val="24"/>
          <w:szCs w:val="24"/>
          <w:shd w:val="clear" w:color="auto" w:fill="FFFF00"/>
        </w:rPr>
      </w:pPr>
    </w:p>
    <w:p w14:paraId="22BAE90E"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SOCIAL VALUE COMMITMENT</w:t>
      </w:r>
    </w:p>
    <w:p w14:paraId="778B73E2" w14:textId="6D790258"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Pr>
          <w:rFonts w:ascii="Arial" w:eastAsia="Arial" w:hAnsi="Arial" w:cs="Arial"/>
          <w:sz w:val="24"/>
          <w:szCs w:val="24"/>
        </w:rPr>
        <w:t>.</w:t>
      </w:r>
    </w:p>
    <w:p w14:paraId="3BE98EFA" w14:textId="77777777" w:rsidR="003401C5" w:rsidRPr="002C58C9" w:rsidRDefault="003401C5">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3401C5" w:rsidRPr="002C58C9" w14:paraId="099D73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A1ED9A0" w14:textId="77777777" w:rsidR="003401C5" w:rsidRPr="002C58C9" w:rsidRDefault="00EB6541">
            <w:pPr>
              <w:pStyle w:val="Standard"/>
              <w:keepNext/>
              <w:spacing w:before="240" w:after="120" w:line="240" w:lineRule="auto"/>
              <w:jc w:val="both"/>
              <w:rPr>
                <w:rFonts w:ascii="Arial" w:hAnsi="Arial" w:cs="Arial"/>
                <w:sz w:val="24"/>
                <w:szCs w:val="24"/>
              </w:rPr>
            </w:pPr>
            <w:r w:rsidRPr="002C58C9">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F8991" w14:textId="77777777" w:rsidR="003401C5" w:rsidRPr="002C58C9" w:rsidRDefault="00EB6541">
            <w:pPr>
              <w:pStyle w:val="Standard"/>
              <w:keepNext/>
              <w:spacing w:before="240" w:after="120"/>
              <w:jc w:val="both"/>
              <w:rPr>
                <w:rFonts w:ascii="Arial" w:hAnsi="Arial" w:cs="Arial"/>
                <w:sz w:val="24"/>
                <w:szCs w:val="24"/>
              </w:rPr>
            </w:pPr>
            <w:r w:rsidRPr="002C58C9">
              <w:rPr>
                <w:rFonts w:ascii="Arial" w:eastAsia="Arial" w:hAnsi="Arial" w:cs="Arial"/>
                <w:b/>
                <w:color w:val="000000"/>
                <w:sz w:val="24"/>
                <w:szCs w:val="24"/>
              </w:rPr>
              <w:t>For and on behalf of the Buyer:</w:t>
            </w:r>
          </w:p>
        </w:tc>
      </w:tr>
      <w:tr w:rsidR="003401C5" w:rsidRPr="002C58C9" w14:paraId="06C621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868419E"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CB7C59C"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2AA3B77"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B821D0"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04A5850"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DF623BF"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FA862E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A018C1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9C09E26"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286829D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1A151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FF124DC" w14:textId="77777777" w:rsidR="002A2C08" w:rsidRDefault="002A2C08" w:rsidP="002A2C08">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A6FF9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3E3A85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9E80FD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6B47A9C"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4D05B6F"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5083F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59CF90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FBE1D58"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B78AFF4"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0030E9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528BF1"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bl>
    <w:p w14:paraId="689561E9" w14:textId="77777777" w:rsidR="003401C5" w:rsidRPr="002C58C9" w:rsidRDefault="003401C5">
      <w:pPr>
        <w:pStyle w:val="Standard"/>
        <w:rPr>
          <w:rFonts w:ascii="Arial" w:hAnsi="Arial" w:cs="Arial"/>
          <w:sz w:val="24"/>
          <w:szCs w:val="24"/>
        </w:rPr>
      </w:pPr>
    </w:p>
    <w:sectPr w:rsidR="003401C5" w:rsidRPr="002C5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E3E0" w14:textId="77777777" w:rsidR="00E1395F" w:rsidRDefault="00E1395F">
      <w:r>
        <w:separator/>
      </w:r>
    </w:p>
  </w:endnote>
  <w:endnote w:type="continuationSeparator" w:id="0">
    <w:p w14:paraId="0CCE0BA7" w14:textId="77777777" w:rsidR="00E1395F" w:rsidRDefault="00E1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4EA" w14:textId="77777777" w:rsidR="002C58C9" w:rsidRDefault="002C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21C" w14:textId="77777777" w:rsidR="00601B05" w:rsidRDefault="00EB6541">
    <w:pPr>
      <w:pStyle w:val="Standard"/>
      <w:tabs>
        <w:tab w:val="center" w:pos="4513"/>
        <w:tab w:val="right" w:pos="9026"/>
      </w:tabs>
      <w:spacing w:after="0" w:line="240" w:lineRule="auto"/>
    </w:pPr>
    <w:r>
      <w:rPr>
        <w:rFonts w:ascii="Arial" w:eastAsia="Arial" w:hAnsi="Arial" w:cs="Arial"/>
        <w:sz w:val="20"/>
        <w:szCs w:val="20"/>
      </w:rPr>
      <w:t>Framework Ref: RM6284 Costs Lawyer Services 2</w:t>
    </w:r>
    <w:r>
      <w:rPr>
        <w:rFonts w:ascii="Arial" w:eastAsia="Arial" w:hAnsi="Arial" w:cs="Arial"/>
        <w:sz w:val="20"/>
        <w:szCs w:val="20"/>
      </w:rPr>
      <w:tab/>
      <w:t xml:space="preserve">                                           </w:t>
    </w:r>
  </w:p>
  <w:p w14:paraId="46D6DE4C"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C1AF74E" w14:textId="77777777" w:rsidR="00601B05" w:rsidRDefault="00EB6541">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63B3" w14:textId="77777777" w:rsidR="002C58C9" w:rsidRDefault="002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70C8" w14:textId="77777777" w:rsidR="00E1395F" w:rsidRDefault="00E1395F">
      <w:r>
        <w:rPr>
          <w:color w:val="000000"/>
        </w:rPr>
        <w:separator/>
      </w:r>
    </w:p>
  </w:footnote>
  <w:footnote w:type="continuationSeparator" w:id="0">
    <w:p w14:paraId="43DDF8BD" w14:textId="77777777" w:rsidR="00E1395F" w:rsidRDefault="00E1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2864" w14:textId="77777777" w:rsidR="002C58C9" w:rsidRDefault="002C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CFA5" w14:textId="532E9A4B" w:rsidR="00601B05" w:rsidRDefault="00EB6541">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14:paraId="35F9C129"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CB6" w14:textId="77777777" w:rsidR="002C58C9" w:rsidRDefault="002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43EC"/>
    <w:multiLevelType w:val="multilevel"/>
    <w:tmpl w:val="F644455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A78FF"/>
    <w:multiLevelType w:val="multilevel"/>
    <w:tmpl w:val="3F3A023E"/>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5756222"/>
    <w:multiLevelType w:val="multilevel"/>
    <w:tmpl w:val="08AE4C60"/>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5A62FB"/>
    <w:multiLevelType w:val="multilevel"/>
    <w:tmpl w:val="2812C1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C7C74A2"/>
    <w:multiLevelType w:val="multilevel"/>
    <w:tmpl w:val="9E14EB7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5"/>
    <w:rsid w:val="001A5F3A"/>
    <w:rsid w:val="001C6949"/>
    <w:rsid w:val="002A2C08"/>
    <w:rsid w:val="002C58C9"/>
    <w:rsid w:val="002F554E"/>
    <w:rsid w:val="003401C5"/>
    <w:rsid w:val="003E785A"/>
    <w:rsid w:val="004278F0"/>
    <w:rsid w:val="00470D0D"/>
    <w:rsid w:val="005C418E"/>
    <w:rsid w:val="006159A5"/>
    <w:rsid w:val="00655EA6"/>
    <w:rsid w:val="006D7856"/>
    <w:rsid w:val="00764D15"/>
    <w:rsid w:val="007A6D61"/>
    <w:rsid w:val="007C5769"/>
    <w:rsid w:val="007D6B93"/>
    <w:rsid w:val="007F411A"/>
    <w:rsid w:val="008269BB"/>
    <w:rsid w:val="009A7EFC"/>
    <w:rsid w:val="00BB0EA2"/>
    <w:rsid w:val="00BB3036"/>
    <w:rsid w:val="00BE37B5"/>
    <w:rsid w:val="00BF71F0"/>
    <w:rsid w:val="00C85715"/>
    <w:rsid w:val="00D03149"/>
    <w:rsid w:val="00E1395F"/>
    <w:rsid w:val="00E4132B"/>
    <w:rsid w:val="00E44794"/>
    <w:rsid w:val="00E5091E"/>
    <w:rsid w:val="00E6034D"/>
    <w:rsid w:val="00EB6541"/>
    <w:rsid w:val="00ED1890"/>
    <w:rsid w:val="00FC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F52F"/>
  <w15:docId w15:val="{EF76D59E-D233-463C-8164-AD45741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Spacing">
    <w:name w:val="No Spacing"/>
    <w:uiPriority w:val="1"/>
    <w:qFormat/>
    <w:rsid w:val="00C85715"/>
    <w:pPr>
      <w:widowControl/>
      <w:suppressAutoHyphens/>
    </w:pPr>
    <w:rPr>
      <w:rFonts w:cs="Mangal"/>
      <w:szCs w:val="20"/>
    </w:rPr>
  </w:style>
  <w:style w:type="character" w:styleId="Hyperlink">
    <w:name w:val="Hyperlink"/>
    <w:basedOn w:val="DefaultParagraphFont"/>
    <w:uiPriority w:val="99"/>
    <w:unhideWhenUsed/>
    <w:rsid w:val="00C85715"/>
    <w:rPr>
      <w:color w:val="0563C1" w:themeColor="hyperlink"/>
      <w:u w:val="single"/>
    </w:rPr>
  </w:style>
  <w:style w:type="character" w:styleId="UnresolvedMention">
    <w:name w:val="Unresolved Mention"/>
    <w:basedOn w:val="DefaultParagraphFont"/>
    <w:uiPriority w:val="99"/>
    <w:semiHidden/>
    <w:unhideWhenUsed/>
    <w:rsid w:val="00C85715"/>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40280">
      <w:bodyDiv w:val="1"/>
      <w:marLeft w:val="0"/>
      <w:marRight w:val="0"/>
      <w:marTop w:val="0"/>
      <w:marBottom w:val="0"/>
      <w:divBdr>
        <w:top w:val="none" w:sz="0" w:space="0" w:color="auto"/>
        <w:left w:val="none" w:sz="0" w:space="0" w:color="auto"/>
        <w:bottom w:val="none" w:sz="0" w:space="0" w:color="auto"/>
        <w:right w:val="none" w:sz="0" w:space="0" w:color="auto"/>
      </w:divBdr>
    </w:div>
    <w:div w:id="1000691242">
      <w:bodyDiv w:val="1"/>
      <w:marLeft w:val="0"/>
      <w:marRight w:val="0"/>
      <w:marTop w:val="0"/>
      <w:marBottom w:val="0"/>
      <w:divBdr>
        <w:top w:val="none" w:sz="0" w:space="0" w:color="auto"/>
        <w:left w:val="none" w:sz="0" w:space="0" w:color="auto"/>
        <w:bottom w:val="none" w:sz="0" w:space="0" w:color="auto"/>
        <w:right w:val="none" w:sz="0" w:space="0" w:color="auto"/>
      </w:divBdr>
    </w:div>
    <w:div w:id="1271426532">
      <w:bodyDiv w:val="1"/>
      <w:marLeft w:val="0"/>
      <w:marRight w:val="0"/>
      <w:marTop w:val="0"/>
      <w:marBottom w:val="0"/>
      <w:divBdr>
        <w:top w:val="none" w:sz="0" w:space="0" w:color="auto"/>
        <w:left w:val="none" w:sz="0" w:space="0" w:color="auto"/>
        <w:bottom w:val="none" w:sz="0" w:space="0" w:color="auto"/>
        <w:right w:val="none" w:sz="0" w:space="0" w:color="auto"/>
      </w:divBdr>
    </w:div>
    <w:div w:id="1315452238">
      <w:bodyDiv w:val="1"/>
      <w:marLeft w:val="0"/>
      <w:marRight w:val="0"/>
      <w:marTop w:val="0"/>
      <w:marBottom w:val="0"/>
      <w:divBdr>
        <w:top w:val="none" w:sz="0" w:space="0" w:color="auto"/>
        <w:left w:val="none" w:sz="0" w:space="0" w:color="auto"/>
        <w:bottom w:val="none" w:sz="0" w:space="0" w:color="auto"/>
        <w:right w:val="none" w:sz="0" w:space="0" w:color="auto"/>
      </w:divBdr>
    </w:div>
    <w:div w:id="1382751109">
      <w:bodyDiv w:val="1"/>
      <w:marLeft w:val="0"/>
      <w:marRight w:val="0"/>
      <w:marTop w:val="0"/>
      <w:marBottom w:val="0"/>
      <w:divBdr>
        <w:top w:val="none" w:sz="0" w:space="0" w:color="auto"/>
        <w:left w:val="none" w:sz="0" w:space="0" w:color="auto"/>
        <w:bottom w:val="none" w:sz="0" w:space="0" w:color="auto"/>
        <w:right w:val="none" w:sz="0" w:space="0" w:color="auto"/>
      </w:divBdr>
    </w:div>
    <w:div w:id="1518931981">
      <w:bodyDiv w:val="1"/>
      <w:marLeft w:val="0"/>
      <w:marRight w:val="0"/>
      <w:marTop w:val="0"/>
      <w:marBottom w:val="0"/>
      <w:divBdr>
        <w:top w:val="none" w:sz="0" w:space="0" w:color="auto"/>
        <w:left w:val="none" w:sz="0" w:space="0" w:color="auto"/>
        <w:bottom w:val="none" w:sz="0" w:space="0" w:color="auto"/>
        <w:right w:val="none" w:sz="0" w:space="0" w:color="auto"/>
      </w:divBdr>
    </w:div>
    <w:div w:id="1630092420">
      <w:bodyDiv w:val="1"/>
      <w:marLeft w:val="0"/>
      <w:marRight w:val="0"/>
      <w:marTop w:val="0"/>
      <w:marBottom w:val="0"/>
      <w:divBdr>
        <w:top w:val="none" w:sz="0" w:space="0" w:color="auto"/>
        <w:left w:val="none" w:sz="0" w:space="0" w:color="auto"/>
        <w:bottom w:val="none" w:sz="0" w:space="0" w:color="auto"/>
        <w:right w:val="none" w:sz="0" w:space="0" w:color="auto"/>
      </w:divBdr>
    </w:div>
    <w:div w:id="2049836765">
      <w:bodyDiv w:val="1"/>
      <w:marLeft w:val="0"/>
      <w:marRight w:val="0"/>
      <w:marTop w:val="0"/>
      <w:marBottom w:val="0"/>
      <w:divBdr>
        <w:top w:val="none" w:sz="0" w:space="0" w:color="auto"/>
        <w:left w:val="none" w:sz="0" w:space="0" w:color="auto"/>
        <w:bottom w:val="none" w:sz="0" w:space="0" w:color="auto"/>
        <w:right w:val="none" w:sz="0" w:space="0" w:color="auto"/>
      </w:divBdr>
    </w:div>
    <w:div w:id="2099057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Nick Williams</cp:lastModifiedBy>
  <cp:revision>6</cp:revision>
  <dcterms:created xsi:type="dcterms:W3CDTF">2023-12-07T13:12:00Z</dcterms:created>
  <dcterms:modified xsi:type="dcterms:W3CDTF">2024-02-19T15:23:00Z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