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27" w:rsidRPr="00763214" w:rsidRDefault="008E3227" w:rsidP="008E3227">
      <w:pPr>
        <w:rPr>
          <w:rFonts w:asciiTheme="minorHAnsi" w:hAnsiTheme="minorHAnsi"/>
          <w:b/>
        </w:rPr>
      </w:pPr>
    </w:p>
    <w:p w:rsidR="00600704" w:rsidRPr="00763214" w:rsidRDefault="00600704" w:rsidP="008E3227">
      <w:pPr>
        <w:rPr>
          <w:rFonts w:asciiTheme="minorHAnsi" w:hAnsiTheme="minorHAnsi" w:cs="Arial"/>
          <w:b/>
          <w:bCs/>
          <w:lang w:val="en"/>
        </w:rPr>
      </w:pPr>
      <w:r w:rsidRPr="00763214">
        <w:rPr>
          <w:rFonts w:asciiTheme="minorHAnsi" w:hAnsiTheme="minorHAnsi" w:cs="Arial"/>
          <w:b/>
          <w:sz w:val="24"/>
          <w:lang w:val="en"/>
        </w:rPr>
        <w:t xml:space="preserve">TRN1369/10/17: </w:t>
      </w:r>
      <w:r w:rsidRPr="00763214">
        <w:rPr>
          <w:rFonts w:asciiTheme="minorHAnsi" w:hAnsiTheme="minorHAnsi" w:cs="Arial"/>
          <w:b/>
          <w:bCs/>
          <w:sz w:val="24"/>
          <w:lang w:val="en"/>
        </w:rPr>
        <w:t>Heat Network Sizing and Costing Tool</w:t>
      </w:r>
    </w:p>
    <w:p w:rsidR="008E3227" w:rsidRPr="00763214" w:rsidRDefault="008E3227" w:rsidP="008E3227">
      <w:pPr>
        <w:rPr>
          <w:rFonts w:asciiTheme="minorHAnsi" w:hAnsiTheme="minorHAnsi"/>
          <w:b/>
        </w:rPr>
      </w:pPr>
    </w:p>
    <w:p w:rsidR="008E3227" w:rsidRPr="00763214" w:rsidRDefault="008E3227" w:rsidP="008E3227">
      <w:pPr>
        <w:rPr>
          <w:rFonts w:asciiTheme="minorHAnsi" w:hAnsiTheme="minorHAnsi"/>
          <w:b/>
        </w:rPr>
      </w:pPr>
    </w:p>
    <w:p w:rsidR="00763214" w:rsidRPr="00763214" w:rsidRDefault="00763214" w:rsidP="00763214">
      <w:pPr>
        <w:rPr>
          <w:rFonts w:asciiTheme="minorHAnsi" w:hAnsiTheme="minorHAnsi"/>
          <w:b/>
        </w:rPr>
      </w:pPr>
      <w:r w:rsidRPr="00763214">
        <w:rPr>
          <w:rFonts w:asciiTheme="minorHAnsi" w:hAnsiTheme="minorHAnsi"/>
          <w:b/>
        </w:rPr>
        <w:t xml:space="preserve">Q1. </w:t>
      </w:r>
      <w:r w:rsidRPr="00763214">
        <w:rPr>
          <w:rFonts w:asciiTheme="minorHAnsi" w:hAnsiTheme="minorHAnsi"/>
          <w:b/>
        </w:rPr>
        <w:t>Re: “The outputs, raw data and tools developed in the research cannot therefore be used for contractors for purposes other than our work.”</w:t>
      </w:r>
    </w:p>
    <w:p w:rsidR="00763214" w:rsidRPr="00763214" w:rsidRDefault="00763214" w:rsidP="00763214">
      <w:pPr>
        <w:rPr>
          <w:rFonts w:asciiTheme="minorHAnsi" w:hAnsiTheme="minorHAnsi"/>
          <w:b/>
        </w:rPr>
      </w:pPr>
      <w:r w:rsidRPr="00763214">
        <w:rPr>
          <w:rFonts w:asciiTheme="minorHAnsi" w:hAnsiTheme="minorHAnsi"/>
          <w:b/>
        </w:rPr>
        <w:t>Can the outputs, raw data and tools developed be used for internal training purposes of the contractor?</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r w:rsidRPr="00763214">
        <w:rPr>
          <w:rFonts w:asciiTheme="minorHAnsi" w:hAnsiTheme="minorHAnsi"/>
        </w:rPr>
        <w:t>This data protection clause is to secure information that is considered commercially sensitive but if the data isn’t sensitive, BEIS will likely give permission for the data to be used for other purposes. It would be understood that the contractor will in this case notify BEIS and give reference to this project when requesting to use the data for any other purposes to ensure the right protocol is followed</w:t>
      </w:r>
      <w:r w:rsidRPr="00763214">
        <w:rPr>
          <w:rFonts w:asciiTheme="minorHAnsi" w:hAnsiTheme="minorHAnsi"/>
        </w:rPr>
        <w:t>.</w:t>
      </w:r>
      <w:r w:rsidRPr="00763214">
        <w:rPr>
          <w:rFonts w:asciiTheme="minorHAnsi" w:hAnsiTheme="minorHAnsi"/>
        </w:rPr>
        <w:t xml:space="preserve"> </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r w:rsidRPr="00763214">
        <w:rPr>
          <w:rFonts w:asciiTheme="minorHAnsi" w:hAnsiTheme="minorHAnsi"/>
        </w:rPr>
        <w:t>As for the tool and outputs, BEIS would like to control development as the owner of these products. Creating future versions of the tool has to be approved by BEIS. But if the purpose is for training then this isn’t an issue.  Note that BEIS has a policy of making it</w:t>
      </w:r>
      <w:r w:rsidRPr="00763214">
        <w:rPr>
          <w:rFonts w:asciiTheme="minorHAnsi" w:hAnsiTheme="minorHAnsi"/>
        </w:rPr>
        <w:t>s</w:t>
      </w:r>
      <w:r w:rsidRPr="00763214">
        <w:rPr>
          <w:rFonts w:asciiTheme="minorHAnsi" w:hAnsiTheme="minorHAnsi"/>
        </w:rPr>
        <w:t xml:space="preserve"> tools available to the public as part of its transparency agenda.  </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b/>
        </w:rPr>
      </w:pPr>
      <w:r w:rsidRPr="00763214">
        <w:rPr>
          <w:rFonts w:asciiTheme="minorHAnsi" w:hAnsiTheme="minorHAnsi"/>
          <w:b/>
        </w:rPr>
        <w:t>Q2</w:t>
      </w:r>
      <w:r w:rsidRPr="00763214">
        <w:rPr>
          <w:rFonts w:asciiTheme="minorHAnsi" w:hAnsiTheme="minorHAnsi"/>
          <w:b/>
        </w:rPr>
        <w:t>.</w:t>
      </w:r>
      <w:r w:rsidRPr="00763214">
        <w:rPr>
          <w:rFonts w:asciiTheme="minorHAnsi" w:hAnsiTheme="minorHAnsi"/>
          <w:b/>
        </w:rPr>
        <w:t xml:space="preserve"> Re: “All outputs listed in section 5 (with the exception of project updates and the handover and support activity) should be accessible, non-</w:t>
      </w:r>
      <w:proofErr w:type="spellStart"/>
      <w:r w:rsidRPr="00763214">
        <w:rPr>
          <w:rFonts w:asciiTheme="minorHAnsi" w:hAnsiTheme="minorHAnsi"/>
          <w:b/>
        </w:rPr>
        <w:t>disclosive</w:t>
      </w:r>
      <w:proofErr w:type="spellEnd"/>
      <w:r w:rsidRPr="00763214">
        <w:rPr>
          <w:rFonts w:asciiTheme="minorHAnsi" w:hAnsiTheme="minorHAnsi"/>
          <w:b/>
        </w:rPr>
        <w:t xml:space="preserve"> and suitable for publication and further use</w:t>
      </w:r>
      <w:r w:rsidRPr="00763214">
        <w:rPr>
          <w:rFonts w:asciiTheme="minorHAnsi" w:hAnsiTheme="minorHAnsi"/>
          <w:b/>
        </w:rPr>
        <w:t>.</w:t>
      </w:r>
      <w:r w:rsidRPr="00763214">
        <w:rPr>
          <w:rFonts w:asciiTheme="minorHAnsi" w:hAnsiTheme="minorHAnsi"/>
          <w:b/>
        </w:rPr>
        <w:t>”</w:t>
      </w:r>
    </w:p>
    <w:p w:rsidR="00763214" w:rsidRPr="00763214" w:rsidRDefault="00763214" w:rsidP="00763214">
      <w:pPr>
        <w:rPr>
          <w:rFonts w:asciiTheme="minorHAnsi" w:hAnsiTheme="minorHAnsi"/>
          <w:b/>
        </w:rPr>
      </w:pPr>
      <w:r w:rsidRPr="00763214">
        <w:rPr>
          <w:rFonts w:asciiTheme="minorHAnsi" w:hAnsiTheme="minorHAnsi"/>
          <w:b/>
        </w:rPr>
        <w:t>Does this refer to publication in the public domain?</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r w:rsidRPr="00763214">
        <w:rPr>
          <w:rFonts w:asciiTheme="minorHAnsi" w:hAnsiTheme="minorHAnsi"/>
        </w:rPr>
        <w:t>As mentioned in the Clean Growth Strategy, BEIS is aiming to publish a summary of the evidence around strategic decarbonisation of heat in summer 2018. BEIS may extend this to cover models and tools that have contributed to this. So publication in this context should be interpreted as the public domain.</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b/>
        </w:rPr>
      </w:pPr>
      <w:r w:rsidRPr="00763214">
        <w:rPr>
          <w:rFonts w:asciiTheme="minorHAnsi" w:hAnsiTheme="minorHAnsi"/>
          <w:b/>
        </w:rPr>
        <w:t>Q3.</w:t>
      </w:r>
      <w:r w:rsidRPr="00763214">
        <w:rPr>
          <w:rFonts w:asciiTheme="minorHAnsi" w:hAnsiTheme="minorHAnsi"/>
          <w:b/>
        </w:rPr>
        <w:t xml:space="preserve"> Can you guarantee that capex and </w:t>
      </w:r>
      <w:proofErr w:type="spellStart"/>
      <w:r w:rsidRPr="00763214">
        <w:rPr>
          <w:rFonts w:asciiTheme="minorHAnsi" w:hAnsiTheme="minorHAnsi"/>
          <w:b/>
        </w:rPr>
        <w:t>opex</w:t>
      </w:r>
      <w:proofErr w:type="spellEnd"/>
      <w:r w:rsidRPr="00763214">
        <w:rPr>
          <w:rFonts w:asciiTheme="minorHAnsi" w:hAnsiTheme="minorHAnsi"/>
          <w:b/>
        </w:rPr>
        <w:t xml:space="preserve"> costs will not be published on an individualised breakdown (product level) e.g. cost assumptions for heat interface </w:t>
      </w:r>
      <w:proofErr w:type="gramStart"/>
      <w:r w:rsidRPr="00763214">
        <w:rPr>
          <w:rFonts w:asciiTheme="minorHAnsi" w:hAnsiTheme="minorHAnsi"/>
          <w:b/>
        </w:rPr>
        <w:t>units.</w:t>
      </w:r>
      <w:proofErr w:type="gramEnd"/>
      <w:r w:rsidRPr="00763214">
        <w:rPr>
          <w:rFonts w:asciiTheme="minorHAnsi" w:hAnsiTheme="minorHAnsi"/>
          <w:b/>
        </w:rPr>
        <w:t xml:space="preserve">  </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r w:rsidRPr="00763214">
        <w:rPr>
          <w:rFonts w:asciiTheme="minorHAnsi" w:hAnsiTheme="minorHAnsi"/>
        </w:rPr>
        <w:t>BEIS will require that assumptions are understood at a granular level to ensure these are robust. When it comes to reporting – then if information is commercially sensitive then it can be aggregated at a higher level. However, we would expect that cost assumptions should be based off a number of manufacturers.</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b/>
        </w:rPr>
      </w:pPr>
      <w:r w:rsidRPr="00763214">
        <w:rPr>
          <w:rFonts w:asciiTheme="minorHAnsi" w:hAnsiTheme="minorHAnsi"/>
          <w:b/>
        </w:rPr>
        <w:t xml:space="preserve">Q4. </w:t>
      </w:r>
      <w:r w:rsidRPr="00763214">
        <w:rPr>
          <w:rFonts w:asciiTheme="minorHAnsi" w:hAnsiTheme="minorHAnsi"/>
          <w:b/>
        </w:rPr>
        <w:t xml:space="preserve"> Re</w:t>
      </w:r>
      <w:r w:rsidRPr="00763214">
        <w:rPr>
          <w:rFonts w:asciiTheme="minorHAnsi" w:hAnsiTheme="minorHAnsi"/>
          <w:b/>
        </w:rPr>
        <w:t>:</w:t>
      </w:r>
      <w:r>
        <w:rPr>
          <w:rFonts w:asciiTheme="minorHAnsi" w:hAnsiTheme="minorHAnsi"/>
          <w:b/>
        </w:rPr>
        <w:t xml:space="preserve"> “6. </w:t>
      </w:r>
      <w:proofErr w:type="gramStart"/>
      <w:r w:rsidRPr="00763214">
        <w:rPr>
          <w:rFonts w:asciiTheme="minorHAnsi" w:hAnsiTheme="minorHAnsi"/>
          <w:b/>
        </w:rPr>
        <w:t>The</w:t>
      </w:r>
      <w:proofErr w:type="gramEnd"/>
      <w:r w:rsidRPr="00763214">
        <w:rPr>
          <w:rFonts w:asciiTheme="minorHAnsi" w:hAnsiTheme="minorHAnsi"/>
          <w:b/>
        </w:rPr>
        <w:t xml:space="preserve"> optimisation goal of the tool minimising life-time cost.”</w:t>
      </w:r>
    </w:p>
    <w:p w:rsidR="00763214" w:rsidRPr="00763214" w:rsidRDefault="00763214" w:rsidP="00763214">
      <w:pPr>
        <w:rPr>
          <w:rFonts w:asciiTheme="minorHAnsi" w:hAnsiTheme="minorHAnsi"/>
          <w:b/>
        </w:rPr>
      </w:pPr>
      <w:proofErr w:type="gramStart"/>
      <w:r w:rsidRPr="00763214">
        <w:rPr>
          <w:rFonts w:asciiTheme="minorHAnsi" w:hAnsiTheme="minorHAnsi"/>
          <w:b/>
        </w:rPr>
        <w:t>Are HNDU feasibility study</w:t>
      </w:r>
      <w:proofErr w:type="gramEnd"/>
      <w:r w:rsidRPr="00763214">
        <w:rPr>
          <w:rFonts w:asciiTheme="minorHAnsi" w:hAnsiTheme="minorHAnsi"/>
          <w:b/>
        </w:rPr>
        <w:t xml:space="preserve"> modelling standards applicable here?</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r w:rsidRPr="00763214">
        <w:rPr>
          <w:rFonts w:asciiTheme="minorHAnsi" w:hAnsiTheme="minorHAnsi"/>
        </w:rPr>
        <w:t>The overriding requirement is that modelling is consistent with BEIS modelling standards outlined below</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hyperlink r:id="rId7" w:history="1">
        <w:r w:rsidRPr="00763214">
          <w:rPr>
            <w:rStyle w:val="Hyperlink"/>
            <w:rFonts w:asciiTheme="minorHAnsi" w:hAnsiTheme="minorHAnsi"/>
            <w:color w:val="auto"/>
          </w:rPr>
          <w:t>https://www.gov.uk/government/collections/quality-assurance-tools-and-guidance-in-decc</w:t>
        </w:r>
      </w:hyperlink>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p>
    <w:p w:rsidR="00763214" w:rsidRDefault="00763214" w:rsidP="00763214">
      <w:pPr>
        <w:rPr>
          <w:rFonts w:asciiTheme="minorHAnsi" w:hAnsiTheme="minorHAnsi"/>
          <w:b/>
        </w:rPr>
      </w:pPr>
    </w:p>
    <w:p w:rsidR="00763214" w:rsidRDefault="00763214" w:rsidP="00763214">
      <w:pPr>
        <w:rPr>
          <w:rFonts w:asciiTheme="minorHAnsi" w:hAnsiTheme="minorHAnsi"/>
          <w:b/>
        </w:rPr>
      </w:pPr>
    </w:p>
    <w:p w:rsidR="00763214" w:rsidRDefault="00763214" w:rsidP="00763214">
      <w:pPr>
        <w:rPr>
          <w:rFonts w:asciiTheme="minorHAnsi" w:hAnsiTheme="minorHAnsi"/>
          <w:b/>
        </w:rPr>
      </w:pPr>
    </w:p>
    <w:p w:rsidR="00763214" w:rsidRPr="00763214" w:rsidRDefault="00763214" w:rsidP="00763214">
      <w:pPr>
        <w:rPr>
          <w:rFonts w:asciiTheme="minorHAnsi" w:hAnsiTheme="minorHAnsi"/>
          <w:b/>
        </w:rPr>
      </w:pPr>
      <w:bookmarkStart w:id="0" w:name="_GoBack"/>
      <w:bookmarkEnd w:id="0"/>
      <w:r>
        <w:rPr>
          <w:rFonts w:asciiTheme="minorHAnsi" w:hAnsiTheme="minorHAnsi"/>
          <w:b/>
        </w:rPr>
        <w:lastRenderedPageBreak/>
        <w:t>Q5.</w:t>
      </w:r>
      <w:r w:rsidRPr="00763214">
        <w:rPr>
          <w:rFonts w:asciiTheme="minorHAnsi" w:hAnsiTheme="minorHAnsi"/>
          <w:b/>
        </w:rPr>
        <w:t xml:space="preserve"> Is input of *.DWG-format files required?</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rPr>
      </w:pPr>
      <w:r w:rsidRPr="00763214">
        <w:rPr>
          <w:rFonts w:asciiTheme="minorHAnsi" w:hAnsiTheme="minorHAnsi"/>
        </w:rPr>
        <w:t xml:space="preserve">The contractor is free to choose software but must recognise that BEIS will need to be able to use the software and therefore they need to consider issues such as licencing and skills transfer as part of their bid. The contractor will also need to consider what information needs to be outputted to Excel (or *.csv) files to allow BEIS to use the results for in-house analysis. </w:t>
      </w:r>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b/>
        </w:rPr>
      </w:pPr>
      <w:r w:rsidRPr="00763214">
        <w:rPr>
          <w:rFonts w:asciiTheme="minorHAnsi" w:hAnsiTheme="minorHAnsi"/>
          <w:b/>
        </w:rPr>
        <w:t>Q6.</w:t>
      </w:r>
      <w:r w:rsidRPr="00763214">
        <w:rPr>
          <w:rFonts w:asciiTheme="minorHAnsi" w:hAnsiTheme="minorHAnsi"/>
          <w:b/>
        </w:rPr>
        <w:t xml:space="preserve"> Could you please confirm the countries to which the tool needs to be </w:t>
      </w:r>
      <w:proofErr w:type="gramStart"/>
      <w:r w:rsidRPr="00763214">
        <w:rPr>
          <w:rFonts w:asciiTheme="minorHAnsi" w:hAnsiTheme="minorHAnsi"/>
          <w:b/>
        </w:rPr>
        <w:t>applicable.</w:t>
      </w:r>
      <w:proofErr w:type="gramEnd"/>
    </w:p>
    <w:p w:rsidR="00763214" w:rsidRPr="00763214" w:rsidRDefault="00763214" w:rsidP="00763214">
      <w:pPr>
        <w:rPr>
          <w:rFonts w:asciiTheme="minorHAnsi" w:hAnsiTheme="minorHAnsi"/>
        </w:rPr>
      </w:pPr>
    </w:p>
    <w:p w:rsidR="00763214" w:rsidRPr="00763214" w:rsidRDefault="00763214" w:rsidP="00763214">
      <w:pPr>
        <w:rPr>
          <w:rFonts w:asciiTheme="minorHAnsi" w:hAnsiTheme="minorHAnsi" w:cs="Arial"/>
          <w:lang w:eastAsia="en-GB"/>
        </w:rPr>
      </w:pPr>
      <w:r w:rsidRPr="00763214">
        <w:rPr>
          <w:rFonts w:asciiTheme="minorHAnsi" w:hAnsiTheme="minorHAnsi" w:cs="Arial"/>
          <w:lang w:eastAsia="en-GB"/>
        </w:rPr>
        <w:t xml:space="preserve">The tool would be applied to a heat network in Great Britain. </w:t>
      </w:r>
    </w:p>
    <w:p w:rsidR="007B64E5" w:rsidRPr="00763214" w:rsidRDefault="007B64E5" w:rsidP="00763214">
      <w:pPr>
        <w:rPr>
          <w:rFonts w:asciiTheme="minorHAnsi" w:hAnsiTheme="minorHAnsi"/>
        </w:rPr>
      </w:pPr>
    </w:p>
    <w:sectPr w:rsidR="007B64E5" w:rsidRPr="0076321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04" w:rsidRDefault="00600704" w:rsidP="00600704">
      <w:r>
        <w:separator/>
      </w:r>
    </w:p>
  </w:endnote>
  <w:endnote w:type="continuationSeparator" w:id="0">
    <w:p w:rsidR="00600704" w:rsidRDefault="00600704" w:rsidP="0060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071636"/>
      <w:docPartObj>
        <w:docPartGallery w:val="Page Numbers (Bottom of Page)"/>
        <w:docPartUnique/>
      </w:docPartObj>
    </w:sdtPr>
    <w:sdtEndPr>
      <w:rPr>
        <w:noProof/>
      </w:rPr>
    </w:sdtEndPr>
    <w:sdtContent>
      <w:p w:rsidR="00763214" w:rsidRDefault="0076321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63214" w:rsidRDefault="00763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04" w:rsidRDefault="00600704" w:rsidP="00600704">
      <w:r>
        <w:separator/>
      </w:r>
    </w:p>
  </w:footnote>
  <w:footnote w:type="continuationSeparator" w:id="0">
    <w:p w:rsidR="00600704" w:rsidRDefault="00600704" w:rsidP="00600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04" w:rsidRDefault="00600704" w:rsidP="00600704">
    <w:pPr>
      <w:pStyle w:val="Header"/>
      <w:jc w:val="right"/>
    </w:pPr>
    <w:r>
      <w:rPr>
        <w:rFonts w:ascii="Helvetica" w:hAnsi="Helvetica" w:cs="Helvetica"/>
        <w:noProof/>
        <w:color w:val="002C77"/>
        <w:sz w:val="24"/>
        <w:szCs w:val="24"/>
        <w:lang w:eastAsia="en-GB"/>
      </w:rPr>
      <w:drawing>
        <wp:inline distT="0" distB="0" distL="0" distR="0" wp14:anchorId="5576A37C" wp14:editId="436AB998">
          <wp:extent cx="1085850" cy="574596"/>
          <wp:effectExtent l="0" t="0" r="0" b="0"/>
          <wp:docPr id="1" name="Picture 1" descr="cid:image008.png@01D1E118.4F0CD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1E118.4F0CD2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5850" cy="574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27"/>
    <w:rsid w:val="003D66A9"/>
    <w:rsid w:val="00600704"/>
    <w:rsid w:val="00763214"/>
    <w:rsid w:val="007B64E5"/>
    <w:rsid w:val="008E3227"/>
    <w:rsid w:val="00A53421"/>
    <w:rsid w:val="00E03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227"/>
    <w:rPr>
      <w:color w:val="0000FF"/>
      <w:u w:val="single"/>
    </w:rPr>
  </w:style>
  <w:style w:type="paragraph" w:styleId="BalloonText">
    <w:name w:val="Balloon Text"/>
    <w:basedOn w:val="Normal"/>
    <w:link w:val="BalloonTextChar"/>
    <w:uiPriority w:val="99"/>
    <w:semiHidden/>
    <w:unhideWhenUsed/>
    <w:rsid w:val="008E3227"/>
    <w:rPr>
      <w:rFonts w:ascii="Tahoma" w:hAnsi="Tahoma" w:cs="Tahoma"/>
      <w:sz w:val="16"/>
      <w:szCs w:val="16"/>
    </w:rPr>
  </w:style>
  <w:style w:type="character" w:customStyle="1" w:styleId="BalloonTextChar">
    <w:name w:val="Balloon Text Char"/>
    <w:basedOn w:val="DefaultParagraphFont"/>
    <w:link w:val="BalloonText"/>
    <w:uiPriority w:val="99"/>
    <w:semiHidden/>
    <w:rsid w:val="008E3227"/>
    <w:rPr>
      <w:rFonts w:ascii="Tahoma" w:hAnsi="Tahoma" w:cs="Tahoma"/>
      <w:sz w:val="16"/>
      <w:szCs w:val="16"/>
    </w:rPr>
  </w:style>
  <w:style w:type="paragraph" w:styleId="Header">
    <w:name w:val="header"/>
    <w:basedOn w:val="Normal"/>
    <w:link w:val="HeaderChar"/>
    <w:uiPriority w:val="99"/>
    <w:unhideWhenUsed/>
    <w:rsid w:val="00600704"/>
    <w:pPr>
      <w:tabs>
        <w:tab w:val="center" w:pos="4513"/>
        <w:tab w:val="right" w:pos="9026"/>
      </w:tabs>
    </w:pPr>
  </w:style>
  <w:style w:type="character" w:customStyle="1" w:styleId="HeaderChar">
    <w:name w:val="Header Char"/>
    <w:basedOn w:val="DefaultParagraphFont"/>
    <w:link w:val="Header"/>
    <w:uiPriority w:val="99"/>
    <w:rsid w:val="00600704"/>
    <w:rPr>
      <w:rFonts w:ascii="Calibri" w:hAnsi="Calibri" w:cs="Times New Roman"/>
    </w:rPr>
  </w:style>
  <w:style w:type="paragraph" w:styleId="Footer">
    <w:name w:val="footer"/>
    <w:basedOn w:val="Normal"/>
    <w:link w:val="FooterChar"/>
    <w:uiPriority w:val="99"/>
    <w:unhideWhenUsed/>
    <w:rsid w:val="00600704"/>
    <w:pPr>
      <w:tabs>
        <w:tab w:val="center" w:pos="4513"/>
        <w:tab w:val="right" w:pos="9026"/>
      </w:tabs>
    </w:pPr>
  </w:style>
  <w:style w:type="character" w:customStyle="1" w:styleId="FooterChar">
    <w:name w:val="Footer Char"/>
    <w:basedOn w:val="DefaultParagraphFont"/>
    <w:link w:val="Footer"/>
    <w:uiPriority w:val="99"/>
    <w:rsid w:val="0060070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227"/>
    <w:rPr>
      <w:color w:val="0000FF"/>
      <w:u w:val="single"/>
    </w:rPr>
  </w:style>
  <w:style w:type="paragraph" w:styleId="BalloonText">
    <w:name w:val="Balloon Text"/>
    <w:basedOn w:val="Normal"/>
    <w:link w:val="BalloonTextChar"/>
    <w:uiPriority w:val="99"/>
    <w:semiHidden/>
    <w:unhideWhenUsed/>
    <w:rsid w:val="008E3227"/>
    <w:rPr>
      <w:rFonts w:ascii="Tahoma" w:hAnsi="Tahoma" w:cs="Tahoma"/>
      <w:sz w:val="16"/>
      <w:szCs w:val="16"/>
    </w:rPr>
  </w:style>
  <w:style w:type="character" w:customStyle="1" w:styleId="BalloonTextChar">
    <w:name w:val="Balloon Text Char"/>
    <w:basedOn w:val="DefaultParagraphFont"/>
    <w:link w:val="BalloonText"/>
    <w:uiPriority w:val="99"/>
    <w:semiHidden/>
    <w:rsid w:val="008E3227"/>
    <w:rPr>
      <w:rFonts w:ascii="Tahoma" w:hAnsi="Tahoma" w:cs="Tahoma"/>
      <w:sz w:val="16"/>
      <w:szCs w:val="16"/>
    </w:rPr>
  </w:style>
  <w:style w:type="paragraph" w:styleId="Header">
    <w:name w:val="header"/>
    <w:basedOn w:val="Normal"/>
    <w:link w:val="HeaderChar"/>
    <w:uiPriority w:val="99"/>
    <w:unhideWhenUsed/>
    <w:rsid w:val="00600704"/>
    <w:pPr>
      <w:tabs>
        <w:tab w:val="center" w:pos="4513"/>
        <w:tab w:val="right" w:pos="9026"/>
      </w:tabs>
    </w:pPr>
  </w:style>
  <w:style w:type="character" w:customStyle="1" w:styleId="HeaderChar">
    <w:name w:val="Header Char"/>
    <w:basedOn w:val="DefaultParagraphFont"/>
    <w:link w:val="Header"/>
    <w:uiPriority w:val="99"/>
    <w:rsid w:val="00600704"/>
    <w:rPr>
      <w:rFonts w:ascii="Calibri" w:hAnsi="Calibri" w:cs="Times New Roman"/>
    </w:rPr>
  </w:style>
  <w:style w:type="paragraph" w:styleId="Footer">
    <w:name w:val="footer"/>
    <w:basedOn w:val="Normal"/>
    <w:link w:val="FooterChar"/>
    <w:uiPriority w:val="99"/>
    <w:unhideWhenUsed/>
    <w:rsid w:val="00600704"/>
    <w:pPr>
      <w:tabs>
        <w:tab w:val="center" w:pos="4513"/>
        <w:tab w:val="right" w:pos="9026"/>
      </w:tabs>
    </w:pPr>
  </w:style>
  <w:style w:type="character" w:customStyle="1" w:styleId="FooterChar">
    <w:name w:val="Footer Char"/>
    <w:basedOn w:val="DefaultParagraphFont"/>
    <w:link w:val="Footer"/>
    <w:uiPriority w:val="99"/>
    <w:rsid w:val="0060070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17113">
      <w:bodyDiv w:val="1"/>
      <w:marLeft w:val="0"/>
      <w:marRight w:val="0"/>
      <w:marTop w:val="0"/>
      <w:marBottom w:val="0"/>
      <w:divBdr>
        <w:top w:val="none" w:sz="0" w:space="0" w:color="auto"/>
        <w:left w:val="none" w:sz="0" w:space="0" w:color="auto"/>
        <w:bottom w:val="none" w:sz="0" w:space="0" w:color="auto"/>
        <w:right w:val="none" w:sz="0" w:space="0" w:color="auto"/>
      </w:divBdr>
    </w:div>
    <w:div w:id="176267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collections/quality-assurance-tools-and-guidance-in-dec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4757.6BB50A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Victoria (HR)</dc:creator>
  <cp:lastModifiedBy>Wheeler Victoria (HR)</cp:lastModifiedBy>
  <cp:revision>2</cp:revision>
  <dcterms:created xsi:type="dcterms:W3CDTF">2017-10-18T17:09:00Z</dcterms:created>
  <dcterms:modified xsi:type="dcterms:W3CDTF">2017-10-18T17:09:00Z</dcterms:modified>
</cp:coreProperties>
</file>