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66027" w14:textId="77777777" w:rsidR="00FA3973" w:rsidRDefault="00FA3973">
      <w:pPr>
        <w:rPr>
          <w:rFonts w:ascii="Verdana" w:eastAsia="Verdana" w:hAnsi="Verdana" w:cs="Verdana"/>
          <w:sz w:val="12"/>
          <w:szCs w:val="12"/>
        </w:rPr>
        <w:sectPr w:rsidR="00FA3973">
          <w:headerReference w:type="default" r:id="rId7"/>
          <w:footerReference w:type="default" r:id="rId8"/>
          <w:headerReference w:type="first" r:id="rId9"/>
          <w:footerReference w:type="first" r:id="rId10"/>
          <w:pgSz w:w="11906" w:h="16838"/>
          <w:pgMar w:top="567" w:right="851" w:bottom="851" w:left="851" w:header="567" w:footer="227" w:gutter="0"/>
          <w:pgNumType w:start="1"/>
          <w:cols w:space="720"/>
          <w:titlePg/>
        </w:sectPr>
      </w:pPr>
    </w:p>
    <w:p w14:paraId="5AB3838B" w14:textId="77777777" w:rsidR="00FA3973" w:rsidRDefault="00FA3973">
      <w:pPr>
        <w:rPr>
          <w:rFonts w:ascii="Verdana" w:eastAsia="Verdana" w:hAnsi="Verdana" w:cs="Verdana"/>
          <w:sz w:val="20"/>
          <w:szCs w:val="20"/>
        </w:rPr>
      </w:pPr>
    </w:p>
    <w:p w14:paraId="33CA615C" w14:textId="77777777" w:rsidR="00FA3973" w:rsidRDefault="00FA3973">
      <w:pPr>
        <w:rPr>
          <w:rFonts w:ascii="Calibri" w:eastAsia="Calibri" w:hAnsi="Calibri" w:cs="Calibri"/>
          <w:sz w:val="28"/>
          <w:szCs w:val="28"/>
        </w:rPr>
      </w:pPr>
    </w:p>
    <w:p w14:paraId="5F1A07C8" w14:textId="2F694BC4" w:rsidR="00FA3973" w:rsidRPr="00F07CE1" w:rsidRDefault="001A06B0" w:rsidP="00F07CE1">
      <w:pPr>
        <w:spacing w:after="120"/>
        <w:rPr>
          <w:rFonts w:ascii="Verdana" w:eastAsia="Verdana" w:hAnsi="Verdana" w:cs="Verdana"/>
        </w:rPr>
        <w:sectPr w:rsidR="00FA3973" w:rsidRPr="00F07CE1">
          <w:headerReference w:type="default" r:id="rId11"/>
          <w:footerReference w:type="default" r:id="rId12"/>
          <w:headerReference w:type="first" r:id="rId13"/>
          <w:footerReference w:type="first" r:id="rId14"/>
          <w:type w:val="continuous"/>
          <w:pgSz w:w="11906" w:h="16838"/>
          <w:pgMar w:top="567" w:right="851" w:bottom="851" w:left="851" w:header="567" w:footer="227" w:gutter="0"/>
          <w:cols w:space="720"/>
          <w:titlePg/>
        </w:sectPr>
      </w:pPr>
      <w:r>
        <w:rPr>
          <w:rFonts w:ascii="Verdana" w:eastAsia="Verdana" w:hAnsi="Verdana" w:cs="Verdana"/>
        </w:rPr>
        <w:t xml:space="preserve">Title: </w:t>
      </w:r>
      <w:r w:rsidR="003A3987">
        <w:rPr>
          <w:rFonts w:ascii="Verdana" w:eastAsia="Arial" w:hAnsi="Verdana" w:cs="Arial"/>
          <w:b/>
        </w:rPr>
        <w:t xml:space="preserve">NNL </w:t>
      </w:r>
      <w:r w:rsidR="006D2E86">
        <w:rPr>
          <w:rFonts w:ascii="Verdana" w:eastAsia="Arial" w:hAnsi="Verdana" w:cs="Arial"/>
          <w:b/>
        </w:rPr>
        <w:t>Open Innovation – Delivery Partner</w:t>
      </w:r>
      <w:r w:rsidR="00F07CE1">
        <w:rPr>
          <w:rFonts w:ascii="Verdana" w:eastAsia="Verdana" w:hAnsi="Verdana" w:cs="Verdana"/>
        </w:rPr>
        <w:t xml:space="preserve"> </w:t>
      </w:r>
      <w:r w:rsidR="00F07CE1" w:rsidRPr="00F07CE1">
        <w:rPr>
          <w:rFonts w:ascii="Verdana" w:eastAsia="Verdana" w:hAnsi="Verdana" w:cs="Verdana"/>
          <w:b/>
          <w:bCs/>
        </w:rPr>
        <w:t>DRAF</w:t>
      </w:r>
      <w:r w:rsidR="00F07CE1">
        <w:rPr>
          <w:rFonts w:ascii="Verdana" w:eastAsia="Verdana" w:hAnsi="Verdana" w:cs="Verdana"/>
          <w:b/>
          <w:bCs/>
        </w:rPr>
        <w:t>T</w:t>
      </w:r>
    </w:p>
    <w:p w14:paraId="0A5E5E89" w14:textId="6EB7AC6E" w:rsidR="00FA3973" w:rsidRPr="00F07CE1" w:rsidRDefault="00FA3973" w:rsidP="00F07CE1">
      <w:bookmarkStart w:id="0" w:name="_gjdgxs" w:colFirst="0" w:colLast="0"/>
      <w:bookmarkEnd w:id="0"/>
    </w:p>
    <w:p w14:paraId="6DEA6BBE" w14:textId="77777777" w:rsidR="00FA3973" w:rsidRDefault="001A06B0">
      <w:pPr>
        <w:keepNext/>
        <w:keepLines/>
        <w:pageBreakBefore/>
        <w:numPr>
          <w:ilvl w:val="0"/>
          <w:numId w:val="1"/>
        </w:numPr>
        <w:pBdr>
          <w:top w:val="nil"/>
          <w:left w:val="nil"/>
          <w:bottom w:val="nil"/>
          <w:right w:val="nil"/>
          <w:between w:val="nil"/>
        </w:pBdr>
        <w:tabs>
          <w:tab w:val="left" w:pos="851"/>
        </w:tabs>
        <w:spacing w:before="200" w:after="360"/>
        <w:rPr>
          <w:rFonts w:ascii="Verdana" w:eastAsia="Verdana" w:hAnsi="Verdana" w:cs="Verdana"/>
          <w:b/>
          <w:color w:val="000000"/>
          <w:sz w:val="20"/>
          <w:szCs w:val="20"/>
        </w:rPr>
      </w:pPr>
      <w:bookmarkStart w:id="1" w:name="_1fob9te" w:colFirst="0" w:colLast="0"/>
      <w:bookmarkEnd w:id="1"/>
      <w:r>
        <w:rPr>
          <w:rFonts w:ascii="Verdana" w:eastAsia="Verdana" w:hAnsi="Verdana" w:cs="Verdana"/>
          <w:b/>
          <w:color w:val="000000"/>
          <w:sz w:val="20"/>
          <w:szCs w:val="20"/>
        </w:rPr>
        <w:lastRenderedPageBreak/>
        <w:t>Introduction</w:t>
      </w:r>
    </w:p>
    <w:p w14:paraId="0949731E" w14:textId="758C7AF6" w:rsidR="00F07CE1" w:rsidRPr="00F07CE1" w:rsidRDefault="00F07CE1" w:rsidP="00F07CE1">
      <w:pPr>
        <w:keepNext/>
        <w:keepLines/>
        <w:pBdr>
          <w:top w:val="nil"/>
          <w:left w:val="nil"/>
          <w:bottom w:val="nil"/>
          <w:right w:val="nil"/>
          <w:between w:val="nil"/>
        </w:pBdr>
        <w:tabs>
          <w:tab w:val="left" w:pos="1276"/>
        </w:tabs>
        <w:spacing w:before="320" w:after="280"/>
        <w:rPr>
          <w:rFonts w:ascii="Verdana" w:eastAsia="Verdana" w:hAnsi="Verdana" w:cs="Verdana"/>
          <w:bCs/>
          <w:color w:val="000000"/>
          <w:sz w:val="20"/>
          <w:szCs w:val="20"/>
        </w:rPr>
      </w:pPr>
      <w:r w:rsidRPr="00F07CE1">
        <w:rPr>
          <w:rFonts w:ascii="Verdana" w:eastAsia="Verdana" w:hAnsi="Verdana" w:cs="Verdana"/>
          <w:bCs/>
          <w:color w:val="000000"/>
          <w:sz w:val="20"/>
          <w:szCs w:val="20"/>
        </w:rPr>
        <w:t>This specification is in its first draft and has been released with the request for information (RFI) to help interested suppliers to understand the requirements of the National Nuclear Laboratory and to self-evaluate whether this service requirement is something which they are able to provide. If you have any feedback regarding the specification, please send this to Emma.Kirkpatrick@UKNNL.com</w:t>
      </w:r>
    </w:p>
    <w:p w14:paraId="55344BDD" w14:textId="16D87692" w:rsidR="00FA3973" w:rsidRDefault="001A06B0">
      <w:pPr>
        <w:keepNext/>
        <w:keepLines/>
        <w:numPr>
          <w:ilvl w:val="1"/>
          <w:numId w:val="1"/>
        </w:numPr>
        <w:pBdr>
          <w:top w:val="nil"/>
          <w:left w:val="nil"/>
          <w:bottom w:val="nil"/>
          <w:right w:val="nil"/>
          <w:between w:val="nil"/>
        </w:pBdr>
        <w:tabs>
          <w:tab w:val="left" w:pos="1276"/>
        </w:tabs>
        <w:spacing w:before="320" w:after="280"/>
        <w:ind w:left="851" w:hanging="851"/>
        <w:rPr>
          <w:rFonts w:ascii="Verdana" w:eastAsia="Verdana" w:hAnsi="Verdana" w:cs="Verdana"/>
          <w:b/>
          <w:color w:val="000000"/>
          <w:sz w:val="20"/>
          <w:szCs w:val="20"/>
        </w:rPr>
      </w:pPr>
      <w:r>
        <w:rPr>
          <w:rFonts w:ascii="Verdana" w:eastAsia="Verdana" w:hAnsi="Verdana" w:cs="Verdana"/>
          <w:b/>
          <w:color w:val="000000"/>
          <w:sz w:val="20"/>
          <w:szCs w:val="20"/>
        </w:rPr>
        <w:t>Specification Outline</w:t>
      </w:r>
    </w:p>
    <w:p w14:paraId="0D6529BE" w14:textId="77777777" w:rsidR="00675618" w:rsidRPr="00F07CE1" w:rsidRDefault="00675618" w:rsidP="00675618">
      <w:pPr>
        <w:keepNext/>
        <w:keepLines/>
        <w:pBdr>
          <w:top w:val="nil"/>
          <w:left w:val="nil"/>
          <w:bottom w:val="nil"/>
          <w:right w:val="nil"/>
          <w:between w:val="nil"/>
        </w:pBdr>
        <w:tabs>
          <w:tab w:val="left" w:pos="851"/>
        </w:tabs>
        <w:spacing w:before="200" w:after="360"/>
        <w:rPr>
          <w:rFonts w:ascii="Verdana" w:eastAsia="Verdana" w:hAnsi="Verdana" w:cs="Verdana"/>
          <w:b/>
          <w:color w:val="000000"/>
          <w:sz w:val="22"/>
          <w:szCs w:val="22"/>
        </w:rPr>
      </w:pPr>
      <w:r w:rsidRPr="00F07CE1">
        <w:rPr>
          <w:rFonts w:ascii="Verdana" w:hAnsi="Verdana"/>
          <w:sz w:val="20"/>
          <w:szCs w:val="20"/>
        </w:rPr>
        <w:t>National Nuclear Laboratory is seeking a service delivery partner to support the running of the Open Innovation Programme, including project management.</w:t>
      </w:r>
    </w:p>
    <w:p w14:paraId="42FA2432" w14:textId="3F968B27" w:rsidR="00FA3973" w:rsidRDefault="001A06B0">
      <w:pPr>
        <w:keepNext/>
        <w:keepLines/>
        <w:numPr>
          <w:ilvl w:val="0"/>
          <w:numId w:val="1"/>
        </w:numPr>
        <w:pBdr>
          <w:top w:val="nil"/>
          <w:left w:val="nil"/>
          <w:bottom w:val="nil"/>
          <w:right w:val="nil"/>
          <w:between w:val="nil"/>
        </w:pBdr>
        <w:tabs>
          <w:tab w:val="left" w:pos="851"/>
        </w:tabs>
        <w:spacing w:before="200" w:after="360"/>
        <w:rPr>
          <w:rFonts w:ascii="Verdana" w:eastAsia="Verdana" w:hAnsi="Verdana" w:cs="Verdana"/>
          <w:b/>
          <w:color w:val="000000"/>
          <w:sz w:val="20"/>
          <w:szCs w:val="20"/>
        </w:rPr>
      </w:pPr>
      <w:r>
        <w:rPr>
          <w:rFonts w:ascii="Verdana" w:eastAsia="Verdana" w:hAnsi="Verdana" w:cs="Verdana"/>
          <w:b/>
          <w:color w:val="000000"/>
          <w:sz w:val="20"/>
          <w:szCs w:val="20"/>
        </w:rPr>
        <w:t>Scope</w:t>
      </w:r>
    </w:p>
    <w:p w14:paraId="10C2893E" w14:textId="77777777" w:rsidR="006D2E86" w:rsidRPr="00F07CE1" w:rsidRDefault="006D2E86" w:rsidP="006D2E86">
      <w:pPr>
        <w:spacing w:before="120" w:after="120" w:line="259" w:lineRule="auto"/>
        <w:jc w:val="both"/>
        <w:rPr>
          <w:rFonts w:ascii="Verdana" w:eastAsia="Arial" w:hAnsi="Verdana" w:cs="Arial"/>
          <w:sz w:val="20"/>
          <w:szCs w:val="20"/>
        </w:rPr>
      </w:pPr>
      <w:r w:rsidRPr="00F07CE1">
        <w:rPr>
          <w:rFonts w:ascii="Verdana" w:eastAsia="Arial" w:hAnsi="Verdana" w:cs="Arial"/>
          <w:sz w:val="20"/>
          <w:szCs w:val="20"/>
        </w:rPr>
        <w:t xml:space="preserve">NNL are currently seeking a delivery partner to help it deliver its Open Innovation programme. It aims to identify and support innovators with developing technologies that can help address: </w:t>
      </w:r>
    </w:p>
    <w:p w14:paraId="1217C1BB" w14:textId="77777777" w:rsidR="006D2E86" w:rsidRPr="00F07CE1" w:rsidRDefault="006D2E86" w:rsidP="006D2E86">
      <w:pPr>
        <w:spacing w:before="120" w:after="120" w:line="259" w:lineRule="auto"/>
        <w:jc w:val="both"/>
        <w:rPr>
          <w:rFonts w:ascii="Verdana" w:eastAsia="Arial" w:hAnsi="Verdana" w:cs="Arial"/>
          <w:sz w:val="20"/>
          <w:szCs w:val="20"/>
        </w:rPr>
      </w:pPr>
      <w:r w:rsidRPr="00F07CE1">
        <w:rPr>
          <w:rFonts w:ascii="Verdana" w:eastAsia="Arial" w:hAnsi="Verdana" w:cs="Arial"/>
          <w:sz w:val="20"/>
          <w:szCs w:val="20"/>
        </w:rPr>
        <w:t>•</w:t>
      </w:r>
      <w:r w:rsidRPr="00F07CE1">
        <w:rPr>
          <w:rFonts w:ascii="Verdana" w:eastAsia="Arial" w:hAnsi="Verdana" w:cs="Arial"/>
          <w:sz w:val="20"/>
          <w:szCs w:val="20"/>
        </w:rPr>
        <w:tab/>
        <w:t xml:space="preserve">NNL’s </w:t>
      </w:r>
      <w:proofErr w:type="gramStart"/>
      <w:r w:rsidRPr="00F07CE1">
        <w:rPr>
          <w:rFonts w:ascii="Verdana" w:eastAsia="Arial" w:hAnsi="Verdana" w:cs="Arial"/>
          <w:sz w:val="20"/>
          <w:szCs w:val="20"/>
        </w:rPr>
        <w:t>challenges;</w:t>
      </w:r>
      <w:proofErr w:type="gramEnd"/>
      <w:r w:rsidRPr="00F07CE1">
        <w:rPr>
          <w:rFonts w:ascii="Verdana" w:eastAsia="Arial" w:hAnsi="Verdana" w:cs="Arial"/>
          <w:sz w:val="20"/>
          <w:szCs w:val="20"/>
        </w:rPr>
        <w:t xml:space="preserve"> </w:t>
      </w:r>
    </w:p>
    <w:p w14:paraId="346FCADF" w14:textId="77777777" w:rsidR="006D2E86" w:rsidRPr="00F07CE1" w:rsidRDefault="006D2E86" w:rsidP="006D2E86">
      <w:pPr>
        <w:spacing w:before="120" w:after="120" w:line="259" w:lineRule="auto"/>
        <w:jc w:val="both"/>
        <w:rPr>
          <w:rFonts w:ascii="Verdana" w:eastAsia="Arial" w:hAnsi="Verdana" w:cs="Arial"/>
          <w:sz w:val="20"/>
          <w:szCs w:val="20"/>
        </w:rPr>
      </w:pPr>
      <w:r w:rsidRPr="00F07CE1">
        <w:rPr>
          <w:rFonts w:ascii="Verdana" w:eastAsia="Arial" w:hAnsi="Verdana" w:cs="Arial"/>
          <w:sz w:val="20"/>
          <w:szCs w:val="20"/>
        </w:rPr>
        <w:t>•</w:t>
      </w:r>
      <w:r w:rsidRPr="00F07CE1">
        <w:rPr>
          <w:rFonts w:ascii="Verdana" w:eastAsia="Arial" w:hAnsi="Verdana" w:cs="Arial"/>
          <w:sz w:val="20"/>
          <w:szCs w:val="20"/>
        </w:rPr>
        <w:tab/>
        <w:t xml:space="preserve">Innovation needs in national programmes; and </w:t>
      </w:r>
    </w:p>
    <w:p w14:paraId="3FC69FBC" w14:textId="77777777" w:rsidR="006D2E86" w:rsidRPr="00F07CE1" w:rsidRDefault="006D2E86" w:rsidP="00F07CE1">
      <w:pPr>
        <w:spacing w:before="120" w:after="120" w:line="259" w:lineRule="auto"/>
        <w:ind w:left="720" w:hanging="720"/>
        <w:jc w:val="both"/>
        <w:rPr>
          <w:rFonts w:ascii="Verdana" w:eastAsia="Arial" w:hAnsi="Verdana" w:cs="Arial"/>
          <w:sz w:val="20"/>
          <w:szCs w:val="20"/>
        </w:rPr>
      </w:pPr>
      <w:r w:rsidRPr="00F07CE1">
        <w:rPr>
          <w:rFonts w:ascii="Verdana" w:eastAsia="Arial" w:hAnsi="Verdana" w:cs="Arial"/>
          <w:sz w:val="20"/>
          <w:szCs w:val="20"/>
        </w:rPr>
        <w:t>•</w:t>
      </w:r>
      <w:r w:rsidRPr="00F07CE1">
        <w:rPr>
          <w:rFonts w:ascii="Verdana" w:eastAsia="Arial" w:hAnsi="Verdana" w:cs="Arial"/>
          <w:sz w:val="20"/>
          <w:szCs w:val="20"/>
        </w:rPr>
        <w:tab/>
        <w:t xml:space="preserve">Supporting NNL’s 4 Focus Areas: Health &amp; Nuclear Medicine, Environmental Restoration, Security &amp; Non-Proliferation, and Clean Energy </w:t>
      </w:r>
    </w:p>
    <w:p w14:paraId="41EAB727" w14:textId="77777777" w:rsidR="006D2E86" w:rsidRPr="00F07CE1" w:rsidRDefault="006D2E86" w:rsidP="006D2E86">
      <w:pPr>
        <w:spacing w:before="120" w:after="120" w:line="259" w:lineRule="auto"/>
        <w:jc w:val="both"/>
        <w:rPr>
          <w:rFonts w:ascii="Verdana" w:eastAsia="Arial" w:hAnsi="Verdana" w:cs="Arial"/>
          <w:sz w:val="20"/>
          <w:szCs w:val="20"/>
        </w:rPr>
      </w:pPr>
      <w:r w:rsidRPr="00F07CE1">
        <w:rPr>
          <w:rFonts w:ascii="Verdana" w:eastAsia="Arial" w:hAnsi="Verdana" w:cs="Arial"/>
          <w:sz w:val="20"/>
          <w:szCs w:val="20"/>
        </w:rPr>
        <w:t xml:space="preserve">The above challenge areas will be referred to as “NNL Challenges”. </w:t>
      </w:r>
    </w:p>
    <w:p w14:paraId="733441BA" w14:textId="2F05B0B7" w:rsidR="007C43D0" w:rsidRPr="00F07CE1" w:rsidRDefault="006D2E86" w:rsidP="006D2E86">
      <w:pPr>
        <w:spacing w:before="120" w:after="120" w:line="259" w:lineRule="auto"/>
        <w:jc w:val="both"/>
        <w:rPr>
          <w:rFonts w:ascii="Verdana" w:eastAsia="Arial" w:hAnsi="Verdana" w:cs="Arial"/>
          <w:sz w:val="20"/>
          <w:szCs w:val="20"/>
        </w:rPr>
      </w:pPr>
      <w:r w:rsidRPr="00F07CE1">
        <w:rPr>
          <w:rFonts w:ascii="Verdana" w:eastAsia="Arial" w:hAnsi="Verdana" w:cs="Arial"/>
          <w:sz w:val="20"/>
          <w:szCs w:val="20"/>
        </w:rPr>
        <w:t>The following outlines the key activities that will be undertaken by the successful partner.</w:t>
      </w:r>
    </w:p>
    <w:p w14:paraId="04125CBC" w14:textId="34D020AC" w:rsidR="006D2E86" w:rsidRPr="006D2E86" w:rsidRDefault="006D2E86" w:rsidP="006D2E86">
      <w:pPr>
        <w:keepNext/>
        <w:keepLines/>
        <w:numPr>
          <w:ilvl w:val="0"/>
          <w:numId w:val="1"/>
        </w:numPr>
        <w:pBdr>
          <w:top w:val="nil"/>
          <w:left w:val="nil"/>
          <w:bottom w:val="nil"/>
          <w:right w:val="nil"/>
          <w:between w:val="nil"/>
        </w:pBdr>
        <w:tabs>
          <w:tab w:val="left" w:pos="851"/>
        </w:tabs>
        <w:spacing w:before="200" w:after="360"/>
        <w:rPr>
          <w:rFonts w:ascii="Verdana" w:eastAsia="Verdana" w:hAnsi="Verdana" w:cs="Verdana"/>
          <w:b/>
          <w:color w:val="000000"/>
          <w:sz w:val="20"/>
          <w:szCs w:val="20"/>
        </w:rPr>
      </w:pPr>
      <w:r w:rsidRPr="006D2E86">
        <w:rPr>
          <w:rFonts w:ascii="Verdana" w:eastAsia="Verdana" w:hAnsi="Verdana" w:cs="Verdana"/>
          <w:b/>
          <w:color w:val="000000"/>
          <w:sz w:val="20"/>
          <w:szCs w:val="20"/>
        </w:rPr>
        <w:t>Key Activities</w:t>
      </w:r>
    </w:p>
    <w:p w14:paraId="4E6F5BC1" w14:textId="221D06D5" w:rsidR="006D2E86" w:rsidRPr="00F07CE1" w:rsidRDefault="006D2E86" w:rsidP="006D2E86">
      <w:pPr>
        <w:pStyle w:val="ListParagraph"/>
        <w:numPr>
          <w:ilvl w:val="0"/>
          <w:numId w:val="4"/>
        </w:numPr>
        <w:rPr>
          <w:rFonts w:eastAsia="Arial" w:cs="Arial"/>
          <w:b/>
          <w:bCs/>
          <w:szCs w:val="20"/>
        </w:rPr>
      </w:pPr>
      <w:r w:rsidRPr="00F07CE1">
        <w:rPr>
          <w:rFonts w:eastAsia="Arial" w:cs="Arial"/>
          <w:b/>
          <w:bCs/>
          <w:szCs w:val="20"/>
        </w:rPr>
        <w:t xml:space="preserve">Stimulation of New Ideas </w:t>
      </w:r>
    </w:p>
    <w:p w14:paraId="211FD8DA" w14:textId="4E00A5EC" w:rsidR="006D2E86" w:rsidRPr="00F07CE1" w:rsidRDefault="006D2E86" w:rsidP="006D2E86">
      <w:pPr>
        <w:rPr>
          <w:rFonts w:ascii="Verdana" w:eastAsia="Arial" w:hAnsi="Verdana" w:cs="Arial"/>
          <w:sz w:val="20"/>
          <w:szCs w:val="20"/>
        </w:rPr>
      </w:pPr>
      <w:proofErr w:type="gramStart"/>
      <w:r w:rsidRPr="00F07CE1">
        <w:rPr>
          <w:rFonts w:ascii="Verdana" w:eastAsia="Arial" w:hAnsi="Verdana" w:cs="Arial"/>
          <w:sz w:val="20"/>
          <w:szCs w:val="20"/>
        </w:rPr>
        <w:t>In order to</w:t>
      </w:r>
      <w:proofErr w:type="gramEnd"/>
      <w:r w:rsidRPr="00F07CE1">
        <w:rPr>
          <w:rFonts w:ascii="Verdana" w:eastAsia="Arial" w:hAnsi="Verdana" w:cs="Arial"/>
          <w:sz w:val="20"/>
          <w:szCs w:val="20"/>
        </w:rPr>
        <w:t xml:space="preserve"> stimulate the flow of new ideas and technologies and maintain a healthy innovation pipeline, it is essential that the NNL Open Innovation programme reaches out to many sectors, in all geographical regions and communicates clearly the challenges and opportunities available. </w:t>
      </w:r>
      <w:proofErr w:type="gramStart"/>
      <w:r w:rsidRPr="00F07CE1">
        <w:rPr>
          <w:rFonts w:ascii="Verdana" w:eastAsia="Arial" w:hAnsi="Verdana" w:cs="Arial"/>
          <w:sz w:val="20"/>
          <w:szCs w:val="20"/>
        </w:rPr>
        <w:t>In particular this</w:t>
      </w:r>
      <w:proofErr w:type="gramEnd"/>
      <w:r w:rsidRPr="00F07CE1">
        <w:rPr>
          <w:rFonts w:ascii="Verdana" w:eastAsia="Arial" w:hAnsi="Verdana" w:cs="Arial"/>
          <w:sz w:val="20"/>
          <w:szCs w:val="20"/>
        </w:rPr>
        <w:t xml:space="preserve"> will include highlighting where the opportunities for SMEs, HEIs and innovator communities exist. </w:t>
      </w:r>
    </w:p>
    <w:p w14:paraId="5DCEDF96"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 xml:space="preserve"> </w:t>
      </w:r>
    </w:p>
    <w:p w14:paraId="646466C4" w14:textId="77777777" w:rsidR="006D2E86" w:rsidRPr="00F07CE1" w:rsidRDefault="006D2E86" w:rsidP="006D2E86">
      <w:pPr>
        <w:spacing w:line="360" w:lineRule="auto"/>
        <w:rPr>
          <w:rFonts w:ascii="Verdana" w:eastAsia="Arial" w:hAnsi="Verdana" w:cs="Arial"/>
          <w:b/>
          <w:bCs/>
          <w:sz w:val="20"/>
          <w:szCs w:val="20"/>
        </w:rPr>
      </w:pPr>
      <w:r w:rsidRPr="00F07CE1">
        <w:rPr>
          <w:rFonts w:ascii="Verdana" w:eastAsia="Arial" w:hAnsi="Verdana" w:cs="Arial"/>
          <w:b/>
          <w:bCs/>
          <w:sz w:val="20"/>
          <w:szCs w:val="20"/>
        </w:rPr>
        <w:t xml:space="preserve">Development of focussed challenge statements  </w:t>
      </w:r>
    </w:p>
    <w:p w14:paraId="7AC74EE8"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 xml:space="preserve">The ability to “denuclearise” NNL Challenges is essential, to enable engagement with potential applicants from outside of the sector. Working closely with NNL challenge owners, the delivery partner will be expected to develop Challenge Statements that will be used to communicate NNL Open Innovation challenges in an interesting and engaging way. The Challenge Statements should include both text and imagery and needs to include, but not be limited to: </w:t>
      </w:r>
    </w:p>
    <w:p w14:paraId="4B2B1517" w14:textId="77777777" w:rsidR="006D2E86" w:rsidRPr="00F07CE1" w:rsidRDefault="006D2E86" w:rsidP="006D2E86">
      <w:pPr>
        <w:rPr>
          <w:rFonts w:ascii="Verdana" w:eastAsia="Arial" w:hAnsi="Verdana" w:cs="Arial"/>
          <w:sz w:val="20"/>
          <w:szCs w:val="20"/>
        </w:rPr>
      </w:pPr>
      <w:r w:rsidRPr="00F07CE1">
        <w:rPr>
          <w:sz w:val="20"/>
          <w:szCs w:val="20"/>
        </w:rPr>
        <w:t>•</w:t>
      </w:r>
      <w:r w:rsidRPr="00F07CE1">
        <w:rPr>
          <w:sz w:val="20"/>
          <w:szCs w:val="20"/>
        </w:rPr>
        <w:tab/>
      </w:r>
      <w:r w:rsidRPr="00F07CE1">
        <w:rPr>
          <w:rFonts w:ascii="Verdana" w:eastAsia="Arial" w:hAnsi="Verdana" w:cs="Arial"/>
          <w:sz w:val="20"/>
          <w:szCs w:val="20"/>
        </w:rPr>
        <w:t xml:space="preserve">Introduction to the Challenge </w:t>
      </w:r>
    </w:p>
    <w:p w14:paraId="4ED4E21B"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w:t>
      </w:r>
      <w:r w:rsidRPr="00F07CE1">
        <w:rPr>
          <w:rFonts w:ascii="Verdana" w:eastAsia="Arial" w:hAnsi="Verdana" w:cs="Arial"/>
          <w:sz w:val="20"/>
          <w:szCs w:val="20"/>
        </w:rPr>
        <w:tab/>
        <w:t xml:space="preserve">Current Practice (including “do nothing”) </w:t>
      </w:r>
    </w:p>
    <w:p w14:paraId="57F2FBFA"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w:t>
      </w:r>
      <w:r w:rsidRPr="00F07CE1">
        <w:rPr>
          <w:rFonts w:ascii="Verdana" w:eastAsia="Arial" w:hAnsi="Verdana" w:cs="Arial"/>
          <w:sz w:val="20"/>
          <w:szCs w:val="20"/>
        </w:rPr>
        <w:tab/>
        <w:t xml:space="preserve">Challenge aims </w:t>
      </w:r>
    </w:p>
    <w:p w14:paraId="1FB97B51"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w:t>
      </w:r>
      <w:r w:rsidRPr="00F07CE1">
        <w:rPr>
          <w:rFonts w:ascii="Verdana" w:eastAsia="Arial" w:hAnsi="Verdana" w:cs="Arial"/>
          <w:sz w:val="20"/>
          <w:szCs w:val="20"/>
        </w:rPr>
        <w:tab/>
        <w:t xml:space="preserve">Constraints </w:t>
      </w:r>
    </w:p>
    <w:p w14:paraId="29BC8F92"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w:t>
      </w:r>
      <w:r w:rsidRPr="00F07CE1">
        <w:rPr>
          <w:rFonts w:ascii="Verdana" w:eastAsia="Arial" w:hAnsi="Verdana" w:cs="Arial"/>
          <w:sz w:val="20"/>
          <w:szCs w:val="20"/>
        </w:rPr>
        <w:tab/>
        <w:t xml:space="preserve">Functional requirements </w:t>
      </w:r>
    </w:p>
    <w:p w14:paraId="41DC8FE8"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w:t>
      </w:r>
      <w:r w:rsidRPr="00F07CE1">
        <w:rPr>
          <w:rFonts w:ascii="Verdana" w:eastAsia="Arial" w:hAnsi="Verdana" w:cs="Arial"/>
          <w:sz w:val="20"/>
          <w:szCs w:val="20"/>
        </w:rPr>
        <w:tab/>
        <w:t xml:space="preserve">Opportunity for a collaborator </w:t>
      </w:r>
    </w:p>
    <w:p w14:paraId="45899624" w14:textId="77777777" w:rsidR="006D2E86" w:rsidRPr="00F07CE1" w:rsidRDefault="006D2E86" w:rsidP="006D2E86">
      <w:pPr>
        <w:rPr>
          <w:sz w:val="20"/>
          <w:szCs w:val="20"/>
        </w:rPr>
      </w:pPr>
    </w:p>
    <w:p w14:paraId="4A51BB45" w14:textId="495D108F"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The supplier should</w:t>
      </w:r>
      <w:r w:rsidR="00F07CE1" w:rsidRPr="00F07CE1">
        <w:rPr>
          <w:rFonts w:ascii="Verdana" w:eastAsia="Arial" w:hAnsi="Verdana" w:cs="Arial"/>
          <w:sz w:val="20"/>
          <w:szCs w:val="20"/>
        </w:rPr>
        <w:t xml:space="preserve"> anticipate </w:t>
      </w:r>
      <w:r w:rsidRPr="00F07CE1">
        <w:rPr>
          <w:rFonts w:ascii="Verdana" w:eastAsia="Arial" w:hAnsi="Verdana" w:cs="Arial"/>
          <w:sz w:val="20"/>
          <w:szCs w:val="20"/>
        </w:rPr>
        <w:t>6 x Challenge Statements, split over 2 challenge campaigns (3 challenge statements per campaign)</w:t>
      </w:r>
      <w:r w:rsidR="007678BE" w:rsidRPr="00F07CE1">
        <w:rPr>
          <w:rFonts w:ascii="Verdana" w:eastAsia="Arial" w:hAnsi="Verdana" w:cs="Arial"/>
          <w:sz w:val="20"/>
          <w:szCs w:val="20"/>
        </w:rPr>
        <w:t>.</w:t>
      </w:r>
      <w:r w:rsidRPr="00F07CE1">
        <w:rPr>
          <w:rFonts w:ascii="Verdana" w:eastAsia="Arial" w:hAnsi="Verdana" w:cs="Arial"/>
          <w:sz w:val="20"/>
          <w:szCs w:val="20"/>
        </w:rPr>
        <w:t xml:space="preserve"> </w:t>
      </w:r>
    </w:p>
    <w:p w14:paraId="3C8A17E3" w14:textId="77777777" w:rsidR="006D2E86" w:rsidRPr="00F07CE1" w:rsidRDefault="006D2E86" w:rsidP="006D2E86">
      <w:pPr>
        <w:rPr>
          <w:sz w:val="20"/>
          <w:szCs w:val="20"/>
        </w:rPr>
      </w:pPr>
      <w:r w:rsidRPr="00F07CE1">
        <w:rPr>
          <w:sz w:val="20"/>
          <w:szCs w:val="20"/>
        </w:rPr>
        <w:t xml:space="preserve"> </w:t>
      </w:r>
    </w:p>
    <w:p w14:paraId="18C346CB" w14:textId="77777777" w:rsidR="006D2E86" w:rsidRPr="00F07CE1" w:rsidRDefault="006D2E86" w:rsidP="006D2E86">
      <w:pPr>
        <w:spacing w:line="360" w:lineRule="auto"/>
        <w:rPr>
          <w:rFonts w:ascii="Verdana" w:eastAsia="Arial" w:hAnsi="Verdana" w:cs="Arial"/>
          <w:b/>
          <w:bCs/>
          <w:sz w:val="20"/>
          <w:szCs w:val="20"/>
        </w:rPr>
      </w:pPr>
      <w:r w:rsidRPr="00F07CE1">
        <w:rPr>
          <w:rFonts w:ascii="Verdana" w:eastAsia="Arial" w:hAnsi="Verdana" w:cs="Arial"/>
          <w:b/>
          <w:bCs/>
          <w:sz w:val="20"/>
          <w:szCs w:val="20"/>
        </w:rPr>
        <w:t xml:space="preserve">Organise and deliver NNL Open Innovation Challenge Led Events  </w:t>
      </w:r>
    </w:p>
    <w:p w14:paraId="167F9FBB"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 xml:space="preserve">These events will be organised, </w:t>
      </w:r>
      <w:proofErr w:type="gramStart"/>
      <w:r w:rsidRPr="00F07CE1">
        <w:rPr>
          <w:rFonts w:ascii="Verdana" w:eastAsia="Arial" w:hAnsi="Verdana" w:cs="Arial"/>
          <w:sz w:val="20"/>
          <w:szCs w:val="20"/>
        </w:rPr>
        <w:t>managed</w:t>
      </w:r>
      <w:proofErr w:type="gramEnd"/>
      <w:r w:rsidRPr="00F07CE1">
        <w:rPr>
          <w:rFonts w:ascii="Verdana" w:eastAsia="Arial" w:hAnsi="Verdana" w:cs="Arial"/>
          <w:sz w:val="20"/>
          <w:szCs w:val="20"/>
        </w:rPr>
        <w:t xml:space="preserve"> and delivered by the commercialisation support supplier, and will require intimate engagement with NNL stakeholders in order to deliver a focussed event </w:t>
      </w:r>
      <w:r w:rsidRPr="00F07CE1">
        <w:rPr>
          <w:rFonts w:ascii="Verdana" w:eastAsia="Arial" w:hAnsi="Verdana" w:cs="Arial"/>
          <w:sz w:val="20"/>
          <w:szCs w:val="20"/>
        </w:rPr>
        <w:lastRenderedPageBreak/>
        <w:t xml:space="preserve">that results in successfully attracting new, multi sector contacts who submit applications in support of NNL’s Challenges. These events will be delivered virtually. </w:t>
      </w:r>
    </w:p>
    <w:p w14:paraId="391F9570"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 xml:space="preserve">A wide, cross sector contact database of innovators both in the UK and internationally is a key requirement. </w:t>
      </w:r>
    </w:p>
    <w:p w14:paraId="0BB4AEA0" w14:textId="77777777" w:rsidR="006D2E86" w:rsidRPr="00F07CE1" w:rsidRDefault="006D2E86" w:rsidP="006D2E86">
      <w:pPr>
        <w:rPr>
          <w:rFonts w:ascii="Verdana" w:eastAsia="Arial" w:hAnsi="Verdana" w:cs="Arial"/>
          <w:sz w:val="20"/>
          <w:szCs w:val="20"/>
        </w:rPr>
      </w:pPr>
    </w:p>
    <w:p w14:paraId="2D9BE7CC" w14:textId="62F46DB3" w:rsidR="006D2E86" w:rsidRPr="00F07CE1" w:rsidRDefault="00F07CE1" w:rsidP="006D2E86">
      <w:pPr>
        <w:rPr>
          <w:rFonts w:ascii="Verdana" w:eastAsia="Arial" w:hAnsi="Verdana" w:cs="Arial"/>
          <w:sz w:val="20"/>
          <w:szCs w:val="20"/>
        </w:rPr>
      </w:pPr>
      <w:r w:rsidRPr="00F07CE1">
        <w:rPr>
          <w:rFonts w:ascii="Verdana" w:eastAsia="Arial" w:hAnsi="Verdana" w:cs="Arial"/>
          <w:sz w:val="20"/>
          <w:szCs w:val="20"/>
        </w:rPr>
        <w:t>The supplier should anticipate</w:t>
      </w:r>
      <w:r w:rsidR="006D2E86" w:rsidRPr="00F07CE1">
        <w:rPr>
          <w:rFonts w:ascii="Verdana" w:eastAsia="Arial" w:hAnsi="Verdana" w:cs="Arial"/>
          <w:sz w:val="20"/>
          <w:szCs w:val="20"/>
        </w:rPr>
        <w:t xml:space="preserve"> a total of 6 webinars, one for each Challenge Statement. </w:t>
      </w:r>
    </w:p>
    <w:p w14:paraId="51185560"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 xml:space="preserve"> </w:t>
      </w:r>
    </w:p>
    <w:p w14:paraId="2D901CAB" w14:textId="77777777" w:rsidR="006D2E86" w:rsidRPr="00F07CE1" w:rsidRDefault="006D2E86" w:rsidP="006D2E86">
      <w:pPr>
        <w:spacing w:line="360" w:lineRule="auto"/>
        <w:rPr>
          <w:rFonts w:ascii="Verdana" w:eastAsia="Arial" w:hAnsi="Verdana" w:cs="Arial"/>
          <w:b/>
          <w:bCs/>
          <w:sz w:val="20"/>
          <w:szCs w:val="20"/>
        </w:rPr>
      </w:pPr>
      <w:r w:rsidRPr="00F07CE1">
        <w:rPr>
          <w:rFonts w:ascii="Verdana" w:eastAsia="Arial" w:hAnsi="Verdana" w:cs="Arial"/>
          <w:b/>
          <w:bCs/>
          <w:sz w:val="20"/>
          <w:szCs w:val="20"/>
        </w:rPr>
        <w:t xml:space="preserve">Promotion of the NNL Open Innovation Initiative </w:t>
      </w:r>
    </w:p>
    <w:p w14:paraId="0CA888F7"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 xml:space="preserve">Pro-actively engage with existing and new 'non-nuclear' industry contacts to act as a potential pipeline of NNL Open Innovation applications (e.g. Oil and Gas, Electricity, Automotive, Renewables, digital, manufacturing </w:t>
      </w:r>
      <w:proofErr w:type="gramStart"/>
      <w:r w:rsidRPr="00F07CE1">
        <w:rPr>
          <w:rFonts w:ascii="Verdana" w:eastAsia="Arial" w:hAnsi="Verdana" w:cs="Arial"/>
          <w:sz w:val="20"/>
          <w:szCs w:val="20"/>
        </w:rPr>
        <w:t>etc..</w:t>
      </w:r>
      <w:proofErr w:type="gramEnd"/>
      <w:r w:rsidRPr="00F07CE1">
        <w:rPr>
          <w:rFonts w:ascii="Verdana" w:eastAsia="Arial" w:hAnsi="Verdana" w:cs="Arial"/>
          <w:sz w:val="20"/>
          <w:szCs w:val="20"/>
        </w:rPr>
        <w:t xml:space="preserve">) </w:t>
      </w:r>
    </w:p>
    <w:p w14:paraId="389B3217"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 xml:space="preserve">Approach industry contacts and technology related organisations and institutes to highlight the Challenge Statements. This should include targeted social media campaigns, academic </w:t>
      </w:r>
      <w:proofErr w:type="gramStart"/>
      <w:r w:rsidRPr="00F07CE1">
        <w:rPr>
          <w:rFonts w:ascii="Verdana" w:eastAsia="Arial" w:hAnsi="Verdana" w:cs="Arial"/>
          <w:sz w:val="20"/>
          <w:szCs w:val="20"/>
        </w:rPr>
        <w:t>networks</w:t>
      </w:r>
      <w:proofErr w:type="gramEnd"/>
      <w:r w:rsidRPr="00F07CE1">
        <w:rPr>
          <w:rFonts w:ascii="Verdana" w:eastAsia="Arial" w:hAnsi="Verdana" w:cs="Arial"/>
          <w:sz w:val="20"/>
          <w:szCs w:val="20"/>
        </w:rPr>
        <w:t xml:space="preserve"> and innovator communities to disseminate the challenges as broadly as possible. The aim of this activity is to present the Challenge Statements to a wide variety of sectors to attract applications for funding. </w:t>
      </w:r>
    </w:p>
    <w:p w14:paraId="34DD6556"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 xml:space="preserve"> </w:t>
      </w:r>
    </w:p>
    <w:p w14:paraId="156432BC" w14:textId="012019A8" w:rsidR="006D2E86" w:rsidRPr="00F07CE1" w:rsidRDefault="006D2E86" w:rsidP="006D2E86">
      <w:pPr>
        <w:pStyle w:val="ListParagraph"/>
        <w:numPr>
          <w:ilvl w:val="0"/>
          <w:numId w:val="4"/>
        </w:numPr>
        <w:rPr>
          <w:rFonts w:eastAsia="Arial" w:cs="Arial"/>
          <w:b/>
          <w:bCs/>
          <w:szCs w:val="20"/>
        </w:rPr>
      </w:pPr>
      <w:r w:rsidRPr="00F07CE1">
        <w:rPr>
          <w:rFonts w:eastAsia="Arial" w:cs="Arial"/>
          <w:b/>
          <w:bCs/>
          <w:szCs w:val="20"/>
        </w:rPr>
        <w:t xml:space="preserve">Management of NNL Open Innovation Challenge Applications </w:t>
      </w:r>
    </w:p>
    <w:p w14:paraId="3FFB1CF4" w14:textId="77777777" w:rsidR="006D2E86" w:rsidRPr="00F07CE1" w:rsidRDefault="006D2E86" w:rsidP="006D2E86">
      <w:pPr>
        <w:spacing w:line="360" w:lineRule="auto"/>
        <w:rPr>
          <w:rFonts w:ascii="Verdana" w:eastAsia="Arial" w:hAnsi="Verdana" w:cs="Arial"/>
          <w:b/>
          <w:bCs/>
          <w:sz w:val="20"/>
          <w:szCs w:val="20"/>
        </w:rPr>
      </w:pPr>
      <w:r w:rsidRPr="00F07CE1">
        <w:rPr>
          <w:rFonts w:ascii="Verdana" w:eastAsia="Arial" w:hAnsi="Verdana" w:cs="Arial"/>
          <w:b/>
          <w:bCs/>
          <w:sz w:val="20"/>
          <w:szCs w:val="20"/>
        </w:rPr>
        <w:t xml:space="preserve">Evaluation of Early Stage NNL Open Innovation applications </w:t>
      </w:r>
    </w:p>
    <w:p w14:paraId="1F92A17F"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 xml:space="preserve">New ideas are submitted to the NNL Open Innovation Co-Creation Community. These applications are assessed by a review board, made up of internal NNL technical experts (challenge owners) and the NNL innovation team, for their potential to make a difference to the NNL Challenges. There will be a requirement for the supplier to sit on this review board. Meetings are held after each Challenge Campaign. </w:t>
      </w:r>
    </w:p>
    <w:p w14:paraId="574A4B58"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 xml:space="preserve">It is the aim of the NNL Open Innovation initiative to assess 30 ideas for each challenge campaign. The best of these will be awarded with £12k grant awards.  </w:t>
      </w:r>
    </w:p>
    <w:p w14:paraId="7203D72E" w14:textId="77777777" w:rsidR="006D2E86" w:rsidRPr="00F07CE1" w:rsidRDefault="006D2E86" w:rsidP="006D2E86">
      <w:pPr>
        <w:rPr>
          <w:rFonts w:ascii="Verdana" w:eastAsia="Arial" w:hAnsi="Verdana" w:cs="Arial"/>
          <w:sz w:val="20"/>
          <w:szCs w:val="20"/>
        </w:rPr>
      </w:pPr>
    </w:p>
    <w:p w14:paraId="58395060" w14:textId="3BC0E451"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 xml:space="preserve">Application will be made directly via the Co-Creation Community website. </w:t>
      </w:r>
    </w:p>
    <w:p w14:paraId="29CD51D0"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 xml:space="preserve"> </w:t>
      </w:r>
    </w:p>
    <w:p w14:paraId="44C8515C" w14:textId="71D141FD" w:rsidR="006D2E86" w:rsidRPr="00F07CE1" w:rsidRDefault="00F07CE1" w:rsidP="006D2E86">
      <w:pPr>
        <w:rPr>
          <w:rFonts w:ascii="Verdana" w:eastAsia="Arial" w:hAnsi="Verdana" w:cs="Arial"/>
          <w:sz w:val="20"/>
          <w:szCs w:val="20"/>
        </w:rPr>
      </w:pPr>
      <w:r w:rsidRPr="00F07CE1">
        <w:rPr>
          <w:rFonts w:ascii="Verdana" w:eastAsia="Arial" w:hAnsi="Verdana" w:cs="Arial"/>
          <w:sz w:val="20"/>
          <w:szCs w:val="20"/>
        </w:rPr>
        <w:t xml:space="preserve">The supplier should anticipate </w:t>
      </w:r>
      <w:r w:rsidR="006D2E86" w:rsidRPr="00F07CE1">
        <w:rPr>
          <w:rFonts w:ascii="Verdana" w:eastAsia="Arial" w:hAnsi="Verdana" w:cs="Arial"/>
          <w:sz w:val="20"/>
          <w:szCs w:val="20"/>
        </w:rPr>
        <w:t xml:space="preserve">the processing of up to a total of 60 applications, based on the assumption that each Challenge Campaign will generate 30 submissions. </w:t>
      </w:r>
    </w:p>
    <w:p w14:paraId="53E6041F"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 xml:space="preserve"> </w:t>
      </w:r>
    </w:p>
    <w:p w14:paraId="3A3900F7" w14:textId="77777777" w:rsidR="006D2E86" w:rsidRPr="00F07CE1" w:rsidRDefault="006D2E86" w:rsidP="006D2E86">
      <w:pPr>
        <w:spacing w:line="360" w:lineRule="auto"/>
        <w:rPr>
          <w:rFonts w:ascii="Verdana" w:eastAsia="Arial" w:hAnsi="Verdana" w:cs="Arial"/>
          <w:b/>
          <w:bCs/>
          <w:sz w:val="20"/>
          <w:szCs w:val="20"/>
        </w:rPr>
      </w:pPr>
      <w:r w:rsidRPr="00F07CE1">
        <w:rPr>
          <w:rFonts w:ascii="Verdana" w:eastAsia="Arial" w:hAnsi="Verdana" w:cs="Arial"/>
          <w:b/>
          <w:bCs/>
          <w:sz w:val="20"/>
          <w:szCs w:val="20"/>
        </w:rPr>
        <w:t xml:space="preserve">NNL Open Innovation £12k Awards - “Discover phase” </w:t>
      </w:r>
    </w:p>
    <w:p w14:paraId="37E6C631"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 xml:space="preserve">Applications considered worthy of further development by the Review Board, will be awarded a £12k grant for a </w:t>
      </w:r>
      <w:proofErr w:type="gramStart"/>
      <w:r w:rsidRPr="00F07CE1">
        <w:rPr>
          <w:rFonts w:ascii="Verdana" w:eastAsia="Arial" w:hAnsi="Verdana" w:cs="Arial"/>
          <w:sz w:val="20"/>
          <w:szCs w:val="20"/>
        </w:rPr>
        <w:t>12 week</w:t>
      </w:r>
      <w:proofErr w:type="gramEnd"/>
      <w:r w:rsidRPr="00F07CE1">
        <w:rPr>
          <w:rFonts w:ascii="Verdana" w:eastAsia="Arial" w:hAnsi="Verdana" w:cs="Arial"/>
          <w:sz w:val="20"/>
          <w:szCs w:val="20"/>
        </w:rPr>
        <w:t xml:space="preserve"> project (“12 in 12”). This funding will be used by the applicant to develop: </w:t>
      </w:r>
    </w:p>
    <w:p w14:paraId="2B4E2410" w14:textId="5295DB75" w:rsidR="006D2E86" w:rsidRPr="00F07CE1" w:rsidRDefault="006D2E86" w:rsidP="006D2E86">
      <w:pPr>
        <w:ind w:left="720" w:hanging="720"/>
        <w:rPr>
          <w:rFonts w:ascii="Verdana" w:eastAsia="Arial" w:hAnsi="Verdana" w:cs="Arial"/>
          <w:sz w:val="20"/>
          <w:szCs w:val="20"/>
        </w:rPr>
      </w:pPr>
      <w:r w:rsidRPr="00F07CE1">
        <w:rPr>
          <w:rFonts w:ascii="Verdana" w:eastAsia="Arial" w:hAnsi="Verdana" w:cs="Arial"/>
          <w:sz w:val="20"/>
          <w:szCs w:val="20"/>
        </w:rPr>
        <w:t>•</w:t>
      </w:r>
      <w:r w:rsidRPr="00F07CE1">
        <w:rPr>
          <w:rFonts w:ascii="Verdana" w:eastAsia="Arial" w:hAnsi="Verdana" w:cs="Arial"/>
          <w:sz w:val="20"/>
          <w:szCs w:val="20"/>
        </w:rPr>
        <w:tab/>
        <w:t xml:space="preserve">An informed business case, in the form of a business canvas document (and supporting documentation), focusing on a specific NNL Challenges use case. </w:t>
      </w:r>
    </w:p>
    <w:p w14:paraId="6FCA409E"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w:t>
      </w:r>
      <w:r w:rsidRPr="00F07CE1">
        <w:rPr>
          <w:rFonts w:ascii="Verdana" w:eastAsia="Arial" w:hAnsi="Verdana" w:cs="Arial"/>
          <w:sz w:val="20"/>
          <w:szCs w:val="20"/>
        </w:rPr>
        <w:tab/>
        <w:t xml:space="preserve">A costed programme for next steps to develop the concept further. </w:t>
      </w:r>
    </w:p>
    <w:p w14:paraId="3D1DE030"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w:t>
      </w:r>
      <w:r w:rsidRPr="00F07CE1">
        <w:rPr>
          <w:rFonts w:ascii="Verdana" w:eastAsia="Arial" w:hAnsi="Verdana" w:cs="Arial"/>
          <w:sz w:val="20"/>
          <w:szCs w:val="20"/>
        </w:rPr>
        <w:tab/>
        <w:t xml:space="preserve">A risk register supplied by NNL. </w:t>
      </w:r>
    </w:p>
    <w:p w14:paraId="3E2E75C4"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 xml:space="preserve"> </w:t>
      </w:r>
    </w:p>
    <w:p w14:paraId="1768C25D" w14:textId="7F0FBB1D"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The supplier will work with successful applicants to develop these documents over a 12</w:t>
      </w:r>
      <w:r w:rsidR="007678BE" w:rsidRPr="00F07CE1">
        <w:rPr>
          <w:rFonts w:ascii="Verdana" w:eastAsia="Arial" w:hAnsi="Verdana" w:cs="Arial"/>
          <w:sz w:val="20"/>
          <w:szCs w:val="20"/>
        </w:rPr>
        <w:t>-</w:t>
      </w:r>
      <w:r w:rsidRPr="00F07CE1">
        <w:rPr>
          <w:rFonts w:ascii="Verdana" w:eastAsia="Arial" w:hAnsi="Verdana" w:cs="Arial"/>
          <w:sz w:val="20"/>
          <w:szCs w:val="20"/>
        </w:rPr>
        <w:t xml:space="preserve">week period. The supplier will be expected to ensure the project runs to time and cost. This is known as the “Discover” phase of the process. </w:t>
      </w:r>
    </w:p>
    <w:p w14:paraId="28F51B51"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 xml:space="preserve">An Investment Panel, made up of NNL Challenge owners and relevant technical experts, supported by the successful supplier, will review the output from the “Discover” phase, and decide which, if any, of the projects are suitable for further work during the Develop phase. </w:t>
      </w:r>
    </w:p>
    <w:p w14:paraId="5E25A85F" w14:textId="77777777"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 xml:space="preserve"> </w:t>
      </w:r>
    </w:p>
    <w:p w14:paraId="066D7D69" w14:textId="495E140E" w:rsidR="006D2E86" w:rsidRPr="00F07CE1" w:rsidRDefault="006D2E86" w:rsidP="006D2E86">
      <w:pPr>
        <w:rPr>
          <w:rFonts w:ascii="Verdana" w:eastAsia="Arial" w:hAnsi="Verdana" w:cs="Arial"/>
          <w:sz w:val="20"/>
          <w:szCs w:val="20"/>
        </w:rPr>
      </w:pPr>
      <w:r w:rsidRPr="00F07CE1">
        <w:rPr>
          <w:rFonts w:ascii="Verdana" w:eastAsia="Arial" w:hAnsi="Verdana" w:cs="Arial"/>
          <w:sz w:val="20"/>
          <w:szCs w:val="20"/>
        </w:rPr>
        <w:t xml:space="preserve">It is expected that a total of 12 x £12k awards will be made to NNL Open Innovation applicants over the course of one </w:t>
      </w:r>
      <w:r w:rsidR="00F07CE1" w:rsidRPr="00F07CE1">
        <w:rPr>
          <w:rFonts w:ascii="Verdana" w:eastAsia="Arial" w:hAnsi="Verdana" w:cs="Arial"/>
          <w:sz w:val="20"/>
          <w:szCs w:val="20"/>
        </w:rPr>
        <w:t>financial year</w:t>
      </w:r>
      <w:r w:rsidRPr="00F07CE1">
        <w:rPr>
          <w:rFonts w:ascii="Verdana" w:eastAsia="Arial" w:hAnsi="Verdana" w:cs="Arial"/>
          <w:sz w:val="20"/>
          <w:szCs w:val="20"/>
        </w:rPr>
        <w:t xml:space="preserve"> (assumed 6 grants per Challenge Campaign) all of whom will need to be supported by the successful supplier. </w:t>
      </w:r>
    </w:p>
    <w:p w14:paraId="52E809C6" w14:textId="77777777" w:rsidR="006D2E86" w:rsidRPr="00F07CE1" w:rsidRDefault="006D2E86" w:rsidP="006D2E86">
      <w:pPr>
        <w:rPr>
          <w:rFonts w:ascii="Verdana" w:eastAsia="Arial" w:hAnsi="Verdana" w:cs="Arial"/>
          <w:sz w:val="20"/>
          <w:szCs w:val="20"/>
        </w:rPr>
      </w:pPr>
    </w:p>
    <w:sectPr w:rsidR="006D2E86" w:rsidRPr="00F07CE1">
      <w:type w:val="continuous"/>
      <w:pgSz w:w="11906" w:h="16838"/>
      <w:pgMar w:top="567" w:right="851" w:bottom="851" w:left="851" w:header="56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3E3DF" w14:textId="77777777" w:rsidR="00BF1118" w:rsidRDefault="00BF1118">
      <w:r>
        <w:separator/>
      </w:r>
    </w:p>
  </w:endnote>
  <w:endnote w:type="continuationSeparator" w:id="0">
    <w:p w14:paraId="4B07CA21" w14:textId="77777777" w:rsidR="00BF1118" w:rsidRDefault="00BF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w:altName w:val="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96542" w14:textId="77777777" w:rsidR="00FA3973" w:rsidRDefault="00FA3973">
    <w:pPr>
      <w:widowControl w:val="0"/>
      <w:pBdr>
        <w:top w:val="nil"/>
        <w:left w:val="nil"/>
        <w:bottom w:val="nil"/>
        <w:right w:val="nil"/>
        <w:between w:val="nil"/>
      </w:pBdr>
      <w:spacing w:line="276" w:lineRule="auto"/>
      <w:rPr>
        <w:rFonts w:ascii="Verdana" w:eastAsia="Verdana" w:hAnsi="Verdana" w:cs="Verdana"/>
        <w:color w:val="000000"/>
        <w:sz w:val="20"/>
        <w:szCs w:val="20"/>
      </w:rPr>
    </w:pPr>
  </w:p>
  <w:tbl>
    <w:tblPr>
      <w:tblStyle w:val="a9"/>
      <w:tblW w:w="10096" w:type="dxa"/>
      <w:tblInd w:w="108" w:type="dxa"/>
      <w:tblLayout w:type="fixed"/>
      <w:tblLook w:val="0000" w:firstRow="0" w:lastRow="0" w:firstColumn="0" w:lastColumn="0" w:noHBand="0" w:noVBand="0"/>
    </w:tblPr>
    <w:tblGrid>
      <w:gridCol w:w="5015"/>
      <w:gridCol w:w="5081"/>
    </w:tblGrid>
    <w:tr w:rsidR="00FA3973" w14:paraId="26C7B344" w14:textId="77777777">
      <w:tc>
        <w:tcPr>
          <w:tcW w:w="5015" w:type="dxa"/>
        </w:tcPr>
        <w:p w14:paraId="564E6872" w14:textId="77777777" w:rsidR="00FA3973" w:rsidRDefault="00FA3973">
          <w:pPr>
            <w:pBdr>
              <w:top w:val="nil"/>
              <w:left w:val="nil"/>
              <w:bottom w:val="nil"/>
              <w:right w:val="nil"/>
              <w:between w:val="nil"/>
            </w:pBdr>
            <w:tabs>
              <w:tab w:val="center" w:pos="4513"/>
              <w:tab w:val="right" w:pos="9026"/>
            </w:tabs>
            <w:rPr>
              <w:color w:val="000000"/>
            </w:rPr>
          </w:pPr>
        </w:p>
      </w:tc>
      <w:tc>
        <w:tcPr>
          <w:tcW w:w="5081" w:type="dxa"/>
        </w:tcPr>
        <w:p w14:paraId="1909C498" w14:textId="77777777" w:rsidR="00FA3973" w:rsidRDefault="001A06B0">
          <w:pPr>
            <w:pBdr>
              <w:top w:val="nil"/>
              <w:left w:val="nil"/>
              <w:bottom w:val="nil"/>
              <w:right w:val="nil"/>
              <w:between w:val="nil"/>
            </w:pBdr>
            <w:tabs>
              <w:tab w:val="center" w:pos="4513"/>
              <w:tab w:val="right" w:pos="9026"/>
            </w:tabs>
            <w:jc w:val="right"/>
            <w:rPr>
              <w:rFonts w:ascii="Verdana" w:eastAsia="Verdana" w:hAnsi="Verdana" w:cs="Verdana"/>
              <w:color w:val="000000"/>
              <w:sz w:val="18"/>
              <w:szCs w:val="18"/>
            </w:rPr>
          </w:pPr>
          <w:r>
            <w:rPr>
              <w:rFonts w:ascii="Verdana" w:eastAsia="Verdana" w:hAnsi="Verdana" w:cs="Verdana"/>
              <w:color w:val="000000"/>
              <w:sz w:val="18"/>
              <w:szCs w:val="18"/>
            </w:rPr>
            <w:t>IMS-PROC-TEM-IN2</w:t>
          </w:r>
          <w:proofErr w:type="gramStart"/>
          <w:r>
            <w:rPr>
              <w:rFonts w:ascii="Verdana" w:eastAsia="Verdana" w:hAnsi="Verdana" w:cs="Verdana"/>
              <w:color w:val="000000"/>
              <w:sz w:val="18"/>
              <w:szCs w:val="18"/>
            </w:rPr>
            <w:t>A  v</w:t>
          </w:r>
          <w:proofErr w:type="gramEnd"/>
          <w:r>
            <w:rPr>
              <w:rFonts w:ascii="Verdana" w:eastAsia="Verdana" w:hAnsi="Verdana" w:cs="Verdana"/>
              <w:color w:val="000000"/>
              <w:sz w:val="18"/>
              <w:szCs w:val="18"/>
            </w:rPr>
            <w:t>3</w:t>
          </w:r>
        </w:p>
      </w:tc>
    </w:tr>
  </w:tbl>
  <w:p w14:paraId="56350C72"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92052" w14:textId="77777777" w:rsidR="00FA3973" w:rsidRDefault="00FA3973">
    <w:pPr>
      <w:widowControl w:val="0"/>
      <w:pBdr>
        <w:top w:val="nil"/>
        <w:left w:val="nil"/>
        <w:bottom w:val="nil"/>
        <w:right w:val="nil"/>
        <w:between w:val="nil"/>
      </w:pBdr>
      <w:spacing w:line="276" w:lineRule="auto"/>
      <w:rPr>
        <w:rFonts w:ascii="Verdana" w:eastAsia="Verdana" w:hAnsi="Verdana" w:cs="Verdana"/>
        <w:color w:val="000000"/>
        <w:sz w:val="18"/>
        <w:szCs w:val="18"/>
      </w:rPr>
    </w:pPr>
  </w:p>
  <w:tbl>
    <w:tblPr>
      <w:tblStyle w:val="a8"/>
      <w:tblW w:w="10096" w:type="dxa"/>
      <w:tblInd w:w="108" w:type="dxa"/>
      <w:tblLayout w:type="fixed"/>
      <w:tblLook w:val="0000" w:firstRow="0" w:lastRow="0" w:firstColumn="0" w:lastColumn="0" w:noHBand="0" w:noVBand="0"/>
    </w:tblPr>
    <w:tblGrid>
      <w:gridCol w:w="5015"/>
      <w:gridCol w:w="5081"/>
    </w:tblGrid>
    <w:tr w:rsidR="00FA3973" w14:paraId="7044B538" w14:textId="77777777">
      <w:tc>
        <w:tcPr>
          <w:tcW w:w="5015" w:type="dxa"/>
        </w:tcPr>
        <w:p w14:paraId="0769E1D4" w14:textId="77777777" w:rsidR="00FA3973" w:rsidRDefault="00FA3973">
          <w:pPr>
            <w:pBdr>
              <w:top w:val="nil"/>
              <w:left w:val="nil"/>
              <w:bottom w:val="nil"/>
              <w:right w:val="nil"/>
              <w:between w:val="nil"/>
            </w:pBdr>
            <w:tabs>
              <w:tab w:val="center" w:pos="4513"/>
              <w:tab w:val="right" w:pos="9026"/>
            </w:tabs>
            <w:rPr>
              <w:color w:val="000000"/>
            </w:rPr>
          </w:pPr>
        </w:p>
      </w:tc>
      <w:tc>
        <w:tcPr>
          <w:tcW w:w="5081" w:type="dxa"/>
        </w:tcPr>
        <w:p w14:paraId="0409350C" w14:textId="77777777" w:rsidR="00FA3973" w:rsidRDefault="001A06B0">
          <w:pPr>
            <w:pBdr>
              <w:top w:val="nil"/>
              <w:left w:val="nil"/>
              <w:bottom w:val="nil"/>
              <w:right w:val="nil"/>
              <w:between w:val="nil"/>
            </w:pBdr>
            <w:tabs>
              <w:tab w:val="center" w:pos="4513"/>
              <w:tab w:val="right" w:pos="9026"/>
            </w:tabs>
            <w:jc w:val="right"/>
            <w:rPr>
              <w:rFonts w:ascii="Verdana" w:eastAsia="Verdana" w:hAnsi="Verdana" w:cs="Verdana"/>
              <w:color w:val="000000"/>
              <w:sz w:val="18"/>
              <w:szCs w:val="18"/>
            </w:rPr>
          </w:pPr>
          <w:r>
            <w:rPr>
              <w:rFonts w:ascii="Verdana" w:eastAsia="Verdana" w:hAnsi="Verdana" w:cs="Verdana"/>
              <w:color w:val="000000"/>
              <w:sz w:val="18"/>
              <w:szCs w:val="18"/>
            </w:rPr>
            <w:t>IMS-PROC-TEM-IN2</w:t>
          </w:r>
          <w:proofErr w:type="gramStart"/>
          <w:r>
            <w:rPr>
              <w:rFonts w:ascii="Verdana" w:eastAsia="Verdana" w:hAnsi="Verdana" w:cs="Verdana"/>
              <w:color w:val="000000"/>
              <w:sz w:val="18"/>
              <w:szCs w:val="18"/>
            </w:rPr>
            <w:t>A  v</w:t>
          </w:r>
          <w:proofErr w:type="gramEnd"/>
          <w:r>
            <w:rPr>
              <w:rFonts w:ascii="Verdana" w:eastAsia="Verdana" w:hAnsi="Verdana" w:cs="Verdana"/>
              <w:color w:val="000000"/>
              <w:sz w:val="18"/>
              <w:szCs w:val="18"/>
            </w:rPr>
            <w:t>3</w:t>
          </w:r>
        </w:p>
      </w:tc>
    </w:tr>
  </w:tbl>
  <w:p w14:paraId="16E91776"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C6C66" w14:textId="77777777" w:rsidR="00FA3973" w:rsidRDefault="00FA3973">
    <w:pPr>
      <w:widowControl w:val="0"/>
      <w:pBdr>
        <w:top w:val="nil"/>
        <w:left w:val="nil"/>
        <w:bottom w:val="nil"/>
        <w:right w:val="nil"/>
        <w:between w:val="nil"/>
      </w:pBdr>
      <w:spacing w:line="276" w:lineRule="auto"/>
      <w:rPr>
        <w:rFonts w:ascii="Verdana" w:eastAsia="Verdana" w:hAnsi="Verdana" w:cs="Verdana"/>
        <w:color w:val="000000"/>
        <w:sz w:val="20"/>
        <w:szCs w:val="20"/>
      </w:rPr>
    </w:pPr>
  </w:p>
  <w:tbl>
    <w:tblPr>
      <w:tblStyle w:val="ab"/>
      <w:tblW w:w="10096" w:type="dxa"/>
      <w:tblInd w:w="108" w:type="dxa"/>
      <w:tblLayout w:type="fixed"/>
      <w:tblLook w:val="0000" w:firstRow="0" w:lastRow="0" w:firstColumn="0" w:lastColumn="0" w:noHBand="0" w:noVBand="0"/>
    </w:tblPr>
    <w:tblGrid>
      <w:gridCol w:w="5011"/>
      <w:gridCol w:w="5085"/>
    </w:tblGrid>
    <w:tr w:rsidR="00FA3973" w14:paraId="627565D1" w14:textId="77777777">
      <w:tc>
        <w:tcPr>
          <w:tcW w:w="5011" w:type="dxa"/>
        </w:tcPr>
        <w:p w14:paraId="01378676" w14:textId="77777777" w:rsidR="00FA3973" w:rsidRDefault="00FA3973">
          <w:pPr>
            <w:pBdr>
              <w:top w:val="nil"/>
              <w:left w:val="nil"/>
              <w:bottom w:val="nil"/>
              <w:right w:val="nil"/>
              <w:between w:val="nil"/>
            </w:pBdr>
            <w:tabs>
              <w:tab w:val="center" w:pos="4513"/>
              <w:tab w:val="right" w:pos="9026"/>
            </w:tabs>
            <w:rPr>
              <w:color w:val="000000"/>
            </w:rPr>
          </w:pPr>
        </w:p>
      </w:tc>
      <w:tc>
        <w:tcPr>
          <w:tcW w:w="5085" w:type="dxa"/>
        </w:tcPr>
        <w:p w14:paraId="4A2E04A7" w14:textId="77777777" w:rsidR="00FA3973" w:rsidRDefault="001A06B0">
          <w:pPr>
            <w:pBdr>
              <w:top w:val="nil"/>
              <w:left w:val="nil"/>
              <w:bottom w:val="nil"/>
              <w:right w:val="nil"/>
              <w:between w:val="nil"/>
            </w:pBdr>
            <w:tabs>
              <w:tab w:val="center" w:pos="4513"/>
              <w:tab w:val="right" w:pos="9026"/>
            </w:tabs>
            <w:jc w:val="right"/>
            <w:rPr>
              <w:rFonts w:ascii="Verdana" w:eastAsia="Verdana" w:hAnsi="Verdana" w:cs="Verdana"/>
              <w:color w:val="000000"/>
              <w:sz w:val="18"/>
              <w:szCs w:val="18"/>
            </w:rPr>
          </w:pPr>
          <w:r>
            <w:rPr>
              <w:rFonts w:ascii="Verdana" w:eastAsia="Verdana" w:hAnsi="Verdana" w:cs="Verdana"/>
              <w:color w:val="000000"/>
              <w:sz w:val="18"/>
              <w:szCs w:val="18"/>
            </w:rPr>
            <w:t>IMS-PROC-TEM-IN2APROC-TEM-IN2</w:t>
          </w:r>
          <w:proofErr w:type="gramStart"/>
          <w:r>
            <w:rPr>
              <w:rFonts w:ascii="Verdana" w:eastAsia="Verdana" w:hAnsi="Verdana" w:cs="Verdana"/>
              <w:color w:val="000000"/>
              <w:sz w:val="18"/>
              <w:szCs w:val="18"/>
            </w:rPr>
            <w:t>A  v</w:t>
          </w:r>
          <w:proofErr w:type="gramEnd"/>
          <w:r>
            <w:rPr>
              <w:rFonts w:ascii="Verdana" w:eastAsia="Verdana" w:hAnsi="Verdana" w:cs="Verdana"/>
              <w:color w:val="000000"/>
              <w:sz w:val="18"/>
              <w:szCs w:val="18"/>
            </w:rPr>
            <w:t>1</w:t>
          </w:r>
        </w:p>
      </w:tc>
    </w:tr>
  </w:tbl>
  <w:p w14:paraId="4CCFDE7D"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488C2" w14:textId="77777777" w:rsidR="00FA3973" w:rsidRDefault="00FA3973">
    <w:pPr>
      <w:widowControl w:val="0"/>
      <w:pBdr>
        <w:top w:val="nil"/>
        <w:left w:val="nil"/>
        <w:bottom w:val="nil"/>
        <w:right w:val="nil"/>
        <w:between w:val="nil"/>
      </w:pBdr>
      <w:spacing w:line="276" w:lineRule="auto"/>
      <w:rPr>
        <w:rFonts w:ascii="Verdana" w:eastAsia="Verdana" w:hAnsi="Verdana" w:cs="Verdana"/>
        <w:color w:val="000000"/>
        <w:sz w:val="20"/>
        <w:szCs w:val="20"/>
      </w:rPr>
    </w:pPr>
  </w:p>
  <w:tbl>
    <w:tblPr>
      <w:tblStyle w:val="aa"/>
      <w:tblW w:w="10096" w:type="dxa"/>
      <w:tblInd w:w="108" w:type="dxa"/>
      <w:tblLayout w:type="fixed"/>
      <w:tblLook w:val="0000" w:firstRow="0" w:lastRow="0" w:firstColumn="0" w:lastColumn="0" w:noHBand="0" w:noVBand="0"/>
    </w:tblPr>
    <w:tblGrid>
      <w:gridCol w:w="5015"/>
      <w:gridCol w:w="5081"/>
    </w:tblGrid>
    <w:tr w:rsidR="00FA3973" w14:paraId="206A5F1E" w14:textId="77777777">
      <w:tc>
        <w:tcPr>
          <w:tcW w:w="5015" w:type="dxa"/>
        </w:tcPr>
        <w:p w14:paraId="6CEF4853" w14:textId="77777777" w:rsidR="00FA3973" w:rsidRDefault="00FA3973">
          <w:pPr>
            <w:pBdr>
              <w:top w:val="nil"/>
              <w:left w:val="nil"/>
              <w:bottom w:val="nil"/>
              <w:right w:val="nil"/>
              <w:between w:val="nil"/>
            </w:pBdr>
            <w:tabs>
              <w:tab w:val="center" w:pos="4513"/>
              <w:tab w:val="right" w:pos="9026"/>
            </w:tabs>
            <w:rPr>
              <w:color w:val="000000"/>
            </w:rPr>
          </w:pPr>
        </w:p>
      </w:tc>
      <w:tc>
        <w:tcPr>
          <w:tcW w:w="5081" w:type="dxa"/>
        </w:tcPr>
        <w:p w14:paraId="32B68DCA" w14:textId="77777777" w:rsidR="00FA3973" w:rsidRDefault="001A06B0">
          <w:pPr>
            <w:pBdr>
              <w:top w:val="nil"/>
              <w:left w:val="nil"/>
              <w:bottom w:val="nil"/>
              <w:right w:val="nil"/>
              <w:between w:val="nil"/>
            </w:pBdr>
            <w:tabs>
              <w:tab w:val="center" w:pos="4513"/>
              <w:tab w:val="right" w:pos="9026"/>
            </w:tabs>
            <w:jc w:val="right"/>
            <w:rPr>
              <w:rFonts w:ascii="Verdana" w:eastAsia="Verdana" w:hAnsi="Verdana" w:cs="Verdana"/>
              <w:color w:val="000000"/>
              <w:sz w:val="18"/>
              <w:szCs w:val="18"/>
            </w:rPr>
          </w:pPr>
          <w:r>
            <w:rPr>
              <w:rFonts w:ascii="Verdana" w:eastAsia="Verdana" w:hAnsi="Verdana" w:cs="Verdana"/>
              <w:color w:val="000000"/>
              <w:sz w:val="18"/>
              <w:szCs w:val="18"/>
            </w:rPr>
            <w:t>IMS-PROC-TEM-IN2</w:t>
          </w:r>
          <w:proofErr w:type="gramStart"/>
          <w:r>
            <w:rPr>
              <w:rFonts w:ascii="Verdana" w:eastAsia="Verdana" w:hAnsi="Verdana" w:cs="Verdana"/>
              <w:color w:val="000000"/>
              <w:sz w:val="18"/>
              <w:szCs w:val="18"/>
            </w:rPr>
            <w:t>A  v</w:t>
          </w:r>
          <w:proofErr w:type="gramEnd"/>
          <w:r>
            <w:rPr>
              <w:rFonts w:ascii="Verdana" w:eastAsia="Verdana" w:hAnsi="Verdana" w:cs="Verdana"/>
              <w:color w:val="000000"/>
              <w:sz w:val="18"/>
              <w:szCs w:val="18"/>
            </w:rPr>
            <w:t>3</w:t>
          </w:r>
        </w:p>
      </w:tc>
    </w:tr>
  </w:tbl>
  <w:p w14:paraId="2BCFC87C"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9A826" w14:textId="77777777" w:rsidR="00BF1118" w:rsidRDefault="00BF1118">
      <w:r>
        <w:separator/>
      </w:r>
    </w:p>
  </w:footnote>
  <w:footnote w:type="continuationSeparator" w:id="0">
    <w:p w14:paraId="5FB08B0A" w14:textId="77777777" w:rsidR="00BF1118" w:rsidRDefault="00BF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2C9A5" w14:textId="77777777" w:rsidR="00FA3973" w:rsidRDefault="00FA3973">
    <w:pPr>
      <w:widowControl w:val="0"/>
      <w:pBdr>
        <w:top w:val="nil"/>
        <w:left w:val="nil"/>
        <w:bottom w:val="nil"/>
        <w:right w:val="nil"/>
        <w:between w:val="nil"/>
      </w:pBdr>
      <w:spacing w:line="276" w:lineRule="auto"/>
      <w:rPr>
        <w:rFonts w:ascii="Verdana" w:eastAsia="Verdana" w:hAnsi="Verdana" w:cs="Verdana"/>
        <w:color w:val="000000"/>
        <w:sz w:val="12"/>
        <w:szCs w:val="12"/>
      </w:rPr>
    </w:pPr>
  </w:p>
  <w:tbl>
    <w:tblPr>
      <w:tblStyle w:val="a5"/>
      <w:tblW w:w="10096" w:type="dxa"/>
      <w:tblInd w:w="108" w:type="dxa"/>
      <w:tblBorders>
        <w:bottom w:val="single" w:sz="4" w:space="0" w:color="000000"/>
      </w:tblBorders>
      <w:tblLayout w:type="fixed"/>
      <w:tblLook w:val="0000" w:firstRow="0" w:lastRow="0" w:firstColumn="0" w:lastColumn="0" w:noHBand="0" w:noVBand="0"/>
    </w:tblPr>
    <w:tblGrid>
      <w:gridCol w:w="6193"/>
      <w:gridCol w:w="3903"/>
    </w:tblGrid>
    <w:tr w:rsidR="00FA3973" w14:paraId="5D79369F" w14:textId="77777777">
      <w:trPr>
        <w:trHeight w:val="354"/>
      </w:trPr>
      <w:tc>
        <w:tcPr>
          <w:tcW w:w="6193" w:type="dxa"/>
          <w:tcBorders>
            <w:bottom w:val="single" w:sz="4" w:space="0" w:color="000000"/>
          </w:tcBorders>
        </w:tcPr>
        <w:p w14:paraId="396EB255" w14:textId="77777777" w:rsidR="00FA3973" w:rsidRDefault="00FA3973">
          <w:pPr>
            <w:pBdr>
              <w:top w:val="nil"/>
              <w:left w:val="nil"/>
              <w:bottom w:val="nil"/>
              <w:right w:val="nil"/>
              <w:between w:val="nil"/>
            </w:pBdr>
            <w:tabs>
              <w:tab w:val="center" w:pos="4513"/>
              <w:tab w:val="right" w:pos="9026"/>
            </w:tabs>
            <w:spacing w:after="60"/>
            <w:rPr>
              <w:rFonts w:ascii="Verdana" w:eastAsia="Verdana" w:hAnsi="Verdana" w:cs="Verdana"/>
              <w:b/>
              <w:color w:val="000000"/>
              <w:sz w:val="28"/>
              <w:szCs w:val="28"/>
            </w:rPr>
          </w:pPr>
        </w:p>
      </w:tc>
      <w:tc>
        <w:tcPr>
          <w:tcW w:w="3903" w:type="dxa"/>
          <w:tcBorders>
            <w:bottom w:val="single" w:sz="4" w:space="0" w:color="000000"/>
          </w:tcBorders>
        </w:tcPr>
        <w:p w14:paraId="66BC363A" w14:textId="77777777" w:rsidR="00FA3973" w:rsidRDefault="001A06B0">
          <w:pPr>
            <w:pBdr>
              <w:top w:val="nil"/>
              <w:left w:val="nil"/>
              <w:bottom w:val="nil"/>
              <w:right w:val="nil"/>
              <w:between w:val="nil"/>
            </w:pBdr>
            <w:tabs>
              <w:tab w:val="center" w:pos="4513"/>
              <w:tab w:val="right" w:pos="9026"/>
            </w:tabs>
            <w:jc w:val="right"/>
            <w:rPr>
              <w:rFonts w:ascii="Verdana" w:eastAsia="Verdana" w:hAnsi="Verdana" w:cs="Verdana"/>
              <w:color w:val="000000"/>
            </w:rPr>
          </w:pPr>
          <w:r>
            <w:rPr>
              <w:rFonts w:ascii="Verdana" w:eastAsia="Verdana" w:hAnsi="Verdana" w:cs="Verdana"/>
              <w:color w:val="000000"/>
              <w:sz w:val="20"/>
              <w:szCs w:val="20"/>
            </w:rPr>
            <w:t xml:space="preserve">Page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PAGE</w:instrText>
          </w:r>
          <w:r>
            <w:rPr>
              <w:rFonts w:ascii="Verdana" w:eastAsia="Verdana" w:hAnsi="Verdana" w:cs="Verdana"/>
              <w:color w:val="000000"/>
              <w:sz w:val="20"/>
              <w:szCs w:val="20"/>
            </w:rPr>
            <w:fldChar w:fldCharType="end"/>
          </w:r>
          <w:r>
            <w:rPr>
              <w:rFonts w:ascii="Verdana" w:eastAsia="Verdana" w:hAnsi="Verdana" w:cs="Verdana"/>
              <w:color w:val="000000"/>
              <w:sz w:val="20"/>
              <w:szCs w:val="20"/>
            </w:rPr>
            <w:t xml:space="preserve"> of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NUMPAGES</w:instrText>
          </w:r>
          <w:r>
            <w:rPr>
              <w:rFonts w:ascii="Verdana" w:eastAsia="Verdana" w:hAnsi="Verdana" w:cs="Verdana"/>
              <w:color w:val="000000"/>
              <w:sz w:val="20"/>
              <w:szCs w:val="20"/>
            </w:rPr>
            <w:fldChar w:fldCharType="end"/>
          </w:r>
        </w:p>
      </w:tc>
    </w:tr>
  </w:tbl>
  <w:p w14:paraId="0E314CA7"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3D172" w14:textId="77777777" w:rsidR="00FA3973" w:rsidRDefault="00FA3973">
    <w:pPr>
      <w:widowControl w:val="0"/>
      <w:pBdr>
        <w:top w:val="nil"/>
        <w:left w:val="nil"/>
        <w:bottom w:val="nil"/>
        <w:right w:val="nil"/>
        <w:between w:val="nil"/>
      </w:pBdr>
      <w:spacing w:line="276" w:lineRule="auto"/>
      <w:rPr>
        <w:rFonts w:ascii="Verdana" w:eastAsia="Verdana" w:hAnsi="Verdana" w:cs="Verdana"/>
        <w:sz w:val="20"/>
        <w:szCs w:val="20"/>
      </w:rPr>
    </w:pPr>
  </w:p>
  <w:tbl>
    <w:tblPr>
      <w:tblStyle w:val="a4"/>
      <w:tblW w:w="10261" w:type="dxa"/>
      <w:tblInd w:w="108" w:type="dxa"/>
      <w:tblBorders>
        <w:bottom w:val="single" w:sz="4" w:space="0" w:color="000000"/>
      </w:tblBorders>
      <w:tblLayout w:type="fixed"/>
      <w:tblLook w:val="0000" w:firstRow="0" w:lastRow="0" w:firstColumn="0" w:lastColumn="0" w:noHBand="0" w:noVBand="0"/>
    </w:tblPr>
    <w:tblGrid>
      <w:gridCol w:w="6076"/>
      <w:gridCol w:w="4185"/>
    </w:tblGrid>
    <w:tr w:rsidR="00FA3973" w14:paraId="17DD5917" w14:textId="77777777">
      <w:trPr>
        <w:trHeight w:val="184"/>
      </w:trPr>
      <w:tc>
        <w:tcPr>
          <w:tcW w:w="10261" w:type="dxa"/>
          <w:gridSpan w:val="2"/>
        </w:tcPr>
        <w:p w14:paraId="1436DD88" w14:textId="77777777" w:rsidR="00FA3973" w:rsidRDefault="00FA3973">
          <w:pPr>
            <w:pBdr>
              <w:top w:val="nil"/>
              <w:left w:val="nil"/>
              <w:bottom w:val="nil"/>
              <w:right w:val="nil"/>
              <w:between w:val="nil"/>
            </w:pBdr>
            <w:tabs>
              <w:tab w:val="center" w:pos="4513"/>
              <w:tab w:val="right" w:pos="9026"/>
            </w:tabs>
            <w:jc w:val="center"/>
            <w:rPr>
              <w:rFonts w:ascii="Verdana" w:eastAsia="Verdana" w:hAnsi="Verdana" w:cs="Verdana"/>
              <w:color w:val="FF0000"/>
              <w:sz w:val="16"/>
              <w:szCs w:val="16"/>
            </w:rPr>
          </w:pPr>
        </w:p>
      </w:tc>
    </w:tr>
    <w:tr w:rsidR="00FA3973" w14:paraId="61DE0A97" w14:textId="77777777">
      <w:trPr>
        <w:trHeight w:val="344"/>
      </w:trPr>
      <w:tc>
        <w:tcPr>
          <w:tcW w:w="6076" w:type="dxa"/>
        </w:tcPr>
        <w:p w14:paraId="21AF810D" w14:textId="77777777" w:rsidR="00FA3973" w:rsidRDefault="00FA3973">
          <w:pPr>
            <w:pBdr>
              <w:top w:val="nil"/>
              <w:left w:val="nil"/>
              <w:bottom w:val="nil"/>
              <w:right w:val="nil"/>
              <w:between w:val="nil"/>
            </w:pBdr>
            <w:tabs>
              <w:tab w:val="center" w:pos="4513"/>
              <w:tab w:val="right" w:pos="9026"/>
            </w:tabs>
            <w:rPr>
              <w:rFonts w:ascii="Verdana" w:eastAsia="Verdana" w:hAnsi="Verdana" w:cs="Verdana"/>
              <w:b/>
              <w:color w:val="000000"/>
              <w:sz w:val="28"/>
              <w:szCs w:val="28"/>
            </w:rPr>
          </w:pPr>
        </w:p>
      </w:tc>
      <w:tc>
        <w:tcPr>
          <w:tcW w:w="4185" w:type="dxa"/>
          <w:vMerge w:val="restart"/>
        </w:tcPr>
        <w:p w14:paraId="64F6A451" w14:textId="77777777" w:rsidR="00FA3973" w:rsidRDefault="001A06B0">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3E12AA2E" wp14:editId="6D17892A">
                <wp:extent cx="2533650" cy="847725"/>
                <wp:effectExtent l="0" t="0" r="0" b="0"/>
                <wp:docPr id="3"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1"/>
                        <a:srcRect/>
                        <a:stretch>
                          <a:fillRect/>
                        </a:stretch>
                      </pic:blipFill>
                      <pic:spPr>
                        <a:xfrm>
                          <a:off x="0" y="0"/>
                          <a:ext cx="2533650" cy="847725"/>
                        </a:xfrm>
                        <a:prstGeom prst="rect">
                          <a:avLst/>
                        </a:prstGeom>
                        <a:ln/>
                      </pic:spPr>
                    </pic:pic>
                  </a:graphicData>
                </a:graphic>
              </wp:inline>
            </w:drawing>
          </w:r>
        </w:p>
        <w:p w14:paraId="650A9409"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rPr>
          </w:pPr>
        </w:p>
      </w:tc>
    </w:tr>
    <w:tr w:rsidR="00FA3973" w14:paraId="7E2663DD" w14:textId="77777777">
      <w:trPr>
        <w:trHeight w:val="345"/>
      </w:trPr>
      <w:tc>
        <w:tcPr>
          <w:tcW w:w="6076" w:type="dxa"/>
          <w:vMerge w:val="restart"/>
          <w:vAlign w:val="center"/>
        </w:tcPr>
        <w:p w14:paraId="1E491D39" w14:textId="4C1D1760" w:rsidR="00FA3973" w:rsidRDefault="00F07CE1" w:rsidP="00F07CE1">
          <w:pPr>
            <w:pBdr>
              <w:top w:val="nil"/>
              <w:left w:val="nil"/>
              <w:bottom w:val="nil"/>
              <w:right w:val="nil"/>
              <w:between w:val="nil"/>
            </w:pBdr>
            <w:tabs>
              <w:tab w:val="center" w:pos="4513"/>
              <w:tab w:val="right" w:pos="9026"/>
            </w:tabs>
            <w:jc w:val="center"/>
            <w:rPr>
              <w:rFonts w:ascii="Verdana" w:eastAsia="Verdana" w:hAnsi="Verdana" w:cs="Verdana"/>
              <w:b/>
              <w:color w:val="000000"/>
            </w:rPr>
          </w:pPr>
          <w:r>
            <w:rPr>
              <w:rFonts w:ascii="Verdana" w:eastAsia="Verdana" w:hAnsi="Verdana" w:cs="Verdana"/>
              <w:b/>
              <w:color w:val="000000"/>
            </w:rPr>
            <w:t xml:space="preserve">DRAFT </w:t>
          </w:r>
          <w:r w:rsidR="001A06B0">
            <w:rPr>
              <w:rFonts w:ascii="Verdana" w:eastAsia="Verdana" w:hAnsi="Verdana" w:cs="Verdana"/>
              <w:b/>
              <w:color w:val="000000"/>
            </w:rPr>
            <w:t>Procurement Specification</w:t>
          </w:r>
        </w:p>
      </w:tc>
      <w:tc>
        <w:tcPr>
          <w:tcW w:w="4185" w:type="dxa"/>
          <w:vMerge/>
        </w:tcPr>
        <w:p w14:paraId="75F2C96D" w14:textId="77777777" w:rsidR="00FA3973" w:rsidRDefault="00FA3973">
          <w:pPr>
            <w:widowControl w:val="0"/>
            <w:pBdr>
              <w:top w:val="nil"/>
              <w:left w:val="nil"/>
              <w:bottom w:val="nil"/>
              <w:right w:val="nil"/>
              <w:between w:val="nil"/>
            </w:pBdr>
            <w:spacing w:line="276" w:lineRule="auto"/>
            <w:rPr>
              <w:rFonts w:ascii="Verdana" w:eastAsia="Verdana" w:hAnsi="Verdana" w:cs="Verdana"/>
              <w:b/>
              <w:color w:val="000000"/>
            </w:rPr>
          </w:pPr>
        </w:p>
      </w:tc>
    </w:tr>
    <w:tr w:rsidR="00FA3973" w14:paraId="45E8F202" w14:textId="77777777">
      <w:trPr>
        <w:trHeight w:val="223"/>
      </w:trPr>
      <w:tc>
        <w:tcPr>
          <w:tcW w:w="6076" w:type="dxa"/>
          <w:vMerge/>
          <w:vAlign w:val="center"/>
        </w:tcPr>
        <w:p w14:paraId="21D20C80" w14:textId="77777777" w:rsidR="00FA3973" w:rsidRDefault="00FA3973">
          <w:pPr>
            <w:widowControl w:val="0"/>
            <w:pBdr>
              <w:top w:val="nil"/>
              <w:left w:val="nil"/>
              <w:bottom w:val="nil"/>
              <w:right w:val="nil"/>
              <w:between w:val="nil"/>
            </w:pBdr>
            <w:spacing w:line="276" w:lineRule="auto"/>
            <w:rPr>
              <w:rFonts w:ascii="Verdana" w:eastAsia="Verdana" w:hAnsi="Verdana" w:cs="Verdana"/>
              <w:b/>
              <w:color w:val="000000"/>
            </w:rPr>
          </w:pPr>
        </w:p>
      </w:tc>
      <w:tc>
        <w:tcPr>
          <w:tcW w:w="4185" w:type="dxa"/>
          <w:tcBorders>
            <w:bottom w:val="single" w:sz="4" w:space="0" w:color="000000"/>
          </w:tcBorders>
        </w:tcPr>
        <w:p w14:paraId="12363DAE" w14:textId="77777777" w:rsidR="00FA3973" w:rsidRDefault="001A06B0">
          <w:pPr>
            <w:pBdr>
              <w:top w:val="nil"/>
              <w:left w:val="nil"/>
              <w:bottom w:val="nil"/>
              <w:right w:val="nil"/>
              <w:between w:val="nil"/>
            </w:pBdr>
            <w:tabs>
              <w:tab w:val="center" w:pos="4513"/>
              <w:tab w:val="right" w:pos="9026"/>
            </w:tabs>
            <w:spacing w:after="60"/>
            <w:jc w:val="right"/>
            <w:rPr>
              <w:rFonts w:ascii="Verdana" w:eastAsia="Verdana" w:hAnsi="Verdana" w:cs="Verdana"/>
              <w:color w:val="000000"/>
              <w:sz w:val="20"/>
              <w:szCs w:val="20"/>
            </w:rPr>
          </w:pPr>
          <w:r>
            <w:rPr>
              <w:rFonts w:ascii="Verdana" w:eastAsia="Verdana" w:hAnsi="Verdana" w:cs="Verdana"/>
              <w:color w:val="000000"/>
              <w:sz w:val="20"/>
              <w:szCs w:val="20"/>
            </w:rPr>
            <w:t xml:space="preserve">Page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PAGE</w:instrText>
          </w:r>
          <w:r>
            <w:rPr>
              <w:rFonts w:ascii="Verdana" w:eastAsia="Verdana" w:hAnsi="Verdana" w:cs="Verdana"/>
              <w:color w:val="000000"/>
              <w:sz w:val="20"/>
              <w:szCs w:val="20"/>
            </w:rPr>
            <w:fldChar w:fldCharType="separate"/>
          </w:r>
          <w:r w:rsidR="00346C20">
            <w:rPr>
              <w:rFonts w:ascii="Verdana" w:eastAsia="Verdana" w:hAnsi="Verdana" w:cs="Verdana"/>
              <w:noProof/>
              <w:color w:val="000000"/>
              <w:sz w:val="20"/>
              <w:szCs w:val="20"/>
            </w:rPr>
            <w:t>1</w:t>
          </w:r>
          <w:r>
            <w:rPr>
              <w:rFonts w:ascii="Verdana" w:eastAsia="Verdana" w:hAnsi="Verdana" w:cs="Verdana"/>
              <w:color w:val="000000"/>
              <w:sz w:val="20"/>
              <w:szCs w:val="20"/>
            </w:rPr>
            <w:fldChar w:fldCharType="end"/>
          </w:r>
          <w:r>
            <w:rPr>
              <w:rFonts w:ascii="Verdana" w:eastAsia="Verdana" w:hAnsi="Verdana" w:cs="Verdana"/>
              <w:color w:val="000000"/>
              <w:sz w:val="20"/>
              <w:szCs w:val="20"/>
            </w:rPr>
            <w:t xml:space="preserve"> of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NUMPAGES</w:instrText>
          </w:r>
          <w:r>
            <w:rPr>
              <w:rFonts w:ascii="Verdana" w:eastAsia="Verdana" w:hAnsi="Verdana" w:cs="Verdana"/>
              <w:color w:val="000000"/>
              <w:sz w:val="20"/>
              <w:szCs w:val="20"/>
            </w:rPr>
            <w:fldChar w:fldCharType="separate"/>
          </w:r>
          <w:r w:rsidR="00346C20">
            <w:rPr>
              <w:rFonts w:ascii="Verdana" w:eastAsia="Verdana" w:hAnsi="Verdana" w:cs="Verdana"/>
              <w:noProof/>
              <w:color w:val="000000"/>
              <w:sz w:val="20"/>
              <w:szCs w:val="20"/>
            </w:rPr>
            <w:t>2</w:t>
          </w:r>
          <w:r>
            <w:rPr>
              <w:rFonts w:ascii="Verdana" w:eastAsia="Verdana" w:hAnsi="Verdana" w:cs="Verdana"/>
              <w:color w:val="000000"/>
              <w:sz w:val="20"/>
              <w:szCs w:val="20"/>
            </w:rPr>
            <w:fldChar w:fldCharType="end"/>
          </w:r>
        </w:p>
      </w:tc>
    </w:tr>
  </w:tbl>
  <w:p w14:paraId="1499209A"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C8039" w14:textId="77777777" w:rsidR="00FA3973" w:rsidRDefault="00FA3973">
    <w:pPr>
      <w:widowControl w:val="0"/>
      <w:pBdr>
        <w:top w:val="nil"/>
        <w:left w:val="nil"/>
        <w:bottom w:val="nil"/>
        <w:right w:val="nil"/>
        <w:between w:val="nil"/>
      </w:pBdr>
      <w:spacing w:line="276" w:lineRule="auto"/>
      <w:rPr>
        <w:rFonts w:ascii="Verdana" w:eastAsia="Verdana" w:hAnsi="Verdana" w:cs="Verdana"/>
        <w:color w:val="000000"/>
        <w:sz w:val="12"/>
        <w:szCs w:val="12"/>
      </w:rPr>
    </w:pPr>
  </w:p>
  <w:tbl>
    <w:tblPr>
      <w:tblStyle w:val="a7"/>
      <w:tblW w:w="10096" w:type="dxa"/>
      <w:tblInd w:w="108" w:type="dxa"/>
      <w:tblBorders>
        <w:bottom w:val="single" w:sz="4" w:space="0" w:color="000000"/>
      </w:tblBorders>
      <w:tblLayout w:type="fixed"/>
      <w:tblLook w:val="0000" w:firstRow="0" w:lastRow="0" w:firstColumn="0" w:lastColumn="0" w:noHBand="0" w:noVBand="0"/>
    </w:tblPr>
    <w:tblGrid>
      <w:gridCol w:w="6193"/>
      <w:gridCol w:w="3903"/>
    </w:tblGrid>
    <w:tr w:rsidR="00FA3973" w14:paraId="37763C93" w14:textId="77777777">
      <w:trPr>
        <w:trHeight w:val="354"/>
      </w:trPr>
      <w:tc>
        <w:tcPr>
          <w:tcW w:w="6193" w:type="dxa"/>
          <w:tcBorders>
            <w:bottom w:val="single" w:sz="4" w:space="0" w:color="000000"/>
          </w:tcBorders>
        </w:tcPr>
        <w:p w14:paraId="72AFDB1A" w14:textId="77777777" w:rsidR="00FA3973" w:rsidRDefault="00FA3973">
          <w:pPr>
            <w:pBdr>
              <w:top w:val="nil"/>
              <w:left w:val="nil"/>
              <w:bottom w:val="nil"/>
              <w:right w:val="nil"/>
              <w:between w:val="nil"/>
            </w:pBdr>
            <w:tabs>
              <w:tab w:val="center" w:pos="4513"/>
              <w:tab w:val="right" w:pos="9026"/>
            </w:tabs>
            <w:spacing w:after="60"/>
            <w:rPr>
              <w:rFonts w:ascii="Verdana" w:eastAsia="Verdana" w:hAnsi="Verdana" w:cs="Verdana"/>
              <w:b/>
              <w:color w:val="000000"/>
              <w:sz w:val="28"/>
              <w:szCs w:val="28"/>
            </w:rPr>
          </w:pPr>
        </w:p>
      </w:tc>
      <w:tc>
        <w:tcPr>
          <w:tcW w:w="3903" w:type="dxa"/>
          <w:tcBorders>
            <w:bottom w:val="single" w:sz="4" w:space="0" w:color="000000"/>
          </w:tcBorders>
        </w:tcPr>
        <w:p w14:paraId="5F7570D3" w14:textId="77777777" w:rsidR="00FA3973" w:rsidRDefault="001A06B0">
          <w:pPr>
            <w:pBdr>
              <w:top w:val="nil"/>
              <w:left w:val="nil"/>
              <w:bottom w:val="nil"/>
              <w:right w:val="nil"/>
              <w:between w:val="nil"/>
            </w:pBdr>
            <w:tabs>
              <w:tab w:val="center" w:pos="4513"/>
              <w:tab w:val="right" w:pos="9026"/>
            </w:tabs>
            <w:jc w:val="right"/>
            <w:rPr>
              <w:rFonts w:ascii="Verdana" w:eastAsia="Verdana" w:hAnsi="Verdana" w:cs="Verdana"/>
              <w:color w:val="000000"/>
            </w:rPr>
          </w:pPr>
          <w:r>
            <w:rPr>
              <w:rFonts w:ascii="Verdana" w:eastAsia="Verdana" w:hAnsi="Verdana" w:cs="Verdana"/>
              <w:color w:val="000000"/>
              <w:sz w:val="20"/>
              <w:szCs w:val="20"/>
            </w:rPr>
            <w:t xml:space="preserve">Page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PAGE</w:instrText>
          </w:r>
          <w:r>
            <w:rPr>
              <w:rFonts w:ascii="Verdana" w:eastAsia="Verdana" w:hAnsi="Verdana" w:cs="Verdana"/>
              <w:color w:val="000000"/>
              <w:sz w:val="20"/>
              <w:szCs w:val="20"/>
            </w:rPr>
            <w:fldChar w:fldCharType="separate"/>
          </w:r>
          <w:r w:rsidR="00346C20">
            <w:rPr>
              <w:rFonts w:ascii="Verdana" w:eastAsia="Verdana" w:hAnsi="Verdana" w:cs="Verdana"/>
              <w:noProof/>
              <w:color w:val="000000"/>
              <w:sz w:val="20"/>
              <w:szCs w:val="20"/>
            </w:rPr>
            <w:t>2</w:t>
          </w:r>
          <w:r>
            <w:rPr>
              <w:rFonts w:ascii="Verdana" w:eastAsia="Verdana" w:hAnsi="Verdana" w:cs="Verdana"/>
              <w:color w:val="000000"/>
              <w:sz w:val="20"/>
              <w:szCs w:val="20"/>
            </w:rPr>
            <w:fldChar w:fldCharType="end"/>
          </w:r>
          <w:r>
            <w:rPr>
              <w:rFonts w:ascii="Verdana" w:eastAsia="Verdana" w:hAnsi="Verdana" w:cs="Verdana"/>
              <w:color w:val="000000"/>
              <w:sz w:val="20"/>
              <w:szCs w:val="20"/>
            </w:rPr>
            <w:t xml:space="preserve"> of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NUMPAGES</w:instrText>
          </w:r>
          <w:r>
            <w:rPr>
              <w:rFonts w:ascii="Verdana" w:eastAsia="Verdana" w:hAnsi="Verdana" w:cs="Verdana"/>
              <w:color w:val="000000"/>
              <w:sz w:val="20"/>
              <w:szCs w:val="20"/>
            </w:rPr>
            <w:fldChar w:fldCharType="separate"/>
          </w:r>
          <w:r w:rsidR="00346C20">
            <w:rPr>
              <w:rFonts w:ascii="Verdana" w:eastAsia="Verdana" w:hAnsi="Verdana" w:cs="Verdana"/>
              <w:noProof/>
              <w:color w:val="000000"/>
              <w:sz w:val="20"/>
              <w:szCs w:val="20"/>
            </w:rPr>
            <w:t>3</w:t>
          </w:r>
          <w:r>
            <w:rPr>
              <w:rFonts w:ascii="Verdana" w:eastAsia="Verdana" w:hAnsi="Verdana" w:cs="Verdana"/>
              <w:color w:val="000000"/>
              <w:sz w:val="20"/>
              <w:szCs w:val="20"/>
            </w:rPr>
            <w:fldChar w:fldCharType="end"/>
          </w:r>
        </w:p>
      </w:tc>
    </w:tr>
  </w:tbl>
  <w:p w14:paraId="4DFE98C9"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51A41" w14:textId="77777777" w:rsidR="00FA3973" w:rsidRDefault="00FA3973">
    <w:pPr>
      <w:widowControl w:val="0"/>
      <w:pBdr>
        <w:top w:val="nil"/>
        <w:left w:val="nil"/>
        <w:bottom w:val="nil"/>
        <w:right w:val="nil"/>
        <w:between w:val="nil"/>
      </w:pBdr>
      <w:spacing w:line="276" w:lineRule="auto"/>
      <w:rPr>
        <w:rFonts w:ascii="Verdana" w:eastAsia="Verdana" w:hAnsi="Verdana" w:cs="Verdana"/>
        <w:color w:val="000000"/>
        <w:sz w:val="18"/>
        <w:szCs w:val="18"/>
      </w:rPr>
    </w:pPr>
  </w:p>
  <w:tbl>
    <w:tblPr>
      <w:tblStyle w:val="a6"/>
      <w:tblW w:w="10261" w:type="dxa"/>
      <w:tblInd w:w="108" w:type="dxa"/>
      <w:tblBorders>
        <w:bottom w:val="single" w:sz="4" w:space="0" w:color="000000"/>
      </w:tblBorders>
      <w:tblLayout w:type="fixed"/>
      <w:tblLook w:val="0000" w:firstRow="0" w:lastRow="0" w:firstColumn="0" w:lastColumn="0" w:noHBand="0" w:noVBand="0"/>
    </w:tblPr>
    <w:tblGrid>
      <w:gridCol w:w="6076"/>
      <w:gridCol w:w="4185"/>
    </w:tblGrid>
    <w:tr w:rsidR="00FA3973" w14:paraId="6ACDC033" w14:textId="77777777">
      <w:trPr>
        <w:trHeight w:val="184"/>
      </w:trPr>
      <w:tc>
        <w:tcPr>
          <w:tcW w:w="10261" w:type="dxa"/>
          <w:gridSpan w:val="2"/>
        </w:tcPr>
        <w:p w14:paraId="2C1CE018" w14:textId="77777777" w:rsidR="00FA3973" w:rsidRDefault="00FA3973">
          <w:pPr>
            <w:pBdr>
              <w:top w:val="nil"/>
              <w:left w:val="nil"/>
              <w:bottom w:val="nil"/>
              <w:right w:val="nil"/>
              <w:between w:val="nil"/>
            </w:pBdr>
            <w:tabs>
              <w:tab w:val="center" w:pos="4513"/>
              <w:tab w:val="right" w:pos="9026"/>
            </w:tabs>
            <w:jc w:val="center"/>
            <w:rPr>
              <w:rFonts w:ascii="Verdana" w:eastAsia="Verdana" w:hAnsi="Verdana" w:cs="Verdana"/>
              <w:color w:val="FF0000"/>
              <w:sz w:val="16"/>
              <w:szCs w:val="16"/>
            </w:rPr>
          </w:pPr>
        </w:p>
      </w:tc>
    </w:tr>
    <w:tr w:rsidR="00FA3973" w14:paraId="39CFEACE" w14:textId="77777777">
      <w:trPr>
        <w:trHeight w:val="344"/>
      </w:trPr>
      <w:tc>
        <w:tcPr>
          <w:tcW w:w="6076" w:type="dxa"/>
        </w:tcPr>
        <w:p w14:paraId="7253494E" w14:textId="77777777" w:rsidR="00FA3973" w:rsidRDefault="00FA3973">
          <w:pPr>
            <w:pBdr>
              <w:top w:val="nil"/>
              <w:left w:val="nil"/>
              <w:bottom w:val="nil"/>
              <w:right w:val="nil"/>
              <w:between w:val="nil"/>
            </w:pBdr>
            <w:tabs>
              <w:tab w:val="center" w:pos="4513"/>
              <w:tab w:val="right" w:pos="9026"/>
            </w:tabs>
            <w:rPr>
              <w:rFonts w:ascii="Verdana" w:eastAsia="Verdana" w:hAnsi="Verdana" w:cs="Verdana"/>
              <w:b/>
              <w:color w:val="000000"/>
              <w:sz w:val="28"/>
              <w:szCs w:val="28"/>
            </w:rPr>
          </w:pPr>
        </w:p>
      </w:tc>
      <w:tc>
        <w:tcPr>
          <w:tcW w:w="4185" w:type="dxa"/>
          <w:vMerge w:val="restart"/>
        </w:tcPr>
        <w:p w14:paraId="00301B05" w14:textId="77777777" w:rsidR="00FA3973" w:rsidRDefault="001A06B0">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3AF60406" wp14:editId="0B052616">
                <wp:extent cx="2533650" cy="847725"/>
                <wp:effectExtent l="0" t="0" r="0" b="0"/>
                <wp:docPr id="4"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1"/>
                        <a:srcRect/>
                        <a:stretch>
                          <a:fillRect/>
                        </a:stretch>
                      </pic:blipFill>
                      <pic:spPr>
                        <a:xfrm>
                          <a:off x="0" y="0"/>
                          <a:ext cx="2533650" cy="847725"/>
                        </a:xfrm>
                        <a:prstGeom prst="rect">
                          <a:avLst/>
                        </a:prstGeom>
                        <a:ln/>
                      </pic:spPr>
                    </pic:pic>
                  </a:graphicData>
                </a:graphic>
              </wp:inline>
            </w:drawing>
          </w:r>
        </w:p>
        <w:p w14:paraId="50892EA9"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rPr>
          </w:pPr>
        </w:p>
      </w:tc>
    </w:tr>
    <w:tr w:rsidR="00FA3973" w14:paraId="7D229B68" w14:textId="77777777">
      <w:trPr>
        <w:trHeight w:val="345"/>
      </w:trPr>
      <w:tc>
        <w:tcPr>
          <w:tcW w:w="6076" w:type="dxa"/>
          <w:vMerge w:val="restart"/>
          <w:vAlign w:val="center"/>
        </w:tcPr>
        <w:p w14:paraId="786FA7CA" w14:textId="77777777" w:rsidR="00FA3973" w:rsidRDefault="00FA3973">
          <w:pPr>
            <w:pBdr>
              <w:top w:val="nil"/>
              <w:left w:val="nil"/>
              <w:bottom w:val="nil"/>
              <w:right w:val="nil"/>
              <w:between w:val="nil"/>
            </w:pBdr>
            <w:tabs>
              <w:tab w:val="center" w:pos="4513"/>
              <w:tab w:val="right" w:pos="9026"/>
            </w:tabs>
            <w:jc w:val="center"/>
            <w:rPr>
              <w:rFonts w:ascii="Verdana" w:eastAsia="Verdana" w:hAnsi="Verdana" w:cs="Verdana"/>
              <w:b/>
              <w:color w:val="000000"/>
            </w:rPr>
          </w:pPr>
        </w:p>
      </w:tc>
      <w:tc>
        <w:tcPr>
          <w:tcW w:w="4185" w:type="dxa"/>
          <w:vMerge/>
        </w:tcPr>
        <w:p w14:paraId="6E84F11B" w14:textId="77777777" w:rsidR="00FA3973" w:rsidRDefault="00FA3973">
          <w:pPr>
            <w:widowControl w:val="0"/>
            <w:pBdr>
              <w:top w:val="nil"/>
              <w:left w:val="nil"/>
              <w:bottom w:val="nil"/>
              <w:right w:val="nil"/>
              <w:between w:val="nil"/>
            </w:pBdr>
            <w:spacing w:line="276" w:lineRule="auto"/>
            <w:rPr>
              <w:rFonts w:ascii="Verdana" w:eastAsia="Verdana" w:hAnsi="Verdana" w:cs="Verdana"/>
              <w:b/>
              <w:color w:val="000000"/>
            </w:rPr>
          </w:pPr>
        </w:p>
      </w:tc>
    </w:tr>
    <w:tr w:rsidR="00FA3973" w14:paraId="68B0E0E8" w14:textId="77777777">
      <w:trPr>
        <w:trHeight w:val="223"/>
      </w:trPr>
      <w:tc>
        <w:tcPr>
          <w:tcW w:w="6076" w:type="dxa"/>
          <w:vMerge/>
          <w:vAlign w:val="center"/>
        </w:tcPr>
        <w:p w14:paraId="33B0D5B3" w14:textId="77777777" w:rsidR="00FA3973" w:rsidRDefault="00FA3973">
          <w:pPr>
            <w:widowControl w:val="0"/>
            <w:pBdr>
              <w:top w:val="nil"/>
              <w:left w:val="nil"/>
              <w:bottom w:val="nil"/>
              <w:right w:val="nil"/>
              <w:between w:val="nil"/>
            </w:pBdr>
            <w:spacing w:line="276" w:lineRule="auto"/>
            <w:rPr>
              <w:rFonts w:ascii="Verdana" w:eastAsia="Verdana" w:hAnsi="Verdana" w:cs="Verdana"/>
              <w:b/>
              <w:color w:val="000000"/>
            </w:rPr>
          </w:pPr>
        </w:p>
      </w:tc>
      <w:tc>
        <w:tcPr>
          <w:tcW w:w="4185" w:type="dxa"/>
          <w:tcBorders>
            <w:bottom w:val="single" w:sz="4" w:space="0" w:color="000000"/>
          </w:tcBorders>
        </w:tcPr>
        <w:p w14:paraId="220303AE" w14:textId="77777777" w:rsidR="00FA3973" w:rsidRDefault="001A06B0">
          <w:pPr>
            <w:pBdr>
              <w:top w:val="nil"/>
              <w:left w:val="nil"/>
              <w:bottom w:val="nil"/>
              <w:right w:val="nil"/>
              <w:between w:val="nil"/>
            </w:pBdr>
            <w:tabs>
              <w:tab w:val="center" w:pos="4513"/>
              <w:tab w:val="right" w:pos="9026"/>
            </w:tabs>
            <w:spacing w:after="60"/>
            <w:jc w:val="right"/>
            <w:rPr>
              <w:rFonts w:ascii="Verdana" w:eastAsia="Verdana" w:hAnsi="Verdana" w:cs="Verdana"/>
              <w:color w:val="000000"/>
              <w:sz w:val="20"/>
              <w:szCs w:val="20"/>
            </w:rPr>
          </w:pPr>
          <w:r>
            <w:rPr>
              <w:rFonts w:ascii="Verdana" w:eastAsia="Verdana" w:hAnsi="Verdana" w:cs="Verdana"/>
              <w:color w:val="000000"/>
              <w:sz w:val="20"/>
              <w:szCs w:val="20"/>
            </w:rPr>
            <w:t xml:space="preserve">Page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PAGE</w:instrText>
          </w:r>
          <w:r>
            <w:rPr>
              <w:rFonts w:ascii="Verdana" w:eastAsia="Verdana" w:hAnsi="Verdana" w:cs="Verdana"/>
              <w:color w:val="000000"/>
              <w:sz w:val="20"/>
              <w:szCs w:val="20"/>
            </w:rPr>
            <w:fldChar w:fldCharType="end"/>
          </w:r>
          <w:r>
            <w:rPr>
              <w:rFonts w:ascii="Verdana" w:eastAsia="Verdana" w:hAnsi="Verdana" w:cs="Verdana"/>
              <w:color w:val="000000"/>
              <w:sz w:val="20"/>
              <w:szCs w:val="20"/>
            </w:rPr>
            <w:t xml:space="preserve"> of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NUMPAGES</w:instrText>
          </w:r>
          <w:r>
            <w:rPr>
              <w:rFonts w:ascii="Verdana" w:eastAsia="Verdana" w:hAnsi="Verdana" w:cs="Verdana"/>
              <w:color w:val="000000"/>
              <w:sz w:val="20"/>
              <w:szCs w:val="20"/>
            </w:rPr>
            <w:fldChar w:fldCharType="end"/>
          </w:r>
        </w:p>
      </w:tc>
    </w:tr>
  </w:tbl>
  <w:p w14:paraId="64B1150C" w14:textId="77777777" w:rsidR="00FA3973" w:rsidRDefault="00FA3973">
    <w:pPr>
      <w:pBdr>
        <w:top w:val="nil"/>
        <w:left w:val="nil"/>
        <w:bottom w:val="nil"/>
        <w:right w:val="nil"/>
        <w:between w:val="nil"/>
      </w:pBdr>
      <w:tabs>
        <w:tab w:val="center" w:pos="4513"/>
        <w:tab w:val="right" w:pos="9026"/>
      </w:tabs>
      <w:rPr>
        <w:rFonts w:ascii="Verdana" w:eastAsia="Verdana" w:hAnsi="Verdana" w:cs="Verdana"/>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76C2A"/>
    <w:multiLevelType w:val="multilevel"/>
    <w:tmpl w:val="CA3AB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720"/>
      </w:pPr>
      <w:rPr>
        <w:rFonts w:ascii="Verdana" w:eastAsia="Verdana" w:hAnsi="Verdana" w:cs="Verdan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AC1D64"/>
    <w:multiLevelType w:val="multilevel"/>
    <w:tmpl w:val="8C668BFE"/>
    <w:lvl w:ilvl="0">
      <w:start w:val="1"/>
      <w:numFmt w:val="decimal"/>
      <w:pStyle w:val="Heading1Numbered-NNL"/>
      <w:lvlText w:val="%1."/>
      <w:lvlJc w:val="left"/>
      <w:pPr>
        <w:ind w:left="851" w:hanging="851"/>
      </w:pPr>
      <w:rPr>
        <w:sz w:val="20"/>
        <w:szCs w:val="20"/>
      </w:rPr>
    </w:lvl>
    <w:lvl w:ilvl="1">
      <w:start w:val="1"/>
      <w:numFmt w:val="decimal"/>
      <w:pStyle w:val="Heading2Numbered-NNL"/>
      <w:lvlText w:val="%1.%2."/>
      <w:lvlJc w:val="left"/>
      <w:pPr>
        <w:ind w:left="1275" w:hanging="1275"/>
      </w:pPr>
      <w:rPr>
        <w:sz w:val="20"/>
        <w:szCs w:val="20"/>
      </w:rPr>
    </w:lvl>
    <w:lvl w:ilvl="2">
      <w:start w:val="1"/>
      <w:numFmt w:val="decimal"/>
      <w:pStyle w:val="Heading3Numbered-NNL"/>
      <w:lvlText w:val="%1.%2.%3."/>
      <w:lvlJc w:val="left"/>
      <w:pPr>
        <w:ind w:left="1304" w:hanging="1304"/>
      </w:pPr>
    </w:lvl>
    <w:lvl w:ilvl="3">
      <w:start w:val="1"/>
      <w:numFmt w:val="decimal"/>
      <w:pStyle w:val="Heading4Numbered-NNL"/>
      <w:lvlText w:val="%1.%2.%3.%4."/>
      <w:lvlJc w:val="left"/>
      <w:pPr>
        <w:ind w:left="1304" w:hanging="1304"/>
      </w:pPr>
    </w:lvl>
    <w:lvl w:ilvl="4">
      <w:start w:val="1"/>
      <w:numFmt w:val="decimal"/>
      <w:pStyle w:val="Heading5Numbered-NNL"/>
      <w:lvlText w:val="%1.%2.%3.%4.%5."/>
      <w:lvlJc w:val="left"/>
      <w:pPr>
        <w:ind w:left="1531" w:hanging="1531"/>
      </w:pPr>
    </w:lvl>
    <w:lvl w:ilvl="5">
      <w:start w:val="1"/>
      <w:numFmt w:val="decimal"/>
      <w:pStyle w:val="Heading6Numbered-NNL"/>
      <w:lvlText w:val="%1.%2.%3.%4.%5.%6."/>
      <w:lvlJc w:val="left"/>
      <w:pPr>
        <w:ind w:left="1758" w:hanging="1758"/>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4E9B4CF6"/>
    <w:multiLevelType w:val="hybridMultilevel"/>
    <w:tmpl w:val="CE80A494"/>
    <w:lvl w:ilvl="0" w:tplc="85184A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0D0FE9"/>
    <w:multiLevelType w:val="multilevel"/>
    <w:tmpl w:val="2E0E1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973"/>
    <w:rsid w:val="00053B5D"/>
    <w:rsid w:val="000A30D3"/>
    <w:rsid w:val="0014448A"/>
    <w:rsid w:val="001A06B0"/>
    <w:rsid w:val="00267139"/>
    <w:rsid w:val="00290A83"/>
    <w:rsid w:val="00346C20"/>
    <w:rsid w:val="003A3987"/>
    <w:rsid w:val="0041790B"/>
    <w:rsid w:val="00482C95"/>
    <w:rsid w:val="005147AE"/>
    <w:rsid w:val="005565AC"/>
    <w:rsid w:val="00567923"/>
    <w:rsid w:val="00675618"/>
    <w:rsid w:val="006D2E86"/>
    <w:rsid w:val="007678BE"/>
    <w:rsid w:val="007C43D0"/>
    <w:rsid w:val="007C792E"/>
    <w:rsid w:val="00846D81"/>
    <w:rsid w:val="00894DC5"/>
    <w:rsid w:val="008C53BC"/>
    <w:rsid w:val="00936371"/>
    <w:rsid w:val="009F7349"/>
    <w:rsid w:val="00A50FCA"/>
    <w:rsid w:val="00AE4A3A"/>
    <w:rsid w:val="00BB7630"/>
    <w:rsid w:val="00BC20FC"/>
    <w:rsid w:val="00BC30D9"/>
    <w:rsid w:val="00BF1118"/>
    <w:rsid w:val="00CB7893"/>
    <w:rsid w:val="00D73B6D"/>
    <w:rsid w:val="00EB251B"/>
    <w:rsid w:val="00EB6A3C"/>
    <w:rsid w:val="00EC6E5E"/>
    <w:rsid w:val="00F07CE1"/>
    <w:rsid w:val="00F47221"/>
    <w:rsid w:val="00F622FD"/>
    <w:rsid w:val="00FA3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2623"/>
  <w15:docId w15:val="{A92F4E5A-D742-49B7-975B-1B6AA7E5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embo" w:eastAsia="Bembo" w:hAnsi="Bembo" w:cs="Bembo"/>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83"/>
    <w:rPr>
      <w:lang w:eastAsia="en-US"/>
    </w:rPr>
  </w:style>
  <w:style w:type="paragraph" w:styleId="Heading1">
    <w:name w:val="heading 1"/>
    <w:basedOn w:val="Normal"/>
    <w:next w:val="Normal"/>
    <w:link w:val="Heading1Char"/>
    <w:uiPriority w:val="9"/>
    <w:qFormat/>
    <w:rsid w:val="00792F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282F16"/>
    <w:pPr>
      <w:tabs>
        <w:tab w:val="center" w:pos="4513"/>
        <w:tab w:val="right" w:pos="9026"/>
      </w:tabs>
    </w:pPr>
  </w:style>
  <w:style w:type="character" w:customStyle="1" w:styleId="HeaderChar">
    <w:name w:val="Header Char"/>
    <w:basedOn w:val="DefaultParagraphFont"/>
    <w:link w:val="Header"/>
    <w:uiPriority w:val="99"/>
    <w:locked/>
    <w:rsid w:val="00282F16"/>
    <w:rPr>
      <w:sz w:val="24"/>
    </w:rPr>
  </w:style>
  <w:style w:type="paragraph" w:styleId="Footer">
    <w:name w:val="footer"/>
    <w:basedOn w:val="Normal"/>
    <w:link w:val="FooterChar"/>
    <w:uiPriority w:val="99"/>
    <w:rsid w:val="00282F16"/>
    <w:pPr>
      <w:tabs>
        <w:tab w:val="center" w:pos="4513"/>
        <w:tab w:val="right" w:pos="9026"/>
      </w:tabs>
    </w:pPr>
  </w:style>
  <w:style w:type="character" w:customStyle="1" w:styleId="FooterChar">
    <w:name w:val="Footer Char"/>
    <w:basedOn w:val="DefaultParagraphFont"/>
    <w:link w:val="Footer"/>
    <w:uiPriority w:val="99"/>
    <w:locked/>
    <w:rsid w:val="00282F16"/>
    <w:rPr>
      <w:sz w:val="24"/>
    </w:rPr>
  </w:style>
  <w:style w:type="table" w:styleId="TableGrid">
    <w:name w:val="Table Grid"/>
    <w:basedOn w:val="TableNormal"/>
    <w:rsid w:val="00F35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1533FD"/>
    <w:rPr>
      <w:rFonts w:ascii="Tahoma" w:hAnsi="Tahoma" w:cs="Tahoma"/>
      <w:sz w:val="16"/>
      <w:szCs w:val="16"/>
    </w:rPr>
  </w:style>
  <w:style w:type="character" w:customStyle="1" w:styleId="BalloonTextChar">
    <w:name w:val="Balloon Text Char"/>
    <w:basedOn w:val="DefaultParagraphFont"/>
    <w:link w:val="BalloonText"/>
    <w:uiPriority w:val="99"/>
    <w:locked/>
    <w:rsid w:val="001533FD"/>
    <w:rPr>
      <w:rFonts w:ascii="Tahoma" w:hAnsi="Tahoma" w:cs="Tahoma"/>
      <w:sz w:val="16"/>
      <w:szCs w:val="16"/>
      <w:lang w:val="x-none" w:eastAsia="en-US"/>
    </w:rPr>
  </w:style>
  <w:style w:type="paragraph" w:customStyle="1" w:styleId="NormalLayout-NNL">
    <w:name w:val="Normal Layout - NNL"/>
    <w:semiHidden/>
    <w:qFormat/>
    <w:rsid w:val="00792F47"/>
    <w:pPr>
      <w:spacing w:line="280" w:lineRule="atLeast"/>
    </w:pPr>
    <w:rPr>
      <w:rFonts w:ascii="Verdana" w:eastAsiaTheme="minorHAnsi" w:hAnsi="Verdana" w:cstheme="minorBidi"/>
      <w:color w:val="000000" w:themeColor="text1"/>
      <w:szCs w:val="22"/>
      <w:lang w:eastAsia="en-US"/>
    </w:rPr>
  </w:style>
  <w:style w:type="paragraph" w:styleId="Signature">
    <w:name w:val="Signature"/>
    <w:basedOn w:val="Normal"/>
    <w:link w:val="SignatureChar"/>
    <w:semiHidden/>
    <w:rsid w:val="00792F47"/>
    <w:pPr>
      <w:spacing w:before="360" w:after="360" w:line="280" w:lineRule="atLeast"/>
    </w:pPr>
    <w:rPr>
      <w:rFonts w:ascii="Verdana" w:eastAsiaTheme="minorHAnsi" w:hAnsi="Verdana" w:cstheme="minorBidi"/>
      <w:color w:val="000000" w:themeColor="text1"/>
      <w:sz w:val="20"/>
      <w:szCs w:val="22"/>
    </w:rPr>
  </w:style>
  <w:style w:type="character" w:customStyle="1" w:styleId="SignatureChar">
    <w:name w:val="Signature Char"/>
    <w:basedOn w:val="DefaultParagraphFont"/>
    <w:link w:val="Signature"/>
    <w:semiHidden/>
    <w:rsid w:val="00792F47"/>
    <w:rPr>
      <w:rFonts w:ascii="Verdana" w:eastAsiaTheme="minorHAnsi" w:hAnsi="Verdana" w:cstheme="minorBidi"/>
      <w:color w:val="000000" w:themeColor="text1"/>
      <w:szCs w:val="22"/>
      <w:lang w:eastAsia="en-US"/>
    </w:rPr>
  </w:style>
  <w:style w:type="character" w:customStyle="1" w:styleId="Highlighted-NNL">
    <w:name w:val="Highlighted - NNL"/>
    <w:uiPriority w:val="2"/>
    <w:qFormat/>
    <w:rsid w:val="00792F47"/>
    <w:rPr>
      <w:b/>
      <w:bCs/>
      <w:color w:val="4F81BD" w:themeColor="accent1"/>
    </w:rPr>
  </w:style>
  <w:style w:type="paragraph" w:customStyle="1" w:styleId="Heading1Text-NNL">
    <w:name w:val="Heading 1 (Text) - NNL"/>
    <w:basedOn w:val="Normal"/>
    <w:next w:val="Normal"/>
    <w:semiHidden/>
    <w:qFormat/>
    <w:rsid w:val="00792F47"/>
    <w:pPr>
      <w:keepNext/>
      <w:keepLines/>
      <w:spacing w:before="200" w:after="360"/>
    </w:pPr>
    <w:rPr>
      <w:rFonts w:ascii="Verdana" w:eastAsiaTheme="minorHAnsi" w:hAnsi="Verdana" w:cstheme="minorBidi"/>
      <w:b/>
      <w:bCs/>
      <w:color w:val="4F81BD" w:themeColor="accent1"/>
      <w:sz w:val="32"/>
      <w:szCs w:val="28"/>
    </w:rPr>
  </w:style>
  <w:style w:type="paragraph" w:customStyle="1" w:styleId="Heading2Text-NNL">
    <w:name w:val="Heading 2 (Text) - NNL"/>
    <w:basedOn w:val="Normal"/>
    <w:next w:val="Normal"/>
    <w:semiHidden/>
    <w:qFormat/>
    <w:rsid w:val="00792F47"/>
    <w:pPr>
      <w:keepNext/>
      <w:keepLines/>
      <w:spacing w:before="320" w:after="280"/>
    </w:pPr>
    <w:rPr>
      <w:rFonts w:ascii="Verdana" w:eastAsiaTheme="minorHAnsi" w:hAnsi="Verdana" w:cstheme="minorBidi"/>
      <w:b/>
      <w:bCs/>
      <w:color w:val="C0504D" w:themeColor="accent2"/>
      <w:sz w:val="28"/>
      <w:szCs w:val="26"/>
    </w:rPr>
  </w:style>
  <w:style w:type="paragraph" w:customStyle="1" w:styleId="Heading1Numbered-NNL">
    <w:name w:val="Heading 1 (Numbered) - NNL"/>
    <w:basedOn w:val="Normal"/>
    <w:next w:val="Normal"/>
    <w:uiPriority w:val="21"/>
    <w:qFormat/>
    <w:rsid w:val="00792F47"/>
    <w:pPr>
      <w:keepNext/>
      <w:keepLines/>
      <w:pageBreakBefore/>
      <w:numPr>
        <w:numId w:val="1"/>
      </w:numPr>
      <w:tabs>
        <w:tab w:val="left" w:pos="851"/>
      </w:tabs>
      <w:spacing w:before="200" w:after="360"/>
      <w:outlineLvl w:val="0"/>
    </w:pPr>
    <w:rPr>
      <w:rFonts w:ascii="Calibri" w:eastAsiaTheme="majorEastAsia" w:hAnsi="Calibri" w:cstheme="majorBidi"/>
      <w:b/>
      <w:bCs/>
      <w:color w:val="4F81BD" w:themeColor="accent1"/>
      <w:sz w:val="32"/>
      <w:szCs w:val="28"/>
    </w:rPr>
  </w:style>
  <w:style w:type="paragraph" w:customStyle="1" w:styleId="Heading2Numbered-NNL">
    <w:name w:val="Heading 2 (Numbered) - NNL"/>
    <w:basedOn w:val="Normal"/>
    <w:next w:val="Normal"/>
    <w:uiPriority w:val="23"/>
    <w:qFormat/>
    <w:rsid w:val="00792F47"/>
    <w:pPr>
      <w:keepNext/>
      <w:keepLines/>
      <w:numPr>
        <w:ilvl w:val="1"/>
        <w:numId w:val="1"/>
      </w:numPr>
      <w:tabs>
        <w:tab w:val="left" w:pos="1276"/>
      </w:tabs>
      <w:spacing w:before="320" w:after="280"/>
      <w:ind w:left="1276"/>
      <w:outlineLvl w:val="1"/>
    </w:pPr>
    <w:rPr>
      <w:rFonts w:ascii="Calibri" w:eastAsiaTheme="majorEastAsia" w:hAnsi="Calibri" w:cstheme="majorBidi"/>
      <w:b/>
      <w:bCs/>
      <w:szCs w:val="26"/>
    </w:rPr>
  </w:style>
  <w:style w:type="paragraph" w:customStyle="1" w:styleId="Heading3Numbered-NNL">
    <w:name w:val="Heading 3 (Numbered) - NNL"/>
    <w:basedOn w:val="Normal"/>
    <w:next w:val="Normal"/>
    <w:uiPriority w:val="25"/>
    <w:qFormat/>
    <w:rsid w:val="00792F47"/>
    <w:pPr>
      <w:keepNext/>
      <w:keepLines/>
      <w:numPr>
        <w:ilvl w:val="2"/>
        <w:numId w:val="1"/>
      </w:numPr>
      <w:tabs>
        <w:tab w:val="left" w:pos="1304"/>
      </w:tabs>
      <w:spacing w:before="200" w:after="240"/>
      <w:outlineLvl w:val="2"/>
    </w:pPr>
    <w:rPr>
      <w:rFonts w:ascii="Verdana" w:eastAsiaTheme="majorEastAsia" w:hAnsi="Verdana" w:cstheme="majorBidi"/>
      <w:b/>
      <w:bCs/>
      <w:color w:val="9BBB59" w:themeColor="accent3"/>
      <w:szCs w:val="22"/>
    </w:rPr>
  </w:style>
  <w:style w:type="paragraph" w:customStyle="1" w:styleId="Heading4Numbered-NNL">
    <w:name w:val="Heading 4 (Numbered) - NNL"/>
    <w:basedOn w:val="Normal"/>
    <w:next w:val="Normal"/>
    <w:uiPriority w:val="27"/>
    <w:qFormat/>
    <w:rsid w:val="00792F47"/>
    <w:pPr>
      <w:keepNext/>
      <w:keepLines/>
      <w:numPr>
        <w:ilvl w:val="3"/>
        <w:numId w:val="1"/>
      </w:numPr>
      <w:tabs>
        <w:tab w:val="left" w:pos="1304"/>
      </w:tabs>
      <w:spacing w:before="200" w:after="200"/>
      <w:outlineLvl w:val="3"/>
    </w:pPr>
    <w:rPr>
      <w:rFonts w:ascii="Verdana" w:eastAsiaTheme="majorEastAsia" w:hAnsi="Verdana" w:cstheme="majorBidi"/>
      <w:b/>
      <w:bCs/>
      <w:iCs/>
      <w:color w:val="8064A2" w:themeColor="accent4"/>
      <w:sz w:val="20"/>
      <w:szCs w:val="22"/>
    </w:rPr>
  </w:style>
  <w:style w:type="paragraph" w:customStyle="1" w:styleId="Heading5Numbered-NNL">
    <w:name w:val="Heading 5 (Numbered) - NNL"/>
    <w:basedOn w:val="Normal"/>
    <w:next w:val="Normal"/>
    <w:uiPriority w:val="29"/>
    <w:qFormat/>
    <w:rsid w:val="00792F47"/>
    <w:pPr>
      <w:keepNext/>
      <w:keepLines/>
      <w:numPr>
        <w:ilvl w:val="4"/>
        <w:numId w:val="1"/>
      </w:numPr>
      <w:tabs>
        <w:tab w:val="left" w:pos="1531"/>
      </w:tabs>
      <w:spacing w:before="200" w:after="160"/>
      <w:outlineLvl w:val="4"/>
    </w:pPr>
    <w:rPr>
      <w:rFonts w:ascii="Verdana" w:eastAsiaTheme="majorEastAsia" w:hAnsi="Verdana" w:cstheme="majorBidi"/>
      <w:b/>
      <w:color w:val="4BACC6" w:themeColor="accent5"/>
      <w:sz w:val="20"/>
      <w:szCs w:val="22"/>
    </w:rPr>
  </w:style>
  <w:style w:type="paragraph" w:customStyle="1" w:styleId="Heading6Numbered-NNL">
    <w:name w:val="Heading 6 (Numbered) - NNL"/>
    <w:basedOn w:val="Normal"/>
    <w:next w:val="Normal"/>
    <w:uiPriority w:val="31"/>
    <w:qFormat/>
    <w:rsid w:val="00792F47"/>
    <w:pPr>
      <w:keepNext/>
      <w:keepLines/>
      <w:numPr>
        <w:ilvl w:val="5"/>
        <w:numId w:val="1"/>
      </w:numPr>
      <w:tabs>
        <w:tab w:val="left" w:pos="1758"/>
      </w:tabs>
      <w:spacing w:before="200" w:after="120"/>
      <w:outlineLvl w:val="5"/>
    </w:pPr>
    <w:rPr>
      <w:rFonts w:ascii="Verdana" w:eastAsiaTheme="majorEastAsia" w:hAnsi="Verdana" w:cstheme="majorBidi"/>
      <w:b/>
      <w:iCs/>
      <w:color w:val="000000" w:themeColor="text1"/>
      <w:sz w:val="20"/>
      <w:szCs w:val="22"/>
    </w:rPr>
  </w:style>
  <w:style w:type="paragraph" w:styleId="ListParagraph">
    <w:name w:val="List Paragraph"/>
    <w:basedOn w:val="Normal"/>
    <w:uiPriority w:val="34"/>
    <w:rsid w:val="00792F47"/>
    <w:pPr>
      <w:spacing w:after="140" w:line="280" w:lineRule="atLeast"/>
      <w:ind w:left="720"/>
      <w:contextualSpacing/>
    </w:pPr>
    <w:rPr>
      <w:rFonts w:ascii="Verdana" w:eastAsiaTheme="minorHAnsi" w:hAnsi="Verdana" w:cstheme="minorBidi"/>
      <w:color w:val="000000" w:themeColor="text1"/>
      <w:sz w:val="20"/>
      <w:szCs w:val="22"/>
    </w:rPr>
  </w:style>
  <w:style w:type="paragraph" w:styleId="TOC1">
    <w:name w:val="toc 1"/>
    <w:basedOn w:val="NormalLayout-NNL"/>
    <w:next w:val="Normal"/>
    <w:autoRedefine/>
    <w:uiPriority w:val="39"/>
    <w:unhideWhenUsed/>
    <w:qFormat/>
    <w:rsid w:val="00792F47"/>
    <w:pPr>
      <w:keepNext/>
      <w:tabs>
        <w:tab w:val="left" w:pos="440"/>
        <w:tab w:val="right" w:leader="dot" w:pos="9452"/>
      </w:tabs>
      <w:spacing w:after="100"/>
      <w:ind w:left="442" w:hanging="442"/>
    </w:pPr>
    <w:rPr>
      <w:noProof/>
    </w:rPr>
  </w:style>
  <w:style w:type="paragraph" w:styleId="TOC2">
    <w:name w:val="toc 2"/>
    <w:basedOn w:val="Normal"/>
    <w:next w:val="Normal"/>
    <w:autoRedefine/>
    <w:uiPriority w:val="39"/>
    <w:unhideWhenUsed/>
    <w:qFormat/>
    <w:rsid w:val="00792F47"/>
    <w:pPr>
      <w:spacing w:after="100" w:line="280" w:lineRule="atLeast"/>
      <w:ind w:left="1271" w:hanging="851"/>
    </w:pPr>
    <w:rPr>
      <w:rFonts w:ascii="Verdana" w:eastAsiaTheme="minorHAnsi" w:hAnsi="Verdana" w:cstheme="minorBidi"/>
      <w:color w:val="000000" w:themeColor="text1"/>
      <w:sz w:val="20"/>
      <w:szCs w:val="22"/>
    </w:rPr>
  </w:style>
  <w:style w:type="character" w:styleId="Hyperlink">
    <w:name w:val="Hyperlink"/>
    <w:basedOn w:val="DefaultParagraphFont"/>
    <w:uiPriority w:val="99"/>
    <w:unhideWhenUsed/>
    <w:rsid w:val="00792F47"/>
    <w:rPr>
      <w:color w:val="0000FF" w:themeColor="hyperlink"/>
      <w:u w:val="single"/>
    </w:rPr>
  </w:style>
  <w:style w:type="table" w:customStyle="1" w:styleId="Table2-NNL-FewColumns">
    <w:name w:val="Table 2 - NNL - Few Columns"/>
    <w:basedOn w:val="TableNormal"/>
    <w:uiPriority w:val="2"/>
    <w:rsid w:val="00792F47"/>
    <w:pPr>
      <w:keepNext/>
      <w:spacing w:after="200" w:line="257" w:lineRule="auto"/>
      <w:ind w:left="80" w:right="80"/>
    </w:pPr>
    <w:rPr>
      <w:rFonts w:asciiTheme="minorHAnsi" w:eastAsiaTheme="minorHAnsi" w:hAnsiTheme="minorHAnsi" w:cstheme="minorBidi"/>
      <w:sz w:val="22"/>
      <w:szCs w:val="22"/>
      <w:lang w:eastAsia="en-US"/>
    </w:rPr>
    <w:tblPr>
      <w:jc w:val="center"/>
      <w:tblBorders>
        <w:top w:val="single" w:sz="4" w:space="0" w:color="8064A2" w:themeColor="accent4"/>
        <w:bottom w:val="single" w:sz="4" w:space="0" w:color="8064A2" w:themeColor="accent4"/>
        <w:insideH w:val="dotted" w:sz="4" w:space="0" w:color="4BACC6" w:themeColor="accent5"/>
        <w:insideV w:val="dotted" w:sz="4" w:space="0" w:color="4BACC6" w:themeColor="accent5"/>
      </w:tblBorders>
      <w:tblCellMar>
        <w:top w:w="80" w:type="dxa"/>
        <w:left w:w="0" w:type="dxa"/>
        <w:bottom w:w="80" w:type="dxa"/>
        <w:right w:w="0" w:type="dxa"/>
      </w:tblCellMar>
    </w:tblPr>
    <w:trPr>
      <w:cantSplit/>
      <w:jc w:val="center"/>
    </w:trPr>
    <w:tblStylePr w:type="firstRow">
      <w:pPr>
        <w:keepNext/>
        <w:widowControl w:val="0"/>
        <w:spacing w:before="120" w:after="120"/>
        <w:jc w:val="left"/>
      </w:pPr>
      <w:tblPr/>
      <w:trPr>
        <w:cantSplit/>
        <w:tblHeader/>
      </w:trPr>
      <w:tcPr>
        <w:tcBorders>
          <w:top w:val="single" w:sz="4" w:space="0" w:color="8064A2" w:themeColor="accent4"/>
          <w:left w:val="nil"/>
          <w:bottom w:val="single" w:sz="24" w:space="0" w:color="8064A2" w:themeColor="accent4"/>
          <w:right w:val="nil"/>
        </w:tcBorders>
      </w:tcPr>
    </w:tblStylePr>
  </w:style>
  <w:style w:type="table" w:customStyle="1" w:styleId="Table4-NNL-FewColumns">
    <w:name w:val="Table 4 - NNL - Few Columns"/>
    <w:basedOn w:val="TableNormal"/>
    <w:uiPriority w:val="4"/>
    <w:rsid w:val="00792F47"/>
    <w:pPr>
      <w:keepNext/>
      <w:spacing w:after="200" w:line="257" w:lineRule="auto"/>
      <w:ind w:left="80" w:right="80"/>
    </w:pPr>
    <w:rPr>
      <w:rFonts w:asciiTheme="minorHAnsi" w:eastAsiaTheme="minorHAnsi" w:hAnsiTheme="minorHAnsi" w:cstheme="minorBidi"/>
      <w:sz w:val="22"/>
      <w:szCs w:val="22"/>
      <w:lang w:eastAsia="en-US"/>
    </w:rPr>
    <w:tblPr>
      <w:jc w:val="center"/>
      <w:tblBorders>
        <w:top w:val="single" w:sz="4" w:space="0" w:color="8064A2" w:themeColor="accent4"/>
        <w:bottom w:val="single" w:sz="4" w:space="0" w:color="8064A2" w:themeColor="accent4"/>
        <w:insideH w:val="dotted" w:sz="4" w:space="0" w:color="4BACC6" w:themeColor="accent5"/>
        <w:insideV w:val="dotted" w:sz="4" w:space="0" w:color="4BACC6" w:themeColor="accent5"/>
      </w:tblBorders>
      <w:tblCellMar>
        <w:top w:w="80" w:type="dxa"/>
        <w:left w:w="0" w:type="dxa"/>
        <w:bottom w:w="80" w:type="dxa"/>
        <w:right w:w="0" w:type="dxa"/>
      </w:tblCellMar>
    </w:tblPr>
    <w:trPr>
      <w:cantSplit/>
      <w:jc w:val="center"/>
    </w:trPr>
    <w:tblStylePr w:type="firstRow">
      <w:pPr>
        <w:keepNext/>
        <w:widowControl w:val="0"/>
        <w:spacing w:before="120" w:after="120"/>
        <w:jc w:val="left"/>
      </w:pPr>
      <w:tblPr/>
      <w:trPr>
        <w:cantSplit/>
        <w:tblHeader/>
      </w:trPr>
      <w:tcPr>
        <w:tcBorders>
          <w:top w:val="single" w:sz="4" w:space="0" w:color="8064A2" w:themeColor="accent4"/>
          <w:left w:val="nil"/>
          <w:bottom w:val="single" w:sz="24" w:space="0" w:color="8064A2" w:themeColor="accent4"/>
          <w:right w:val="nil"/>
          <w:insideH w:val="none" w:sz="0" w:space="0" w:color="auto"/>
          <w:insideV w:val="none" w:sz="0" w:space="0" w:color="auto"/>
        </w:tcBorders>
        <w:shd w:val="clear" w:color="auto" w:fill="D2EAF1" w:themeFill="accent5" w:themeFillTint="3F"/>
      </w:tcPr>
    </w:tblStylePr>
    <w:tblStylePr w:type="firstCol">
      <w:tblPr/>
      <w:tcPr>
        <w:tcBorders>
          <w:top w:val="single" w:sz="4" w:space="0" w:color="8064A2" w:themeColor="accent4"/>
          <w:left w:val="nil"/>
          <w:bottom w:val="single" w:sz="4" w:space="0" w:color="8064A2" w:themeColor="accent4"/>
          <w:right w:val="single" w:sz="4" w:space="0" w:color="8064A2" w:themeColor="accent4"/>
          <w:insideH w:val="none" w:sz="0" w:space="0" w:color="auto"/>
          <w:insideV w:val="none" w:sz="0" w:space="0" w:color="auto"/>
        </w:tcBorders>
        <w:shd w:val="clear" w:color="auto" w:fill="D2EAF1" w:themeFill="accent5" w:themeFillTint="3F"/>
      </w:tcPr>
    </w:tblStylePr>
    <w:tblStylePr w:type="nwCell">
      <w:tblPr/>
      <w:tcPr>
        <w:tcBorders>
          <w:top w:val="nil"/>
          <w:left w:val="nil"/>
          <w:bottom w:val="single" w:sz="24" w:space="0" w:color="8064A2" w:themeColor="accent4"/>
          <w:right w:val="single" w:sz="4" w:space="0" w:color="8064A2" w:themeColor="accent4"/>
          <w:insideH w:val="nil"/>
          <w:insideV w:val="nil"/>
        </w:tcBorders>
        <w:shd w:val="clear" w:color="auto" w:fill="FFFFFF"/>
      </w:tcPr>
    </w:tblStylePr>
  </w:style>
  <w:style w:type="table" w:customStyle="1" w:styleId="TOC-NNL">
    <w:name w:val="TOC - NNL"/>
    <w:basedOn w:val="Table2-NNL-FewColumns"/>
    <w:uiPriority w:val="10"/>
    <w:rsid w:val="00792F47"/>
    <w:tblPr>
      <w:tblStyleRowBandSize w:val="1"/>
    </w:tblPr>
    <w:tblStylePr w:type="firstRow">
      <w:pPr>
        <w:keepNext/>
        <w:widowControl w:val="0"/>
        <w:spacing w:before="120" w:after="120"/>
        <w:jc w:val="left"/>
      </w:pPr>
      <w:tblPr/>
      <w:trPr>
        <w:cantSplit/>
        <w:tblHeader/>
      </w:trPr>
      <w:tcPr>
        <w:tcBorders>
          <w:top w:val="single" w:sz="4" w:space="0" w:color="8064A2" w:themeColor="accent4"/>
          <w:left w:val="nil"/>
          <w:bottom w:val="single" w:sz="24" w:space="0" w:color="8064A2" w:themeColor="accent4"/>
          <w:right w:val="nil"/>
        </w:tcBorders>
      </w:tcPr>
    </w:tblStylePr>
    <w:tblStylePr w:type="band1Horz">
      <w:tblPr/>
      <w:trPr>
        <w:cantSplit w:val="0"/>
      </w:trPr>
    </w:tblStylePr>
    <w:tblStylePr w:type="band2Horz">
      <w:tblPr/>
      <w:trPr>
        <w:cantSplit w:val="0"/>
      </w:trPr>
    </w:tblStylePr>
  </w:style>
  <w:style w:type="paragraph" w:customStyle="1" w:styleId="Hidden">
    <w:name w:val="Hidden"/>
    <w:basedOn w:val="Normal"/>
    <w:rsid w:val="00792F47"/>
    <w:pPr>
      <w:spacing w:after="120" w:line="240" w:lineRule="atLeast"/>
    </w:pPr>
    <w:rPr>
      <w:rFonts w:ascii="Verdana" w:hAnsi="Verdana"/>
      <w:vanish/>
      <w:color w:val="0000FF"/>
      <w:sz w:val="20"/>
    </w:rPr>
  </w:style>
  <w:style w:type="character" w:customStyle="1" w:styleId="Heading1Char">
    <w:name w:val="Heading 1 Char"/>
    <w:basedOn w:val="DefaultParagraphFont"/>
    <w:link w:val="Heading1"/>
    <w:rsid w:val="00792F47"/>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792F47"/>
    <w:pPr>
      <w:spacing w:line="259" w:lineRule="auto"/>
      <w:outlineLvl w:val="9"/>
    </w:pPr>
    <w:rPr>
      <w:lang w:val="en-US"/>
    </w:rPr>
  </w:style>
  <w:style w:type="paragraph" w:customStyle="1" w:styleId="ContentsTabs">
    <w:name w:val="ContentsTabs"/>
    <w:basedOn w:val="Normal"/>
    <w:rsid w:val="00792F47"/>
    <w:pPr>
      <w:tabs>
        <w:tab w:val="left" w:pos="720"/>
        <w:tab w:val="right" w:pos="8998"/>
      </w:tabs>
      <w:spacing w:after="240" w:line="288" w:lineRule="auto"/>
      <w:jc w:val="both"/>
    </w:pPr>
    <w:rPr>
      <w:rFonts w:ascii="Arial" w:hAnsi="Arial"/>
      <w:b/>
      <w:sz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keepNext/>
      <w:spacing w:after="200" w:line="257" w:lineRule="auto"/>
      <w:ind w:left="80" w:right="80"/>
    </w:pPr>
    <w:rPr>
      <w:rFonts w:ascii="Calibri" w:eastAsia="Calibri" w:hAnsi="Calibri" w:cs="Calibri"/>
      <w:sz w:val="22"/>
      <w:szCs w:val="22"/>
    </w:rPr>
    <w:tblPr>
      <w:tblStyleRowBandSize w:val="1"/>
      <w:tblStyleColBandSize w:val="1"/>
      <w:tblCellMar>
        <w:top w:w="80" w:type="dxa"/>
        <w:left w:w="0" w:type="dxa"/>
        <w:bottom w:w="80" w:type="dxa"/>
        <w:right w:w="0" w:type="dxa"/>
      </w:tblCellMar>
    </w:tblPr>
  </w:style>
  <w:style w:type="table" w:customStyle="1" w:styleId="a0">
    <w:basedOn w:val="TableNormal"/>
    <w:pPr>
      <w:keepNext/>
      <w:spacing w:after="200" w:line="257" w:lineRule="auto"/>
      <w:ind w:left="80" w:right="80"/>
    </w:pPr>
    <w:rPr>
      <w:rFonts w:ascii="Calibri" w:eastAsia="Calibri" w:hAnsi="Calibri" w:cs="Calibri"/>
      <w:sz w:val="22"/>
      <w:szCs w:val="22"/>
    </w:rPr>
    <w:tblPr>
      <w:tblStyleRowBandSize w:val="1"/>
      <w:tblStyleColBandSize w:val="1"/>
      <w:tblCellMar>
        <w:top w:w="80" w:type="dxa"/>
        <w:left w:w="0" w:type="dxa"/>
        <w:bottom w:w="80" w:type="dxa"/>
        <w:right w:w="0" w:type="dxa"/>
      </w:tblCellMar>
    </w:tblPr>
    <w:tblStylePr w:type="firstRow">
      <w:pPr>
        <w:keepNext/>
        <w:widowControl w:val="0"/>
        <w:spacing w:before="120" w:after="120"/>
        <w:jc w:val="left"/>
      </w:pPr>
      <w:tblPr/>
      <w:tcPr>
        <w:tcBorders>
          <w:top w:val="single" w:sz="4" w:space="0" w:color="8064A2"/>
          <w:left w:val="nil"/>
          <w:bottom w:val="single" w:sz="24" w:space="0" w:color="8064A2"/>
          <w:right w:val="nil"/>
          <w:insideH w:val="nil"/>
          <w:insideV w:val="nil"/>
        </w:tcBorders>
        <w:shd w:val="clear" w:color="auto" w:fill="D2EAF0"/>
      </w:tcPr>
    </w:tblStylePr>
    <w:tblStylePr w:type="firstCol">
      <w:tblPr/>
      <w:tcPr>
        <w:tcBorders>
          <w:top w:val="single" w:sz="4" w:space="0" w:color="8064A2"/>
          <w:left w:val="nil"/>
          <w:bottom w:val="single" w:sz="4" w:space="0" w:color="8064A2"/>
          <w:right w:val="single" w:sz="4" w:space="0" w:color="8064A2"/>
          <w:insideH w:val="nil"/>
          <w:insideV w:val="nil"/>
        </w:tcBorders>
        <w:shd w:val="clear" w:color="auto" w:fill="D2EAF0"/>
      </w:tcPr>
    </w:tblStylePr>
    <w:tblStylePr w:type="nwCell">
      <w:tblPr/>
      <w:tcPr>
        <w:tcBorders>
          <w:top w:val="nil"/>
          <w:left w:val="nil"/>
          <w:bottom w:val="single" w:sz="24" w:space="0" w:color="8064A2"/>
          <w:right w:val="single" w:sz="4" w:space="0" w:color="8064A2"/>
          <w:insideH w:val="nil"/>
          <w:insideV w:val="nil"/>
        </w:tcBorders>
        <w:shd w:val="clear" w:color="auto" w:fill="FFFFFF"/>
      </w:tcPr>
    </w:tblStylePr>
  </w:style>
  <w:style w:type="table" w:customStyle="1" w:styleId="a1">
    <w:basedOn w:val="TableNormal"/>
    <w:pPr>
      <w:keepNext/>
      <w:spacing w:after="200" w:line="257" w:lineRule="auto"/>
      <w:ind w:left="80" w:right="80"/>
    </w:pPr>
    <w:rPr>
      <w:rFonts w:ascii="Calibri" w:eastAsia="Calibri" w:hAnsi="Calibri" w:cs="Calibri"/>
      <w:sz w:val="22"/>
      <w:szCs w:val="22"/>
    </w:rPr>
    <w:tblPr>
      <w:tblStyleRowBandSize w:val="1"/>
      <w:tblStyleColBandSize w:val="1"/>
      <w:tblCellMar>
        <w:top w:w="80" w:type="dxa"/>
        <w:left w:w="0" w:type="dxa"/>
        <w:bottom w:w="80" w:type="dxa"/>
        <w:right w:w="0" w:type="dxa"/>
      </w:tblCellMar>
    </w:tblPr>
    <w:tblStylePr w:type="firstRow">
      <w:pPr>
        <w:keepNext/>
        <w:widowControl w:val="0"/>
        <w:spacing w:before="120" w:after="120"/>
        <w:jc w:val="left"/>
      </w:pPr>
      <w:tblPr/>
      <w:tcPr>
        <w:tcBorders>
          <w:top w:val="single" w:sz="4" w:space="0" w:color="8064A2"/>
          <w:left w:val="nil"/>
          <w:bottom w:val="single" w:sz="24" w:space="0" w:color="8064A2"/>
          <w:right w:val="nil"/>
        </w:tcBorders>
      </w:tcPr>
    </w:tblStylePr>
  </w:style>
  <w:style w:type="table" w:customStyle="1" w:styleId="a2">
    <w:basedOn w:val="TableNormal"/>
    <w:pPr>
      <w:keepNext/>
      <w:spacing w:after="200" w:line="257" w:lineRule="auto"/>
      <w:ind w:left="80" w:right="80"/>
    </w:pPr>
    <w:rPr>
      <w:rFonts w:ascii="Calibri" w:eastAsia="Calibri" w:hAnsi="Calibri" w:cs="Calibri"/>
      <w:sz w:val="22"/>
      <w:szCs w:val="22"/>
    </w:rPr>
    <w:tblPr>
      <w:tblStyleRowBandSize w:val="1"/>
      <w:tblStyleColBandSize w:val="1"/>
      <w:tblCellMar>
        <w:top w:w="80" w:type="dxa"/>
        <w:left w:w="0" w:type="dxa"/>
        <w:bottom w:w="80" w:type="dxa"/>
        <w:right w:w="0" w:type="dxa"/>
      </w:tblCellMar>
    </w:tblPr>
    <w:tblStylePr w:type="firstRow">
      <w:pPr>
        <w:keepNext/>
        <w:widowControl w:val="0"/>
        <w:spacing w:before="120" w:after="120"/>
        <w:jc w:val="left"/>
      </w:pPr>
      <w:tblPr/>
      <w:tcPr>
        <w:tcBorders>
          <w:top w:val="single" w:sz="4" w:space="0" w:color="8064A2"/>
          <w:left w:val="nil"/>
          <w:bottom w:val="single" w:sz="24" w:space="0" w:color="8064A2"/>
          <w:right w:val="nil"/>
        </w:tcBorders>
      </w:tcPr>
    </w:tblStylePr>
  </w:style>
  <w:style w:type="table" w:customStyle="1" w:styleId="a3">
    <w:basedOn w:val="TableNormal"/>
    <w:pPr>
      <w:keepNext/>
      <w:spacing w:after="200" w:line="257" w:lineRule="auto"/>
      <w:ind w:left="80" w:right="80"/>
    </w:pPr>
    <w:rPr>
      <w:rFonts w:ascii="Calibri" w:eastAsia="Calibri" w:hAnsi="Calibri" w:cs="Calibri"/>
      <w:sz w:val="22"/>
      <w:szCs w:val="22"/>
    </w:rPr>
    <w:tblPr>
      <w:tblStyleRowBandSize w:val="1"/>
      <w:tblStyleColBandSize w:val="1"/>
      <w:tblCellMar>
        <w:top w:w="80" w:type="dxa"/>
        <w:left w:w="0" w:type="dxa"/>
        <w:bottom w:w="80" w:type="dxa"/>
        <w:right w:w="0" w:type="dxa"/>
      </w:tblCellMar>
    </w:tblPr>
    <w:tblStylePr w:type="firstRow">
      <w:pPr>
        <w:keepNext/>
        <w:widowControl w:val="0"/>
        <w:spacing w:before="120" w:after="120"/>
        <w:jc w:val="left"/>
      </w:pPr>
      <w:tblPr/>
      <w:tcPr>
        <w:tcBorders>
          <w:top w:val="single" w:sz="4" w:space="0" w:color="8064A2"/>
          <w:left w:val="nil"/>
          <w:bottom w:val="single" w:sz="24" w:space="0" w:color="8064A2"/>
          <w:right w:val="nil"/>
        </w:tcBorders>
      </w:tcPr>
    </w:tblStyle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053B5D"/>
    <w:rPr>
      <w:sz w:val="16"/>
      <w:szCs w:val="16"/>
    </w:rPr>
  </w:style>
  <w:style w:type="paragraph" w:styleId="CommentText">
    <w:name w:val="annotation text"/>
    <w:basedOn w:val="Normal"/>
    <w:link w:val="CommentTextChar"/>
    <w:uiPriority w:val="99"/>
    <w:semiHidden/>
    <w:unhideWhenUsed/>
    <w:rsid w:val="00053B5D"/>
    <w:rPr>
      <w:sz w:val="20"/>
      <w:szCs w:val="20"/>
    </w:rPr>
  </w:style>
  <w:style w:type="character" w:customStyle="1" w:styleId="CommentTextChar">
    <w:name w:val="Comment Text Char"/>
    <w:basedOn w:val="DefaultParagraphFont"/>
    <w:link w:val="CommentText"/>
    <w:uiPriority w:val="99"/>
    <w:semiHidden/>
    <w:rsid w:val="00053B5D"/>
    <w:rPr>
      <w:sz w:val="20"/>
      <w:szCs w:val="20"/>
      <w:lang w:eastAsia="en-US"/>
    </w:rPr>
  </w:style>
  <w:style w:type="paragraph" w:styleId="CommentSubject">
    <w:name w:val="annotation subject"/>
    <w:basedOn w:val="CommentText"/>
    <w:next w:val="CommentText"/>
    <w:link w:val="CommentSubjectChar"/>
    <w:uiPriority w:val="99"/>
    <w:semiHidden/>
    <w:unhideWhenUsed/>
    <w:rsid w:val="00053B5D"/>
    <w:rPr>
      <w:b/>
      <w:bCs/>
    </w:rPr>
  </w:style>
  <w:style w:type="character" w:customStyle="1" w:styleId="CommentSubjectChar">
    <w:name w:val="Comment Subject Char"/>
    <w:basedOn w:val="CommentTextChar"/>
    <w:link w:val="CommentSubject"/>
    <w:uiPriority w:val="99"/>
    <w:semiHidden/>
    <w:rsid w:val="00053B5D"/>
    <w:rPr>
      <w:b/>
      <w:bCs/>
      <w:sz w:val="20"/>
      <w:szCs w:val="20"/>
      <w:lang w:eastAsia="en-US"/>
    </w:rPr>
  </w:style>
  <w:style w:type="character" w:styleId="UnresolvedMention">
    <w:name w:val="Unresolved Mention"/>
    <w:basedOn w:val="DefaultParagraphFont"/>
    <w:uiPriority w:val="99"/>
    <w:semiHidden/>
    <w:unhideWhenUsed/>
    <w:rsid w:val="00BC30D9"/>
    <w:rPr>
      <w:color w:val="605E5C"/>
      <w:shd w:val="clear" w:color="auto" w:fill="E1DFDD"/>
    </w:rPr>
  </w:style>
  <w:style w:type="character" w:styleId="FollowedHyperlink">
    <w:name w:val="FollowedHyperlink"/>
    <w:basedOn w:val="DefaultParagraphFont"/>
    <w:uiPriority w:val="99"/>
    <w:semiHidden/>
    <w:unhideWhenUsed/>
    <w:rsid w:val="008C53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859233">
      <w:bodyDiv w:val="1"/>
      <w:marLeft w:val="0"/>
      <w:marRight w:val="0"/>
      <w:marTop w:val="0"/>
      <w:marBottom w:val="0"/>
      <w:divBdr>
        <w:top w:val="none" w:sz="0" w:space="0" w:color="auto"/>
        <w:left w:val="none" w:sz="0" w:space="0" w:color="auto"/>
        <w:bottom w:val="none" w:sz="0" w:space="0" w:color="auto"/>
        <w:right w:val="none" w:sz="0" w:space="0" w:color="auto"/>
      </w:divBdr>
    </w:div>
    <w:div w:id="1810515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912</Words>
  <Characters>5031</Characters>
  <Application>Microsoft Office Word</Application>
  <DocSecurity>0</DocSecurity>
  <Lines>143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CT75</dc:creator>
  <cp:lastModifiedBy>Emma Kirkpatrick</cp:lastModifiedBy>
  <cp:revision>2</cp:revision>
  <dcterms:created xsi:type="dcterms:W3CDTF">2022-07-14T11:43:00Z</dcterms:created>
  <dcterms:modified xsi:type="dcterms:W3CDTF">2022-07-14T11:43:00Z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qdochistrevision002">
    <vt:lpwstr>2</vt:lpwstr>
  </property>
  <property fmtid="{D5CDD505-2E9C-101B-9397-08002B2CF9AE}" pid="3" name="prqdochistrequested002">
    <vt:lpwstr>DONNA.MCVEY-BARRON</vt:lpwstr>
  </property>
  <property fmtid="{D5CDD505-2E9C-101B-9397-08002B2CF9AE}" pid="4" name="prqdochistreleasedate002">
    <vt:lpwstr>26/08/2020 00:00:00</vt:lpwstr>
  </property>
  <property fmtid="{D5CDD505-2E9C-101B-9397-08002B2CF9AE}" pid="5" name="prqdochistreasons002">
    <vt:lpwstr/>
  </property>
  <property fmtid="{D5CDD505-2E9C-101B-9397-08002B2CF9AE}" pid="6" name="prqdochistdetails002">
    <vt:lpwstr>Minor amendments</vt:lpwstr>
  </property>
  <property fmtid="{D5CDD505-2E9C-101B-9397-08002B2CF9AE}" pid="7" name="prqdochistrevision003">
    <vt:lpwstr>3</vt:lpwstr>
  </property>
  <property fmtid="{D5CDD505-2E9C-101B-9397-08002B2CF9AE}" pid="8" name="prqdochistrequested003">
    <vt:lpwstr>CT75</vt:lpwstr>
  </property>
  <property fmtid="{D5CDD505-2E9C-101B-9397-08002B2CF9AE}" pid="9" name="prqdochistreleasedate003">
    <vt:lpwstr>05/02/2014 00:00:00</vt:lpwstr>
  </property>
  <property fmtid="{D5CDD505-2E9C-101B-9397-08002B2CF9AE}" pid="10" name="prqdochistreasons003">
    <vt:lpwstr>Updated for the input display requirements.</vt:lpwstr>
  </property>
  <property fmtid="{D5CDD505-2E9C-101B-9397-08002B2CF9AE}" pid="11" name="prqdochistdetails003">
    <vt:lpwstr>Further update for the template show / hide references.</vt:lpwstr>
  </property>
  <property fmtid="{D5CDD505-2E9C-101B-9397-08002B2CF9AE}" pid="12" name="prquserfield10">
    <vt:lpwstr>_x000d_</vt:lpwstr>
  </property>
  <property fmtid="{D5CDD505-2E9C-101B-9397-08002B2CF9AE}" pid="13" name="prqdocnumber">
    <vt:lpwstr>IMS-PROC-TEM-IN2A</vt:lpwstr>
  </property>
  <property fmtid="{D5CDD505-2E9C-101B-9397-08002B2CF9AE}" pid="14" name="prqdoctitle">
    <vt:lpwstr>Procurement Specification - Technical Requirements</vt:lpwstr>
  </property>
  <property fmtid="{D5CDD505-2E9C-101B-9397-08002B2CF9AE}" pid="15" name="prqdocissue">
    <vt:lpwstr>3</vt:lpwstr>
  </property>
  <property fmtid="{D5CDD505-2E9C-101B-9397-08002B2CF9AE}" pid="16" name="prqdocdate">
    <vt:lpwstr>25/08/2021</vt:lpwstr>
  </property>
  <property fmtid="{D5CDD505-2E9C-101B-9397-08002B2CF9AE}" pid="17" name="prqdocdraft">
    <vt:lpwstr>Issued (Uncontrolled when Printed)</vt:lpwstr>
  </property>
  <property fmtid="{D5CDD505-2E9C-101B-9397-08002B2CF9AE}" pid="18" name="prqdocauthor">
    <vt:lpwstr>Donna McVey</vt:lpwstr>
  </property>
  <property fmtid="{D5CDD505-2E9C-101B-9397-08002B2CF9AE}" pid="19" name="prqdocsubauthor">
    <vt:lpwstr>Janet Albion</vt:lpwstr>
  </property>
  <property fmtid="{D5CDD505-2E9C-101B-9397-08002B2CF9AE}" pid="20" name="prqdocaut">
    <vt:lpwstr>DONNA.MCVEY-BARRON</vt:lpwstr>
  </property>
  <property fmtid="{D5CDD505-2E9C-101B-9397-08002B2CF9AE}" pid="21" name="prqdocapos">
    <vt:lpwstr/>
  </property>
  <property fmtid="{D5CDD505-2E9C-101B-9397-08002B2CF9AE}" pid="22" name="prqdocsub">
    <vt:lpwstr>JANET.ALBION</vt:lpwstr>
  </property>
  <property fmtid="{D5CDD505-2E9C-101B-9397-08002B2CF9AE}" pid="23" name="prqdocspos">
    <vt:lpwstr/>
  </property>
  <property fmtid="{D5CDD505-2E9C-101B-9397-08002B2CF9AE}" pid="24" name="prqrevdate">
    <vt:lpwstr>25/08/2026</vt:lpwstr>
  </property>
  <property fmtid="{D5CDD505-2E9C-101B-9397-08002B2CF9AE}" pid="25" name="prqdoctype">
    <vt:lpwstr>FUNCTIONS FORM</vt:lpwstr>
  </property>
  <property fmtid="{D5CDD505-2E9C-101B-9397-08002B2CF9AE}" pid="26" name="prqdoctypedesc">
    <vt:lpwstr>Forms for Professional Services areas inc Finance, Customer Experience, Commerci</vt:lpwstr>
  </property>
  <property fmtid="{D5CDD505-2E9C-101B-9397-08002B2CF9AE}" pid="27" name="prqdocsubtype">
    <vt:lpwstr>Form</vt:lpwstr>
  </property>
  <property fmtid="{D5CDD505-2E9C-101B-9397-08002B2CF9AE}" pid="28" name="prqfullorgdesc">
    <vt:lpwstr>NNL-Professional Services-Procurement</vt:lpwstr>
  </property>
  <property fmtid="{D5CDD505-2E9C-101B-9397-08002B2CF9AE}" pid="29" name="prqcsnumber">
    <vt:lpwstr/>
  </property>
  <property fmtid="{D5CDD505-2E9C-101B-9397-08002B2CF9AE}" pid="30" name="prqcsconame">
    <vt:lpwstr/>
  </property>
  <property fmtid="{D5CDD505-2E9C-101B-9397-08002B2CF9AE}" pid="31" name="prqcsadd1">
    <vt:lpwstr/>
  </property>
  <property fmtid="{D5CDD505-2E9C-101B-9397-08002B2CF9AE}" pid="32" name="prqcsadd2">
    <vt:lpwstr/>
  </property>
  <property fmtid="{D5CDD505-2E9C-101B-9397-08002B2CF9AE}" pid="33" name="prqcsadd3">
    <vt:lpwstr/>
  </property>
  <property fmtid="{D5CDD505-2E9C-101B-9397-08002B2CF9AE}" pid="34" name="prqcsadd4">
    <vt:lpwstr/>
  </property>
  <property fmtid="{D5CDD505-2E9C-101B-9397-08002B2CF9AE}" pid="35" name="prqcsadd5">
    <vt:lpwstr/>
  </property>
  <property fmtid="{D5CDD505-2E9C-101B-9397-08002B2CF9AE}" pid="36" name="prqcszip">
    <vt:lpwstr/>
  </property>
  <property fmtid="{D5CDD505-2E9C-101B-9397-08002B2CF9AE}" pid="37" name="prqcscountry">
    <vt:lpwstr/>
  </property>
  <property fmtid="{D5CDD505-2E9C-101B-9397-08002B2CF9AE}" pid="38" name="prqcsphone">
    <vt:lpwstr/>
  </property>
  <property fmtid="{D5CDD505-2E9C-101B-9397-08002B2CF9AE}" pid="39" name="prqcsfax">
    <vt:lpwstr/>
  </property>
  <property fmtid="{D5CDD505-2E9C-101B-9397-08002B2CF9AE}" pid="40" name="prqcsemail">
    <vt:lpwstr/>
  </property>
  <property fmtid="{D5CDD505-2E9C-101B-9397-08002B2CF9AE}" pid="41" name="prqcscontact">
    <vt:lpwstr/>
  </property>
  <property fmtid="{D5CDD505-2E9C-101B-9397-08002B2CF9AE}" pid="42" name="prqcsposition">
    <vt:lpwstr/>
  </property>
  <property fmtid="{D5CDD505-2E9C-101B-9397-08002B2CF9AE}" pid="43" name="prqcssalutation">
    <vt:lpwstr/>
  </property>
  <property fmtid="{D5CDD505-2E9C-101B-9397-08002B2CF9AE}" pid="44" name="prqcssignoff">
    <vt:lpwstr/>
  </property>
  <property fmtid="{D5CDD505-2E9C-101B-9397-08002B2CF9AE}" pid="45" name="prqcscomment">
    <vt:lpwstr/>
  </property>
  <property fmtid="{D5CDD505-2E9C-101B-9397-08002B2CF9AE}" pid="46" name="prqcsdate">
    <vt:lpwstr/>
  </property>
  <property fmtid="{D5CDD505-2E9C-101B-9397-08002B2CF9AE}" pid="47" name="prqcstime">
    <vt:lpwstr/>
  </property>
  <property fmtid="{D5CDD505-2E9C-101B-9397-08002B2CF9AE}" pid="48" name="prqcsraisedby">
    <vt:lpwstr/>
  </property>
  <property fmtid="{D5CDD505-2E9C-101B-9397-08002B2CF9AE}" pid="49" name="prqcsraisedbyname">
    <vt:lpwstr/>
  </property>
  <property fmtid="{D5CDD505-2E9C-101B-9397-08002B2CF9AE}" pid="50" name="prqdocorgdesc1">
    <vt:lpwstr>NNL</vt:lpwstr>
  </property>
  <property fmtid="{D5CDD505-2E9C-101B-9397-08002B2CF9AE}" pid="51" name="prqdocorgdesc2">
    <vt:lpwstr>Professional Services</vt:lpwstr>
  </property>
  <property fmtid="{D5CDD505-2E9C-101B-9397-08002B2CF9AE}" pid="52" name="prqdocorgdesc3">
    <vt:lpwstr>Procurement</vt:lpwstr>
  </property>
  <property fmtid="{D5CDD505-2E9C-101B-9397-08002B2CF9AE}" pid="53" name="prqdocorgdesc4">
    <vt:lpwstr/>
  </property>
  <property fmtid="{D5CDD505-2E9C-101B-9397-08002B2CF9AE}" pid="54" name="prqdocorgdesc5">
    <vt:lpwstr/>
  </property>
  <property fmtid="{D5CDD505-2E9C-101B-9397-08002B2CF9AE}" pid="55" name="prqdochistlastrevision001">
    <vt:lpwstr>2</vt:lpwstr>
  </property>
  <property fmtid="{D5CDD505-2E9C-101B-9397-08002B2CF9AE}" pid="56" name="prqdochistlastrequested001">
    <vt:lpwstr>DONNA.MCVEY-BARRON</vt:lpwstr>
  </property>
  <property fmtid="{D5CDD505-2E9C-101B-9397-08002B2CF9AE}" pid="57" name="prqdochistlastreleasedate001">
    <vt:lpwstr>26/08/2020 00:00:00</vt:lpwstr>
  </property>
  <property fmtid="{D5CDD505-2E9C-101B-9397-08002B2CF9AE}" pid="58" name="prqdochistlastreasons001">
    <vt:lpwstr/>
  </property>
  <property fmtid="{D5CDD505-2E9C-101B-9397-08002B2CF9AE}" pid="59" name="prqdochistlastdetails001">
    <vt:lpwstr>Minor amendments</vt:lpwstr>
  </property>
  <property fmtid="{D5CDD505-2E9C-101B-9397-08002B2CF9AE}" pid="60" name="prquserfield1">
    <vt:lpwstr>Not Protectively Marked</vt:lpwstr>
  </property>
  <property fmtid="{D5CDD505-2E9C-101B-9397-08002B2CF9AE}" pid="61" name="prquserfield2">
    <vt:lpwstr/>
  </property>
  <property fmtid="{D5CDD505-2E9C-101B-9397-08002B2CF9AE}" pid="62" name="prqusermemo1">
    <vt:lpwstr/>
  </property>
  <property fmtid="{D5CDD505-2E9C-101B-9397-08002B2CF9AE}" pid="63" name="prqdochistrevision001">
    <vt:lpwstr>1</vt:lpwstr>
  </property>
  <property fmtid="{D5CDD505-2E9C-101B-9397-08002B2CF9AE}" pid="64" name="prqdochistrequested001">
    <vt:lpwstr>DONNA.MCVEY-BARRON</vt:lpwstr>
  </property>
  <property fmtid="{D5CDD505-2E9C-101B-9397-08002B2CF9AE}" pid="65" name="prqdochistreleasedate001">
    <vt:lpwstr>14/05/2020 00:00:00</vt:lpwstr>
  </property>
  <property fmtid="{D5CDD505-2E9C-101B-9397-08002B2CF9AE}" pid="66" name="prqdochistreasons001">
    <vt:lpwstr/>
  </property>
  <property fmtid="{D5CDD505-2E9C-101B-9397-08002B2CF9AE}" pid="67" name="prqdochistdetails001">
    <vt:lpwstr>new doc</vt:lpwstr>
  </property>
  <property fmtid="{D5CDD505-2E9C-101B-9397-08002B2CF9AE}" pid="68" name="prqdocconverted">
    <vt:lpwstr>1</vt:lpwstr>
  </property>
  <property fmtid="{D5CDD505-2E9C-101B-9397-08002B2CF9AE}" pid="69" name="prqlinkdocno001">
    <vt:lpwstr>IMS-WF-SP-0001</vt:lpwstr>
  </property>
  <property fmtid="{D5CDD505-2E9C-101B-9397-08002B2CF9AE}" pid="70" name="prqlinktitle001">
    <vt:lpwstr>Windscale Safe System of Work - Procedure</vt:lpwstr>
  </property>
  <property fmtid="{D5CDD505-2E9C-101B-9397-08002B2CF9AE}" pid="71" name="prquserfield3">
    <vt:lpwstr>EHSS and Q - Delivery Operations</vt:lpwstr>
  </property>
  <property fmtid="{D5CDD505-2E9C-101B-9397-08002B2CF9AE}" pid="72" name="prquserfield4">
    <vt:lpwstr>Procurement</vt:lpwstr>
  </property>
</Properties>
</file>