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FA" w:rsidRPr="00EF7017" w:rsidRDefault="00CC50FA" w:rsidP="00CC50FA">
      <w:pPr>
        <w:spacing w:line="360" w:lineRule="auto"/>
        <w:jc w:val="center"/>
        <w:outlineLvl w:val="0"/>
        <w:rPr>
          <w:rFonts w:cs="Arial"/>
          <w:sz w:val="56"/>
          <w:szCs w:val="56"/>
        </w:rPr>
      </w:pPr>
      <w:smartTag w:uri="urn:schemas-microsoft-com:office:smarttags" w:element="PlaceType">
        <w:smartTag w:uri="urn:schemas-microsoft-com:office:smarttags" w:element="address">
          <w:r w:rsidRPr="00EF7017">
            <w:rPr>
              <w:rFonts w:cs="Arial"/>
              <w:sz w:val="56"/>
              <w:szCs w:val="56"/>
            </w:rPr>
            <w:t>London</w:t>
          </w:r>
        </w:smartTag>
      </w:smartTag>
      <w:r w:rsidRPr="00EF7017">
        <w:rPr>
          <w:rFonts w:cs="Arial"/>
          <w:sz w:val="56"/>
          <w:szCs w:val="56"/>
        </w:rPr>
        <w:t xml:space="preserve"> Borough of Southwark</w:t>
      </w:r>
    </w:p>
    <w:p w:rsidR="00CC50FA" w:rsidRDefault="00CC50FA" w:rsidP="00CC50FA">
      <w:pPr>
        <w:spacing w:line="360" w:lineRule="auto"/>
        <w:jc w:val="center"/>
        <w:rPr>
          <w:rFonts w:cs="Arial"/>
          <w:sz w:val="56"/>
          <w:szCs w:val="56"/>
        </w:rPr>
      </w:pPr>
    </w:p>
    <w:p w:rsidR="00CC50FA" w:rsidRPr="00EF7017" w:rsidRDefault="00CC50FA" w:rsidP="00CC50FA">
      <w:pPr>
        <w:spacing w:line="360" w:lineRule="auto"/>
        <w:jc w:val="center"/>
        <w:rPr>
          <w:rFonts w:cs="Arial"/>
          <w:sz w:val="56"/>
          <w:szCs w:val="56"/>
        </w:rPr>
      </w:pPr>
      <w:r>
        <w:rPr>
          <w:rFonts w:cs="Arial"/>
          <w:sz w:val="56"/>
          <w:szCs w:val="56"/>
        </w:rPr>
        <w:t>Residential Conveyancing Service</w:t>
      </w:r>
      <w:r w:rsidRPr="00EF7017">
        <w:rPr>
          <w:rFonts w:cs="Arial"/>
          <w:sz w:val="56"/>
          <w:szCs w:val="56"/>
        </w:rPr>
        <w:t xml:space="preserve"> Tender</w:t>
      </w:r>
    </w:p>
    <w:p w:rsidR="00CC50FA" w:rsidRDefault="00CC50FA" w:rsidP="00CC50FA">
      <w:pPr>
        <w:spacing w:line="360" w:lineRule="auto"/>
        <w:jc w:val="center"/>
        <w:rPr>
          <w:rFonts w:cs="Arial"/>
          <w:b/>
          <w:sz w:val="56"/>
          <w:szCs w:val="56"/>
        </w:rPr>
      </w:pPr>
    </w:p>
    <w:p w:rsidR="00CC50FA" w:rsidRPr="0067567B" w:rsidRDefault="00CC50FA" w:rsidP="00CC50FA">
      <w:pPr>
        <w:spacing w:line="360" w:lineRule="auto"/>
        <w:jc w:val="center"/>
        <w:rPr>
          <w:rFonts w:cs="Arial"/>
          <w:b/>
          <w:sz w:val="56"/>
          <w:szCs w:val="56"/>
        </w:rPr>
      </w:pPr>
    </w:p>
    <w:p w:rsidR="00CC50FA" w:rsidRDefault="00CC50FA" w:rsidP="00CC50FA">
      <w:pPr>
        <w:spacing w:line="360" w:lineRule="auto"/>
        <w:jc w:val="center"/>
        <w:outlineLvl w:val="0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Section 5</w:t>
      </w:r>
    </w:p>
    <w:p w:rsidR="00CC50FA" w:rsidRDefault="00CC50FA" w:rsidP="00CC50FA">
      <w:pPr>
        <w:spacing w:line="360" w:lineRule="auto"/>
        <w:jc w:val="center"/>
        <w:outlineLvl w:val="0"/>
        <w:rPr>
          <w:rFonts w:cs="Arial"/>
          <w:b/>
          <w:sz w:val="56"/>
          <w:szCs w:val="56"/>
        </w:rPr>
      </w:pPr>
    </w:p>
    <w:p w:rsidR="00CC50FA" w:rsidRDefault="00CC50FA" w:rsidP="00CC50FA">
      <w:pPr>
        <w:spacing w:line="360" w:lineRule="auto"/>
        <w:jc w:val="center"/>
        <w:outlineLvl w:val="0"/>
        <w:rPr>
          <w:rFonts w:cs="Arial"/>
          <w:b/>
          <w:sz w:val="56"/>
          <w:szCs w:val="56"/>
        </w:rPr>
      </w:pPr>
      <w:r>
        <w:rPr>
          <w:rFonts w:cs="Arial"/>
          <w:b/>
          <w:sz w:val="56"/>
          <w:szCs w:val="56"/>
        </w:rPr>
        <w:t>Pricing Schedule</w:t>
      </w:r>
    </w:p>
    <w:p w:rsidR="00CC50FA" w:rsidRDefault="00CC50FA">
      <w:pPr>
        <w:spacing w:after="200" w:line="276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63481E" w:rsidRPr="00AF3F0E" w:rsidRDefault="0063481E" w:rsidP="0063481E">
      <w:pPr>
        <w:jc w:val="both"/>
        <w:rPr>
          <w:rFonts w:cs="Arial"/>
          <w:sz w:val="22"/>
          <w:szCs w:val="22"/>
        </w:rPr>
      </w:pPr>
      <w:r w:rsidRPr="00AF3F0E">
        <w:rPr>
          <w:rFonts w:cs="Arial"/>
          <w:sz w:val="22"/>
          <w:szCs w:val="22"/>
        </w:rPr>
        <w:lastRenderedPageBreak/>
        <w:t>Provide your bes</w:t>
      </w:r>
      <w:r>
        <w:rPr>
          <w:rFonts w:cs="Arial"/>
          <w:sz w:val="22"/>
          <w:szCs w:val="22"/>
        </w:rPr>
        <w:t>t and final offer against each Case T</w:t>
      </w:r>
      <w:r w:rsidRPr="00AF3F0E">
        <w:rPr>
          <w:rFonts w:cs="Arial"/>
          <w:sz w:val="22"/>
          <w:szCs w:val="22"/>
        </w:rPr>
        <w:t xml:space="preserve">ype in the table below giving a Unit Price or Hourly Rate as specified.  You must ensure that you provide a Unit Price or Hourly Rate against each and every Case Type.  Do not provide an Hourly Rate where a Unit Price is requested or vice versa.  In considering each offer, you should assume that standard draft precedents approved by the </w:t>
      </w:r>
      <w:r>
        <w:rPr>
          <w:rFonts w:cs="Arial"/>
          <w:sz w:val="22"/>
          <w:szCs w:val="22"/>
        </w:rPr>
        <w:t>Authority will be available for all Case T</w:t>
      </w:r>
      <w:r w:rsidRPr="00AF3F0E">
        <w:rPr>
          <w:rFonts w:cs="Arial"/>
          <w:sz w:val="22"/>
          <w:szCs w:val="22"/>
        </w:rPr>
        <w:t>ypes.  You are reminded that Unit Costs must include all disbursements other than those designated as Recoverabl</w:t>
      </w:r>
      <w:r>
        <w:rPr>
          <w:rFonts w:cs="Arial"/>
          <w:sz w:val="22"/>
          <w:szCs w:val="22"/>
        </w:rPr>
        <w:t>e Disbursements und</w:t>
      </w:r>
      <w:r w:rsidR="00772138">
        <w:rPr>
          <w:rFonts w:cs="Arial"/>
          <w:sz w:val="22"/>
          <w:szCs w:val="22"/>
        </w:rPr>
        <w:t xml:space="preserve">er </w:t>
      </w:r>
      <w:r w:rsidR="00E354A0" w:rsidRPr="00E44B48">
        <w:rPr>
          <w:rFonts w:cs="Arial"/>
          <w:sz w:val="22"/>
          <w:szCs w:val="22"/>
        </w:rPr>
        <w:t>paragraph</w:t>
      </w:r>
      <w:r w:rsidRPr="00E44B48">
        <w:rPr>
          <w:rFonts w:cs="Arial"/>
          <w:sz w:val="22"/>
          <w:szCs w:val="22"/>
        </w:rPr>
        <w:t xml:space="preserve"> </w:t>
      </w:r>
      <w:r w:rsidR="00E44B48" w:rsidRPr="00E44B48">
        <w:rPr>
          <w:rFonts w:cs="Arial"/>
          <w:sz w:val="22"/>
          <w:szCs w:val="22"/>
        </w:rPr>
        <w:t>5</w:t>
      </w:r>
      <w:r w:rsidRPr="00E44B48">
        <w:rPr>
          <w:rFonts w:cs="Arial"/>
          <w:sz w:val="22"/>
          <w:szCs w:val="22"/>
        </w:rPr>
        <w:t>.2 of the Specification</w:t>
      </w:r>
      <w:r w:rsidRPr="00AF3F0E">
        <w:rPr>
          <w:rFonts w:cs="Arial"/>
          <w:sz w:val="22"/>
          <w:szCs w:val="22"/>
        </w:rPr>
        <w:t xml:space="preserve">.  All offers must be a true representation of the costs to the </w:t>
      </w:r>
      <w:r>
        <w:rPr>
          <w:rFonts w:cs="Arial"/>
          <w:sz w:val="22"/>
          <w:szCs w:val="22"/>
        </w:rPr>
        <w:t>Authority</w:t>
      </w:r>
      <w:r w:rsidRPr="00AF3F0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for your organisation to provide</w:t>
      </w:r>
      <w:r w:rsidRPr="00AF3F0E">
        <w:rPr>
          <w:rFonts w:cs="Arial"/>
          <w:sz w:val="22"/>
          <w:szCs w:val="22"/>
        </w:rPr>
        <w:t xml:space="preserve"> the Service and include all overheads and on-costs. </w:t>
      </w:r>
    </w:p>
    <w:p w:rsidR="0063481E" w:rsidRPr="00AF3F0E" w:rsidRDefault="0063481E" w:rsidP="0063481E">
      <w:pPr>
        <w:jc w:val="both"/>
        <w:rPr>
          <w:rFonts w:cs="Arial"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1576"/>
        <w:gridCol w:w="1117"/>
      </w:tblGrid>
      <w:tr w:rsidR="0063481E" w:rsidRPr="00D31B81" w:rsidTr="00772138">
        <w:trPr>
          <w:cantSplit/>
          <w:tblHeader/>
          <w:jc w:val="center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b/>
                <w:sz w:val="22"/>
                <w:szCs w:val="22"/>
              </w:rPr>
            </w:pPr>
            <w:r w:rsidRPr="00D31B81">
              <w:rPr>
                <w:rFonts w:cs="Arial"/>
                <w:b/>
                <w:sz w:val="22"/>
                <w:szCs w:val="22"/>
              </w:rPr>
              <w:t>Case type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b/>
                <w:sz w:val="22"/>
                <w:szCs w:val="22"/>
              </w:rPr>
            </w:pPr>
            <w:r w:rsidRPr="00D31B81">
              <w:rPr>
                <w:rFonts w:cs="Arial"/>
                <w:b/>
                <w:sz w:val="22"/>
                <w:szCs w:val="22"/>
              </w:rPr>
              <w:t xml:space="preserve">Unit Price or </w:t>
            </w:r>
          </w:p>
          <w:p w:rsidR="0063481E" w:rsidRPr="00D31B81" w:rsidRDefault="0063481E" w:rsidP="006C013A">
            <w:pPr>
              <w:rPr>
                <w:rFonts w:cs="Arial"/>
                <w:b/>
                <w:sz w:val="22"/>
                <w:szCs w:val="22"/>
              </w:rPr>
            </w:pPr>
            <w:r w:rsidRPr="00D31B81">
              <w:rPr>
                <w:rFonts w:cs="Arial"/>
                <w:b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Default="0063481E" w:rsidP="006C013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Final Offer</w:t>
            </w:r>
          </w:p>
          <w:p w:rsidR="0063481E" w:rsidRPr="00D31B81" w:rsidRDefault="0063481E" w:rsidP="006C013A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GBP (£)</w:t>
            </w: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488282275" w:edGrp="everyone" w:colFirst="3" w:colLast="3"/>
            <w:r w:rsidRPr="00D31B81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Right to Buy – Leasehold Sale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749355329" w:edGrp="everyone" w:colFirst="3" w:colLast="3"/>
            <w:permEnd w:id="1488282275"/>
            <w:r w:rsidRPr="00D31B81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Right to Buy –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Underlease</w:t>
            </w:r>
            <w:proofErr w:type="spellEnd"/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546667588" w:edGrp="everyone" w:colFirst="3" w:colLast="3"/>
            <w:permEnd w:id="1749355329"/>
            <w:r w:rsidRPr="00D31B81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Right to Buy – Freehold Sale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2019516995" w:edGrp="everyone" w:colFirst="3" w:colLast="3"/>
            <w:permEnd w:id="1546667588"/>
            <w:r w:rsidRPr="00D31B81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Right to Buy – Lease of House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659385137" w:edGrp="everyone" w:colFirst="3" w:colLast="3"/>
            <w:permEnd w:id="2019516995"/>
            <w:r w:rsidRPr="00D31B81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Voluntary Disposals</w:t>
            </w:r>
          </w:p>
        </w:tc>
        <w:tc>
          <w:tcPr>
            <w:tcW w:w="1576" w:type="dxa"/>
            <w:vAlign w:val="center"/>
          </w:tcPr>
          <w:p w:rsidR="0063481E" w:rsidRDefault="0063481E" w:rsidP="006C01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2059169605" w:edGrp="everyone" w:colFirst="3" w:colLast="3"/>
            <w:permEnd w:id="1659385137"/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Voluntary Disposals </w:t>
            </w:r>
            <w:proofErr w:type="spellStart"/>
            <w:r>
              <w:rPr>
                <w:rFonts w:cs="Arial"/>
                <w:sz w:val="22"/>
                <w:szCs w:val="22"/>
              </w:rPr>
              <w:t>Staircasing</w:t>
            </w:r>
            <w:proofErr w:type="spellEnd"/>
          </w:p>
        </w:tc>
        <w:tc>
          <w:tcPr>
            <w:tcW w:w="1576" w:type="dxa"/>
            <w:vAlign w:val="center"/>
          </w:tcPr>
          <w:p w:rsidR="0063481E" w:rsidRDefault="0063481E" w:rsidP="006C01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417693528" w:edGrp="everyone" w:colFirst="3" w:colLast="3"/>
            <w:permEnd w:id="2059169605"/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Ad Hoc Disposals </w:t>
            </w:r>
          </w:p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(Sale of Additional Land – Housing Act 1985, as amended)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>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2103646469" w:edGrp="everyone" w:colFirst="3" w:colLast="3"/>
            <w:permEnd w:id="417693528"/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Buy Back of Properties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839470516" w:edGrp="everyone" w:colFirst="3" w:colLast="3"/>
            <w:permEnd w:id="2103646469"/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Social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HomeBuy</w:t>
            </w:r>
            <w:proofErr w:type="spellEnd"/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427709415" w:edGrp="everyone" w:colFirst="3" w:colLast="3"/>
            <w:permEnd w:id="839470516"/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Social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HomeBuy</w:t>
            </w:r>
            <w:proofErr w:type="spellEnd"/>
            <w:r w:rsidRPr="00D31B81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bookmarkStart w:id="0" w:name="_GoBack"/>
            <w:bookmarkEnd w:id="0"/>
            <w:proofErr w:type="spellEnd"/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744506793" w:edGrp="everyone" w:colFirst="3" w:colLast="3"/>
            <w:permEnd w:id="1427709415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Rent to Mortgage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proofErr w:type="spellEnd"/>
            <w:r w:rsidRPr="00D31B81">
              <w:rPr>
                <w:rFonts w:cs="Arial"/>
                <w:sz w:val="22"/>
                <w:szCs w:val="22"/>
              </w:rPr>
              <w:t>/Redemption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040146583" w:edGrp="everyone" w:colFirst="3" w:colLast="3"/>
            <w:permEnd w:id="1744506793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Right to a Shared Ownership Lease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proofErr w:type="spellEnd"/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460042198" w:edGrp="everyone" w:colFirst="3" w:colLast="3"/>
            <w:permEnd w:id="1040146583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Equity Shares</w:t>
            </w:r>
          </w:p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(Housing &amp; Regeneration Act 2008)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958559263" w:edGrp="everyone" w:colFirst="3" w:colLast="3"/>
            <w:permEnd w:id="1460042198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Equity Shares </w:t>
            </w:r>
            <w:proofErr w:type="spellStart"/>
            <w:r w:rsidRPr="00D31B81">
              <w:rPr>
                <w:rFonts w:cs="Arial"/>
                <w:sz w:val="22"/>
                <w:szCs w:val="22"/>
              </w:rPr>
              <w:t>Staircasing</w:t>
            </w:r>
            <w:proofErr w:type="spellEnd"/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280053544" w:edGrp="everyone" w:colFirst="3" w:colLast="3"/>
            <w:permEnd w:id="1958559263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Cash Incentive Charge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040712878" w:edGrp="everyone" w:colFirst="3" w:colLast="3"/>
            <w:permEnd w:id="280053544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Mandatory Service Charge Loan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325556871" w:edGrp="everyone" w:colFirst="3" w:colLast="3"/>
            <w:permEnd w:id="1040712878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Redemption of Mandatory Service Charge Loan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2103007164" w:edGrp="everyone" w:colFirst="3" w:colLast="3"/>
            <w:permEnd w:id="1325556871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Voluntary Service Charge Loan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597323363" w:edGrp="everyone" w:colFirst="3" w:colLast="3"/>
            <w:permEnd w:id="2103007164"/>
            <w:r w:rsidRPr="00D31B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Redemption of Voluntary Service Charge Loan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5366872" w:edGrp="everyone" w:colFirst="3" w:colLast="3"/>
            <w:permEnd w:id="597323363"/>
            <w:r>
              <w:rPr>
                <w:rFonts w:cs="Arial"/>
                <w:sz w:val="22"/>
                <w:szCs w:val="22"/>
              </w:rPr>
              <w:t>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Equity Loan 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822958499" w:edGrp="everyone" w:colFirst="3" w:colLast="3"/>
            <w:permEnd w:id="15366872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Redemption of Equity Loan 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266807735" w:edGrp="everyone" w:colFirst="3" w:colLast="3"/>
            <w:permEnd w:id="1822958499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Redemption of Discount Charge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>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375654483" w:edGrp="everyone" w:colFirst="3" w:colLast="3"/>
            <w:permEnd w:id="266807735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Transfer of Equity (Discount Repayment Period)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163547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 xml:space="preserve">Price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033580621" w:edGrp="everyone" w:colFirst="3" w:colLast="3"/>
            <w:permEnd w:id="375654483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Licence for Alterations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1522936122" w:edGrp="everyone" w:colFirst="3" w:colLast="3"/>
            <w:permEnd w:id="1033580621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Lease Extensions </w:t>
            </w:r>
          </w:p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</w:t>
            </w:r>
            <w:r>
              <w:rPr>
                <w:rFonts w:cs="Arial"/>
                <w:sz w:val="22"/>
                <w:szCs w:val="22"/>
              </w:rPr>
              <w:t xml:space="preserve">easehold </w:t>
            </w:r>
            <w:r w:rsidRPr="00D31B81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eform </w:t>
            </w:r>
            <w:r w:rsidRPr="00D31B81">
              <w:rPr>
                <w:rFonts w:cs="Arial"/>
                <w:sz w:val="22"/>
                <w:szCs w:val="22"/>
              </w:rPr>
              <w:t>H</w:t>
            </w:r>
            <w:r>
              <w:rPr>
                <w:rFonts w:cs="Arial"/>
                <w:sz w:val="22"/>
                <w:szCs w:val="22"/>
              </w:rPr>
              <w:t>ousing</w:t>
            </w:r>
            <w:r w:rsidRPr="00D31B81">
              <w:rPr>
                <w:rFonts w:cs="Arial"/>
                <w:sz w:val="22"/>
                <w:szCs w:val="22"/>
              </w:rPr>
              <w:t xml:space="preserve"> &amp; U</w:t>
            </w:r>
            <w:r>
              <w:rPr>
                <w:rFonts w:cs="Arial"/>
                <w:sz w:val="22"/>
                <w:szCs w:val="22"/>
              </w:rPr>
              <w:t xml:space="preserve">rban </w:t>
            </w:r>
            <w:r w:rsidRPr="00D31B81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evelopment</w:t>
            </w:r>
            <w:r w:rsidRPr="00D31B81">
              <w:rPr>
                <w:rFonts w:cs="Arial"/>
                <w:sz w:val="22"/>
                <w:szCs w:val="22"/>
              </w:rPr>
              <w:t xml:space="preserve"> Act 1993)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5B1BAB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 w:rsidR="005B1BAB">
              <w:rPr>
                <w:rFonts w:cs="Arial"/>
                <w:sz w:val="22"/>
                <w:szCs w:val="22"/>
              </w:rPr>
              <w:t>Price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878212111" w:edGrp="everyone" w:colFirst="3" w:colLast="3"/>
            <w:permEnd w:id="1522936122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Deeds of Rectification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163547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 xml:space="preserve">Price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63481E" w:rsidRPr="00D31B81" w:rsidTr="00772138">
        <w:trPr>
          <w:cantSplit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permStart w:id="863051555" w:edGrp="everyone" w:colFirst="3" w:colLast="3"/>
            <w:permEnd w:id="878212111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63481E" w:rsidRPr="00D31B81" w:rsidRDefault="0063481E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Deeds of Variation</w:t>
            </w:r>
          </w:p>
        </w:tc>
        <w:tc>
          <w:tcPr>
            <w:tcW w:w="1576" w:type="dxa"/>
            <w:vAlign w:val="center"/>
          </w:tcPr>
          <w:p w:rsidR="0063481E" w:rsidRPr="00D31B81" w:rsidRDefault="0063481E" w:rsidP="00163547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Unit </w:t>
            </w:r>
            <w:r>
              <w:rPr>
                <w:rFonts w:cs="Arial"/>
                <w:sz w:val="22"/>
                <w:szCs w:val="22"/>
              </w:rPr>
              <w:t xml:space="preserve">Price </w:t>
            </w:r>
          </w:p>
        </w:tc>
        <w:tc>
          <w:tcPr>
            <w:tcW w:w="1117" w:type="dxa"/>
            <w:shd w:val="clear" w:color="auto" w:fill="auto"/>
            <w:vAlign w:val="center"/>
          </w:tcPr>
          <w:p w:rsidR="0063481E" w:rsidRPr="00D31B81" w:rsidRDefault="0063481E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35BE0" w:rsidRPr="00D31B81" w:rsidTr="00772138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permStart w:id="1720472854" w:edGrp="everyone" w:colFirst="3" w:colLast="3"/>
            <w:permEnd w:id="863051555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Collective Enfranchisement </w:t>
            </w:r>
          </w:p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</w:t>
            </w:r>
            <w:r>
              <w:rPr>
                <w:rFonts w:cs="Arial"/>
                <w:sz w:val="22"/>
                <w:szCs w:val="22"/>
              </w:rPr>
              <w:t xml:space="preserve">easehold </w:t>
            </w:r>
            <w:r w:rsidRPr="00D31B81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eform </w:t>
            </w:r>
            <w:r w:rsidRPr="00D31B81">
              <w:rPr>
                <w:rFonts w:cs="Arial"/>
                <w:sz w:val="22"/>
                <w:szCs w:val="22"/>
              </w:rPr>
              <w:t>H</w:t>
            </w:r>
            <w:r>
              <w:rPr>
                <w:rFonts w:cs="Arial"/>
                <w:sz w:val="22"/>
                <w:szCs w:val="22"/>
              </w:rPr>
              <w:t>ousing</w:t>
            </w:r>
            <w:r w:rsidRPr="00D31B81">
              <w:rPr>
                <w:rFonts w:cs="Arial"/>
                <w:sz w:val="22"/>
                <w:szCs w:val="22"/>
              </w:rPr>
              <w:t xml:space="preserve"> &amp; U</w:t>
            </w:r>
            <w:r>
              <w:rPr>
                <w:rFonts w:cs="Arial"/>
                <w:sz w:val="22"/>
                <w:szCs w:val="22"/>
              </w:rPr>
              <w:t xml:space="preserve">rban </w:t>
            </w:r>
            <w:r w:rsidRPr="00D31B81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evelopment</w:t>
            </w:r>
            <w:r w:rsidRPr="00D31B81">
              <w:rPr>
                <w:rFonts w:cs="Arial"/>
                <w:sz w:val="22"/>
                <w:szCs w:val="22"/>
              </w:rPr>
              <w:t xml:space="preserve"> Act 1993)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Hourly</w:t>
            </w:r>
            <w:r>
              <w:rPr>
                <w:rFonts w:cs="Arial"/>
                <w:sz w:val="22"/>
                <w:szCs w:val="22"/>
              </w:rPr>
              <w:t xml:space="preserve"> Rate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35BE0" w:rsidRPr="00D31B81" w:rsidTr="00772138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permStart w:id="646010626" w:edGrp="everyone" w:colFirst="3" w:colLast="3"/>
            <w:permEnd w:id="1720472854"/>
            <w:r w:rsidRPr="00D31B81">
              <w:rPr>
                <w:rFonts w:cs="Arial"/>
                <w:sz w:val="22"/>
                <w:szCs w:val="22"/>
              </w:rPr>
              <w:t>2</w:t>
            </w:r>
            <w:r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Collective Enfranchisement Leaseback</w:t>
            </w:r>
          </w:p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</w:t>
            </w:r>
            <w:r>
              <w:rPr>
                <w:rFonts w:cs="Arial"/>
                <w:sz w:val="22"/>
                <w:szCs w:val="22"/>
              </w:rPr>
              <w:t xml:space="preserve">easehold </w:t>
            </w:r>
            <w:r w:rsidRPr="00D31B81">
              <w:rPr>
                <w:rFonts w:cs="Arial"/>
                <w:sz w:val="22"/>
                <w:szCs w:val="22"/>
              </w:rPr>
              <w:t>R</w:t>
            </w:r>
            <w:r>
              <w:rPr>
                <w:rFonts w:cs="Arial"/>
                <w:sz w:val="22"/>
                <w:szCs w:val="22"/>
              </w:rPr>
              <w:t xml:space="preserve">eform </w:t>
            </w:r>
            <w:r w:rsidRPr="00D31B81">
              <w:rPr>
                <w:rFonts w:cs="Arial"/>
                <w:sz w:val="22"/>
                <w:szCs w:val="22"/>
              </w:rPr>
              <w:t>H</w:t>
            </w:r>
            <w:r>
              <w:rPr>
                <w:rFonts w:cs="Arial"/>
                <w:sz w:val="22"/>
                <w:szCs w:val="22"/>
              </w:rPr>
              <w:t>ousing</w:t>
            </w:r>
            <w:r w:rsidRPr="00D31B81">
              <w:rPr>
                <w:rFonts w:cs="Arial"/>
                <w:sz w:val="22"/>
                <w:szCs w:val="22"/>
              </w:rPr>
              <w:t xml:space="preserve"> &amp; U</w:t>
            </w:r>
            <w:r>
              <w:rPr>
                <w:rFonts w:cs="Arial"/>
                <w:sz w:val="22"/>
                <w:szCs w:val="22"/>
              </w:rPr>
              <w:t xml:space="preserve">rban </w:t>
            </w:r>
            <w:r w:rsidRPr="00D31B81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>evelopment</w:t>
            </w:r>
            <w:r w:rsidRPr="00D31B81">
              <w:rPr>
                <w:rFonts w:cs="Arial"/>
                <w:sz w:val="22"/>
                <w:szCs w:val="22"/>
              </w:rPr>
              <w:t xml:space="preserve"> Act 1993)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35BE0" w:rsidRPr="00D31B81" w:rsidTr="00772138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permStart w:id="894980232" w:edGrp="everyone" w:colFirst="3" w:colLast="3"/>
            <w:permEnd w:id="646010626"/>
            <w:r>
              <w:rPr>
                <w:rFonts w:cs="Arial"/>
                <w:sz w:val="22"/>
                <w:szCs w:val="22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Sale of Freehold Reversionary Interests </w:t>
            </w:r>
          </w:p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(Voluntary Disposal – Housing Act 1985, as amended)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Unit Price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35BE0" w:rsidRPr="00D31B81" w:rsidTr="00772138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permStart w:id="1250892786" w:edGrp="everyone" w:colFirst="3" w:colLast="3"/>
            <w:permEnd w:id="894980232"/>
            <w:r w:rsidRPr="00D31B81">
              <w:rPr>
                <w:rFonts w:cs="Arial"/>
                <w:sz w:val="22"/>
                <w:szCs w:val="22"/>
              </w:rPr>
              <w:lastRenderedPageBreak/>
              <w:t>3</w:t>
            </w: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 xml:space="preserve">Individual Enfranchisement of Houses </w:t>
            </w:r>
          </w:p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(Leasehold Reform Act 1967)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Hourly</w:t>
            </w:r>
            <w:r>
              <w:rPr>
                <w:rFonts w:cs="Arial"/>
                <w:sz w:val="22"/>
                <w:szCs w:val="22"/>
              </w:rPr>
              <w:t xml:space="preserve"> Rate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535BE0" w:rsidRPr="00D31B81" w:rsidTr="00772138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permStart w:id="702088719" w:edGrp="everyone" w:colFirst="3" w:colLast="3"/>
            <w:permEnd w:id="1250892786"/>
            <w:r w:rsidRPr="00D31B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 w:rsidRPr="00D31B81">
              <w:rPr>
                <w:rFonts w:cs="Arial"/>
                <w:sz w:val="22"/>
                <w:szCs w:val="22"/>
              </w:rPr>
              <w:t>General Residential Conveyancing Advice</w:t>
            </w:r>
            <w:r>
              <w:rPr>
                <w:rFonts w:cs="Arial"/>
                <w:sz w:val="22"/>
                <w:szCs w:val="22"/>
              </w:rPr>
              <w:t>/Additional Work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BE0" w:rsidRPr="00D31B81" w:rsidRDefault="00535BE0" w:rsidP="006C013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Hourly Rate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BE0" w:rsidRPr="00D31B81" w:rsidRDefault="00535BE0" w:rsidP="006C013A">
            <w:pPr>
              <w:jc w:val="right"/>
              <w:rPr>
                <w:rFonts w:cs="Arial"/>
                <w:sz w:val="22"/>
                <w:szCs w:val="22"/>
              </w:rPr>
            </w:pPr>
          </w:p>
        </w:tc>
      </w:tr>
      <w:permEnd w:id="702088719"/>
    </w:tbl>
    <w:p w:rsidR="00712906" w:rsidRDefault="00712906"/>
    <w:sectPr w:rsidR="0071290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E1" w:rsidRDefault="00E734E1" w:rsidP="00E734E1">
      <w:r>
        <w:separator/>
      </w:r>
    </w:p>
  </w:endnote>
  <w:endnote w:type="continuationSeparator" w:id="0">
    <w:p w:rsidR="00E734E1" w:rsidRDefault="00E734E1" w:rsidP="00E7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1115514571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Content>
          <w:p w:rsidR="00E734E1" w:rsidRPr="00E734E1" w:rsidRDefault="00E734E1" w:rsidP="00E734E1">
            <w:pPr>
              <w:pStyle w:val="Footer"/>
              <w:jc w:val="center"/>
              <w:rPr>
                <w:sz w:val="22"/>
                <w:szCs w:val="22"/>
              </w:rPr>
            </w:pPr>
            <w:r w:rsidRPr="00E734E1">
              <w:rPr>
                <w:sz w:val="22"/>
                <w:szCs w:val="22"/>
              </w:rPr>
              <w:t xml:space="preserve">Page </w:t>
            </w:r>
            <w:r w:rsidRPr="00E734E1">
              <w:rPr>
                <w:b/>
                <w:bCs/>
                <w:sz w:val="22"/>
                <w:szCs w:val="22"/>
              </w:rPr>
              <w:fldChar w:fldCharType="begin"/>
            </w:r>
            <w:r w:rsidRPr="00E734E1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Pr="00E734E1">
              <w:rPr>
                <w:b/>
                <w:bCs/>
                <w:sz w:val="22"/>
                <w:szCs w:val="22"/>
              </w:rPr>
              <w:fldChar w:fldCharType="separate"/>
            </w:r>
            <w:r w:rsidR="008A340C">
              <w:rPr>
                <w:b/>
                <w:bCs/>
                <w:noProof/>
                <w:sz w:val="22"/>
                <w:szCs w:val="22"/>
              </w:rPr>
              <w:t>2</w:t>
            </w:r>
            <w:r w:rsidRPr="00E734E1">
              <w:rPr>
                <w:b/>
                <w:bCs/>
                <w:sz w:val="22"/>
                <w:szCs w:val="22"/>
              </w:rPr>
              <w:fldChar w:fldCharType="end"/>
            </w:r>
            <w:r w:rsidRPr="00E734E1">
              <w:rPr>
                <w:sz w:val="22"/>
                <w:szCs w:val="22"/>
              </w:rPr>
              <w:t xml:space="preserve"> of </w:t>
            </w:r>
            <w:r w:rsidRPr="00E734E1">
              <w:rPr>
                <w:b/>
                <w:bCs/>
                <w:sz w:val="22"/>
                <w:szCs w:val="22"/>
              </w:rPr>
              <w:fldChar w:fldCharType="begin"/>
            </w:r>
            <w:r w:rsidRPr="00E734E1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Pr="00E734E1">
              <w:rPr>
                <w:b/>
                <w:bCs/>
                <w:sz w:val="22"/>
                <w:szCs w:val="22"/>
              </w:rPr>
              <w:fldChar w:fldCharType="separate"/>
            </w:r>
            <w:r w:rsidR="008A340C">
              <w:rPr>
                <w:b/>
                <w:bCs/>
                <w:noProof/>
                <w:sz w:val="22"/>
                <w:szCs w:val="22"/>
              </w:rPr>
              <w:t>3</w:t>
            </w:r>
            <w:r w:rsidRPr="00E734E1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E734E1" w:rsidRDefault="00E734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E1" w:rsidRDefault="00E734E1" w:rsidP="00E734E1">
      <w:r>
        <w:separator/>
      </w:r>
    </w:p>
  </w:footnote>
  <w:footnote w:type="continuationSeparator" w:id="0">
    <w:p w:rsidR="00E734E1" w:rsidRDefault="00E734E1" w:rsidP="00E73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ijEf8YoaVxNbKe0dC225wuj5TCE=" w:salt="BteCbCbpBavdieZuMhWnZ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81E"/>
    <w:rsid w:val="00163547"/>
    <w:rsid w:val="00535BE0"/>
    <w:rsid w:val="005B1BAB"/>
    <w:rsid w:val="0063481E"/>
    <w:rsid w:val="00705632"/>
    <w:rsid w:val="00712906"/>
    <w:rsid w:val="00772138"/>
    <w:rsid w:val="008A340C"/>
    <w:rsid w:val="00CC50FA"/>
    <w:rsid w:val="00E354A0"/>
    <w:rsid w:val="00E44B48"/>
    <w:rsid w:val="00E734E1"/>
    <w:rsid w:val="00E7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1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4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8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81E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1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3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E1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3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E1"/>
    <w:rPr>
      <w:rFonts w:ascii="Arial" w:eastAsia="Times New Roman" w:hAnsi="Arial" w:cs="Times New Roman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1E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34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81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81E"/>
    <w:rPr>
      <w:rFonts w:ascii="Arial" w:eastAsia="Times New Roman" w:hAnsi="Arial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81E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34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E1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34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E1"/>
    <w:rPr>
      <w:rFonts w:ascii="Arial" w:eastAsia="Times New Roman" w:hAnsi="Arial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2277</Characters>
  <Application>Microsoft Office Word</Application>
  <DocSecurity>8</DocSecurity>
  <Lines>73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Southwark Council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Cheng</dc:creator>
  <cp:lastModifiedBy>Samantha Cheng</cp:lastModifiedBy>
  <cp:revision>3</cp:revision>
  <cp:lastPrinted>2015-09-17T07:50:00Z</cp:lastPrinted>
  <dcterms:created xsi:type="dcterms:W3CDTF">2015-09-30T14:08:00Z</dcterms:created>
  <dcterms:modified xsi:type="dcterms:W3CDTF">2015-09-30T14:09:00Z</dcterms:modified>
</cp:coreProperties>
</file>