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8398" w14:textId="77777777" w:rsidR="00096E1B" w:rsidRDefault="00096E1B" w:rsidP="00096E1B">
      <w:pPr>
        <w:rPr>
          <w:rStyle w:val="Important"/>
        </w:rPr>
      </w:pPr>
      <w:r w:rsidRPr="00096E1B">
        <w:rPr>
          <w:noProof/>
        </w:rPr>
        <w:drawing>
          <wp:anchor distT="0" distB="0" distL="114300" distR="114300" simplePos="0" relativeHeight="251659264" behindDoc="1" locked="0" layoutInCell="1" allowOverlap="1" wp14:anchorId="2A5672E8" wp14:editId="73FD9CDC">
            <wp:simplePos x="0" y="0"/>
            <wp:positionH relativeFrom="margin">
              <wp:posOffset>1918970</wp:posOffset>
            </wp:positionH>
            <wp:positionV relativeFrom="paragraph">
              <wp:posOffset>6985</wp:posOffset>
            </wp:positionV>
            <wp:extent cx="2696845" cy="1085850"/>
            <wp:effectExtent l="0" t="0" r="8255" b="0"/>
            <wp:wrapTight wrapText="bothSides">
              <wp:wrapPolygon edited="0">
                <wp:start x="0" y="0"/>
                <wp:lineTo x="0" y="21221"/>
                <wp:lineTo x="21514" y="21221"/>
                <wp:lineTo x="215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84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E1B">
        <w:rPr>
          <w:noProof/>
        </w:rPr>
        <w:drawing>
          <wp:inline distT="0" distB="0" distL="0" distR="0" wp14:anchorId="48C62CFB" wp14:editId="5A958AA8">
            <wp:extent cx="1152049" cy="1123950"/>
            <wp:effectExtent l="0" t="0" r="0"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1163177" cy="1134806"/>
                    </a:xfrm>
                    <a:prstGeom prst="rect">
                      <a:avLst/>
                    </a:prstGeom>
                  </pic:spPr>
                </pic:pic>
              </a:graphicData>
            </a:graphic>
          </wp:inline>
        </w:drawing>
      </w:r>
      <w:r w:rsidRPr="00E06691">
        <w:rPr>
          <w:rStyle w:val="Important"/>
        </w:rPr>
        <w:t xml:space="preserve"> </w:t>
      </w:r>
    </w:p>
    <w:p w14:paraId="63C9F21F" w14:textId="70DC3119" w:rsidR="00096E1B" w:rsidRPr="00096E1B" w:rsidRDefault="00096E1B" w:rsidP="00096E1B">
      <w:r w:rsidRPr="00096E1B">
        <w:t>LIFE19/NAT/UK/000147</w:t>
      </w: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2D771DC6" w:rsidR="009F2992" w:rsidRPr="002B3332" w:rsidRDefault="00071ECE" w:rsidP="002B3332">
      <w:r>
        <w:t>Tree Saplings</w:t>
      </w:r>
    </w:p>
    <w:p w14:paraId="023E0AD3" w14:textId="77777777" w:rsidR="009F2992" w:rsidRPr="002B3332" w:rsidRDefault="009F2992" w:rsidP="002B3332"/>
    <w:p w14:paraId="2131F45B" w14:textId="32B092E6" w:rsidR="009F2992" w:rsidRPr="002B3332" w:rsidRDefault="00096E1B" w:rsidP="002B3332">
      <w:r w:rsidRPr="002B3332">
        <w:t>26 June 202</w:t>
      </w:r>
      <w:r w:rsidR="0004387C">
        <w:t>3</w:t>
      </w:r>
    </w:p>
    <w:p w14:paraId="14780747" w14:textId="77777777" w:rsidR="009F2992" w:rsidRPr="00812225" w:rsidRDefault="009F2992" w:rsidP="009F2992">
      <w:pPr>
        <w:pStyle w:val="CommentText"/>
        <w:rPr>
          <w:rStyle w:val="Important"/>
        </w:rPr>
      </w:pPr>
    </w:p>
    <w:p w14:paraId="65082A86" w14:textId="242BC167" w:rsidR="009F2992" w:rsidRDefault="009F2992" w:rsidP="00B068CC">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40A7B3F" w14:textId="77777777" w:rsidR="00B068CC" w:rsidRPr="002B3332" w:rsidRDefault="00B068CC" w:rsidP="002B3332">
      <w:r w:rsidRPr="002B3332">
        <w:t>Foundation Canopy Trees</w:t>
      </w:r>
    </w:p>
    <w:p w14:paraId="35E345FE" w14:textId="3DA741D8" w:rsidR="009F2992" w:rsidRPr="002B3332" w:rsidRDefault="009F2992" w:rsidP="002B3332">
      <w:r w:rsidRPr="002B3332">
        <w:t xml:space="preserve">You are invited to submit a quotation for the requirement described in the specification, Section 2. </w:t>
      </w:r>
    </w:p>
    <w:p w14:paraId="6B00E59B" w14:textId="77777777" w:rsidR="009F2992" w:rsidRPr="002B3332" w:rsidRDefault="009F2992" w:rsidP="002B3332">
      <w:r w:rsidRPr="002B3332">
        <w:t xml:space="preserve">Please confirm by email, receipt of these documents and whether you intend to submit a quote or not. </w:t>
      </w:r>
    </w:p>
    <w:p w14:paraId="1C755E53" w14:textId="77777777" w:rsidR="009F2992" w:rsidRPr="002B3332" w:rsidRDefault="009F2992" w:rsidP="002B3332">
      <w:r w:rsidRPr="002B3332">
        <w:t xml:space="preserve">Your response should be returned to the following email address by: </w:t>
      </w:r>
    </w:p>
    <w:p w14:paraId="5DB06919" w14:textId="21AC3484" w:rsidR="009F2992" w:rsidRPr="002B3332" w:rsidRDefault="009F2992" w:rsidP="002B3332">
      <w:r w:rsidRPr="002B3332">
        <w:t>Email:</w:t>
      </w:r>
      <w:r w:rsidR="00B068CC" w:rsidRPr="002B3332">
        <w:t xml:space="preserve"> sally.goulding@naturalengland.org.uk</w:t>
      </w:r>
    </w:p>
    <w:p w14:paraId="53BCC0D8" w14:textId="39F4FFB8" w:rsidR="009F2992" w:rsidRPr="002B3332" w:rsidRDefault="009F2992" w:rsidP="002B3332">
      <w:r w:rsidRPr="002B3332">
        <w:t xml:space="preserve">Date: </w:t>
      </w:r>
      <w:r w:rsidR="00955FDB" w:rsidRPr="002B3332">
        <w:t>10.07.2023</w:t>
      </w:r>
    </w:p>
    <w:p w14:paraId="0B3EF35E" w14:textId="09D224B0" w:rsidR="009F2992" w:rsidRPr="002B3332" w:rsidRDefault="009F2992" w:rsidP="002B3332">
      <w:r w:rsidRPr="002B3332">
        <w:t xml:space="preserve">Time: </w:t>
      </w:r>
      <w:r w:rsidR="00955FDB" w:rsidRPr="002B3332">
        <w:t>12:00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18326118" w:rsidR="009F2992" w:rsidRDefault="009F2992" w:rsidP="009F2992">
      <w:pPr>
        <w:pStyle w:val="Subheading"/>
      </w:pPr>
      <w:r w:rsidRPr="00A77416">
        <w:t xml:space="preserve">Contact Details and Timetable </w:t>
      </w:r>
    </w:p>
    <w:p w14:paraId="38E3AF1C" w14:textId="77777777" w:rsidR="00955FDB" w:rsidRPr="00955FDB" w:rsidRDefault="00955FDB" w:rsidP="00955FDB">
      <w:r w:rsidRPr="00955FDB">
        <w:t xml:space="preserve">Mark Young </w:t>
      </w:r>
    </w:p>
    <w:p w14:paraId="5FC3854C" w14:textId="11C18F34" w:rsidR="00955FDB" w:rsidRPr="00A77416" w:rsidRDefault="00955FDB" w:rsidP="00955FDB">
      <w:pPr>
        <w:pStyle w:val="Subheading"/>
      </w:pPr>
      <w:proofErr w:type="gramStart"/>
      <w:r w:rsidRPr="00955FDB">
        <w:t>Email :</w:t>
      </w:r>
      <w:proofErr w:type="gramEnd"/>
      <w:r w:rsidRPr="00955FDB">
        <w:t xml:space="preserve"> </w:t>
      </w:r>
      <w:hyperlink r:id="rId15" w:history="1">
        <w:r w:rsidRPr="00955FDB">
          <w:rPr>
            <w:rStyle w:val="Hyperlink"/>
          </w:rPr>
          <w:t>mark.young@naturalengland.org.uk</w:t>
        </w:r>
      </w:hyperlink>
    </w:p>
    <w:p w14:paraId="43D61FC3" w14:textId="7B196486" w:rsidR="009F2992" w:rsidRDefault="00955FDB" w:rsidP="009F2992">
      <w:r>
        <w:t xml:space="preserve">Mark Young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41C991B" w:rsidR="009F2992" w:rsidRPr="009F2992" w:rsidRDefault="0004387C" w:rsidP="009F2992">
            <w:r>
              <w:t xml:space="preserve">26.06.2023 </w:t>
            </w:r>
            <w:r w:rsidR="009F2992" w:rsidRPr="009F2992">
              <w:t xml:space="preserve">at </w:t>
            </w:r>
            <w:r w:rsidR="003D21F5">
              <w:t>16:00</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6160A2CC" w14:textId="6919622E" w:rsidR="009F2992" w:rsidRPr="009F2992" w:rsidRDefault="0004387C" w:rsidP="009F2992">
            <w:pPr>
              <w:rPr>
                <w:rStyle w:val="Important"/>
              </w:rPr>
            </w:pPr>
            <w:r>
              <w:t>05.07.2023 a</w:t>
            </w:r>
            <w:r w:rsidR="009F2992" w:rsidRPr="009F2992">
              <w:t xml:space="preserve">t </w:t>
            </w:r>
            <w:r w:rsidR="003D21F5">
              <w:t>12:00</w:t>
            </w:r>
          </w:p>
          <w:p w14:paraId="53524785" w14:textId="77777777" w:rsidR="009F2992" w:rsidRDefault="009F2992" w:rsidP="009F2992"/>
          <w:p w14:paraId="168EAA3C" w14:textId="79334B34"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0943F8DF" w:rsidR="009F2992" w:rsidRPr="009F2992" w:rsidRDefault="0004387C" w:rsidP="009F2992">
            <w:r>
              <w:t>10.07.2023 a</w:t>
            </w:r>
            <w:r w:rsidR="009F2992" w:rsidRPr="009F2992">
              <w:t xml:space="preserve">t </w:t>
            </w:r>
            <w:r w:rsidR="003D21F5">
              <w:t>1</w:t>
            </w:r>
            <w:r w:rsidR="00955FDB">
              <w:t>2</w:t>
            </w:r>
            <w:r w:rsidR="003D21F5">
              <w:t>:00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9A13DE2" w:rsidR="009F2992" w:rsidRPr="009F2992" w:rsidRDefault="0004387C" w:rsidP="009F2992">
            <w:pPr>
              <w:rPr>
                <w:rStyle w:val="Important"/>
              </w:rPr>
            </w:pPr>
            <w:r>
              <w:t>12.07.2023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1F9480CA" w:rsidR="009F2992" w:rsidRPr="009F2992" w:rsidRDefault="0004387C" w:rsidP="009F2992">
            <w:pPr>
              <w:rPr>
                <w:rStyle w:val="Important"/>
              </w:rPr>
            </w:pPr>
            <w:r>
              <w:t>14.07.2023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8051B3D" w:rsidR="009F2992" w:rsidRPr="009F2992" w:rsidRDefault="00B068CC" w:rsidP="009F2992">
            <w:r w:rsidRPr="00B068CC">
              <w:t>Delivery dates TBC (between September 2023 &amp; March 2024)</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221F264C" w:rsidR="009F2992" w:rsidRPr="009F2992" w:rsidRDefault="0004387C" w:rsidP="009F2992">
            <w:r>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lastRenderedPageBreak/>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3D692EE4" w:rsidR="009F2992" w:rsidRPr="007A28B8" w:rsidRDefault="009F2992" w:rsidP="009F2992">
      <w:r w:rsidRPr="007A28B8">
        <w:t>The Authority’s standard</w:t>
      </w:r>
      <w:r w:rsidR="00B068CC">
        <w:t xml:space="preserve"> Natural England</w:t>
      </w:r>
      <w:r w:rsidRPr="007A28B8">
        <w:t xml:space="preserve"> as part of the RFQ will be included in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7861F840" w:rsidR="009F2992" w:rsidRPr="007A28B8" w:rsidRDefault="009F2992" w:rsidP="002B3332">
      <w:r w:rsidRPr="007A28B8">
        <w:t>Prices must be submitted in £ sterling</w:t>
      </w:r>
      <w:r w:rsidRPr="002B3332">
        <w:t xml:space="preserve">, </w:t>
      </w:r>
      <w:r w:rsidR="00B068CC" w:rsidRPr="002B3332">
        <w:t xml:space="preserve">inclusive of </w:t>
      </w:r>
      <w:r w:rsidRPr="002B3332">
        <w:t>VAT</w:t>
      </w:r>
      <w:r w:rsidRPr="007A28B8">
        <w:t xml:space="preserve">.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D027785" w:rsidR="009F2992" w:rsidRPr="0004387C" w:rsidRDefault="009F2992" w:rsidP="0004387C">
      <w:proofErr w:type="gramStart"/>
      <w:r w:rsidRPr="0004387C">
        <w:t>For the purpose of</w:t>
      </w:r>
      <w:proofErr w:type="gramEnd"/>
      <w:r w:rsidRPr="0004387C">
        <w:t xml:space="preserve"> this RFQ the Authority is classified as a Central Contracting Authority with a publication threshold of £1</w:t>
      </w:r>
      <w:r w:rsidR="00736C03" w:rsidRPr="0004387C">
        <w:t>2</w:t>
      </w:r>
      <w:r w:rsidRPr="0004387C">
        <w:t xml:space="preserve">,000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55471CE1" w:rsidR="009F2992" w:rsidRPr="001F5026" w:rsidRDefault="009F2992" w:rsidP="0004387C">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068CC" w:rsidRPr="0004387C">
        <w:t>Natural England</w:t>
      </w:r>
      <w:r w:rsidR="00B068CC">
        <w:rPr>
          <w:rStyle w:val="Important"/>
        </w:rPr>
        <w:t xml:space="preserve"> </w:t>
      </w:r>
      <w:r w:rsidRPr="001F5026">
        <w:t>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18146921" w14:textId="73BC6353"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r w:rsidR="0004387C" w:rsidRPr="001F5026">
        <w:t>removed,</w:t>
      </w:r>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5BB921A8" w:rsidR="009F2992" w:rsidRPr="007A28B8" w:rsidRDefault="009F2992" w:rsidP="009F2992">
      <w:r w:rsidRPr="007A28B8">
        <w:t xml:space="preserve">The concept of a conflict of interest includes but is not limited to any situation where an Involved Person or Relevant Body has directly or indirectly, a financial, </w:t>
      </w:r>
      <w:r w:rsidR="0004387C" w:rsidRPr="007A28B8">
        <w:t>economic,</w:t>
      </w:r>
      <w:r w:rsidRPr="007A28B8">
        <w:t xml:space="preserve">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354D78A4" w14:textId="77777777" w:rsidR="002B3332" w:rsidRDefault="002B3332" w:rsidP="002B3332">
      <w:pPr>
        <w:pStyle w:val="Blockheading"/>
      </w:pPr>
      <w:r w:rsidRPr="00C23D6C">
        <w:t>Background to</w:t>
      </w:r>
      <w:r>
        <w:t xml:space="preserve"> Life in the Ravines</w:t>
      </w:r>
      <w:r w:rsidRPr="00C23D6C">
        <w:t xml:space="preserve"> </w:t>
      </w:r>
    </w:p>
    <w:p w14:paraId="7819F2AF" w14:textId="360442C0" w:rsidR="002B3332" w:rsidRPr="008A2A55" w:rsidRDefault="002B3332" w:rsidP="002B3332">
      <w:r w:rsidRPr="008A2A55">
        <w:t>LIFE in the Ravines is an exciting partnership</w:t>
      </w:r>
      <w:r w:rsidR="0004387C">
        <w:t xml:space="preserve"> project</w:t>
      </w:r>
      <w:r w:rsidRPr="008A2A55">
        <w:t>, centred within the ravine woodlands of the Peak District Dales Special Area of Conservation (SAC). This pioneering project has received funding from the European Union’s LIFE</w:t>
      </w:r>
      <w:r w:rsidR="00423CF4">
        <w:t xml:space="preserve"> </w:t>
      </w:r>
      <w:r w:rsidRPr="008A2A55">
        <w:lastRenderedPageBreak/>
        <w:t xml:space="preserve">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w:t>
      </w:r>
      <w:r w:rsidR="0004387C" w:rsidRPr="008A2A55">
        <w:t>Trust,</w:t>
      </w:r>
      <w:r w:rsidRPr="008A2A55">
        <w:t xml:space="preserve"> and the National Trust.</w:t>
      </w:r>
    </w:p>
    <w:p w14:paraId="16800BE1" w14:textId="77777777" w:rsidR="002B3332" w:rsidRPr="002B3332" w:rsidRDefault="002B3332" w:rsidP="002B3332">
      <w:r w:rsidRPr="002B3332">
        <w:t>Project Reference - LIFE19/NAT/UK/000147</w:t>
      </w:r>
    </w:p>
    <w:p w14:paraId="49546438" w14:textId="77777777" w:rsidR="002B3332" w:rsidRDefault="002B3332" w:rsidP="002B3332">
      <w:pPr>
        <w:pStyle w:val="Blockheading"/>
      </w:pPr>
      <w:r w:rsidRPr="00C23D6C">
        <w:t xml:space="preserve">Background to the specific work area relevant to this purchase </w:t>
      </w:r>
    </w:p>
    <w:p w14:paraId="45959C00" w14:textId="77777777" w:rsidR="002B3332" w:rsidRDefault="002B3332" w:rsidP="002B3332">
      <w:r>
        <w:t xml:space="preserve">The Life in the Ravines project is live until November 2025 and each year needs to reach ambitious replanting targets. The project area encompasses approximately 900ha of the </w:t>
      </w:r>
      <w:r w:rsidRPr="008A2A55">
        <w:t>2,326ha</w:t>
      </w:r>
      <w:r>
        <w:t xml:space="preserve"> SAC which is designated as H9180* </w:t>
      </w:r>
      <w:proofErr w:type="spellStart"/>
      <w:r>
        <w:t>T</w:t>
      </w:r>
      <w:r w:rsidRPr="008A2A55">
        <w:t>ilio-Acerion</w:t>
      </w:r>
      <w:proofErr w:type="spellEnd"/>
      <w:r w:rsidRPr="008A2A55">
        <w:t xml:space="preserve"> forests of slopes, </w:t>
      </w:r>
      <w:proofErr w:type="gramStart"/>
      <w:r w:rsidRPr="008A2A55">
        <w:t>screes</w:t>
      </w:r>
      <w:proofErr w:type="gramEnd"/>
      <w:r w:rsidRPr="008A2A55">
        <w:t xml:space="preserve"> and ravines woodland. This priority habitat is of international importance and is found across 10 Sites of Special Scientific Interest (SSSI): Matlock Woods, </w:t>
      </w:r>
      <w:proofErr w:type="spellStart"/>
      <w:r w:rsidRPr="008A2A55">
        <w:t>Hamps</w:t>
      </w:r>
      <w:proofErr w:type="spellEnd"/>
      <w:r w:rsidRPr="008A2A55">
        <w:t xml:space="preserve"> &amp; Manifold Valleys, Coombs Dale, </w:t>
      </w:r>
      <w:proofErr w:type="spellStart"/>
      <w:r w:rsidRPr="008A2A55">
        <w:t>Cressbrook</w:t>
      </w:r>
      <w:proofErr w:type="spellEnd"/>
      <w:r w:rsidRPr="008A2A55">
        <w:t xml:space="preserve"> Dale, </w:t>
      </w:r>
      <w:proofErr w:type="spellStart"/>
      <w:r w:rsidRPr="008A2A55">
        <w:t>Lathkill</w:t>
      </w:r>
      <w:proofErr w:type="spellEnd"/>
      <w:r w:rsidRPr="008A2A55">
        <w:t xml:space="preserve"> Dale, Dove Valley &amp; Biggin Dale, Monk’s Dale, Via </w:t>
      </w:r>
      <w:proofErr w:type="spellStart"/>
      <w:r w:rsidRPr="008A2A55">
        <w:t>Gellia</w:t>
      </w:r>
      <w:proofErr w:type="spellEnd"/>
      <w:r w:rsidRPr="008A2A55">
        <w:t xml:space="preserve"> Woodlands, Long Dale &amp; Gratton Dale and The Wye Valley</w:t>
      </w:r>
      <w:r>
        <w:t>.</w:t>
      </w:r>
    </w:p>
    <w:p w14:paraId="178E75CF" w14:textId="77777777" w:rsidR="002B3332" w:rsidRDefault="002B3332" w:rsidP="002B3332">
      <w:pPr>
        <w:pStyle w:val="Blockheading"/>
      </w:pPr>
      <w:r w:rsidRPr="00C23D6C">
        <w:t>Requirement</w:t>
      </w:r>
    </w:p>
    <w:p w14:paraId="4F4A3674" w14:textId="271BE95D" w:rsidR="002B3332" w:rsidRPr="008A2A55" w:rsidRDefault="002B3332" w:rsidP="002B3332">
      <w:r w:rsidRPr="008A2A55">
        <w:t>Provide unit prices for the following quantities of trees required f</w:t>
      </w:r>
      <w:r w:rsidR="0004387C">
        <w:t>or the forthcoming tree planting season, f</w:t>
      </w:r>
      <w:r w:rsidRPr="008A2A55">
        <w:t>rom September 2023</w:t>
      </w:r>
      <w:r w:rsidR="0004387C">
        <w:t xml:space="preserve"> to March 2024.</w:t>
      </w:r>
    </w:p>
    <w:tbl>
      <w:tblPr>
        <w:tblW w:w="9629" w:type="dxa"/>
        <w:tblLook w:val="04A0" w:firstRow="1" w:lastRow="0" w:firstColumn="1" w:lastColumn="0" w:noHBand="0" w:noVBand="1"/>
      </w:tblPr>
      <w:tblGrid>
        <w:gridCol w:w="4167"/>
        <w:gridCol w:w="1352"/>
        <w:gridCol w:w="4110"/>
      </w:tblGrid>
      <w:tr w:rsidR="002B3332" w:rsidRPr="002E1403" w14:paraId="604392CF" w14:textId="77777777" w:rsidTr="007520E2">
        <w:trPr>
          <w:trHeight w:val="263"/>
        </w:trPr>
        <w:tc>
          <w:tcPr>
            <w:tcW w:w="41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17D914" w14:textId="77777777" w:rsidR="002B3332" w:rsidRPr="002B3332" w:rsidRDefault="002B3332" w:rsidP="002B3332">
            <w:r w:rsidRPr="008A2A55">
              <w:t>FOUNDATION CANOPY TREES</w:t>
            </w:r>
          </w:p>
        </w:tc>
        <w:tc>
          <w:tcPr>
            <w:tcW w:w="1352" w:type="dxa"/>
            <w:tcBorders>
              <w:top w:val="single" w:sz="8" w:space="0" w:color="auto"/>
              <w:left w:val="nil"/>
              <w:bottom w:val="single" w:sz="4" w:space="0" w:color="auto"/>
              <w:right w:val="single" w:sz="4" w:space="0" w:color="auto"/>
            </w:tcBorders>
            <w:shd w:val="clear" w:color="auto" w:fill="auto"/>
            <w:vAlign w:val="center"/>
            <w:hideMark/>
          </w:tcPr>
          <w:p w14:paraId="46EFC568" w14:textId="77777777" w:rsidR="002B3332" w:rsidRPr="002B3332" w:rsidRDefault="002B3332" w:rsidP="002B3332">
            <w:r w:rsidRPr="008A2A55">
              <w:t>Total Trees Required</w:t>
            </w:r>
          </w:p>
        </w:tc>
        <w:tc>
          <w:tcPr>
            <w:tcW w:w="4110" w:type="dxa"/>
            <w:tcBorders>
              <w:top w:val="single" w:sz="8" w:space="0" w:color="auto"/>
              <w:left w:val="nil"/>
              <w:bottom w:val="single" w:sz="4" w:space="0" w:color="auto"/>
              <w:right w:val="single" w:sz="4" w:space="0" w:color="auto"/>
            </w:tcBorders>
          </w:tcPr>
          <w:p w14:paraId="77750B68" w14:textId="77777777" w:rsidR="002B3332" w:rsidRPr="002B3332" w:rsidRDefault="002B3332" w:rsidP="002B3332">
            <w:r w:rsidRPr="008A2A55">
              <w:t>Species Notes</w:t>
            </w:r>
          </w:p>
        </w:tc>
      </w:tr>
      <w:tr w:rsidR="002B3332" w:rsidRPr="002E1403" w14:paraId="6C528F22"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B63FD1F" w14:textId="77777777" w:rsidR="002B3332" w:rsidRPr="002B3332" w:rsidRDefault="002B3332" w:rsidP="002B3332">
            <w:proofErr w:type="spellStart"/>
            <w:r w:rsidRPr="008A2A55">
              <w:t>Tilia</w:t>
            </w:r>
            <w:proofErr w:type="spellEnd"/>
            <w:r w:rsidRPr="008A2A55">
              <w:t xml:space="preserve"> cordata/</w:t>
            </w:r>
            <w:proofErr w:type="spellStart"/>
            <w:r w:rsidRPr="008A2A55">
              <w:t>Tilia</w:t>
            </w:r>
            <w:proofErr w:type="spellEnd"/>
            <w:r w:rsidRPr="008A2A55">
              <w:t xml:space="preserve"> </w:t>
            </w:r>
            <w:proofErr w:type="spellStart"/>
            <w:r w:rsidRPr="008A2A55">
              <w:t>platyphyllos</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65F253A5" w14:textId="77777777" w:rsidR="002B3332" w:rsidRPr="002B3332" w:rsidRDefault="002B3332" w:rsidP="002B3332">
            <w:r w:rsidRPr="008A2A55">
              <w:t>6520</w:t>
            </w:r>
          </w:p>
        </w:tc>
        <w:tc>
          <w:tcPr>
            <w:tcW w:w="4110" w:type="dxa"/>
            <w:tcBorders>
              <w:top w:val="nil"/>
              <w:left w:val="nil"/>
              <w:bottom w:val="single" w:sz="4" w:space="0" w:color="auto"/>
              <w:right w:val="single" w:sz="4" w:space="0" w:color="auto"/>
            </w:tcBorders>
          </w:tcPr>
          <w:p w14:paraId="1C7FC26D" w14:textId="77777777" w:rsidR="002B3332" w:rsidRPr="002B3332" w:rsidRDefault="002B3332" w:rsidP="002B3332">
            <w:r w:rsidRPr="008A2A55">
              <w:t xml:space="preserve">50:50 mix or </w:t>
            </w:r>
            <w:r w:rsidRPr="002B3332">
              <w:t xml:space="preserve">one of either </w:t>
            </w:r>
            <w:proofErr w:type="spellStart"/>
            <w:r w:rsidRPr="002B3332">
              <w:t>Tilia</w:t>
            </w:r>
            <w:proofErr w:type="spellEnd"/>
            <w:r w:rsidRPr="002B3332">
              <w:t xml:space="preserve"> species</w:t>
            </w:r>
          </w:p>
        </w:tc>
      </w:tr>
      <w:tr w:rsidR="002B3332" w:rsidRPr="002E1403" w14:paraId="0FBBD283"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64A0CC1" w14:textId="77777777" w:rsidR="002B3332" w:rsidRPr="002B3332" w:rsidRDefault="002B3332" w:rsidP="002B3332">
            <w:proofErr w:type="spellStart"/>
            <w:r w:rsidRPr="008A2A55">
              <w:t>Ulmus</w:t>
            </w:r>
            <w:proofErr w:type="spellEnd"/>
            <w:r w:rsidRPr="008A2A55">
              <w:t xml:space="preserve"> glabra</w:t>
            </w:r>
          </w:p>
        </w:tc>
        <w:tc>
          <w:tcPr>
            <w:tcW w:w="1352" w:type="dxa"/>
            <w:tcBorders>
              <w:top w:val="nil"/>
              <w:left w:val="nil"/>
              <w:bottom w:val="single" w:sz="4" w:space="0" w:color="auto"/>
              <w:right w:val="single" w:sz="4" w:space="0" w:color="auto"/>
            </w:tcBorders>
            <w:shd w:val="clear" w:color="auto" w:fill="auto"/>
            <w:vAlign w:val="center"/>
            <w:hideMark/>
          </w:tcPr>
          <w:p w14:paraId="51D81643" w14:textId="77777777" w:rsidR="002B3332" w:rsidRPr="002B3332" w:rsidRDefault="002B3332" w:rsidP="002B3332">
            <w:r w:rsidRPr="008A2A55">
              <w:t>1305</w:t>
            </w:r>
          </w:p>
        </w:tc>
        <w:tc>
          <w:tcPr>
            <w:tcW w:w="4110" w:type="dxa"/>
            <w:tcBorders>
              <w:top w:val="nil"/>
              <w:left w:val="nil"/>
              <w:bottom w:val="single" w:sz="4" w:space="0" w:color="auto"/>
              <w:right w:val="single" w:sz="4" w:space="0" w:color="auto"/>
            </w:tcBorders>
          </w:tcPr>
          <w:p w14:paraId="69DAF37C" w14:textId="77777777" w:rsidR="002B3332" w:rsidRPr="008A2A55" w:rsidRDefault="002B3332" w:rsidP="002B3332"/>
        </w:tc>
      </w:tr>
      <w:tr w:rsidR="002B3332" w:rsidRPr="002E1403" w14:paraId="58A38121"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387A5BC" w14:textId="77777777" w:rsidR="002B3332" w:rsidRPr="002B3332" w:rsidRDefault="002B3332" w:rsidP="002B3332">
            <w:r w:rsidRPr="008A2A55">
              <w:t xml:space="preserve">Acer </w:t>
            </w:r>
            <w:proofErr w:type="spellStart"/>
            <w:r w:rsidRPr="008A2A55">
              <w:t>campestre</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75EDF556" w14:textId="77777777" w:rsidR="002B3332" w:rsidRPr="002B3332" w:rsidRDefault="002B3332" w:rsidP="002B3332">
            <w:r w:rsidRPr="008A2A55">
              <w:t>1140</w:t>
            </w:r>
          </w:p>
        </w:tc>
        <w:tc>
          <w:tcPr>
            <w:tcW w:w="4110" w:type="dxa"/>
            <w:tcBorders>
              <w:top w:val="nil"/>
              <w:left w:val="nil"/>
              <w:bottom w:val="single" w:sz="4" w:space="0" w:color="auto"/>
              <w:right w:val="single" w:sz="4" w:space="0" w:color="auto"/>
            </w:tcBorders>
          </w:tcPr>
          <w:p w14:paraId="44E9CE7E" w14:textId="77777777" w:rsidR="002B3332" w:rsidRPr="008A2A55" w:rsidRDefault="002B3332" w:rsidP="002B3332"/>
        </w:tc>
      </w:tr>
      <w:tr w:rsidR="002B3332" w:rsidRPr="002E1403" w14:paraId="555B45B2"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39DA229" w14:textId="77777777" w:rsidR="002B3332" w:rsidRPr="002B3332" w:rsidRDefault="002B3332" w:rsidP="002B3332">
            <w:r w:rsidRPr="008A2A55">
              <w:t xml:space="preserve">Alnus </w:t>
            </w:r>
            <w:proofErr w:type="spellStart"/>
            <w:r w:rsidRPr="008A2A55">
              <w:t>glutinosa</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2162CA33" w14:textId="77777777" w:rsidR="002B3332" w:rsidRPr="002B3332" w:rsidRDefault="002B3332" w:rsidP="002B3332">
            <w:r w:rsidRPr="008A2A55">
              <w:t>780</w:t>
            </w:r>
          </w:p>
        </w:tc>
        <w:tc>
          <w:tcPr>
            <w:tcW w:w="4110" w:type="dxa"/>
            <w:tcBorders>
              <w:top w:val="nil"/>
              <w:left w:val="nil"/>
              <w:bottom w:val="single" w:sz="4" w:space="0" w:color="auto"/>
              <w:right w:val="single" w:sz="4" w:space="0" w:color="auto"/>
            </w:tcBorders>
          </w:tcPr>
          <w:p w14:paraId="65F3CF0E" w14:textId="77777777" w:rsidR="002B3332" w:rsidRPr="008A2A55" w:rsidRDefault="002B3332" w:rsidP="002B3332"/>
        </w:tc>
      </w:tr>
      <w:tr w:rsidR="002B3332" w:rsidRPr="002E1403" w14:paraId="628554A3"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298D8FF0" w14:textId="77777777" w:rsidR="002B3332" w:rsidRPr="002B3332" w:rsidRDefault="002B3332" w:rsidP="002B3332">
            <w:r w:rsidRPr="008A2A55">
              <w:t>Betula pendula</w:t>
            </w:r>
          </w:p>
        </w:tc>
        <w:tc>
          <w:tcPr>
            <w:tcW w:w="1352" w:type="dxa"/>
            <w:tcBorders>
              <w:top w:val="nil"/>
              <w:left w:val="nil"/>
              <w:bottom w:val="single" w:sz="4" w:space="0" w:color="auto"/>
              <w:right w:val="single" w:sz="4" w:space="0" w:color="auto"/>
            </w:tcBorders>
            <w:shd w:val="clear" w:color="auto" w:fill="auto"/>
            <w:vAlign w:val="center"/>
            <w:hideMark/>
          </w:tcPr>
          <w:p w14:paraId="36D7AE99" w14:textId="77777777" w:rsidR="002B3332" w:rsidRPr="002B3332" w:rsidRDefault="002B3332" w:rsidP="002B3332">
            <w:r w:rsidRPr="008A2A55">
              <w:t>1395</w:t>
            </w:r>
          </w:p>
        </w:tc>
        <w:tc>
          <w:tcPr>
            <w:tcW w:w="4110" w:type="dxa"/>
            <w:tcBorders>
              <w:top w:val="nil"/>
              <w:left w:val="nil"/>
              <w:bottom w:val="single" w:sz="4" w:space="0" w:color="auto"/>
              <w:right w:val="single" w:sz="4" w:space="0" w:color="auto"/>
            </w:tcBorders>
          </w:tcPr>
          <w:p w14:paraId="0B51F735" w14:textId="77777777" w:rsidR="002B3332" w:rsidRPr="008A2A55" w:rsidRDefault="002B3332" w:rsidP="002B3332"/>
        </w:tc>
      </w:tr>
      <w:tr w:rsidR="002B3332" w:rsidRPr="002E1403" w14:paraId="409F30C1"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00CEDBF" w14:textId="77777777" w:rsidR="002B3332" w:rsidRPr="002B3332" w:rsidRDefault="002B3332" w:rsidP="002B3332">
            <w:r w:rsidRPr="008A2A55">
              <w:t xml:space="preserve">Ilex </w:t>
            </w:r>
            <w:proofErr w:type="spellStart"/>
            <w:r w:rsidRPr="008A2A55">
              <w:t>aquifolium</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7B098DE0" w14:textId="77777777" w:rsidR="002B3332" w:rsidRPr="002B3332" w:rsidRDefault="002B3332" w:rsidP="002B3332">
            <w:r w:rsidRPr="008A2A55">
              <w:t>180</w:t>
            </w:r>
          </w:p>
        </w:tc>
        <w:tc>
          <w:tcPr>
            <w:tcW w:w="4110" w:type="dxa"/>
            <w:tcBorders>
              <w:top w:val="nil"/>
              <w:left w:val="nil"/>
              <w:bottom w:val="single" w:sz="4" w:space="0" w:color="auto"/>
              <w:right w:val="single" w:sz="4" w:space="0" w:color="auto"/>
            </w:tcBorders>
          </w:tcPr>
          <w:p w14:paraId="3894D43E" w14:textId="77777777" w:rsidR="002B3332" w:rsidRPr="008A2A55" w:rsidRDefault="002B3332" w:rsidP="002B3332"/>
        </w:tc>
      </w:tr>
      <w:tr w:rsidR="002B3332" w:rsidRPr="002E1403" w14:paraId="43FFE6F4"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61E3AF9" w14:textId="77777777" w:rsidR="002B3332" w:rsidRPr="002B3332" w:rsidRDefault="002B3332" w:rsidP="002B3332">
            <w:r w:rsidRPr="008A2A55">
              <w:t xml:space="preserve">Populus </w:t>
            </w:r>
            <w:proofErr w:type="spellStart"/>
            <w:r w:rsidRPr="008A2A55">
              <w:t>tremula</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40C93AA6" w14:textId="77777777" w:rsidR="002B3332" w:rsidRPr="002B3332" w:rsidRDefault="002B3332" w:rsidP="002B3332">
            <w:r w:rsidRPr="008A2A55">
              <w:t>1020</w:t>
            </w:r>
          </w:p>
        </w:tc>
        <w:tc>
          <w:tcPr>
            <w:tcW w:w="4110" w:type="dxa"/>
            <w:tcBorders>
              <w:top w:val="nil"/>
              <w:left w:val="nil"/>
              <w:bottom w:val="single" w:sz="4" w:space="0" w:color="auto"/>
              <w:right w:val="single" w:sz="4" w:space="0" w:color="auto"/>
            </w:tcBorders>
          </w:tcPr>
          <w:p w14:paraId="02DBC421" w14:textId="77777777" w:rsidR="002B3332" w:rsidRPr="008A2A55" w:rsidRDefault="002B3332" w:rsidP="002B3332"/>
        </w:tc>
      </w:tr>
      <w:tr w:rsidR="002B3332" w:rsidRPr="002E1403" w14:paraId="0E9C24B5"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4B4BE4A0" w14:textId="77777777" w:rsidR="002B3332" w:rsidRPr="002B3332" w:rsidRDefault="002B3332" w:rsidP="002B3332">
            <w:r w:rsidRPr="008A2A55">
              <w:t>Quercus petraea/</w:t>
            </w:r>
            <w:proofErr w:type="spellStart"/>
            <w:r w:rsidRPr="008A2A55">
              <w:t>robur</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398EB1A1" w14:textId="77777777" w:rsidR="002B3332" w:rsidRPr="002B3332" w:rsidRDefault="002B3332" w:rsidP="002B3332">
            <w:r w:rsidRPr="008A2A55">
              <w:t>810</w:t>
            </w:r>
          </w:p>
        </w:tc>
        <w:tc>
          <w:tcPr>
            <w:tcW w:w="4110" w:type="dxa"/>
            <w:tcBorders>
              <w:top w:val="nil"/>
              <w:left w:val="nil"/>
              <w:bottom w:val="single" w:sz="4" w:space="0" w:color="auto"/>
              <w:right w:val="single" w:sz="4" w:space="0" w:color="auto"/>
            </w:tcBorders>
          </w:tcPr>
          <w:p w14:paraId="32414FB8" w14:textId="77777777" w:rsidR="002B3332" w:rsidRPr="002B3332" w:rsidRDefault="002B3332" w:rsidP="002B3332">
            <w:r w:rsidRPr="008A2A55">
              <w:t>50:50 mix or one of either Quercus species</w:t>
            </w:r>
          </w:p>
        </w:tc>
      </w:tr>
      <w:tr w:rsidR="002B3332" w:rsidRPr="002E1403" w14:paraId="5001F35E"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1738E596" w14:textId="77777777" w:rsidR="002B3332" w:rsidRPr="002B3332" w:rsidRDefault="002B3332" w:rsidP="002B3332">
            <w:r w:rsidRPr="008A2A55">
              <w:t xml:space="preserve">Taxus </w:t>
            </w:r>
            <w:proofErr w:type="spellStart"/>
            <w:r w:rsidRPr="008A2A55">
              <w:t>baccata</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7CCC56F2" w14:textId="77777777" w:rsidR="002B3332" w:rsidRPr="002B3332" w:rsidRDefault="002B3332" w:rsidP="002B3332">
            <w:r w:rsidRPr="008A2A55">
              <w:t>1020</w:t>
            </w:r>
          </w:p>
        </w:tc>
        <w:tc>
          <w:tcPr>
            <w:tcW w:w="4110" w:type="dxa"/>
            <w:tcBorders>
              <w:top w:val="nil"/>
              <w:left w:val="nil"/>
              <w:bottom w:val="single" w:sz="4" w:space="0" w:color="auto"/>
              <w:right w:val="single" w:sz="4" w:space="0" w:color="auto"/>
            </w:tcBorders>
          </w:tcPr>
          <w:p w14:paraId="46308F9A" w14:textId="77777777" w:rsidR="002B3332" w:rsidRPr="008A2A55" w:rsidRDefault="002B3332" w:rsidP="002B3332"/>
        </w:tc>
      </w:tr>
      <w:tr w:rsidR="002B3332" w:rsidRPr="002E1403" w14:paraId="74C1352D"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75E2309E" w14:textId="77777777" w:rsidR="002B3332" w:rsidRPr="002B3332" w:rsidRDefault="002B3332" w:rsidP="002B3332">
            <w:r w:rsidRPr="008A2A55">
              <w:lastRenderedPageBreak/>
              <w:t>Malus sylvestris</w:t>
            </w:r>
          </w:p>
        </w:tc>
        <w:tc>
          <w:tcPr>
            <w:tcW w:w="1352" w:type="dxa"/>
            <w:tcBorders>
              <w:top w:val="nil"/>
              <w:left w:val="nil"/>
              <w:bottom w:val="single" w:sz="4" w:space="0" w:color="auto"/>
              <w:right w:val="single" w:sz="4" w:space="0" w:color="auto"/>
            </w:tcBorders>
            <w:shd w:val="clear" w:color="auto" w:fill="auto"/>
            <w:vAlign w:val="center"/>
            <w:hideMark/>
          </w:tcPr>
          <w:p w14:paraId="01700494" w14:textId="77777777" w:rsidR="002B3332" w:rsidRPr="002B3332" w:rsidRDefault="002B3332" w:rsidP="002B3332">
            <w:r w:rsidRPr="008A2A55">
              <w:t>90</w:t>
            </w:r>
          </w:p>
        </w:tc>
        <w:tc>
          <w:tcPr>
            <w:tcW w:w="4110" w:type="dxa"/>
            <w:tcBorders>
              <w:top w:val="nil"/>
              <w:left w:val="nil"/>
              <w:bottom w:val="single" w:sz="4" w:space="0" w:color="auto"/>
              <w:right w:val="single" w:sz="4" w:space="0" w:color="auto"/>
            </w:tcBorders>
          </w:tcPr>
          <w:p w14:paraId="416C59E3" w14:textId="77777777" w:rsidR="002B3332" w:rsidRPr="008A2A55" w:rsidRDefault="002B3332" w:rsidP="002B3332"/>
        </w:tc>
      </w:tr>
      <w:tr w:rsidR="002B3332" w:rsidRPr="002E1403" w14:paraId="2CC48AA1"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321F13D" w14:textId="77777777" w:rsidR="002B3332" w:rsidRPr="002B3332" w:rsidRDefault="002B3332" w:rsidP="002B3332">
            <w:r w:rsidRPr="008A2A55">
              <w:t>Prunus avium</w:t>
            </w:r>
          </w:p>
        </w:tc>
        <w:tc>
          <w:tcPr>
            <w:tcW w:w="1352" w:type="dxa"/>
            <w:tcBorders>
              <w:top w:val="nil"/>
              <w:left w:val="nil"/>
              <w:bottom w:val="single" w:sz="4" w:space="0" w:color="auto"/>
              <w:right w:val="single" w:sz="4" w:space="0" w:color="auto"/>
            </w:tcBorders>
            <w:shd w:val="clear" w:color="auto" w:fill="auto"/>
            <w:vAlign w:val="center"/>
            <w:hideMark/>
          </w:tcPr>
          <w:p w14:paraId="38308E99" w14:textId="77777777" w:rsidR="002B3332" w:rsidRPr="002B3332" w:rsidRDefault="002B3332" w:rsidP="002B3332">
            <w:r w:rsidRPr="008A2A55">
              <w:t>300</w:t>
            </w:r>
          </w:p>
        </w:tc>
        <w:tc>
          <w:tcPr>
            <w:tcW w:w="4110" w:type="dxa"/>
            <w:tcBorders>
              <w:top w:val="nil"/>
              <w:left w:val="nil"/>
              <w:bottom w:val="single" w:sz="4" w:space="0" w:color="auto"/>
              <w:right w:val="single" w:sz="4" w:space="0" w:color="auto"/>
            </w:tcBorders>
          </w:tcPr>
          <w:p w14:paraId="39DB4A77" w14:textId="77777777" w:rsidR="002B3332" w:rsidRPr="008A2A55" w:rsidRDefault="002B3332" w:rsidP="002B3332"/>
        </w:tc>
      </w:tr>
      <w:tr w:rsidR="002B3332" w:rsidRPr="002E1403" w14:paraId="6464A2A8"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0B06FC56" w14:textId="77777777" w:rsidR="002B3332" w:rsidRPr="002B3332" w:rsidRDefault="002B3332" w:rsidP="002B3332">
            <w:proofErr w:type="spellStart"/>
            <w:r w:rsidRPr="008A2A55">
              <w:t>Torminaria</w:t>
            </w:r>
            <w:proofErr w:type="spellEnd"/>
            <w:r w:rsidRPr="008A2A55">
              <w:t xml:space="preserve"> </w:t>
            </w:r>
            <w:proofErr w:type="spellStart"/>
            <w:r w:rsidRPr="008A2A55">
              <w:t>torminalis</w:t>
            </w:r>
            <w:proofErr w:type="spellEnd"/>
          </w:p>
        </w:tc>
        <w:tc>
          <w:tcPr>
            <w:tcW w:w="1352" w:type="dxa"/>
            <w:tcBorders>
              <w:top w:val="nil"/>
              <w:left w:val="nil"/>
              <w:bottom w:val="single" w:sz="4" w:space="0" w:color="auto"/>
              <w:right w:val="single" w:sz="4" w:space="0" w:color="auto"/>
            </w:tcBorders>
            <w:shd w:val="clear" w:color="auto" w:fill="auto"/>
            <w:vAlign w:val="center"/>
            <w:hideMark/>
          </w:tcPr>
          <w:p w14:paraId="260B2B69" w14:textId="77777777" w:rsidR="002B3332" w:rsidRPr="002B3332" w:rsidRDefault="002B3332" w:rsidP="002B3332">
            <w:r w:rsidRPr="008A2A55">
              <w:t>300</w:t>
            </w:r>
          </w:p>
        </w:tc>
        <w:tc>
          <w:tcPr>
            <w:tcW w:w="4110" w:type="dxa"/>
            <w:tcBorders>
              <w:top w:val="nil"/>
              <w:left w:val="nil"/>
              <w:bottom w:val="single" w:sz="4" w:space="0" w:color="auto"/>
              <w:right w:val="single" w:sz="4" w:space="0" w:color="auto"/>
            </w:tcBorders>
          </w:tcPr>
          <w:p w14:paraId="158D2F84" w14:textId="77777777" w:rsidR="002B3332" w:rsidRPr="008A2A55" w:rsidRDefault="002B3332" w:rsidP="002B3332"/>
        </w:tc>
      </w:tr>
      <w:tr w:rsidR="002B3332" w:rsidRPr="002E1403" w14:paraId="5E1DFE21"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03C100B8" w14:textId="77777777" w:rsidR="002B3332" w:rsidRPr="002B3332" w:rsidRDefault="002B3332" w:rsidP="002B3332">
            <w:r w:rsidRPr="008A2A55">
              <w:t>Sorbus aucuparia</w:t>
            </w:r>
          </w:p>
        </w:tc>
        <w:tc>
          <w:tcPr>
            <w:tcW w:w="1352" w:type="dxa"/>
            <w:tcBorders>
              <w:top w:val="nil"/>
              <w:left w:val="nil"/>
              <w:bottom w:val="single" w:sz="4" w:space="0" w:color="auto"/>
              <w:right w:val="single" w:sz="4" w:space="0" w:color="auto"/>
            </w:tcBorders>
            <w:shd w:val="clear" w:color="auto" w:fill="auto"/>
            <w:vAlign w:val="center"/>
            <w:hideMark/>
          </w:tcPr>
          <w:p w14:paraId="1E4545B9" w14:textId="77777777" w:rsidR="002B3332" w:rsidRPr="002B3332" w:rsidRDefault="002B3332" w:rsidP="002B3332">
            <w:r w:rsidRPr="008A2A55">
              <w:t>300</w:t>
            </w:r>
          </w:p>
        </w:tc>
        <w:tc>
          <w:tcPr>
            <w:tcW w:w="4110" w:type="dxa"/>
            <w:tcBorders>
              <w:top w:val="nil"/>
              <w:left w:val="nil"/>
              <w:bottom w:val="single" w:sz="4" w:space="0" w:color="auto"/>
              <w:right w:val="single" w:sz="4" w:space="0" w:color="auto"/>
            </w:tcBorders>
          </w:tcPr>
          <w:p w14:paraId="62908A7E" w14:textId="77777777" w:rsidR="002B3332" w:rsidRPr="008A2A55" w:rsidRDefault="002B3332" w:rsidP="002B3332"/>
        </w:tc>
      </w:tr>
      <w:tr w:rsidR="002B3332" w:rsidRPr="002E1403" w14:paraId="71AD8504"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3FAB2994" w14:textId="77777777" w:rsidR="002B3332" w:rsidRPr="002B3332" w:rsidRDefault="002B3332" w:rsidP="002B3332">
            <w:r w:rsidRPr="008A2A55">
              <w:t>Salix alba</w:t>
            </w:r>
          </w:p>
        </w:tc>
        <w:tc>
          <w:tcPr>
            <w:tcW w:w="1352" w:type="dxa"/>
            <w:vMerge w:val="restart"/>
            <w:tcBorders>
              <w:top w:val="nil"/>
              <w:left w:val="nil"/>
              <w:right w:val="single" w:sz="4" w:space="0" w:color="auto"/>
            </w:tcBorders>
            <w:shd w:val="clear" w:color="auto" w:fill="auto"/>
            <w:vAlign w:val="center"/>
            <w:hideMark/>
          </w:tcPr>
          <w:p w14:paraId="2466FAB1" w14:textId="77777777" w:rsidR="002B3332" w:rsidRPr="002B3332" w:rsidRDefault="002B3332" w:rsidP="002B3332">
            <w:r w:rsidRPr="008A2A55">
              <w:t>195</w:t>
            </w:r>
          </w:p>
        </w:tc>
        <w:tc>
          <w:tcPr>
            <w:tcW w:w="4110" w:type="dxa"/>
            <w:tcBorders>
              <w:top w:val="nil"/>
              <w:left w:val="nil"/>
              <w:right w:val="single" w:sz="4" w:space="0" w:color="auto"/>
            </w:tcBorders>
          </w:tcPr>
          <w:p w14:paraId="1DAC2FAB" w14:textId="77777777" w:rsidR="002B3332" w:rsidRPr="008A2A55" w:rsidRDefault="002B3332" w:rsidP="002B3332"/>
        </w:tc>
      </w:tr>
      <w:tr w:rsidR="002B3332" w:rsidRPr="002E1403" w14:paraId="2DE2306C"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28D4D8C0" w14:textId="77777777" w:rsidR="002B3332" w:rsidRPr="002B3332" w:rsidRDefault="002B3332" w:rsidP="002B3332">
            <w:r w:rsidRPr="008A2A55">
              <w:t xml:space="preserve">Salix </w:t>
            </w:r>
            <w:proofErr w:type="spellStart"/>
            <w:r w:rsidRPr="008A2A55">
              <w:t>caprea</w:t>
            </w:r>
            <w:proofErr w:type="spellEnd"/>
          </w:p>
        </w:tc>
        <w:tc>
          <w:tcPr>
            <w:tcW w:w="1352" w:type="dxa"/>
            <w:vMerge/>
            <w:tcBorders>
              <w:left w:val="nil"/>
              <w:right w:val="single" w:sz="4" w:space="0" w:color="auto"/>
            </w:tcBorders>
            <w:shd w:val="clear" w:color="auto" w:fill="auto"/>
            <w:vAlign w:val="center"/>
            <w:hideMark/>
          </w:tcPr>
          <w:p w14:paraId="088BFF9E" w14:textId="77777777" w:rsidR="002B3332" w:rsidRPr="008A2A55" w:rsidRDefault="002B3332" w:rsidP="002B3332"/>
        </w:tc>
        <w:tc>
          <w:tcPr>
            <w:tcW w:w="4110" w:type="dxa"/>
            <w:tcBorders>
              <w:left w:val="nil"/>
              <w:right w:val="single" w:sz="4" w:space="0" w:color="auto"/>
            </w:tcBorders>
          </w:tcPr>
          <w:p w14:paraId="7DD9F6E8" w14:textId="77777777" w:rsidR="002B3332" w:rsidRPr="002B3332" w:rsidRDefault="002B3332" w:rsidP="002B3332">
            <w:r w:rsidRPr="008A2A55">
              <w:t>Equal mix of available Salix species listed</w:t>
            </w:r>
          </w:p>
        </w:tc>
      </w:tr>
      <w:tr w:rsidR="002B3332" w:rsidRPr="002E1403" w14:paraId="137B24C5"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596868BD" w14:textId="77777777" w:rsidR="002B3332" w:rsidRPr="002B3332" w:rsidRDefault="002B3332" w:rsidP="002B3332">
            <w:r w:rsidRPr="008A2A55">
              <w:t>Salix fragilis</w:t>
            </w:r>
          </w:p>
        </w:tc>
        <w:tc>
          <w:tcPr>
            <w:tcW w:w="1352" w:type="dxa"/>
            <w:vMerge/>
            <w:tcBorders>
              <w:left w:val="nil"/>
              <w:right w:val="single" w:sz="4" w:space="0" w:color="auto"/>
            </w:tcBorders>
            <w:shd w:val="clear" w:color="auto" w:fill="auto"/>
            <w:vAlign w:val="center"/>
            <w:hideMark/>
          </w:tcPr>
          <w:p w14:paraId="1586FBC5" w14:textId="77777777" w:rsidR="002B3332" w:rsidRPr="008A2A55" w:rsidRDefault="002B3332" w:rsidP="002B3332"/>
        </w:tc>
        <w:tc>
          <w:tcPr>
            <w:tcW w:w="4110" w:type="dxa"/>
            <w:tcBorders>
              <w:left w:val="nil"/>
              <w:right w:val="single" w:sz="4" w:space="0" w:color="auto"/>
            </w:tcBorders>
          </w:tcPr>
          <w:p w14:paraId="767577A0" w14:textId="77777777" w:rsidR="002B3332" w:rsidRPr="008A2A55" w:rsidRDefault="002B3332" w:rsidP="002B3332"/>
        </w:tc>
      </w:tr>
      <w:tr w:rsidR="002B3332" w:rsidRPr="002E1403" w14:paraId="1CA417E1"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763E65EA" w14:textId="77777777" w:rsidR="002B3332" w:rsidRPr="002B3332" w:rsidRDefault="002B3332" w:rsidP="002B3332">
            <w:r w:rsidRPr="008A2A55">
              <w:t>Salix cinerea sp.</w:t>
            </w:r>
          </w:p>
        </w:tc>
        <w:tc>
          <w:tcPr>
            <w:tcW w:w="1352" w:type="dxa"/>
            <w:vMerge/>
            <w:tcBorders>
              <w:left w:val="nil"/>
              <w:right w:val="single" w:sz="4" w:space="0" w:color="auto"/>
            </w:tcBorders>
            <w:shd w:val="clear" w:color="auto" w:fill="auto"/>
            <w:vAlign w:val="center"/>
            <w:hideMark/>
          </w:tcPr>
          <w:p w14:paraId="52D8C5BB" w14:textId="77777777" w:rsidR="002B3332" w:rsidRPr="008A2A55" w:rsidRDefault="002B3332" w:rsidP="002B3332"/>
        </w:tc>
        <w:tc>
          <w:tcPr>
            <w:tcW w:w="4110" w:type="dxa"/>
            <w:tcBorders>
              <w:left w:val="nil"/>
              <w:right w:val="single" w:sz="4" w:space="0" w:color="auto"/>
            </w:tcBorders>
          </w:tcPr>
          <w:p w14:paraId="61267D5C" w14:textId="77777777" w:rsidR="002B3332" w:rsidRPr="008A2A55" w:rsidRDefault="002B3332" w:rsidP="002B3332"/>
        </w:tc>
      </w:tr>
      <w:tr w:rsidR="002B3332" w:rsidRPr="002E1403" w14:paraId="7873AC97"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5E34C3F7" w14:textId="77777777" w:rsidR="002B3332" w:rsidRPr="002B3332" w:rsidRDefault="002B3332" w:rsidP="002B3332">
            <w:r w:rsidRPr="008A2A55">
              <w:t xml:space="preserve">Salix </w:t>
            </w:r>
            <w:proofErr w:type="spellStart"/>
            <w:r w:rsidRPr="008A2A55">
              <w:t>pentandra</w:t>
            </w:r>
            <w:proofErr w:type="spellEnd"/>
          </w:p>
        </w:tc>
        <w:tc>
          <w:tcPr>
            <w:tcW w:w="1352" w:type="dxa"/>
            <w:vMerge/>
            <w:tcBorders>
              <w:left w:val="nil"/>
              <w:bottom w:val="single" w:sz="4" w:space="0" w:color="auto"/>
              <w:right w:val="single" w:sz="4" w:space="0" w:color="auto"/>
            </w:tcBorders>
            <w:shd w:val="clear" w:color="auto" w:fill="auto"/>
            <w:vAlign w:val="center"/>
            <w:hideMark/>
          </w:tcPr>
          <w:p w14:paraId="294EC189" w14:textId="77777777" w:rsidR="002B3332" w:rsidRPr="008A2A55" w:rsidRDefault="002B3332" w:rsidP="002B3332"/>
        </w:tc>
        <w:tc>
          <w:tcPr>
            <w:tcW w:w="4110" w:type="dxa"/>
            <w:tcBorders>
              <w:left w:val="nil"/>
              <w:bottom w:val="single" w:sz="4" w:space="0" w:color="auto"/>
              <w:right w:val="single" w:sz="4" w:space="0" w:color="auto"/>
            </w:tcBorders>
          </w:tcPr>
          <w:p w14:paraId="4D636056" w14:textId="77777777" w:rsidR="002B3332" w:rsidRPr="008A2A55" w:rsidRDefault="002B3332" w:rsidP="002B3332"/>
        </w:tc>
      </w:tr>
      <w:tr w:rsidR="002B3332" w:rsidRPr="002E1403" w14:paraId="6A5F8F1D" w14:textId="77777777" w:rsidTr="007520E2">
        <w:trPr>
          <w:trHeight w:val="263"/>
        </w:trPr>
        <w:tc>
          <w:tcPr>
            <w:tcW w:w="4167" w:type="dxa"/>
            <w:tcBorders>
              <w:top w:val="nil"/>
              <w:left w:val="single" w:sz="8" w:space="0" w:color="auto"/>
              <w:bottom w:val="single" w:sz="4" w:space="0" w:color="auto"/>
              <w:right w:val="single" w:sz="4" w:space="0" w:color="auto"/>
            </w:tcBorders>
            <w:shd w:val="clear" w:color="auto" w:fill="auto"/>
            <w:vAlign w:val="center"/>
            <w:hideMark/>
          </w:tcPr>
          <w:p w14:paraId="08B10589" w14:textId="77777777" w:rsidR="002B3332" w:rsidRPr="002B3332" w:rsidRDefault="002B3332" w:rsidP="002B3332">
            <w:r w:rsidRPr="008A2A55">
              <w:t>TOTAL</w:t>
            </w:r>
          </w:p>
        </w:tc>
        <w:tc>
          <w:tcPr>
            <w:tcW w:w="1352" w:type="dxa"/>
            <w:tcBorders>
              <w:top w:val="nil"/>
              <w:left w:val="nil"/>
              <w:bottom w:val="single" w:sz="4" w:space="0" w:color="auto"/>
              <w:right w:val="single" w:sz="4" w:space="0" w:color="auto"/>
            </w:tcBorders>
            <w:shd w:val="clear" w:color="auto" w:fill="auto"/>
            <w:vAlign w:val="center"/>
            <w:hideMark/>
          </w:tcPr>
          <w:p w14:paraId="0A2E02CF" w14:textId="77777777" w:rsidR="002B3332" w:rsidRPr="002B3332" w:rsidRDefault="002B3332" w:rsidP="002B3332">
            <w:r w:rsidRPr="008A2A55">
              <w:t>15,355</w:t>
            </w:r>
          </w:p>
        </w:tc>
        <w:tc>
          <w:tcPr>
            <w:tcW w:w="4110" w:type="dxa"/>
            <w:tcBorders>
              <w:top w:val="nil"/>
              <w:left w:val="nil"/>
              <w:bottom w:val="single" w:sz="4" w:space="0" w:color="auto"/>
              <w:right w:val="single" w:sz="4" w:space="0" w:color="auto"/>
            </w:tcBorders>
          </w:tcPr>
          <w:p w14:paraId="222E6EDB" w14:textId="77777777" w:rsidR="002B3332" w:rsidRPr="008A2A55" w:rsidRDefault="002B3332" w:rsidP="002B3332"/>
        </w:tc>
      </w:tr>
    </w:tbl>
    <w:p w14:paraId="6F023748" w14:textId="77777777" w:rsidR="002B3332" w:rsidRPr="008A2A55" w:rsidRDefault="002B3332" w:rsidP="002B3332"/>
    <w:p w14:paraId="430FA6A3" w14:textId="77777777" w:rsidR="002B3332" w:rsidRPr="008A2A55" w:rsidRDefault="002B3332" w:rsidP="002B3332">
      <w:r w:rsidRPr="008A2A55">
        <w:t>Trees will also match the following criteria:</w:t>
      </w:r>
    </w:p>
    <w:p w14:paraId="4A78A131" w14:textId="77777777" w:rsidR="002B3332" w:rsidRPr="008A2A55" w:rsidRDefault="002B3332" w:rsidP="002B3332">
      <w:pPr>
        <w:pStyle w:val="ListParagraph"/>
      </w:pPr>
      <w:r w:rsidRPr="008A2A55">
        <w:t xml:space="preserve">Cell grown </w:t>
      </w:r>
    </w:p>
    <w:p w14:paraId="10CCB6CF" w14:textId="77777777" w:rsidR="002B3332" w:rsidRPr="008A2A55" w:rsidRDefault="002B3332" w:rsidP="002B3332">
      <w:pPr>
        <w:pStyle w:val="ListParagraph"/>
      </w:pPr>
      <w:r w:rsidRPr="008A2A55">
        <w:t>Between 10-50cm in height</w:t>
      </w:r>
    </w:p>
    <w:p w14:paraId="188DED28" w14:textId="77777777" w:rsidR="002B3332" w:rsidRPr="008A2A55" w:rsidRDefault="002B3332" w:rsidP="002B3332">
      <w:pPr>
        <w:pStyle w:val="ListParagraph"/>
      </w:pPr>
      <w:r w:rsidRPr="008A2A55">
        <w:t>UK and Ireland Sourced and Grown (UKISG)</w:t>
      </w:r>
    </w:p>
    <w:p w14:paraId="17CFD5B9" w14:textId="77777777" w:rsidR="002B3332" w:rsidRPr="008A2A55" w:rsidRDefault="002B3332" w:rsidP="002B3332">
      <w:pPr>
        <w:pStyle w:val="ListParagraph"/>
      </w:pPr>
      <w:r w:rsidRPr="008A2A55">
        <w:t>Seed provenance zone identified and provided alongside quotation</w:t>
      </w:r>
    </w:p>
    <w:p w14:paraId="58E85C59" w14:textId="32AFDF31" w:rsidR="009F2992" w:rsidRPr="001F5026" w:rsidRDefault="009F2992" w:rsidP="009F2992">
      <w:pPr>
        <w:pStyle w:val="Subheading"/>
      </w:pPr>
      <w:r w:rsidRPr="001F5026">
        <w:t>Payment</w:t>
      </w:r>
    </w:p>
    <w:p w14:paraId="652BB1C0" w14:textId="127B6DC1" w:rsidR="009F2992" w:rsidRPr="001F5026" w:rsidRDefault="009F2992" w:rsidP="009F2992">
      <w:r w:rsidRPr="001F5026">
        <w:t>The Authority will raise purchase order</w:t>
      </w:r>
      <w:r w:rsidR="008959B0">
        <w:t>s</w:t>
      </w:r>
      <w:r w:rsidRPr="001F5026">
        <w:t xml:space="preserve"> to cover the cost of the services and will issue to the awarded supplier following contract award. </w:t>
      </w:r>
    </w:p>
    <w:p w14:paraId="584EF069" w14:textId="0EC30878" w:rsidR="009F2992" w:rsidRPr="00AD0B2A" w:rsidRDefault="009F2992" w:rsidP="009F2992">
      <w:pPr>
        <w:rPr>
          <w:rStyle w:val="Important"/>
        </w:rPr>
      </w:pPr>
      <w:r w:rsidRPr="001F5026">
        <w:t>The Authority’s preference is for all invoices to be sent electronically, quoting a valid Purchase Order number</w:t>
      </w:r>
      <w:r w:rsidR="002B3332">
        <w:t xml:space="preserve"> &amp; the Life in the Ravines project code LIFE19/NAT/UK/000147</w:t>
      </w:r>
      <w:r w:rsidRPr="001F5026">
        <w:t xml:space="preserve">. </w:t>
      </w:r>
      <w:r w:rsidR="002B3332">
        <w:t xml:space="preserve">Invoices to be received </w:t>
      </w:r>
      <w:r w:rsidR="008959B0">
        <w:t xml:space="preserve">and paid </w:t>
      </w:r>
      <w:r w:rsidR="002B3332">
        <w:t>following a delivery of stock.</w:t>
      </w:r>
      <w:r w:rsidRPr="001F5026">
        <w:t xml:space="preserve"> </w:t>
      </w:r>
    </w:p>
    <w:p w14:paraId="6769C7EE" w14:textId="22339263" w:rsidR="009F2992" w:rsidRPr="001F5026" w:rsidRDefault="009F2992" w:rsidP="009F2992">
      <w:r w:rsidRPr="001F5026">
        <w:t>It is anticipated that this contract will be awarded for a period</w:t>
      </w:r>
      <w:r w:rsidRPr="0013471E">
        <w:rPr>
          <w:rStyle w:val="Text"/>
        </w:rPr>
        <w:t xml:space="preserve"> of</w:t>
      </w:r>
      <w:r w:rsidR="002B3332">
        <w:rPr>
          <w:rStyle w:val="Text"/>
        </w:rPr>
        <w:t xml:space="preserve"> 09 months</w:t>
      </w:r>
      <w:r w:rsidR="0009219B">
        <w:rPr>
          <w:rStyle w:val="Text"/>
        </w:rPr>
        <w:t xml:space="preserve">, </w:t>
      </w:r>
      <w:r w:rsidRPr="001F5026">
        <w:t>to end no later than</w:t>
      </w:r>
      <w:r w:rsidR="002B3332">
        <w:t xml:space="preserve"> </w:t>
      </w:r>
      <w:r w:rsidR="0009219B">
        <w:t>31 March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66F7E641" w:rsidR="009F2992" w:rsidRDefault="009F2992" w:rsidP="009F2992">
      <w:pPr>
        <w:pStyle w:val="Subheading"/>
      </w:pPr>
      <w:r w:rsidRPr="001F5026">
        <w:t xml:space="preserve">Evaluation Methodology  </w:t>
      </w:r>
    </w:p>
    <w:p w14:paraId="12C05FDC" w14:textId="3C6CDE28" w:rsidR="00143EC4" w:rsidRDefault="00143EC4" w:rsidP="00143EC4">
      <w:r w:rsidRPr="00143EC4">
        <w:lastRenderedPageBreak/>
        <w:t xml:space="preserve">We will </w:t>
      </w:r>
      <w:r>
        <w:t>evaluate</w:t>
      </w:r>
      <w:r w:rsidRPr="00143EC4">
        <w:t xml:space="preserve"> this contract in line with the most economically advantageous tender (MEAT) as set out in the following award criteria:</w:t>
      </w:r>
    </w:p>
    <w:p w14:paraId="614B9BD9" w14:textId="6B28A946" w:rsidR="00143EC4" w:rsidRPr="00143EC4" w:rsidRDefault="00143EC4" w:rsidP="00143EC4">
      <w:r>
        <w:t>Technical (q</w:t>
      </w:r>
      <w:r w:rsidRPr="00143EC4">
        <w:t>uality</w:t>
      </w:r>
      <w:r>
        <w:t>)</w:t>
      </w:r>
      <w:r w:rsidRPr="00143EC4">
        <w:t xml:space="preserve"> – </w:t>
      </w:r>
      <w:r w:rsidR="005D6AEB">
        <w:t>6</w:t>
      </w:r>
      <w:r w:rsidRPr="00143EC4">
        <w:t>0%</w:t>
      </w:r>
      <w:r w:rsidRPr="00143EC4">
        <w:br/>
      </w:r>
      <w:r>
        <w:t>Commercial (p</w:t>
      </w:r>
      <w:r w:rsidRPr="00143EC4">
        <w:t>rice</w:t>
      </w:r>
      <w:r>
        <w:t>)</w:t>
      </w:r>
      <w:r w:rsidRPr="00143EC4">
        <w:t xml:space="preserve"> – </w:t>
      </w:r>
      <w:r w:rsidR="005D6AEB">
        <w:t>4</w:t>
      </w:r>
      <w:r w:rsidRPr="00143EC4">
        <w:t>0%</w:t>
      </w:r>
    </w:p>
    <w:p w14:paraId="27AD1BCD" w14:textId="77777777" w:rsidR="009F2992" w:rsidRPr="006652AD" w:rsidRDefault="009F2992" w:rsidP="006652AD">
      <w:r w:rsidRPr="006652AD">
        <w:t>Evaluation criteria</w:t>
      </w:r>
    </w:p>
    <w:p w14:paraId="37104AD6" w14:textId="5DCAE761" w:rsidR="009F2992" w:rsidRDefault="009F2992" w:rsidP="009F2992">
      <w:r w:rsidRPr="001F5026">
        <w:t xml:space="preserve">Evaluation weightings are </w:t>
      </w:r>
      <w:r w:rsidR="005D6AEB">
        <w:t>60</w:t>
      </w:r>
      <w:r w:rsidRPr="001F5026">
        <w:t xml:space="preserve">% technical and </w:t>
      </w:r>
      <w:r w:rsidR="005D6AEB">
        <w:t>40</w:t>
      </w:r>
      <w:r w:rsidRPr="001F5026">
        <w:t>% commercial, the winning tenderer will be the highest scoring combined score.</w:t>
      </w:r>
    </w:p>
    <w:p w14:paraId="19B4ED7D" w14:textId="5486781A" w:rsidR="009F2992" w:rsidRPr="00415608" w:rsidRDefault="006652AD" w:rsidP="009F2992">
      <w:pPr>
        <w:rPr>
          <w:rStyle w:val="Important"/>
        </w:rPr>
      </w:pPr>
      <w:r w:rsidRPr="00143EC4">
        <w:t>The following quality criteria are weighted in accordance with the importance and relevance attached to each one.</w:t>
      </w:r>
    </w:p>
    <w:tbl>
      <w:tblPr>
        <w:tblStyle w:val="Table"/>
        <w:tblW w:w="10324" w:type="dxa"/>
        <w:tblLook w:val="04A0" w:firstRow="1" w:lastRow="0" w:firstColumn="1" w:lastColumn="0" w:noHBand="0" w:noVBand="1"/>
      </w:tblPr>
      <w:tblGrid>
        <w:gridCol w:w="1735"/>
        <w:gridCol w:w="1576"/>
        <w:gridCol w:w="2871"/>
        <w:gridCol w:w="1739"/>
        <w:gridCol w:w="2403"/>
      </w:tblGrid>
      <w:tr w:rsidR="008959B0"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423CF4" w14:paraId="28FFE5F7" w14:textId="77777777" w:rsidTr="005861E8">
        <w:trPr>
          <w:trHeight w:val="1736"/>
        </w:trPr>
        <w:tc>
          <w:tcPr>
            <w:tcW w:w="1838" w:type="dxa"/>
            <w:vMerge w:val="restart"/>
          </w:tcPr>
          <w:p w14:paraId="2E0B03F4" w14:textId="4572BAF3" w:rsidR="009F2992" w:rsidRPr="009F2992" w:rsidRDefault="008959B0" w:rsidP="009F2992">
            <w:pPr>
              <w:rPr>
                <w:rStyle w:val="Important"/>
              </w:rPr>
            </w:pPr>
            <w:r>
              <w:t>Technical</w:t>
            </w:r>
          </w:p>
        </w:tc>
        <w:tc>
          <w:tcPr>
            <w:tcW w:w="1701" w:type="dxa"/>
            <w:vMerge w:val="restart"/>
          </w:tcPr>
          <w:p w14:paraId="77A370C4" w14:textId="50D09171" w:rsidR="009F2992" w:rsidRPr="009F2992" w:rsidRDefault="008959B0" w:rsidP="009F2992">
            <w:pPr>
              <w:rPr>
                <w:rStyle w:val="Important"/>
              </w:rPr>
            </w:pPr>
            <w:r>
              <w:t>60%</w:t>
            </w:r>
          </w:p>
        </w:tc>
        <w:tc>
          <w:tcPr>
            <w:tcW w:w="2126" w:type="dxa"/>
            <w:vMerge w:val="restart"/>
          </w:tcPr>
          <w:p w14:paraId="542A1A32" w14:textId="746B6D5C" w:rsidR="009F2992" w:rsidRPr="009F2992" w:rsidRDefault="008959B0" w:rsidP="009F2992">
            <w:pPr>
              <w:rPr>
                <w:rStyle w:val="Important"/>
              </w:rPr>
            </w:pPr>
            <w:r>
              <w:t>Service/</w:t>
            </w:r>
            <w:r w:rsidR="00423CF4">
              <w:t>p</w:t>
            </w:r>
            <w:r>
              <w:t>roduct/proposal</w:t>
            </w:r>
          </w:p>
        </w:tc>
        <w:tc>
          <w:tcPr>
            <w:tcW w:w="1843" w:type="dxa"/>
          </w:tcPr>
          <w:p w14:paraId="6E3BC7E7" w14:textId="3CC5363E" w:rsidR="009F2992" w:rsidRPr="009F2992" w:rsidRDefault="005D6AEB" w:rsidP="009F2992">
            <w:pPr>
              <w:rPr>
                <w:rStyle w:val="Important"/>
              </w:rPr>
            </w:pPr>
            <w:r w:rsidRPr="00143EC4">
              <w:t>Tree stock is UK and Ireland sourced and grown</w:t>
            </w:r>
            <w:r w:rsidR="00D77743">
              <w:t xml:space="preserve"> </w:t>
            </w:r>
          </w:p>
        </w:tc>
        <w:tc>
          <w:tcPr>
            <w:tcW w:w="2816" w:type="dxa"/>
          </w:tcPr>
          <w:p w14:paraId="371745DA" w14:textId="77777777" w:rsidR="008959B0" w:rsidRDefault="008959B0" w:rsidP="009F2992">
            <w:r>
              <w:t xml:space="preserve">3 Questions </w:t>
            </w:r>
          </w:p>
          <w:p w14:paraId="0670DDA9" w14:textId="089AD62E" w:rsidR="009F2992" w:rsidRPr="009F2992" w:rsidRDefault="008959B0" w:rsidP="009F2992">
            <w:pPr>
              <w:rPr>
                <w:rStyle w:val="Important"/>
              </w:rPr>
            </w:pPr>
            <w:r>
              <w:t>Q1.1 (30% of technical score available)</w:t>
            </w:r>
            <w:r w:rsidR="009F2992" w:rsidRPr="00415608">
              <w:rPr>
                <w:rStyle w:val="Important"/>
              </w:rPr>
              <w:t xml:space="preserve"> </w:t>
            </w:r>
          </w:p>
          <w:p w14:paraId="61A8EFAF" w14:textId="4560730C" w:rsidR="009F2992" w:rsidRPr="009F2992" w:rsidRDefault="009F2992" w:rsidP="008959B0">
            <w:pPr>
              <w:rPr>
                <w:rStyle w:val="Important"/>
              </w:rPr>
            </w:pPr>
          </w:p>
        </w:tc>
      </w:tr>
      <w:tr w:rsidR="00423CF4"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5F93A2FF" w:rsidR="009F2992" w:rsidRPr="009F2992" w:rsidRDefault="005D6AEB" w:rsidP="009F2992">
            <w:pPr>
              <w:rPr>
                <w:rStyle w:val="Important"/>
              </w:rPr>
            </w:pPr>
            <w:r w:rsidRPr="00143EC4">
              <w:t>Quantity available</w:t>
            </w:r>
          </w:p>
        </w:tc>
        <w:tc>
          <w:tcPr>
            <w:tcW w:w="2816" w:type="dxa"/>
          </w:tcPr>
          <w:p w14:paraId="1F8B1E56" w14:textId="74FAF4AA" w:rsidR="008959B0" w:rsidRPr="008959B0" w:rsidRDefault="008959B0" w:rsidP="008959B0">
            <w:pPr>
              <w:rPr>
                <w:rStyle w:val="Important"/>
              </w:rPr>
            </w:pPr>
            <w:r>
              <w:t>Q1.2 (15% of technical score available)</w:t>
            </w:r>
            <w:r w:rsidRPr="008959B0">
              <w:rPr>
                <w:rStyle w:val="Important"/>
              </w:rPr>
              <w:t xml:space="preserve"> </w:t>
            </w:r>
          </w:p>
          <w:p w14:paraId="65E877DF" w14:textId="5A891F75" w:rsidR="009F2992" w:rsidRPr="009F2992" w:rsidRDefault="009F2992" w:rsidP="009F2992">
            <w:pPr>
              <w:rPr>
                <w:rStyle w:val="Important"/>
              </w:rPr>
            </w:pPr>
          </w:p>
        </w:tc>
      </w:tr>
      <w:tr w:rsidR="00423CF4"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59A7880D" w:rsidR="009F2992" w:rsidRPr="009F2992" w:rsidRDefault="005D6AEB" w:rsidP="009F2992">
            <w:pPr>
              <w:rPr>
                <w:rStyle w:val="Important"/>
              </w:rPr>
            </w:pPr>
            <w:r w:rsidRPr="00143EC4">
              <w:t>Tree species available</w:t>
            </w:r>
          </w:p>
        </w:tc>
        <w:tc>
          <w:tcPr>
            <w:tcW w:w="2816" w:type="dxa"/>
          </w:tcPr>
          <w:p w14:paraId="2441AF5A" w14:textId="62224B1D" w:rsidR="008959B0" w:rsidRPr="008959B0" w:rsidRDefault="008959B0" w:rsidP="008959B0">
            <w:pPr>
              <w:rPr>
                <w:rStyle w:val="Important"/>
              </w:rPr>
            </w:pPr>
            <w:r>
              <w:t>Q1.3</w:t>
            </w:r>
            <w:r w:rsidRPr="008959B0">
              <w:t xml:space="preserve"> (15% of technical score available)</w:t>
            </w:r>
            <w:r w:rsidRPr="008959B0">
              <w:rPr>
                <w:rStyle w:val="Important"/>
              </w:rPr>
              <w:t xml:space="preserve"> </w:t>
            </w:r>
          </w:p>
          <w:p w14:paraId="7165CF4F" w14:textId="6CA8D6B4" w:rsidR="009F2992" w:rsidRPr="009F2992" w:rsidRDefault="009F2992" w:rsidP="005D6AEB">
            <w:pPr>
              <w:rPr>
                <w:rStyle w:val="Important"/>
              </w:rPr>
            </w:pPr>
          </w:p>
        </w:tc>
      </w:tr>
      <w:tr w:rsidR="00423CF4" w14:paraId="0EBAB2D1" w14:textId="77777777" w:rsidTr="005861E8">
        <w:trPr>
          <w:trHeight w:val="1383"/>
        </w:trPr>
        <w:tc>
          <w:tcPr>
            <w:tcW w:w="1838" w:type="dxa"/>
          </w:tcPr>
          <w:p w14:paraId="36CCB7AC" w14:textId="31D6C6CD" w:rsidR="009F2992" w:rsidRPr="009F2992" w:rsidRDefault="008959B0" w:rsidP="009F2992">
            <w:pPr>
              <w:rPr>
                <w:rStyle w:val="Important"/>
              </w:rPr>
            </w:pPr>
            <w:r>
              <w:t>Commercial</w:t>
            </w:r>
          </w:p>
        </w:tc>
        <w:tc>
          <w:tcPr>
            <w:tcW w:w="1701" w:type="dxa"/>
          </w:tcPr>
          <w:p w14:paraId="66AF0285" w14:textId="2B16D6BF" w:rsidR="009F2992" w:rsidRPr="009F2992" w:rsidRDefault="008959B0" w:rsidP="009F2992">
            <w:pPr>
              <w:rPr>
                <w:rStyle w:val="Important"/>
              </w:rPr>
            </w:pPr>
            <w:r>
              <w:t>40%</w:t>
            </w:r>
          </w:p>
        </w:tc>
        <w:tc>
          <w:tcPr>
            <w:tcW w:w="2126" w:type="dxa"/>
          </w:tcPr>
          <w:p w14:paraId="63009BA1" w14:textId="4072F415" w:rsidR="009F2992" w:rsidRPr="009F2992" w:rsidRDefault="008959B0" w:rsidP="009F2992">
            <w:pPr>
              <w:rPr>
                <w:rStyle w:val="Important"/>
              </w:rPr>
            </w:pPr>
            <w:r>
              <w:t>% Price including meeting delivery timeframe</w:t>
            </w:r>
          </w:p>
        </w:tc>
        <w:tc>
          <w:tcPr>
            <w:tcW w:w="1843" w:type="dxa"/>
          </w:tcPr>
          <w:p w14:paraId="295F5E3C" w14:textId="75B0DDC2" w:rsidR="009F2992" w:rsidRPr="009F2992" w:rsidRDefault="008959B0" w:rsidP="009F2992">
            <w:pPr>
              <w:rPr>
                <w:rStyle w:val="Important"/>
              </w:rPr>
            </w:pPr>
            <w:r>
              <w:t>Commercial model</w:t>
            </w:r>
          </w:p>
        </w:tc>
        <w:tc>
          <w:tcPr>
            <w:tcW w:w="2816" w:type="dxa"/>
          </w:tcPr>
          <w:p w14:paraId="592FD219" w14:textId="584F6B3D" w:rsidR="008959B0" w:rsidRPr="008959B0" w:rsidRDefault="008959B0" w:rsidP="008959B0">
            <w:pPr>
              <w:rPr>
                <w:rStyle w:val="Important"/>
                <w:rFonts w:cstheme="minorBidi"/>
                <w:b w:val="0"/>
                <w:color w:val="000000" w:themeColor="text1"/>
              </w:rPr>
            </w:pPr>
            <w:r>
              <w:t xml:space="preserve">Q2.1 </w:t>
            </w:r>
            <w:r w:rsidRPr="008959B0">
              <w:t>(</w:t>
            </w:r>
            <w:r>
              <w:t xml:space="preserve">40% of commercial score available) </w:t>
            </w:r>
          </w:p>
          <w:p w14:paraId="33318B53" w14:textId="0A61AE28" w:rsidR="009F2992" w:rsidRPr="009F2992" w:rsidRDefault="009F2992" w:rsidP="009F2992">
            <w:pPr>
              <w:rPr>
                <w:rStyle w:val="Important"/>
              </w:rPr>
            </w:pPr>
          </w:p>
        </w:tc>
      </w:tr>
    </w:tbl>
    <w:p w14:paraId="2B6AB03A" w14:textId="77777777" w:rsidR="009F2992" w:rsidRDefault="009F2992" w:rsidP="009F2992"/>
    <w:p w14:paraId="36F772AB" w14:textId="253E1323" w:rsidR="009F2992" w:rsidRPr="00A57295" w:rsidRDefault="009F2992" w:rsidP="009F2992">
      <w:pPr>
        <w:pStyle w:val="Subheading"/>
        <w:rPr>
          <w:rStyle w:val="Important"/>
        </w:rPr>
      </w:pPr>
      <w:r w:rsidRPr="00415608">
        <w:t>Technical</w:t>
      </w:r>
      <w:r w:rsidR="008959B0">
        <w:t xml:space="preserve"> (60%</w:t>
      </w:r>
      <w:r w:rsidRPr="00415608">
        <w:t>)</w:t>
      </w:r>
      <w:r>
        <w:t xml:space="preserve"> </w:t>
      </w:r>
    </w:p>
    <w:p w14:paraId="4DF6DC8B" w14:textId="0AA8B30A"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rsidRPr="00D77743"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507E03F" w:rsidR="009F2992" w:rsidRPr="00D77743" w:rsidRDefault="00D77743" w:rsidP="00D77743">
            <w:r w:rsidRPr="00D77743">
              <w:t>Service/product/proposal</w:t>
            </w:r>
          </w:p>
        </w:tc>
        <w:tc>
          <w:tcPr>
            <w:tcW w:w="4319" w:type="dxa"/>
          </w:tcPr>
          <w:p w14:paraId="47E8F4BE" w14:textId="77777777" w:rsidR="009F2992" w:rsidRPr="00D77743" w:rsidRDefault="009F2992" w:rsidP="00D77743">
            <w:r w:rsidRPr="00D77743">
              <w:t>Detailed Evaluation Criteria</w:t>
            </w:r>
          </w:p>
        </w:tc>
      </w:tr>
      <w:tr w:rsidR="009F2992" w:rsidRPr="00D77743" w14:paraId="2864F451" w14:textId="77777777" w:rsidTr="005861E8">
        <w:tc>
          <w:tcPr>
            <w:tcW w:w="4318" w:type="dxa"/>
          </w:tcPr>
          <w:p w14:paraId="1A3464C7" w14:textId="636162B2" w:rsidR="009F2992" w:rsidRPr="00D77743" w:rsidRDefault="009F2992" w:rsidP="00D77743">
            <w:r w:rsidRPr="00D77743">
              <w:t>Q1.1</w:t>
            </w:r>
            <w:r w:rsidR="00D77743" w:rsidRPr="00D77743">
              <w:t xml:space="preserve"> Tree stock is UK and Ireland sourced and grown</w:t>
            </w:r>
          </w:p>
        </w:tc>
        <w:tc>
          <w:tcPr>
            <w:tcW w:w="4319" w:type="dxa"/>
          </w:tcPr>
          <w:p w14:paraId="2401D6AE" w14:textId="77777777" w:rsidR="00D77743" w:rsidRPr="00D77743" w:rsidRDefault="00D77743" w:rsidP="00D77743">
            <w:r w:rsidRPr="00D77743">
              <w:t xml:space="preserve">Evidence of seed provenance provided </w:t>
            </w:r>
          </w:p>
          <w:p w14:paraId="670AE7A1" w14:textId="75958B94" w:rsidR="009F2992" w:rsidRPr="00D77743" w:rsidRDefault="00D77743" w:rsidP="00D77743">
            <w:r w:rsidRPr="00D77743">
              <w:t>Supplier has UKISG status</w:t>
            </w:r>
          </w:p>
        </w:tc>
      </w:tr>
      <w:tr w:rsidR="009F2992" w:rsidRPr="00D77743" w14:paraId="7B29FECA" w14:textId="77777777" w:rsidTr="005861E8">
        <w:tc>
          <w:tcPr>
            <w:tcW w:w="4318" w:type="dxa"/>
          </w:tcPr>
          <w:p w14:paraId="43FD7F53" w14:textId="7422AC1D" w:rsidR="009F2992" w:rsidRPr="00D77743" w:rsidRDefault="009F2992" w:rsidP="00D77743">
            <w:r w:rsidRPr="00D77743">
              <w:t>Q1.2</w:t>
            </w:r>
            <w:r w:rsidR="00D77743" w:rsidRPr="00D77743">
              <w:t xml:space="preserve"> Quantity available</w:t>
            </w:r>
          </w:p>
        </w:tc>
        <w:tc>
          <w:tcPr>
            <w:tcW w:w="4319" w:type="dxa"/>
          </w:tcPr>
          <w:p w14:paraId="6F0A59F5" w14:textId="66E3DF63" w:rsidR="009F2992" w:rsidRPr="00D77743" w:rsidRDefault="00D77743" w:rsidP="00D77743">
            <w:r w:rsidRPr="00D77743">
              <w:t>Available tree stock numbers against species listed in specification</w:t>
            </w:r>
          </w:p>
        </w:tc>
      </w:tr>
      <w:tr w:rsidR="00D77743" w:rsidRPr="00D77743" w14:paraId="57FB2BA6" w14:textId="77777777" w:rsidTr="005861E8">
        <w:tc>
          <w:tcPr>
            <w:tcW w:w="4318" w:type="dxa"/>
          </w:tcPr>
          <w:p w14:paraId="293B63AF" w14:textId="2C043BA9" w:rsidR="00D77743" w:rsidRPr="00D77743" w:rsidRDefault="00D77743" w:rsidP="00D77743">
            <w:r w:rsidRPr="00D77743">
              <w:t>Q1.3 Tree species available</w:t>
            </w:r>
          </w:p>
        </w:tc>
        <w:tc>
          <w:tcPr>
            <w:tcW w:w="4319" w:type="dxa"/>
          </w:tcPr>
          <w:p w14:paraId="666BFDF9" w14:textId="7E17153B" w:rsidR="00D77743" w:rsidRPr="00D77743" w:rsidRDefault="00D77743" w:rsidP="00D77743">
            <w:r w:rsidRPr="00D77743">
              <w:t>Number of tree species available from specification</w:t>
            </w:r>
          </w:p>
        </w:tc>
      </w:tr>
    </w:tbl>
    <w:p w14:paraId="15209614" w14:textId="77777777" w:rsidR="009F2992" w:rsidRPr="00D77743" w:rsidRDefault="009F2992" w:rsidP="00D77743"/>
    <w:tbl>
      <w:tblPr>
        <w:tblStyle w:val="Table"/>
        <w:tblW w:w="0" w:type="auto"/>
        <w:tblLook w:val="04A0" w:firstRow="1" w:lastRow="0" w:firstColumn="1" w:lastColumn="0" w:noHBand="0" w:noVBand="1"/>
      </w:tblPr>
      <w:tblGrid>
        <w:gridCol w:w="4318"/>
        <w:gridCol w:w="4319"/>
      </w:tblGrid>
      <w:tr w:rsidR="00D77743" w:rsidRPr="00D77743"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69E6D14D" w:rsidR="00D77743" w:rsidRPr="00D77743" w:rsidRDefault="006652AD" w:rsidP="00D77743">
            <w:r>
              <w:lastRenderedPageBreak/>
              <w:t>Commercial model</w:t>
            </w:r>
          </w:p>
        </w:tc>
        <w:tc>
          <w:tcPr>
            <w:tcW w:w="4319" w:type="dxa"/>
          </w:tcPr>
          <w:p w14:paraId="54DEAC36" w14:textId="77777777" w:rsidR="00D77743" w:rsidRPr="00D77743" w:rsidRDefault="00D77743" w:rsidP="00D77743">
            <w:r w:rsidRPr="00D77743">
              <w:t>Detailed Evaluation Criteria</w:t>
            </w:r>
          </w:p>
        </w:tc>
      </w:tr>
      <w:tr w:rsidR="00D77743" w:rsidRPr="00D77743" w14:paraId="5217E26C" w14:textId="77777777" w:rsidTr="005861E8">
        <w:tc>
          <w:tcPr>
            <w:tcW w:w="4318" w:type="dxa"/>
          </w:tcPr>
          <w:p w14:paraId="6911B605" w14:textId="5A3487B6" w:rsidR="00D77743" w:rsidRPr="00D77743" w:rsidRDefault="00D77743" w:rsidP="00D77743">
            <w:r w:rsidRPr="00D77743">
              <w:t>Q2.1 Price including meeting delivery timeframe</w:t>
            </w:r>
          </w:p>
        </w:tc>
        <w:tc>
          <w:tcPr>
            <w:tcW w:w="4319" w:type="dxa"/>
          </w:tcPr>
          <w:p w14:paraId="6780C524" w14:textId="01D2B87F" w:rsidR="00D77743" w:rsidRPr="00D77743" w:rsidRDefault="00D77743" w:rsidP="00D77743">
            <w:r w:rsidRPr="00D77743">
              <w:t>Confirmation that delivery of trees can be in batches spread across the planting season</w:t>
            </w:r>
          </w:p>
        </w:tc>
      </w:tr>
    </w:tbl>
    <w:p w14:paraId="119E8D8A" w14:textId="77777777" w:rsidR="00423CF4" w:rsidRDefault="00423CF4" w:rsidP="009F2992">
      <w:pPr>
        <w:pStyle w:val="Subheading"/>
      </w:pPr>
    </w:p>
    <w:p w14:paraId="4C83CD9D" w14:textId="2748096E" w:rsidR="009F2992" w:rsidRDefault="009F2992" w:rsidP="009F2992">
      <w:pPr>
        <w:pStyle w:val="Subheading"/>
      </w:pPr>
      <w:r w:rsidRPr="007309B9">
        <w:t>Commercial (</w:t>
      </w:r>
      <w:r w:rsidR="006652AD">
        <w:t>40</w:t>
      </w:r>
      <w:r w:rsidRPr="007309B9">
        <w:t>%)</w:t>
      </w:r>
      <w:r>
        <w:t xml:space="preserve"> </w:t>
      </w:r>
    </w:p>
    <w:p w14:paraId="7773DF7E" w14:textId="1D2EFE2E" w:rsidR="009F2992" w:rsidRPr="007309B9" w:rsidRDefault="009F2992" w:rsidP="009F2992">
      <w:r w:rsidRPr="007309B9">
        <w:t>The Contract is to be awarded as a</w:t>
      </w:r>
      <w:r w:rsidR="006652AD">
        <w:t xml:space="preserve"> fixed price</w:t>
      </w:r>
      <w:r w:rsidRPr="007309B9">
        <w:t xml:space="preserve"> will be paid according to the completion of the deliverables stated in the Specification of Requirements.</w:t>
      </w:r>
    </w:p>
    <w:p w14:paraId="4AE7DD4A" w14:textId="2F5D587A"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6652AD">
        <w:t xml:space="preserve"> each deliverable</w:t>
      </w:r>
      <w:r w:rsidRPr="007309B9">
        <w:t xml:space="preserve"> used in the delivery of this requirement. </w:t>
      </w:r>
    </w:p>
    <w:p w14:paraId="3C214BB5" w14:textId="77777777" w:rsidR="009F2992" w:rsidRPr="007309B9" w:rsidRDefault="009F2992" w:rsidP="009F2992">
      <w:r w:rsidRPr="007309B9">
        <w:t>Calculation Method</w:t>
      </w:r>
    </w:p>
    <w:p w14:paraId="646220D7" w14:textId="724CA8E6"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06F0A362"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x</w:t>
      </w:r>
      <w:r w:rsidR="00423CF4">
        <w:t xml:space="preserve"> 40%</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06ECA761"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00423CF4">
        <w:t xml:space="preserve"> 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lastRenderedPageBreak/>
        <w:t xml:space="preserve">Once the evaluation of the Response(s) is complete all suppliers will be notified of the outcome via email. </w:t>
      </w:r>
    </w:p>
    <w:p w14:paraId="28BF417B" w14:textId="143F418B" w:rsidR="009F2992" w:rsidRPr="00423CF4" w:rsidRDefault="009F2992" w:rsidP="00423CF4">
      <w:r w:rsidRPr="00423CF4">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4DBDF7B1"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0BD41513"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154F11D3" w14:textId="784050E5"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D1987">
                <w:t>3.0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A036720"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16851">
      <w:rPr>
        <w:rStyle w:val="Text"/>
        <w:noProof/>
      </w:rPr>
      <w:t>23/06/2023 13:42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25CD0735" w14:textId="177C6A75"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D1987">
                <w:t>3.0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2F2A4A0" w:rsidR="005C3BA8" w:rsidRPr="00677361" w:rsidRDefault="009F2992" w:rsidP="009D1D9B">
        <w:pPr>
          <w:pStyle w:val="Title"/>
        </w:pPr>
        <w:r>
          <w:t>Guided Buying Request for Quote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816851"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7943" w:type="dxa"/>
          <w:vAlign w:val="center"/>
          <w:hideMark/>
        </w:tcPr>
        <w:p w14:paraId="1C2A8D43" w14:textId="55005F6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22T12:24:00Z">
                <w:dateFormat w:val="dd/MM/yyyy"/>
                <w:lid w:val="en-GB"/>
                <w:storeMappedDataAs w:val="dateTime"/>
                <w:calendar w:val="gregorian"/>
              </w:date>
            </w:sdtPr>
            <w:sdtEndPr/>
            <w:sdtContent>
              <w:r w:rsidR="00FD1987">
                <w:t>22/02/2023</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17057332">
    <w:abstractNumId w:val="23"/>
  </w:num>
  <w:num w:numId="2" w16cid:durableId="1906255297">
    <w:abstractNumId w:val="1"/>
  </w:num>
  <w:num w:numId="3" w16cid:durableId="1423531446">
    <w:abstractNumId w:val="12"/>
  </w:num>
  <w:num w:numId="4" w16cid:durableId="515732164">
    <w:abstractNumId w:val="9"/>
  </w:num>
  <w:num w:numId="5" w16cid:durableId="1755273637">
    <w:abstractNumId w:val="15"/>
  </w:num>
  <w:num w:numId="6" w16cid:durableId="892277647">
    <w:abstractNumId w:val="25"/>
  </w:num>
  <w:num w:numId="7" w16cid:durableId="453596983">
    <w:abstractNumId w:val="2"/>
  </w:num>
  <w:num w:numId="8" w16cid:durableId="57479395">
    <w:abstractNumId w:val="2"/>
    <w:lvlOverride w:ilvl="0">
      <w:startOverride w:val="1"/>
    </w:lvlOverride>
  </w:num>
  <w:num w:numId="9" w16cid:durableId="349068490">
    <w:abstractNumId w:val="21"/>
  </w:num>
  <w:num w:numId="10" w16cid:durableId="1161386614">
    <w:abstractNumId w:val="2"/>
    <w:lvlOverride w:ilvl="0">
      <w:startOverride w:val="1"/>
    </w:lvlOverride>
  </w:num>
  <w:num w:numId="11" w16cid:durableId="822625024">
    <w:abstractNumId w:val="16"/>
  </w:num>
  <w:num w:numId="12" w16cid:durableId="1744061962">
    <w:abstractNumId w:val="2"/>
    <w:lvlOverride w:ilvl="0">
      <w:startOverride w:val="1"/>
    </w:lvlOverride>
  </w:num>
  <w:num w:numId="13" w16cid:durableId="1172837131">
    <w:abstractNumId w:val="8"/>
  </w:num>
  <w:num w:numId="14" w16cid:durableId="83694436">
    <w:abstractNumId w:val="0"/>
  </w:num>
  <w:num w:numId="15" w16cid:durableId="950362466">
    <w:abstractNumId w:val="22"/>
  </w:num>
  <w:num w:numId="16" w16cid:durableId="2013995480">
    <w:abstractNumId w:val="10"/>
  </w:num>
  <w:num w:numId="17" w16cid:durableId="182327438">
    <w:abstractNumId w:val="13"/>
  </w:num>
  <w:num w:numId="18" w16cid:durableId="1625234454">
    <w:abstractNumId w:val="10"/>
    <w:lvlOverride w:ilvl="0">
      <w:startOverride w:val="1"/>
    </w:lvlOverride>
  </w:num>
  <w:num w:numId="19" w16cid:durableId="521208596">
    <w:abstractNumId w:val="10"/>
    <w:lvlOverride w:ilvl="0">
      <w:startOverride w:val="1"/>
    </w:lvlOverride>
  </w:num>
  <w:num w:numId="20" w16cid:durableId="1726954554">
    <w:abstractNumId w:val="3"/>
  </w:num>
  <w:num w:numId="21" w16cid:durableId="1127162591">
    <w:abstractNumId w:val="18"/>
  </w:num>
  <w:num w:numId="22" w16cid:durableId="241380326">
    <w:abstractNumId w:val="11"/>
  </w:num>
  <w:num w:numId="23" w16cid:durableId="506676419">
    <w:abstractNumId w:val="13"/>
    <w:lvlOverride w:ilvl="0">
      <w:startOverride w:val="1"/>
    </w:lvlOverride>
  </w:num>
  <w:num w:numId="24" w16cid:durableId="875124443">
    <w:abstractNumId w:val="19"/>
  </w:num>
  <w:num w:numId="25" w16cid:durableId="162356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5949378">
    <w:abstractNumId w:val="23"/>
    <w:lvlOverride w:ilvl="0">
      <w:startOverride w:val="1"/>
    </w:lvlOverride>
  </w:num>
  <w:num w:numId="27" w16cid:durableId="1196626231">
    <w:abstractNumId w:val="23"/>
    <w:lvlOverride w:ilvl="0">
      <w:startOverride w:val="1"/>
    </w:lvlOverride>
  </w:num>
  <w:num w:numId="28" w16cid:durableId="68894420">
    <w:abstractNumId w:val="23"/>
    <w:lvlOverride w:ilvl="0">
      <w:startOverride w:val="1"/>
    </w:lvlOverride>
  </w:num>
  <w:num w:numId="29" w16cid:durableId="1415930449">
    <w:abstractNumId w:val="13"/>
    <w:lvlOverride w:ilvl="0">
      <w:startOverride w:val="1"/>
    </w:lvlOverride>
  </w:num>
  <w:num w:numId="30" w16cid:durableId="1172336640">
    <w:abstractNumId w:val="20"/>
  </w:num>
  <w:num w:numId="31" w16cid:durableId="1734617493">
    <w:abstractNumId w:val="20"/>
    <w:lvlOverride w:ilvl="0">
      <w:startOverride w:val="1"/>
    </w:lvlOverride>
  </w:num>
  <w:num w:numId="32" w16cid:durableId="791246822">
    <w:abstractNumId w:val="20"/>
    <w:lvlOverride w:ilvl="0">
      <w:startOverride w:val="1"/>
    </w:lvlOverride>
  </w:num>
  <w:num w:numId="33" w16cid:durableId="1314137597">
    <w:abstractNumId w:val="5"/>
  </w:num>
  <w:num w:numId="34" w16cid:durableId="1789352106">
    <w:abstractNumId w:val="4"/>
  </w:num>
  <w:num w:numId="35" w16cid:durableId="2083870141">
    <w:abstractNumId w:val="24"/>
  </w:num>
  <w:num w:numId="36" w16cid:durableId="1916475828">
    <w:abstractNumId w:val="24"/>
  </w:num>
  <w:num w:numId="37" w16cid:durableId="1247765372">
    <w:abstractNumId w:val="4"/>
    <w:lvlOverride w:ilvl="0">
      <w:startOverride w:val="1"/>
    </w:lvlOverride>
  </w:num>
  <w:num w:numId="38" w16cid:durableId="1780683148">
    <w:abstractNumId w:val="4"/>
    <w:lvlOverride w:ilvl="0">
      <w:startOverride w:val="1"/>
    </w:lvlOverride>
  </w:num>
  <w:num w:numId="39" w16cid:durableId="1168668482">
    <w:abstractNumId w:val="4"/>
    <w:lvlOverride w:ilvl="0">
      <w:startOverride w:val="1"/>
    </w:lvlOverride>
  </w:num>
  <w:num w:numId="40" w16cid:durableId="1410345784">
    <w:abstractNumId w:val="7"/>
  </w:num>
  <w:num w:numId="41" w16cid:durableId="752508423">
    <w:abstractNumId w:val="14"/>
  </w:num>
  <w:num w:numId="42" w16cid:durableId="19717862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090B"/>
    <w:rsid w:val="00042D05"/>
    <w:rsid w:val="0004387C"/>
    <w:rsid w:val="00045E97"/>
    <w:rsid w:val="0006311C"/>
    <w:rsid w:val="00063558"/>
    <w:rsid w:val="00064F33"/>
    <w:rsid w:val="00065CB7"/>
    <w:rsid w:val="00070506"/>
    <w:rsid w:val="00071ECE"/>
    <w:rsid w:val="000906FB"/>
    <w:rsid w:val="0009219B"/>
    <w:rsid w:val="00096E1B"/>
    <w:rsid w:val="000C0292"/>
    <w:rsid w:val="000C55EA"/>
    <w:rsid w:val="000C7E35"/>
    <w:rsid w:val="000D788D"/>
    <w:rsid w:val="000F21F1"/>
    <w:rsid w:val="000F6887"/>
    <w:rsid w:val="00100F2A"/>
    <w:rsid w:val="00121600"/>
    <w:rsid w:val="00124E19"/>
    <w:rsid w:val="00131296"/>
    <w:rsid w:val="0013476B"/>
    <w:rsid w:val="00143EC4"/>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B3332"/>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21F5"/>
    <w:rsid w:val="003D5042"/>
    <w:rsid w:val="003E0778"/>
    <w:rsid w:val="003E4973"/>
    <w:rsid w:val="003E5B9B"/>
    <w:rsid w:val="004077D5"/>
    <w:rsid w:val="00412D2D"/>
    <w:rsid w:val="00423CF4"/>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D6AEB"/>
    <w:rsid w:val="005E6FE4"/>
    <w:rsid w:val="005F1AC9"/>
    <w:rsid w:val="005F2581"/>
    <w:rsid w:val="005F3F22"/>
    <w:rsid w:val="006043D3"/>
    <w:rsid w:val="006048B3"/>
    <w:rsid w:val="00623218"/>
    <w:rsid w:val="006358A6"/>
    <w:rsid w:val="00650F37"/>
    <w:rsid w:val="00660A6E"/>
    <w:rsid w:val="00664E21"/>
    <w:rsid w:val="006652AD"/>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36C03"/>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16851"/>
    <w:rsid w:val="00843F8F"/>
    <w:rsid w:val="008522D4"/>
    <w:rsid w:val="008617F6"/>
    <w:rsid w:val="00894146"/>
    <w:rsid w:val="008959B0"/>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5FDB"/>
    <w:rsid w:val="009574EE"/>
    <w:rsid w:val="0098195A"/>
    <w:rsid w:val="00982F9C"/>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068CC"/>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7774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D1987"/>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ec.europa.eu/growth/smes/business-friendly-environment/sme-definition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ark.young@naturalengland.org.u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4296228">
    <w:abstractNumId w:val="2"/>
    <w:lvlOverride w:ilvl="0">
      <w:startOverride w:val="1"/>
    </w:lvlOverride>
  </w:num>
  <w:num w:numId="2" w16cid:durableId="160705684">
    <w:abstractNumId w:val="2"/>
  </w:num>
  <w:num w:numId="3" w16cid:durableId="1655988154">
    <w:abstractNumId w:val="13"/>
  </w:num>
  <w:num w:numId="4" w16cid:durableId="561605109">
    <w:abstractNumId w:val="0"/>
  </w:num>
  <w:num w:numId="5" w16cid:durableId="2105415009">
    <w:abstractNumId w:val="6"/>
  </w:num>
  <w:num w:numId="6" w16cid:durableId="1818918450">
    <w:abstractNumId w:val="7"/>
  </w:num>
  <w:num w:numId="7" w16cid:durableId="445273282">
    <w:abstractNumId w:val="9"/>
  </w:num>
  <w:num w:numId="8" w16cid:durableId="855195877">
    <w:abstractNumId w:val="14"/>
  </w:num>
  <w:num w:numId="9" w16cid:durableId="1253783914">
    <w:abstractNumId w:val="7"/>
    <w:lvlOverride w:ilvl="0">
      <w:startOverride w:val="1"/>
    </w:lvlOverride>
  </w:num>
  <w:num w:numId="10" w16cid:durableId="487870707">
    <w:abstractNumId w:val="12"/>
  </w:num>
  <w:num w:numId="11" w16cid:durableId="1962809392">
    <w:abstractNumId w:val="3"/>
  </w:num>
  <w:num w:numId="12" w16cid:durableId="1215970162">
    <w:abstractNumId w:val="10"/>
  </w:num>
  <w:num w:numId="13" w16cid:durableId="1817911215">
    <w:abstractNumId w:val="8"/>
  </w:num>
  <w:num w:numId="14" w16cid:durableId="542981207">
    <w:abstractNumId w:val="5"/>
  </w:num>
  <w:num w:numId="15" w16cid:durableId="382220542">
    <w:abstractNumId w:val="1"/>
  </w:num>
  <w:num w:numId="16" w16cid:durableId="124396396">
    <w:abstractNumId w:val="11"/>
  </w:num>
  <w:num w:numId="17" w16cid:durableId="901989993">
    <w:abstractNumId w:val="4"/>
  </w:num>
  <w:num w:numId="18" w16cid:durableId="63911457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7F03CF"/>
    <w:rsid w:val="00827CA4"/>
    <w:rsid w:val="00840F2A"/>
    <w:rsid w:val="00877554"/>
    <w:rsid w:val="008D5034"/>
    <w:rsid w:val="008F4292"/>
    <w:rsid w:val="009205F3"/>
    <w:rsid w:val="0093060C"/>
    <w:rsid w:val="009C2701"/>
    <w:rsid w:val="00A15BDE"/>
    <w:rsid w:val="00A35037"/>
    <w:rsid w:val="00A7720A"/>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3CFBD1-05DB-478C-A10C-39A1CADA2CDA}">
  <ds:schemaRefs>
    <ds:schemaRef ds:uri="office.server.policy"/>
  </ds:schemaRefs>
</ds:datastoreItem>
</file>

<file path=customXml/itemProps6.xml><?xml version="1.0" encoding="utf-8"?>
<ds:datastoreItem xmlns:ds="http://schemas.openxmlformats.org/officeDocument/2006/customXml" ds:itemID="{4DE5C07C-09C8-48ED-9055-23AAFC0B444D}">
  <ds:schemaRefs>
    <ds:schemaRef ds:uri="http://schemas.openxmlformats.org/package/2006/metadata/core-properties"/>
    <ds:schemaRef ds:uri="http://schemas.microsoft.com/sharepoint/v3"/>
    <ds:schemaRef ds:uri="http://schemas.microsoft.com/office/infopath/2007/PartnerControls"/>
    <ds:schemaRef ds:uri="662745e8-e224-48e8-a2e3-254862b8c2f5"/>
    <ds:schemaRef ds:uri="http://purl.org/dc/dcmitype/"/>
    <ds:schemaRef ds:uri="http://schemas.microsoft.com/office/2006/documentManagement/types"/>
    <ds:schemaRef ds:uri="http://purl.org/dc/elements/1.1/"/>
    <ds:schemaRef ds:uri="http://schemas.microsoft.com/office/2006/metadata/properties"/>
    <ds:schemaRef ds:uri="44ba428f-c30f-44c8-8eab-a30b7390a267"/>
    <ds:schemaRef ds:uri="c78a0cd0-2680-45d0-a254-38b105a1c2d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24</TotalTime>
  <Pages>18</Pages>
  <Words>4305</Words>
  <Characters>24543</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2023-06-23T13:06:00Z</dcterms:created>
  <dcterms:modified xsi:type="dcterms:W3CDTF">2023-06-23T13:06:00Z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