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213" w:rsidRDefault="00CA09F7">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051F26" w:rsidRPr="00805FB2" w:rsidRDefault="00572059">
      <w:pPr>
        <w:rPr>
          <w:b/>
        </w:rPr>
      </w:pPr>
      <w:r w:rsidRPr="00805FB2">
        <w:rPr>
          <w:b/>
          <w:i/>
        </w:rPr>
        <w:t>Gully Cleansing Contract 2017 - 2019</w:t>
      </w:r>
      <w:r w:rsidR="00CA09F7" w:rsidRPr="00805FB2">
        <w:rPr>
          <w:b/>
        </w:rPr>
        <w:t xml:space="preserve"> </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572059">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CD3923" w:rsidRPr="002C4161" w:rsidTr="00692213">
        <w:tc>
          <w:tcPr>
            <w:tcW w:w="675" w:type="dxa"/>
          </w:tcPr>
          <w:p w:rsidR="00CD3923" w:rsidRPr="002C4161" w:rsidRDefault="00CD3923">
            <w:r w:rsidRPr="002C4161">
              <w:t>1</w:t>
            </w:r>
          </w:p>
        </w:tc>
        <w:tc>
          <w:tcPr>
            <w:tcW w:w="1191" w:type="dxa"/>
          </w:tcPr>
          <w:p w:rsidR="00CD3923" w:rsidRPr="00CA09F7" w:rsidRDefault="00C64A20" w:rsidP="003F2C96">
            <w:r>
              <w:t>07/4/17</w:t>
            </w:r>
          </w:p>
        </w:tc>
        <w:tc>
          <w:tcPr>
            <w:tcW w:w="6039" w:type="dxa"/>
          </w:tcPr>
          <w:p w:rsidR="00CD3923" w:rsidRPr="00CA09F7" w:rsidRDefault="00572059" w:rsidP="00CA09F7">
            <w:pPr>
              <w:rPr>
                <w:rFonts w:eastAsia="Times New Roman" w:cs="Arial"/>
              </w:rPr>
            </w:pPr>
            <w:r w:rsidRPr="00572059">
              <w:rPr>
                <w:rFonts w:eastAsia="Times New Roman" w:cs="Arial"/>
              </w:rPr>
              <w:t>On the 'Standard selection Questionnaire' form Section 8.3 the section on 'Steel' is this applicable to the works we carry out?</w:t>
            </w:r>
          </w:p>
        </w:tc>
        <w:tc>
          <w:tcPr>
            <w:tcW w:w="5528" w:type="dxa"/>
          </w:tcPr>
          <w:p w:rsidR="00C64A20" w:rsidRDefault="00572059" w:rsidP="00572059">
            <w:pPr>
              <w:rPr>
                <w:color w:val="FF0000"/>
              </w:rPr>
            </w:pPr>
            <w:r>
              <w:rPr>
                <w:color w:val="FF0000"/>
              </w:rPr>
              <w:t>No, this section should have been deleted.</w:t>
            </w:r>
          </w:p>
          <w:p w:rsidR="00CD3923" w:rsidRPr="00CA09F7" w:rsidRDefault="00C64A20" w:rsidP="00572059">
            <w:pPr>
              <w:rPr>
                <w:color w:val="FF0000"/>
              </w:rPr>
            </w:pPr>
            <w:r>
              <w:rPr>
                <w:color w:val="FF0000"/>
              </w:rPr>
              <w:t xml:space="preserve">Similarly, sections 8.2 and 8.4 should have also been deleted and do NOT need to be answered. </w:t>
            </w:r>
            <w:r w:rsidR="00572059">
              <w:rPr>
                <w:color w:val="FF0000"/>
              </w:rPr>
              <w:t xml:space="preserve">Please accept </w:t>
            </w:r>
            <w:r w:rsidR="00805FB2">
              <w:rPr>
                <w:color w:val="FF0000"/>
              </w:rPr>
              <w:t>my</w:t>
            </w:r>
            <w:r w:rsidR="00572059">
              <w:rPr>
                <w:color w:val="FF0000"/>
              </w:rPr>
              <w:t xml:space="preserve"> apologies for any confusion caused by </w:t>
            </w:r>
            <w:r w:rsidR="00805FB2">
              <w:rPr>
                <w:color w:val="FF0000"/>
              </w:rPr>
              <w:t>this</w:t>
            </w:r>
            <w:r w:rsidR="00572059">
              <w:rPr>
                <w:color w:val="FF0000"/>
              </w:rPr>
              <w:t xml:space="preserve"> oversight.</w:t>
            </w:r>
          </w:p>
        </w:tc>
        <w:tc>
          <w:tcPr>
            <w:tcW w:w="1276" w:type="dxa"/>
          </w:tcPr>
          <w:p w:rsidR="00CD3923" w:rsidRPr="002C4161" w:rsidRDefault="00572059" w:rsidP="00891463">
            <w:pPr>
              <w:rPr>
                <w:color w:val="FF0000"/>
              </w:rPr>
            </w:pPr>
            <w:r>
              <w:rPr>
                <w:color w:val="FF0000"/>
              </w:rPr>
              <w:t>10/4/17</w:t>
            </w:r>
          </w:p>
        </w:tc>
      </w:tr>
      <w:tr w:rsidR="00CA09F7" w:rsidRPr="002C4161" w:rsidTr="00692213">
        <w:tc>
          <w:tcPr>
            <w:tcW w:w="675" w:type="dxa"/>
          </w:tcPr>
          <w:p w:rsidR="00CA09F7" w:rsidRPr="002C4161" w:rsidRDefault="00CA09F7">
            <w:r>
              <w:t>2</w:t>
            </w:r>
          </w:p>
        </w:tc>
        <w:tc>
          <w:tcPr>
            <w:tcW w:w="1191" w:type="dxa"/>
          </w:tcPr>
          <w:p w:rsidR="00CA09F7" w:rsidRPr="00CA09F7" w:rsidRDefault="00C64A20" w:rsidP="003F2C96">
            <w:r>
              <w:t>07/4/17</w:t>
            </w:r>
          </w:p>
        </w:tc>
        <w:tc>
          <w:tcPr>
            <w:tcW w:w="6039" w:type="dxa"/>
          </w:tcPr>
          <w:p w:rsidR="00CA09F7" w:rsidRPr="00CA09F7" w:rsidRDefault="00572059" w:rsidP="00CA09F7">
            <w:pPr>
              <w:rPr>
                <w:rFonts w:eastAsia="Times New Roman" w:cs="Arial"/>
              </w:rPr>
            </w:pPr>
            <w:r w:rsidRPr="00572059">
              <w:rPr>
                <w:rFonts w:eastAsia="Times New Roman" w:cs="Arial"/>
              </w:rPr>
              <w:t xml:space="preserve">Is there a schedule of plant and the basic cost we have to add the percentage to? </w:t>
            </w:r>
            <w:proofErr w:type="spellStart"/>
            <w:r w:rsidRPr="00572059">
              <w:rPr>
                <w:rFonts w:eastAsia="Times New Roman" w:cs="Arial"/>
              </w:rPr>
              <w:t>Its</w:t>
            </w:r>
            <w:proofErr w:type="spellEnd"/>
            <w:r w:rsidRPr="00572059">
              <w:rPr>
                <w:rFonts w:eastAsia="Times New Roman" w:cs="Arial"/>
              </w:rPr>
              <w:t xml:space="preserve"> in the Schedule 5 Series 3100 Dayworks. Item number 31.06</w:t>
            </w:r>
          </w:p>
        </w:tc>
        <w:tc>
          <w:tcPr>
            <w:tcW w:w="5528" w:type="dxa"/>
          </w:tcPr>
          <w:p w:rsidR="00CA09F7" w:rsidRPr="00CA09F7" w:rsidRDefault="00805FB2" w:rsidP="00572059">
            <w:pPr>
              <w:rPr>
                <w:color w:val="FF0000"/>
              </w:rPr>
            </w:pPr>
            <w:r w:rsidRPr="00805FB2">
              <w:rPr>
                <w:color w:val="FF0000"/>
              </w:rPr>
              <w:t>No. Any additional plant required would be hired at cost. It is up to the tenderer to insert their proposed percentage uplift.</w:t>
            </w:r>
          </w:p>
        </w:tc>
        <w:tc>
          <w:tcPr>
            <w:tcW w:w="1276" w:type="dxa"/>
          </w:tcPr>
          <w:p w:rsidR="00CA09F7" w:rsidRPr="002C4161" w:rsidRDefault="00805FB2" w:rsidP="003F2C96">
            <w:pPr>
              <w:rPr>
                <w:color w:val="FF0000"/>
              </w:rPr>
            </w:pPr>
            <w:r>
              <w:rPr>
                <w:color w:val="FF0000"/>
              </w:rPr>
              <w:t>10/4/17</w:t>
            </w:r>
          </w:p>
        </w:tc>
      </w:tr>
      <w:tr w:rsidR="00195600" w:rsidRPr="002C4161" w:rsidTr="00692213">
        <w:tc>
          <w:tcPr>
            <w:tcW w:w="675" w:type="dxa"/>
          </w:tcPr>
          <w:p w:rsidR="00195600" w:rsidRDefault="00195600">
            <w:r>
              <w:t>3</w:t>
            </w:r>
          </w:p>
        </w:tc>
        <w:tc>
          <w:tcPr>
            <w:tcW w:w="1191" w:type="dxa"/>
          </w:tcPr>
          <w:p w:rsidR="00195600" w:rsidRPr="00CA09F7" w:rsidRDefault="002C4F7E" w:rsidP="003F2C96">
            <w:r>
              <w:t>11/04/17</w:t>
            </w:r>
          </w:p>
        </w:tc>
        <w:tc>
          <w:tcPr>
            <w:tcW w:w="6039" w:type="dxa"/>
          </w:tcPr>
          <w:p w:rsidR="00195600" w:rsidRPr="00CA09F7" w:rsidRDefault="002C4F7E" w:rsidP="002C4F7E">
            <w:pPr>
              <w:rPr>
                <w:rFonts w:eastAsia="Times New Roman" w:cs="Arial"/>
              </w:rPr>
            </w:pPr>
            <w:r>
              <w:rPr>
                <w:rFonts w:ascii="Calibri" w:hAnsi="Calibri"/>
                <w:color w:val="000000"/>
              </w:rPr>
              <w:t xml:space="preserve">In Series 3100 dayworks the hourly rate is inserted as £20 an hour are we allowed to change this or is </w:t>
            </w:r>
            <w:proofErr w:type="gramStart"/>
            <w:r>
              <w:rPr>
                <w:rFonts w:ascii="Calibri" w:hAnsi="Calibri"/>
                <w:color w:val="000000"/>
              </w:rPr>
              <w:t>this  the</w:t>
            </w:r>
            <w:proofErr w:type="gramEnd"/>
            <w:r>
              <w:rPr>
                <w:rFonts w:ascii="Calibri" w:hAnsi="Calibri"/>
                <w:color w:val="000000"/>
              </w:rPr>
              <w:t xml:space="preserve"> fixed rate?</w:t>
            </w:r>
          </w:p>
        </w:tc>
        <w:tc>
          <w:tcPr>
            <w:tcW w:w="5528" w:type="dxa"/>
          </w:tcPr>
          <w:p w:rsidR="00195600" w:rsidRDefault="002C4F7E" w:rsidP="00572059">
            <w:pPr>
              <w:rPr>
                <w:color w:val="FF0000"/>
              </w:rPr>
            </w:pPr>
            <w:r>
              <w:rPr>
                <w:color w:val="FF0000"/>
              </w:rPr>
              <w:t>This is an error. Please overwrite the value with your tendered prices</w:t>
            </w:r>
          </w:p>
        </w:tc>
        <w:tc>
          <w:tcPr>
            <w:tcW w:w="1276" w:type="dxa"/>
          </w:tcPr>
          <w:p w:rsidR="00195600" w:rsidRDefault="002C4F7E" w:rsidP="003F2C96">
            <w:pPr>
              <w:rPr>
                <w:color w:val="FF0000"/>
              </w:rPr>
            </w:pPr>
            <w:r>
              <w:rPr>
                <w:color w:val="FF0000"/>
              </w:rPr>
              <w:t>11/04/17</w:t>
            </w:r>
          </w:p>
        </w:tc>
      </w:tr>
      <w:tr w:rsidR="002C4F7E" w:rsidTr="00342AFC">
        <w:tc>
          <w:tcPr>
            <w:tcW w:w="675" w:type="dxa"/>
          </w:tcPr>
          <w:p w:rsidR="002C4F7E" w:rsidRDefault="00315711" w:rsidP="00342AFC">
            <w:r>
              <w:t>4</w:t>
            </w:r>
          </w:p>
        </w:tc>
        <w:tc>
          <w:tcPr>
            <w:tcW w:w="1191" w:type="dxa"/>
          </w:tcPr>
          <w:p w:rsidR="002C4F7E" w:rsidRPr="00CA09F7" w:rsidRDefault="002C4F7E" w:rsidP="00342AFC">
            <w:r>
              <w:t>11/04/17</w:t>
            </w:r>
          </w:p>
        </w:tc>
        <w:tc>
          <w:tcPr>
            <w:tcW w:w="6039" w:type="dxa"/>
          </w:tcPr>
          <w:p w:rsidR="00315711" w:rsidRDefault="00315711" w:rsidP="00315711">
            <w:pPr>
              <w:rPr>
                <w:lang w:val="en-US"/>
              </w:rPr>
            </w:pPr>
            <w:r>
              <w:rPr>
                <w:lang w:val="en-US"/>
              </w:rPr>
              <w:t>The TUPE refers to a specific employee and I assume by submitting a tender for the contract we would be obliged to employ the aforementioned individual subject to being awarded the contract? Are we able to opt out of this?</w:t>
            </w:r>
          </w:p>
          <w:p w:rsidR="002C4F7E" w:rsidRPr="00CA09F7" w:rsidRDefault="002C4F7E" w:rsidP="00342AFC">
            <w:pPr>
              <w:rPr>
                <w:rFonts w:eastAsia="Times New Roman" w:cs="Arial"/>
              </w:rPr>
            </w:pPr>
          </w:p>
        </w:tc>
        <w:tc>
          <w:tcPr>
            <w:tcW w:w="5528" w:type="dxa"/>
          </w:tcPr>
          <w:p w:rsidR="00315711" w:rsidRPr="00315711" w:rsidRDefault="00315711" w:rsidP="00315711">
            <w:pPr>
              <w:rPr>
                <w:color w:val="FF0000"/>
              </w:rPr>
            </w:pPr>
            <w:r w:rsidRPr="00315711">
              <w:rPr>
                <w:color w:val="FF0000"/>
              </w:rPr>
              <w:t>TUPE regulations apply to all potential changes of service provider for an ongoing service and, as it is a statutory requirement, no opt out is possible.</w:t>
            </w:r>
          </w:p>
          <w:p w:rsidR="00315711" w:rsidRPr="00315711" w:rsidRDefault="00315711" w:rsidP="00315711">
            <w:pPr>
              <w:rPr>
                <w:color w:val="FF0000"/>
              </w:rPr>
            </w:pPr>
            <w:r w:rsidRPr="00315711">
              <w:rPr>
                <w:color w:val="FF0000"/>
              </w:rPr>
              <w:t>However, whilst TUPE regulations apply, that is not to say that the individual concerned will necessarily move across to the new company. TUPE is a matter to be settled between the existing supplier and the potential new supplier; in this particular instance the Council’s only role is to bring it to the attention of potential bidders. The actual requirements are only finally resolved, directly between the two third parties, during the mobilisation period – statutory timescales apply.</w:t>
            </w:r>
          </w:p>
          <w:p w:rsidR="002C4F7E" w:rsidRDefault="002C4F7E" w:rsidP="00342AFC">
            <w:pPr>
              <w:rPr>
                <w:color w:val="FF0000"/>
              </w:rPr>
            </w:pPr>
          </w:p>
        </w:tc>
        <w:tc>
          <w:tcPr>
            <w:tcW w:w="1276" w:type="dxa"/>
          </w:tcPr>
          <w:p w:rsidR="002C4F7E" w:rsidRDefault="002C4F7E" w:rsidP="00342AFC">
            <w:pPr>
              <w:rPr>
                <w:color w:val="FF0000"/>
              </w:rPr>
            </w:pPr>
            <w:r>
              <w:rPr>
                <w:color w:val="FF0000"/>
              </w:rPr>
              <w:t>11/04/17</w:t>
            </w:r>
          </w:p>
        </w:tc>
      </w:tr>
      <w:tr w:rsidR="00F146FF" w:rsidTr="007D1AD3">
        <w:tc>
          <w:tcPr>
            <w:tcW w:w="675" w:type="dxa"/>
          </w:tcPr>
          <w:p w:rsidR="00F146FF" w:rsidRDefault="00F146FF" w:rsidP="007D1AD3">
            <w:r>
              <w:t>5</w:t>
            </w:r>
          </w:p>
        </w:tc>
        <w:tc>
          <w:tcPr>
            <w:tcW w:w="1191" w:type="dxa"/>
          </w:tcPr>
          <w:p w:rsidR="00F146FF" w:rsidRPr="00CA09F7" w:rsidRDefault="00F146FF" w:rsidP="007D1AD3">
            <w:r>
              <w:t>11/04/17</w:t>
            </w:r>
          </w:p>
        </w:tc>
        <w:tc>
          <w:tcPr>
            <w:tcW w:w="6039" w:type="dxa"/>
          </w:tcPr>
          <w:p w:rsidR="00F146FF" w:rsidRDefault="00F146FF" w:rsidP="00F146FF">
            <w:r>
              <w:t>Contract Data (X18) – Whilst X18 limits to Contractor’s liability to the required insurances this is a level significantly above the contract value.  Could you please consider limiting the Contractors liability to the Employer to a maximum value for all events?</w:t>
            </w:r>
          </w:p>
          <w:p w:rsidR="00F146FF" w:rsidRPr="00CA09F7" w:rsidRDefault="00F146FF" w:rsidP="007D1AD3">
            <w:pPr>
              <w:rPr>
                <w:rFonts w:eastAsia="Times New Roman" w:cs="Arial"/>
              </w:rPr>
            </w:pPr>
          </w:p>
        </w:tc>
        <w:tc>
          <w:tcPr>
            <w:tcW w:w="5528" w:type="dxa"/>
          </w:tcPr>
          <w:p w:rsidR="00F146FF" w:rsidRPr="00315711" w:rsidRDefault="00F146FF" w:rsidP="007D1AD3">
            <w:pPr>
              <w:rPr>
                <w:color w:val="FF0000"/>
              </w:rPr>
            </w:pPr>
            <w:r>
              <w:rPr>
                <w:color w:val="FF0000"/>
              </w:rPr>
              <w:t>No. We are content with the amount as stipulated in the tender documents</w:t>
            </w:r>
            <w:r w:rsidRPr="00315711">
              <w:rPr>
                <w:color w:val="FF0000"/>
              </w:rPr>
              <w:t>.</w:t>
            </w:r>
          </w:p>
          <w:p w:rsidR="00F146FF" w:rsidRDefault="00F146FF" w:rsidP="007D1AD3">
            <w:pPr>
              <w:rPr>
                <w:color w:val="FF0000"/>
              </w:rPr>
            </w:pPr>
          </w:p>
        </w:tc>
        <w:tc>
          <w:tcPr>
            <w:tcW w:w="1276" w:type="dxa"/>
          </w:tcPr>
          <w:p w:rsidR="00F146FF" w:rsidRDefault="00F146FF" w:rsidP="007D1AD3">
            <w:pPr>
              <w:rPr>
                <w:color w:val="FF0000"/>
              </w:rPr>
            </w:pPr>
            <w:r>
              <w:rPr>
                <w:color w:val="FF0000"/>
              </w:rPr>
              <w:t>11/04/17</w:t>
            </w:r>
          </w:p>
        </w:tc>
      </w:tr>
    </w:tbl>
    <w:p w:rsidR="00051F26" w:rsidRDefault="00051F26"/>
    <w:sectPr w:rsidR="00051F26" w:rsidSect="0099086A">
      <w:footerReference w:type="even" r:id="rId8"/>
      <w:footerReference w:type="default" r:id="rId9"/>
      <w:footerReference w:type="first" r:id="rId10"/>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75F" w:rsidRDefault="0080675F" w:rsidP="007D5240">
      <w:r>
        <w:separator/>
      </w:r>
    </w:p>
  </w:endnote>
  <w:endnote w:type="continuationSeparator" w:id="0">
    <w:p w:rsidR="0080675F" w:rsidRDefault="0080675F"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80675F">
      <w:fldChar w:fldCharType="begin"/>
    </w:r>
    <w:r w:rsidR="0080675F">
      <w:instrText xml:space="preserve"> NUMPAGES \* MERG</w:instrText>
    </w:r>
    <w:r w:rsidR="0080675F">
      <w:instrText xml:space="preserve">EFORMAT \* MERGEFORMAT </w:instrText>
    </w:r>
    <w:r w:rsidR="0080675F">
      <w:fldChar w:fldCharType="separate"/>
    </w:r>
    <w:r w:rsidR="00AB4F75">
      <w:rPr>
        <w:noProof/>
      </w:rPr>
      <w:t>1</w:t>
    </w:r>
    <w:r w:rsidR="0080675F">
      <w:rPr>
        <w:noProof/>
      </w:rPr>
      <w:fldChar w:fldCharType="end"/>
    </w:r>
  </w:p>
  <w:p w:rsidR="007D5240" w:rsidRPr="007D5240" w:rsidRDefault="007D5240" w:rsidP="007D5240">
    <w:pPr>
      <w:pStyle w:val="Footer"/>
      <w:jc w:val="center"/>
    </w:pPr>
    <w:r>
      <w:t xml:space="preserve">PROTECTIVE MARKING: </w:t>
    </w:r>
    <w:r w:rsidR="0080675F">
      <w:fldChar w:fldCharType="begin"/>
    </w:r>
    <w:r w:rsidR="0080675F">
      <w:instrText xml:space="preserve"> DOCPROPERTY ClassificationName \* MERGEFORMAT \* MERGEFORMAT </w:instrText>
    </w:r>
    <w:r w:rsidR="0080675F">
      <w:fldChar w:fldCharType="separate"/>
    </w:r>
    <w:r w:rsidR="00AB4F75">
      <w:t>UNCLASSIFIED</w:t>
    </w:r>
    <w:r w:rsidR="0080675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F146FF">
      <w:rPr>
        <w:noProof/>
      </w:rPr>
      <w:t>1</w:t>
    </w:r>
    <w:r>
      <w:fldChar w:fldCharType="end"/>
    </w:r>
    <w:r>
      <w:t xml:space="preserve"> of </w:t>
    </w:r>
    <w:r w:rsidR="0080675F">
      <w:fldChar w:fldCharType="begin"/>
    </w:r>
    <w:r w:rsidR="0080675F">
      <w:instrText xml:space="preserve"> NUMPAGES \* MERGEFORMAT \* MERGEFORMAT </w:instrText>
    </w:r>
    <w:r w:rsidR="0080675F">
      <w:fldChar w:fldCharType="separate"/>
    </w:r>
    <w:r w:rsidR="00F146FF">
      <w:rPr>
        <w:noProof/>
      </w:rPr>
      <w:t>1</w:t>
    </w:r>
    <w:r w:rsidR="0080675F">
      <w:rPr>
        <w:noProof/>
      </w:rPr>
      <w:fldChar w:fldCharType="end"/>
    </w:r>
  </w:p>
  <w:p w:rsidR="007D5240" w:rsidRPr="007D5240" w:rsidRDefault="007D5240" w:rsidP="007D5240">
    <w:pPr>
      <w:pStyle w:val="Footer"/>
      <w:jc w:val="center"/>
    </w:pPr>
    <w:r>
      <w:t xml:space="preserve">PROTECTIVE MARKING: </w:t>
    </w:r>
    <w:r w:rsidR="0080675F">
      <w:fldChar w:fldCharType="begin"/>
    </w:r>
    <w:r w:rsidR="0080675F">
      <w:instrText xml:space="preserve"> DOCPROPERTY Cl</w:instrText>
    </w:r>
    <w:r w:rsidR="0080675F">
      <w:instrText xml:space="preserve">assificationName \* MERGEFORMAT \* MERGEFORMAT </w:instrText>
    </w:r>
    <w:r w:rsidR="0080675F">
      <w:fldChar w:fldCharType="separate"/>
    </w:r>
    <w:r w:rsidR="00AB4F75">
      <w:t>UNCLASSIFIED</w:t>
    </w:r>
    <w:r w:rsidR="0080675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80675F">
      <w:fldChar w:fldCharType="begin"/>
    </w:r>
    <w:r w:rsidR="0080675F">
      <w:instrText xml:space="preserve"> NUMPAGES \* MERGEFORMAT \* MERGEFORMAT </w:instrText>
    </w:r>
    <w:r w:rsidR="0080675F">
      <w:fldChar w:fldCharType="separate"/>
    </w:r>
    <w:r w:rsidR="00AB4F75">
      <w:rPr>
        <w:noProof/>
      </w:rPr>
      <w:t>1</w:t>
    </w:r>
    <w:r w:rsidR="0080675F">
      <w:rPr>
        <w:noProof/>
      </w:rPr>
      <w:fldChar w:fldCharType="end"/>
    </w:r>
  </w:p>
  <w:p w:rsidR="007D5240" w:rsidRPr="007D5240" w:rsidRDefault="007D5240" w:rsidP="007D5240">
    <w:pPr>
      <w:pStyle w:val="Footer"/>
      <w:jc w:val="center"/>
    </w:pPr>
    <w:r>
      <w:t xml:space="preserve">PROTECTIVE MARKING: </w:t>
    </w:r>
    <w:r w:rsidR="0080675F">
      <w:fldChar w:fldCharType="begin"/>
    </w:r>
    <w:r w:rsidR="0080675F">
      <w:instrText xml:space="preserve"> DOCPROPERTY ClassificationName \* MERGEFORMAT \* MERGEFORMAT </w:instrText>
    </w:r>
    <w:r w:rsidR="0080675F">
      <w:fldChar w:fldCharType="separate"/>
    </w:r>
    <w:r w:rsidR="00AB4F75">
      <w:t>UNCLASSIFIED</w:t>
    </w:r>
    <w:r w:rsidR="0080675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75F" w:rsidRDefault="0080675F" w:rsidP="007D5240">
      <w:r>
        <w:separator/>
      </w:r>
    </w:p>
  </w:footnote>
  <w:footnote w:type="continuationSeparator" w:id="0">
    <w:p w:rsidR="0080675F" w:rsidRDefault="0080675F" w:rsidP="007D5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F26"/>
    <w:rsid w:val="00005F18"/>
    <w:rsid w:val="00012474"/>
    <w:rsid w:val="00051F26"/>
    <w:rsid w:val="00072146"/>
    <w:rsid w:val="00077979"/>
    <w:rsid w:val="000C635A"/>
    <w:rsid w:val="000F3642"/>
    <w:rsid w:val="000F525F"/>
    <w:rsid w:val="00135E47"/>
    <w:rsid w:val="00144323"/>
    <w:rsid w:val="00195600"/>
    <w:rsid w:val="00262F61"/>
    <w:rsid w:val="002B362B"/>
    <w:rsid w:val="002C4161"/>
    <w:rsid w:val="002C4F7E"/>
    <w:rsid w:val="00315711"/>
    <w:rsid w:val="0033542A"/>
    <w:rsid w:val="003429A8"/>
    <w:rsid w:val="003D34E6"/>
    <w:rsid w:val="003F2C96"/>
    <w:rsid w:val="004217CD"/>
    <w:rsid w:val="00450D8E"/>
    <w:rsid w:val="00476100"/>
    <w:rsid w:val="00484612"/>
    <w:rsid w:val="004D4B66"/>
    <w:rsid w:val="00572059"/>
    <w:rsid w:val="005D2CEE"/>
    <w:rsid w:val="00692213"/>
    <w:rsid w:val="00730E28"/>
    <w:rsid w:val="007D5240"/>
    <w:rsid w:val="007E6187"/>
    <w:rsid w:val="00805FB2"/>
    <w:rsid w:val="0080675F"/>
    <w:rsid w:val="00891463"/>
    <w:rsid w:val="008E7E4A"/>
    <w:rsid w:val="00937D34"/>
    <w:rsid w:val="009624D8"/>
    <w:rsid w:val="0099086A"/>
    <w:rsid w:val="00993930"/>
    <w:rsid w:val="00AB4F75"/>
    <w:rsid w:val="00B036AD"/>
    <w:rsid w:val="00C64A20"/>
    <w:rsid w:val="00CA09F7"/>
    <w:rsid w:val="00CD3923"/>
    <w:rsid w:val="00CF67EF"/>
    <w:rsid w:val="00D42F0C"/>
    <w:rsid w:val="00D54594"/>
    <w:rsid w:val="00DE6302"/>
    <w:rsid w:val="00E552AB"/>
    <w:rsid w:val="00EA033F"/>
    <w:rsid w:val="00EE7C06"/>
    <w:rsid w:val="00F146FF"/>
    <w:rsid w:val="00F32847"/>
    <w:rsid w:val="00F41D66"/>
    <w:rsid w:val="00FB7AB2"/>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6135">
      <w:bodyDiv w:val="1"/>
      <w:marLeft w:val="0"/>
      <w:marRight w:val="0"/>
      <w:marTop w:val="0"/>
      <w:marBottom w:val="0"/>
      <w:divBdr>
        <w:top w:val="none" w:sz="0" w:space="0" w:color="auto"/>
        <w:left w:val="none" w:sz="0" w:space="0" w:color="auto"/>
        <w:bottom w:val="none" w:sz="0" w:space="0" w:color="auto"/>
        <w:right w:val="none" w:sz="0" w:space="0" w:color="auto"/>
      </w:divBdr>
    </w:div>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289631708">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Eddie Napper</cp:lastModifiedBy>
  <cp:revision>3</cp:revision>
  <dcterms:created xsi:type="dcterms:W3CDTF">2017-04-11T13:07:00Z</dcterms:created>
  <dcterms:modified xsi:type="dcterms:W3CDTF">2017-04-11T13:11:00Z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