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C9C" w:rsidRPr="00F84C9C" w:rsidRDefault="00F84C9C" w:rsidP="00F84C9C">
      <w:pPr>
        <w:spacing w:before="100" w:beforeAutospacing="1" w:after="100" w:afterAutospacing="1"/>
        <w:rPr>
          <w:lang w:val="en" w:eastAsia="en-GB"/>
        </w:rPr>
      </w:pPr>
      <w:proofErr w:type="spellStart"/>
      <w:r w:rsidRPr="00F84C9C">
        <w:rPr>
          <w:lang w:val="en" w:eastAsia="en-GB"/>
        </w:rPr>
        <w:t>Unifii</w:t>
      </w:r>
      <w:proofErr w:type="spellEnd"/>
      <w:r w:rsidRPr="00F84C9C">
        <w:rPr>
          <w:lang w:val="en" w:eastAsia="en-GB"/>
        </w:rPr>
        <w:t xml:space="preserve"> Ltd</w:t>
      </w:r>
    </w:p>
    <w:p w:rsidR="00F84C9C" w:rsidRPr="00F84C9C" w:rsidRDefault="00F84C9C" w:rsidP="00F84C9C">
      <w:pPr>
        <w:spacing w:before="100" w:beforeAutospacing="1" w:after="100" w:afterAutospacing="1"/>
        <w:outlineLvl w:val="0"/>
        <w:rPr>
          <w:b/>
          <w:bCs/>
          <w:kern w:val="36"/>
          <w:sz w:val="48"/>
          <w:szCs w:val="48"/>
          <w:lang w:val="en" w:eastAsia="en-GB"/>
        </w:rPr>
      </w:pPr>
      <w:r w:rsidRPr="00F84C9C">
        <w:rPr>
          <w:b/>
          <w:bCs/>
          <w:kern w:val="36"/>
          <w:sz w:val="48"/>
          <w:szCs w:val="48"/>
          <w:lang w:val="en" w:eastAsia="en-GB"/>
        </w:rPr>
        <w:t>ServiceNow</w:t>
      </w:r>
    </w:p>
    <w:p w:rsidR="00F84C9C" w:rsidRPr="00F84C9C" w:rsidRDefault="00F84C9C" w:rsidP="00F84C9C">
      <w:pPr>
        <w:spacing w:before="100" w:beforeAutospacing="1" w:after="100" w:afterAutospacing="1"/>
        <w:rPr>
          <w:lang w:val="en" w:eastAsia="en-GB"/>
        </w:rPr>
      </w:pPr>
      <w:r w:rsidRPr="00F84C9C">
        <w:rPr>
          <w:lang w:val="en" w:eastAsia="en-GB"/>
        </w:rPr>
        <w:t>The ServiceNow platform is a ready</w:t>
      </w:r>
      <w:r w:rsidRPr="00F84C9C">
        <w:rPr>
          <w:lang w:val="en" w:eastAsia="en-GB"/>
        </w:rPr>
        <w:noBreakHyphen/>
        <w:t>built foundation that transforms how your business operates. Whether you’re in IT, Security, HR or Customer Service, you can deliver great experiences to transform how work gets done. And work moves faster when you can orchestrate automation across departments and IT applications with powerful workflows.</w:t>
      </w:r>
    </w:p>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Features</w:t>
      </w:r>
    </w:p>
    <w:p w:rsidR="00F84C9C" w:rsidRPr="00F84C9C" w:rsidRDefault="00F84C9C" w:rsidP="00F84C9C">
      <w:pPr>
        <w:numPr>
          <w:ilvl w:val="0"/>
          <w:numId w:val="1"/>
        </w:numPr>
        <w:spacing w:before="100" w:beforeAutospacing="1" w:after="100" w:afterAutospacing="1"/>
        <w:rPr>
          <w:lang w:val="en" w:eastAsia="en-GB"/>
        </w:rPr>
      </w:pPr>
      <w:r w:rsidRPr="00F84C9C">
        <w:rPr>
          <w:lang w:val="en" w:eastAsia="en-GB"/>
        </w:rPr>
        <w:t>IT Service Management</w:t>
      </w:r>
    </w:p>
    <w:p w:rsidR="00F84C9C" w:rsidRPr="00F84C9C" w:rsidRDefault="00F84C9C" w:rsidP="00F84C9C">
      <w:pPr>
        <w:numPr>
          <w:ilvl w:val="0"/>
          <w:numId w:val="1"/>
        </w:numPr>
        <w:spacing w:before="100" w:beforeAutospacing="1" w:after="100" w:afterAutospacing="1"/>
        <w:rPr>
          <w:lang w:val="en" w:eastAsia="en-GB"/>
        </w:rPr>
      </w:pPr>
      <w:r w:rsidRPr="00F84C9C">
        <w:rPr>
          <w:lang w:val="en" w:eastAsia="en-GB"/>
        </w:rPr>
        <w:t>HR Management</w:t>
      </w:r>
    </w:p>
    <w:p w:rsidR="00F84C9C" w:rsidRPr="00F84C9C" w:rsidRDefault="00F84C9C" w:rsidP="00F84C9C">
      <w:pPr>
        <w:numPr>
          <w:ilvl w:val="0"/>
          <w:numId w:val="1"/>
        </w:numPr>
        <w:spacing w:before="100" w:beforeAutospacing="1" w:after="100" w:afterAutospacing="1"/>
        <w:rPr>
          <w:lang w:val="en" w:eastAsia="en-GB"/>
        </w:rPr>
      </w:pPr>
      <w:r w:rsidRPr="00F84C9C">
        <w:rPr>
          <w:lang w:val="en" w:eastAsia="en-GB"/>
        </w:rPr>
        <w:t>IT Operations Management</w:t>
      </w:r>
    </w:p>
    <w:p w:rsidR="00F84C9C" w:rsidRPr="00F84C9C" w:rsidRDefault="00F84C9C" w:rsidP="00F84C9C">
      <w:pPr>
        <w:numPr>
          <w:ilvl w:val="0"/>
          <w:numId w:val="1"/>
        </w:numPr>
        <w:spacing w:before="100" w:beforeAutospacing="1" w:after="100" w:afterAutospacing="1"/>
        <w:rPr>
          <w:lang w:val="en" w:eastAsia="en-GB"/>
        </w:rPr>
      </w:pPr>
      <w:r w:rsidRPr="00F84C9C">
        <w:rPr>
          <w:lang w:val="en" w:eastAsia="en-GB"/>
        </w:rPr>
        <w:t>Security Operations</w:t>
      </w:r>
    </w:p>
    <w:p w:rsidR="00F84C9C" w:rsidRPr="00F84C9C" w:rsidRDefault="00F84C9C" w:rsidP="00F84C9C">
      <w:pPr>
        <w:numPr>
          <w:ilvl w:val="0"/>
          <w:numId w:val="1"/>
        </w:numPr>
        <w:spacing w:before="100" w:beforeAutospacing="1" w:after="100" w:afterAutospacing="1"/>
        <w:rPr>
          <w:lang w:val="en" w:eastAsia="en-GB"/>
        </w:rPr>
      </w:pPr>
      <w:r w:rsidRPr="00F84C9C">
        <w:rPr>
          <w:lang w:val="en" w:eastAsia="en-GB"/>
        </w:rPr>
        <w:t>Real Time Reporting</w:t>
      </w:r>
    </w:p>
    <w:p w:rsidR="00F84C9C" w:rsidRPr="00F84C9C" w:rsidRDefault="00F84C9C" w:rsidP="00F84C9C">
      <w:pPr>
        <w:numPr>
          <w:ilvl w:val="0"/>
          <w:numId w:val="1"/>
        </w:numPr>
        <w:spacing w:before="100" w:beforeAutospacing="1" w:after="100" w:afterAutospacing="1"/>
        <w:rPr>
          <w:lang w:val="en" w:eastAsia="en-GB"/>
        </w:rPr>
      </w:pPr>
      <w:r w:rsidRPr="00F84C9C">
        <w:rPr>
          <w:lang w:val="en" w:eastAsia="en-GB"/>
        </w:rPr>
        <w:t>Service Dashboards</w:t>
      </w:r>
    </w:p>
    <w:p w:rsidR="00F84C9C" w:rsidRPr="00F84C9C" w:rsidRDefault="00F84C9C" w:rsidP="00F84C9C">
      <w:pPr>
        <w:numPr>
          <w:ilvl w:val="0"/>
          <w:numId w:val="1"/>
        </w:numPr>
        <w:spacing w:before="100" w:beforeAutospacing="1" w:after="100" w:afterAutospacing="1"/>
        <w:rPr>
          <w:lang w:val="en" w:eastAsia="en-GB"/>
        </w:rPr>
      </w:pPr>
      <w:r w:rsidRPr="00F84C9C">
        <w:rPr>
          <w:lang w:val="en" w:eastAsia="en-GB"/>
        </w:rPr>
        <w:t>IT Business Management</w:t>
      </w:r>
    </w:p>
    <w:p w:rsidR="00F84C9C" w:rsidRPr="00F84C9C" w:rsidRDefault="00F84C9C" w:rsidP="00F84C9C">
      <w:pPr>
        <w:numPr>
          <w:ilvl w:val="0"/>
          <w:numId w:val="1"/>
        </w:numPr>
        <w:spacing w:before="100" w:beforeAutospacing="1" w:after="100" w:afterAutospacing="1"/>
        <w:rPr>
          <w:lang w:val="en" w:eastAsia="en-GB"/>
        </w:rPr>
      </w:pPr>
      <w:r w:rsidRPr="00F84C9C">
        <w:rPr>
          <w:lang w:val="en" w:eastAsia="en-GB"/>
        </w:rPr>
        <w:t>Workflows</w:t>
      </w:r>
    </w:p>
    <w:p w:rsidR="00F84C9C" w:rsidRPr="00F84C9C" w:rsidRDefault="00F84C9C" w:rsidP="00F84C9C">
      <w:pPr>
        <w:numPr>
          <w:ilvl w:val="0"/>
          <w:numId w:val="1"/>
        </w:numPr>
        <w:spacing w:before="100" w:beforeAutospacing="1" w:after="100" w:afterAutospacing="1"/>
        <w:rPr>
          <w:lang w:val="en" w:eastAsia="en-GB"/>
        </w:rPr>
      </w:pPr>
      <w:r w:rsidRPr="00F84C9C">
        <w:rPr>
          <w:lang w:val="en" w:eastAsia="en-GB"/>
        </w:rPr>
        <w:t>Web Service Integrations</w:t>
      </w:r>
    </w:p>
    <w:p w:rsidR="00F84C9C" w:rsidRPr="00F84C9C" w:rsidRDefault="00F84C9C" w:rsidP="00F84C9C">
      <w:pPr>
        <w:numPr>
          <w:ilvl w:val="0"/>
          <w:numId w:val="1"/>
        </w:numPr>
        <w:spacing w:before="100" w:beforeAutospacing="1" w:after="100" w:afterAutospacing="1"/>
        <w:rPr>
          <w:lang w:val="en" w:eastAsia="en-GB"/>
        </w:rPr>
      </w:pPr>
      <w:r w:rsidRPr="00F84C9C">
        <w:rPr>
          <w:lang w:val="en" w:eastAsia="en-GB"/>
        </w:rPr>
        <w:t>Self-Service portals</w:t>
      </w:r>
    </w:p>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Benefits</w:t>
      </w:r>
    </w:p>
    <w:p w:rsidR="00F84C9C" w:rsidRPr="00F84C9C" w:rsidRDefault="00F84C9C" w:rsidP="00F84C9C">
      <w:pPr>
        <w:numPr>
          <w:ilvl w:val="0"/>
          <w:numId w:val="2"/>
        </w:numPr>
        <w:spacing w:before="100" w:beforeAutospacing="1" w:after="100" w:afterAutospacing="1"/>
        <w:rPr>
          <w:lang w:val="en" w:eastAsia="en-GB"/>
        </w:rPr>
      </w:pPr>
      <w:r w:rsidRPr="00F84C9C">
        <w:rPr>
          <w:lang w:val="en" w:eastAsia="en-GB"/>
        </w:rPr>
        <w:t xml:space="preserve">Single pane of glass for the </w:t>
      </w:r>
      <w:proofErr w:type="spellStart"/>
      <w:r w:rsidRPr="00F84C9C">
        <w:rPr>
          <w:lang w:val="en" w:eastAsia="en-GB"/>
        </w:rPr>
        <w:t>organisation</w:t>
      </w:r>
      <w:proofErr w:type="spellEnd"/>
    </w:p>
    <w:p w:rsidR="00F84C9C" w:rsidRPr="00F84C9C" w:rsidRDefault="00F84C9C" w:rsidP="00F84C9C">
      <w:pPr>
        <w:numPr>
          <w:ilvl w:val="0"/>
          <w:numId w:val="2"/>
        </w:numPr>
        <w:spacing w:before="100" w:beforeAutospacing="1" w:after="100" w:afterAutospacing="1"/>
        <w:rPr>
          <w:lang w:val="en" w:eastAsia="en-GB"/>
        </w:rPr>
      </w:pPr>
      <w:r w:rsidRPr="00F84C9C">
        <w:rPr>
          <w:lang w:val="en" w:eastAsia="en-GB"/>
        </w:rPr>
        <w:t>Integrated security model</w:t>
      </w:r>
    </w:p>
    <w:p w:rsidR="00F84C9C" w:rsidRPr="00F84C9C" w:rsidRDefault="00F84C9C" w:rsidP="00F84C9C">
      <w:pPr>
        <w:numPr>
          <w:ilvl w:val="0"/>
          <w:numId w:val="2"/>
        </w:numPr>
        <w:spacing w:before="100" w:beforeAutospacing="1" w:after="100" w:afterAutospacing="1"/>
        <w:rPr>
          <w:lang w:val="en" w:eastAsia="en-GB"/>
        </w:rPr>
      </w:pPr>
      <w:r w:rsidRPr="00F84C9C">
        <w:rPr>
          <w:lang w:val="en" w:eastAsia="en-GB"/>
        </w:rPr>
        <w:t xml:space="preserve">Single-tenant </w:t>
      </w:r>
      <w:proofErr w:type="spellStart"/>
      <w:r w:rsidRPr="00F84C9C">
        <w:rPr>
          <w:lang w:val="en" w:eastAsia="en-GB"/>
        </w:rPr>
        <w:t>architecure</w:t>
      </w:r>
      <w:proofErr w:type="spellEnd"/>
    </w:p>
    <w:p w:rsidR="00F84C9C" w:rsidRPr="00F84C9C" w:rsidRDefault="00F84C9C" w:rsidP="00F84C9C">
      <w:pPr>
        <w:numPr>
          <w:ilvl w:val="0"/>
          <w:numId w:val="2"/>
        </w:numPr>
        <w:spacing w:before="100" w:beforeAutospacing="1" w:after="100" w:afterAutospacing="1"/>
        <w:rPr>
          <w:lang w:val="en" w:eastAsia="en-GB"/>
        </w:rPr>
      </w:pPr>
      <w:r w:rsidRPr="00F84C9C">
        <w:rPr>
          <w:lang w:val="en" w:eastAsia="en-GB"/>
        </w:rPr>
        <w:t>Consumer experience</w:t>
      </w:r>
    </w:p>
    <w:p w:rsidR="00F84C9C" w:rsidRPr="00F84C9C" w:rsidRDefault="00F84C9C" w:rsidP="00F84C9C">
      <w:pPr>
        <w:numPr>
          <w:ilvl w:val="0"/>
          <w:numId w:val="2"/>
        </w:numPr>
        <w:spacing w:before="100" w:beforeAutospacing="1" w:after="100" w:afterAutospacing="1"/>
        <w:rPr>
          <w:lang w:val="en" w:eastAsia="en-GB"/>
        </w:rPr>
      </w:pPr>
      <w:r w:rsidRPr="00F84C9C">
        <w:rPr>
          <w:lang w:val="en" w:eastAsia="en-GB"/>
        </w:rPr>
        <w:t>Automating common manual processes</w:t>
      </w:r>
    </w:p>
    <w:p w:rsidR="00F84C9C" w:rsidRPr="00F84C9C" w:rsidRDefault="00F84C9C" w:rsidP="00F84C9C">
      <w:pPr>
        <w:numPr>
          <w:ilvl w:val="0"/>
          <w:numId w:val="2"/>
        </w:numPr>
        <w:spacing w:before="100" w:beforeAutospacing="1" w:after="100" w:afterAutospacing="1"/>
        <w:rPr>
          <w:lang w:val="en" w:eastAsia="en-GB"/>
        </w:rPr>
      </w:pPr>
      <w:r w:rsidRPr="00F84C9C">
        <w:rPr>
          <w:lang w:val="en" w:eastAsia="en-GB"/>
        </w:rPr>
        <w:t>Case and Major Issue Management</w:t>
      </w:r>
    </w:p>
    <w:p w:rsidR="00F84C9C" w:rsidRPr="00F84C9C" w:rsidRDefault="00F84C9C" w:rsidP="00F84C9C">
      <w:pPr>
        <w:numPr>
          <w:ilvl w:val="0"/>
          <w:numId w:val="2"/>
        </w:numPr>
        <w:spacing w:before="100" w:beforeAutospacing="1" w:after="100" w:afterAutospacing="1"/>
        <w:rPr>
          <w:lang w:val="en" w:eastAsia="en-GB"/>
        </w:rPr>
      </w:pPr>
      <w:r w:rsidRPr="00F84C9C">
        <w:rPr>
          <w:lang w:val="en" w:eastAsia="en-GB"/>
        </w:rPr>
        <w:t>Self-Service Portals</w:t>
      </w:r>
    </w:p>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Pricing</w:t>
      </w:r>
    </w:p>
    <w:p w:rsidR="00F84C9C" w:rsidRPr="00F84C9C" w:rsidRDefault="00F84C9C" w:rsidP="00F84C9C">
      <w:pPr>
        <w:spacing w:before="100" w:beforeAutospacing="1" w:after="100" w:afterAutospacing="1"/>
        <w:rPr>
          <w:lang w:val="en" w:eastAsia="en-GB"/>
        </w:rPr>
      </w:pPr>
      <w:r w:rsidRPr="00F84C9C">
        <w:rPr>
          <w:lang w:val="en" w:eastAsia="en-GB"/>
        </w:rPr>
        <w:t>£79 per person per month</w:t>
      </w:r>
    </w:p>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Service documents</w:t>
      </w:r>
    </w:p>
    <w:p w:rsidR="00F84C9C" w:rsidRPr="00F84C9C" w:rsidRDefault="0030670C" w:rsidP="00F84C9C">
      <w:pPr>
        <w:numPr>
          <w:ilvl w:val="0"/>
          <w:numId w:val="3"/>
        </w:numPr>
        <w:spacing w:before="100" w:beforeAutospacing="1" w:after="100" w:afterAutospacing="1"/>
        <w:rPr>
          <w:lang w:val="en" w:eastAsia="en-GB"/>
        </w:rPr>
      </w:pPr>
      <w:hyperlink r:id="rId5" w:history="1">
        <w:r w:rsidR="00F84C9C" w:rsidRPr="00F84C9C">
          <w:rPr>
            <w:color w:val="0000FF"/>
            <w:u w:val="single"/>
            <w:lang w:val="en" w:eastAsia="en-GB"/>
          </w:rPr>
          <w:t xml:space="preserve">pdf document: Pricing document </w:t>
        </w:r>
      </w:hyperlink>
    </w:p>
    <w:p w:rsidR="00F84C9C" w:rsidRPr="00F84C9C" w:rsidRDefault="0030670C" w:rsidP="00F84C9C">
      <w:pPr>
        <w:numPr>
          <w:ilvl w:val="0"/>
          <w:numId w:val="3"/>
        </w:numPr>
        <w:spacing w:before="100" w:beforeAutospacing="1" w:after="100" w:afterAutospacing="1"/>
        <w:rPr>
          <w:lang w:val="en" w:eastAsia="en-GB"/>
        </w:rPr>
      </w:pPr>
      <w:hyperlink r:id="rId6" w:history="1">
        <w:r w:rsidR="00F84C9C" w:rsidRPr="00F84C9C">
          <w:rPr>
            <w:color w:val="0000FF"/>
            <w:u w:val="single"/>
            <w:lang w:val="en" w:eastAsia="en-GB"/>
          </w:rPr>
          <w:t xml:space="preserve">pdf document: Skills Framework for the Information Age rate card </w:t>
        </w:r>
      </w:hyperlink>
    </w:p>
    <w:p w:rsidR="00F84C9C" w:rsidRPr="00F84C9C" w:rsidRDefault="0030670C" w:rsidP="00F84C9C">
      <w:pPr>
        <w:numPr>
          <w:ilvl w:val="0"/>
          <w:numId w:val="3"/>
        </w:numPr>
        <w:spacing w:before="100" w:beforeAutospacing="1" w:after="100" w:afterAutospacing="1"/>
        <w:rPr>
          <w:lang w:val="en" w:eastAsia="en-GB"/>
        </w:rPr>
      </w:pPr>
      <w:hyperlink r:id="rId7" w:history="1">
        <w:r w:rsidR="00F84C9C" w:rsidRPr="00F84C9C">
          <w:rPr>
            <w:color w:val="0000FF"/>
            <w:u w:val="single"/>
            <w:lang w:val="en" w:eastAsia="en-GB"/>
          </w:rPr>
          <w:t xml:space="preserve">pdf document: Terms and conditions </w:t>
        </w:r>
      </w:hyperlink>
    </w:p>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Framework</w:t>
      </w:r>
    </w:p>
    <w:p w:rsidR="00F84C9C" w:rsidRPr="00F84C9C" w:rsidRDefault="00F84C9C" w:rsidP="00F84C9C">
      <w:pPr>
        <w:spacing w:before="100" w:beforeAutospacing="1" w:after="100" w:afterAutospacing="1"/>
        <w:rPr>
          <w:lang w:val="en" w:eastAsia="en-GB"/>
        </w:rPr>
      </w:pPr>
      <w:r w:rsidRPr="00F84C9C">
        <w:rPr>
          <w:lang w:val="en" w:eastAsia="en-GB"/>
        </w:rPr>
        <w:t>G-Cloud 11</w:t>
      </w:r>
    </w:p>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lastRenderedPageBreak/>
        <w:t>Service ID</w:t>
      </w:r>
    </w:p>
    <w:p w:rsidR="00F84C9C" w:rsidRPr="00F84C9C" w:rsidRDefault="00F84C9C" w:rsidP="00F84C9C">
      <w:pPr>
        <w:rPr>
          <w:lang w:val="en" w:eastAsia="en-GB"/>
        </w:rPr>
      </w:pPr>
      <w:r w:rsidRPr="00F84C9C">
        <w:rPr>
          <w:lang w:val="en" w:eastAsia="en-GB"/>
        </w:rPr>
        <w:t xml:space="preserve">560315308644857 </w:t>
      </w:r>
    </w:p>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Contact</w:t>
      </w:r>
    </w:p>
    <w:p w:rsidR="00F84C9C" w:rsidRPr="00F84C9C" w:rsidRDefault="00F84C9C" w:rsidP="00F84C9C">
      <w:pPr>
        <w:spacing w:before="100" w:beforeAutospacing="1" w:after="100" w:afterAutospacing="1"/>
        <w:rPr>
          <w:lang w:val="en" w:eastAsia="en-GB"/>
        </w:rPr>
      </w:pPr>
      <w:proofErr w:type="spellStart"/>
      <w:r w:rsidRPr="00F84C9C">
        <w:rPr>
          <w:lang w:val="en" w:eastAsia="en-GB"/>
        </w:rPr>
        <w:t>Unifii</w:t>
      </w:r>
      <w:proofErr w:type="spellEnd"/>
      <w:r w:rsidRPr="00F84C9C">
        <w:rPr>
          <w:lang w:val="en" w:eastAsia="en-GB"/>
        </w:rPr>
        <w:t xml:space="preserve"> Ltd </w:t>
      </w:r>
    </w:p>
    <w:p w:rsidR="00F84C9C" w:rsidRPr="00F84C9C" w:rsidRDefault="00F84C9C" w:rsidP="00F84C9C">
      <w:pPr>
        <w:spacing w:before="100" w:beforeAutospacing="1" w:after="100" w:afterAutospacing="1"/>
        <w:rPr>
          <w:lang w:val="en" w:eastAsia="en-GB"/>
        </w:rPr>
      </w:pPr>
      <w:proofErr w:type="spellStart"/>
      <w:r w:rsidRPr="00F84C9C">
        <w:rPr>
          <w:lang w:val="en" w:eastAsia="en-GB"/>
        </w:rPr>
        <w:t>Unifii</w:t>
      </w:r>
      <w:proofErr w:type="spellEnd"/>
      <w:r w:rsidRPr="00F84C9C">
        <w:rPr>
          <w:lang w:val="en" w:eastAsia="en-GB"/>
        </w:rPr>
        <w:t xml:space="preserve"> Govt. Frameworks </w:t>
      </w:r>
    </w:p>
    <w:p w:rsidR="00F84C9C" w:rsidRPr="00F84C9C" w:rsidRDefault="00F84C9C" w:rsidP="00F84C9C">
      <w:pPr>
        <w:spacing w:before="100" w:beforeAutospacing="1" w:after="100" w:afterAutospacing="1"/>
        <w:rPr>
          <w:lang w:val="en" w:eastAsia="en-GB"/>
        </w:rPr>
      </w:pPr>
      <w:r w:rsidRPr="00F84C9C">
        <w:rPr>
          <w:lang w:val="en" w:eastAsia="en-GB"/>
        </w:rPr>
        <w:t xml:space="preserve">020 3961 6001 </w:t>
      </w:r>
    </w:p>
    <w:p w:rsidR="00F84C9C" w:rsidRPr="00F84C9C" w:rsidRDefault="0030670C" w:rsidP="00F84C9C">
      <w:pPr>
        <w:spacing w:before="100" w:beforeAutospacing="1" w:after="100" w:afterAutospacing="1"/>
        <w:rPr>
          <w:lang w:val="en" w:eastAsia="en-GB"/>
        </w:rPr>
      </w:pPr>
      <w:hyperlink r:id="rId8" w:history="1">
        <w:r w:rsidR="00F84C9C" w:rsidRPr="00F84C9C">
          <w:rPr>
            <w:color w:val="0000FF"/>
            <w:u w:val="single"/>
            <w:lang w:val="en" w:eastAsia="en-GB"/>
          </w:rPr>
          <w:t>info@unifii.co.uk</w:t>
        </w:r>
      </w:hyperlink>
      <w:r w:rsidR="00F84C9C" w:rsidRPr="00F84C9C">
        <w:rPr>
          <w:lang w:val="en" w:eastAsia="en-GB"/>
        </w:rPr>
        <w:t xml:space="preserve"> </w:t>
      </w:r>
    </w:p>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Service scope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8"/>
        <w:gridCol w:w="2788"/>
      </w:tblGrid>
      <w:tr w:rsidR="00F84C9C" w:rsidRPr="00F84C9C" w:rsidTr="00F84C9C">
        <w:trPr>
          <w:gridAfter w:val="1"/>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r w:rsidRPr="00F84C9C">
              <w:rPr>
                <w:lang w:eastAsia="en-GB"/>
              </w:rPr>
              <w:t xml:space="preserve">Service scope </w:t>
            </w:r>
          </w:p>
        </w:tc>
      </w:tr>
      <w:tr w:rsidR="00F84C9C" w:rsidRPr="00F84C9C" w:rsidTr="00F84C9C">
        <w:trPr>
          <w:gridAfter w:val="1"/>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Software add-on or extension </w:t>
            </w:r>
          </w:p>
        </w:tc>
        <w:tc>
          <w:tcPr>
            <w:tcW w:w="0" w:type="auto"/>
            <w:vAlign w:val="center"/>
            <w:hideMark/>
          </w:tcPr>
          <w:p w:rsidR="00F84C9C" w:rsidRPr="00F84C9C" w:rsidRDefault="00F84C9C" w:rsidP="00F84C9C">
            <w:pPr>
              <w:rPr>
                <w:lang w:eastAsia="en-GB"/>
              </w:rPr>
            </w:pPr>
            <w:r w:rsidRPr="00F84C9C">
              <w:rPr>
                <w:lang w:eastAsia="en-GB"/>
              </w:rPr>
              <w:t xml:space="preserve">No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Cloud deployment model </w:t>
            </w:r>
          </w:p>
        </w:tc>
        <w:tc>
          <w:tcPr>
            <w:tcW w:w="0" w:type="auto"/>
            <w:vAlign w:val="center"/>
            <w:hideMark/>
          </w:tcPr>
          <w:p w:rsidR="00F84C9C" w:rsidRPr="00F84C9C" w:rsidRDefault="00F84C9C" w:rsidP="00F84C9C">
            <w:pPr>
              <w:rPr>
                <w:lang w:eastAsia="en-GB"/>
              </w:rPr>
            </w:pPr>
            <w:r w:rsidRPr="00F84C9C">
              <w:rPr>
                <w:lang w:eastAsia="en-GB"/>
              </w:rPr>
              <w:t xml:space="preserve">Private cloud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Service constraints </w:t>
            </w:r>
          </w:p>
        </w:tc>
        <w:tc>
          <w:tcPr>
            <w:tcW w:w="0" w:type="auto"/>
            <w:vAlign w:val="center"/>
            <w:hideMark/>
          </w:tcPr>
          <w:p w:rsidR="00F84C9C" w:rsidRPr="00F84C9C" w:rsidRDefault="00F84C9C" w:rsidP="00F84C9C">
            <w:pPr>
              <w:rPr>
                <w:lang w:eastAsia="en-GB"/>
              </w:rPr>
            </w:pPr>
            <w:r w:rsidRPr="00F84C9C">
              <w:rPr>
                <w:lang w:eastAsia="en-GB"/>
              </w:rPr>
              <w:t xml:space="preserve">SLA Definitions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System requirements </w:t>
            </w:r>
          </w:p>
        </w:tc>
        <w:tc>
          <w:tcPr>
            <w:tcW w:w="0" w:type="auto"/>
            <w:vAlign w:val="center"/>
            <w:hideMark/>
          </w:tcPr>
          <w:p w:rsidR="00F84C9C" w:rsidRPr="00F84C9C" w:rsidRDefault="00F84C9C" w:rsidP="00F84C9C">
            <w:pPr>
              <w:numPr>
                <w:ilvl w:val="0"/>
                <w:numId w:val="4"/>
              </w:numPr>
              <w:spacing w:before="100" w:beforeAutospacing="1" w:after="100" w:afterAutospacing="1"/>
              <w:rPr>
                <w:lang w:eastAsia="en-GB"/>
              </w:rPr>
            </w:pPr>
            <w:r w:rsidRPr="00F84C9C">
              <w:rPr>
                <w:lang w:eastAsia="en-GB"/>
              </w:rPr>
              <w:t>Modern Browser</w:t>
            </w:r>
          </w:p>
          <w:p w:rsidR="00F84C9C" w:rsidRPr="00F84C9C" w:rsidRDefault="00F84C9C" w:rsidP="00F84C9C">
            <w:pPr>
              <w:numPr>
                <w:ilvl w:val="0"/>
                <w:numId w:val="4"/>
              </w:numPr>
              <w:spacing w:before="100" w:beforeAutospacing="1" w:after="100" w:afterAutospacing="1"/>
              <w:rPr>
                <w:lang w:eastAsia="en-GB"/>
              </w:rPr>
            </w:pPr>
            <w:r w:rsidRPr="00F84C9C">
              <w:rPr>
                <w:lang w:eastAsia="en-GB"/>
              </w:rPr>
              <w:t>ServiceNow License</w:t>
            </w:r>
          </w:p>
        </w:tc>
      </w:tr>
    </w:tbl>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User support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3"/>
        <w:gridCol w:w="5413"/>
      </w:tblGrid>
      <w:tr w:rsidR="00F84C9C" w:rsidRPr="00F84C9C" w:rsidTr="00F84C9C">
        <w:trPr>
          <w:gridAfter w:val="1"/>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r w:rsidRPr="00F84C9C">
              <w:rPr>
                <w:lang w:eastAsia="en-GB"/>
              </w:rPr>
              <w:t xml:space="preserve">User support </w:t>
            </w:r>
          </w:p>
        </w:tc>
      </w:tr>
      <w:tr w:rsidR="00F84C9C" w:rsidRPr="00F84C9C" w:rsidTr="00F84C9C">
        <w:trPr>
          <w:gridAfter w:val="1"/>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Email or online ticketing support </w:t>
            </w:r>
          </w:p>
        </w:tc>
        <w:tc>
          <w:tcPr>
            <w:tcW w:w="0" w:type="auto"/>
            <w:vAlign w:val="center"/>
            <w:hideMark/>
          </w:tcPr>
          <w:p w:rsidR="00F84C9C" w:rsidRPr="00F84C9C" w:rsidRDefault="00F84C9C" w:rsidP="00F84C9C">
            <w:pPr>
              <w:rPr>
                <w:lang w:eastAsia="en-GB"/>
              </w:rPr>
            </w:pPr>
            <w:r w:rsidRPr="00F84C9C">
              <w:rPr>
                <w:lang w:eastAsia="en-GB"/>
              </w:rPr>
              <w:t xml:space="preserve">Email or online ticketing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Support response times </w:t>
            </w:r>
          </w:p>
        </w:tc>
        <w:tc>
          <w:tcPr>
            <w:tcW w:w="0" w:type="auto"/>
            <w:vAlign w:val="center"/>
            <w:hideMark/>
          </w:tcPr>
          <w:p w:rsidR="00F84C9C" w:rsidRPr="00F84C9C" w:rsidRDefault="00F84C9C" w:rsidP="00F84C9C">
            <w:pPr>
              <w:rPr>
                <w:lang w:eastAsia="en-GB"/>
              </w:rPr>
            </w:pPr>
            <w:r w:rsidRPr="00F84C9C">
              <w:rPr>
                <w:lang w:eastAsia="en-GB"/>
              </w:rPr>
              <w:t xml:space="preserve">Depends upon nature of query, phase of project / ongoing support and type of support contract entered into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User can manage status and priority of support tickets </w:t>
            </w:r>
          </w:p>
        </w:tc>
        <w:tc>
          <w:tcPr>
            <w:tcW w:w="0" w:type="auto"/>
            <w:vAlign w:val="center"/>
            <w:hideMark/>
          </w:tcPr>
          <w:p w:rsidR="00F84C9C" w:rsidRPr="00F84C9C" w:rsidRDefault="00F84C9C" w:rsidP="00F84C9C">
            <w:pPr>
              <w:rPr>
                <w:lang w:eastAsia="en-GB"/>
              </w:rPr>
            </w:pPr>
            <w:r w:rsidRPr="00F84C9C">
              <w:rPr>
                <w:lang w:eastAsia="en-GB"/>
              </w:rPr>
              <w:t xml:space="preserve">Yes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Online ticketing support accessibility </w:t>
            </w:r>
          </w:p>
        </w:tc>
        <w:tc>
          <w:tcPr>
            <w:tcW w:w="0" w:type="auto"/>
            <w:vAlign w:val="center"/>
            <w:hideMark/>
          </w:tcPr>
          <w:p w:rsidR="00F84C9C" w:rsidRPr="00F84C9C" w:rsidRDefault="00F84C9C" w:rsidP="00F84C9C">
            <w:pPr>
              <w:rPr>
                <w:lang w:eastAsia="en-GB"/>
              </w:rPr>
            </w:pPr>
            <w:r w:rsidRPr="00F84C9C">
              <w:rPr>
                <w:lang w:eastAsia="en-GB"/>
              </w:rPr>
              <w:t xml:space="preserve">WCAG 2.1 AA or EN 301 549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Phone support </w:t>
            </w:r>
          </w:p>
        </w:tc>
        <w:tc>
          <w:tcPr>
            <w:tcW w:w="0" w:type="auto"/>
            <w:vAlign w:val="center"/>
            <w:hideMark/>
          </w:tcPr>
          <w:p w:rsidR="00F84C9C" w:rsidRPr="00F84C9C" w:rsidRDefault="00F84C9C" w:rsidP="00F84C9C">
            <w:pPr>
              <w:rPr>
                <w:lang w:eastAsia="en-GB"/>
              </w:rPr>
            </w:pPr>
            <w:r w:rsidRPr="00F84C9C">
              <w:rPr>
                <w:lang w:eastAsia="en-GB"/>
              </w:rPr>
              <w:t xml:space="preserve">No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Web chat support </w:t>
            </w:r>
          </w:p>
        </w:tc>
        <w:tc>
          <w:tcPr>
            <w:tcW w:w="0" w:type="auto"/>
            <w:vAlign w:val="center"/>
            <w:hideMark/>
          </w:tcPr>
          <w:p w:rsidR="00F84C9C" w:rsidRPr="00F84C9C" w:rsidRDefault="00F84C9C" w:rsidP="00F84C9C">
            <w:pPr>
              <w:rPr>
                <w:lang w:eastAsia="en-GB"/>
              </w:rPr>
            </w:pPr>
            <w:r w:rsidRPr="00F84C9C">
              <w:rPr>
                <w:lang w:eastAsia="en-GB"/>
              </w:rPr>
              <w:t xml:space="preserve">No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Onsite support </w:t>
            </w:r>
          </w:p>
        </w:tc>
        <w:tc>
          <w:tcPr>
            <w:tcW w:w="0" w:type="auto"/>
            <w:vAlign w:val="center"/>
            <w:hideMark/>
          </w:tcPr>
          <w:p w:rsidR="00F84C9C" w:rsidRPr="00F84C9C" w:rsidRDefault="00F84C9C" w:rsidP="00F84C9C">
            <w:pPr>
              <w:rPr>
                <w:lang w:eastAsia="en-GB"/>
              </w:rPr>
            </w:pPr>
            <w:r w:rsidRPr="00F84C9C">
              <w:rPr>
                <w:lang w:eastAsia="en-GB"/>
              </w:rPr>
              <w:t xml:space="preserve">Yes, at extra cost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Support levels </w:t>
            </w:r>
          </w:p>
        </w:tc>
        <w:tc>
          <w:tcPr>
            <w:tcW w:w="0" w:type="auto"/>
            <w:vAlign w:val="center"/>
            <w:hideMark/>
          </w:tcPr>
          <w:p w:rsidR="00F84C9C" w:rsidRPr="00F84C9C" w:rsidRDefault="00F84C9C" w:rsidP="00F84C9C">
            <w:pPr>
              <w:rPr>
                <w:lang w:eastAsia="en-GB"/>
              </w:rPr>
            </w:pPr>
            <w:r w:rsidRPr="00F84C9C">
              <w:rPr>
                <w:lang w:eastAsia="en-GB"/>
              </w:rPr>
              <w:t>ServiceNow provides Customer Support 24 hours a day, 7 days week, 365 days a year as part of the subscription cost.</w:t>
            </w:r>
            <w:r w:rsidRPr="00F84C9C">
              <w:rPr>
                <w:lang w:eastAsia="en-GB"/>
              </w:rPr>
              <w:br/>
            </w:r>
            <w:r w:rsidRPr="00F84C9C">
              <w:rPr>
                <w:lang w:eastAsia="en-GB"/>
              </w:rPr>
              <w:br/>
              <w:t xml:space="preserve">Additional Managed Support services can be purchased from Unifii via G-Cloud 11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Support available to third parties </w:t>
            </w:r>
          </w:p>
        </w:tc>
        <w:tc>
          <w:tcPr>
            <w:tcW w:w="0" w:type="auto"/>
            <w:vAlign w:val="center"/>
            <w:hideMark/>
          </w:tcPr>
          <w:p w:rsidR="00F84C9C" w:rsidRPr="00F84C9C" w:rsidRDefault="00F84C9C" w:rsidP="00F84C9C">
            <w:pPr>
              <w:rPr>
                <w:lang w:eastAsia="en-GB"/>
              </w:rPr>
            </w:pPr>
            <w:r w:rsidRPr="00F84C9C">
              <w:rPr>
                <w:lang w:eastAsia="en-GB"/>
              </w:rPr>
              <w:t xml:space="preserve">Yes </w:t>
            </w:r>
          </w:p>
        </w:tc>
      </w:tr>
    </w:tbl>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Onboarding and </w:t>
      </w:r>
      <w:proofErr w:type="spellStart"/>
      <w:r w:rsidRPr="00F84C9C">
        <w:rPr>
          <w:b/>
          <w:bCs/>
          <w:sz w:val="36"/>
          <w:szCs w:val="36"/>
          <w:lang w:val="en" w:eastAsia="en-GB"/>
        </w:rPr>
        <w:t>offboarding</w:t>
      </w:r>
      <w:proofErr w:type="spellEnd"/>
      <w:r w:rsidRPr="00F84C9C">
        <w:rPr>
          <w:b/>
          <w:bCs/>
          <w:sz w:val="36"/>
          <w:szCs w:val="36"/>
          <w:lang w:val="en" w:eastAsia="en-GB"/>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2"/>
        <w:gridCol w:w="6504"/>
      </w:tblGrid>
      <w:tr w:rsidR="00F84C9C" w:rsidRPr="00F84C9C" w:rsidTr="00F84C9C">
        <w:trPr>
          <w:gridAfter w:val="1"/>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proofErr w:type="spellStart"/>
            <w:r w:rsidRPr="00F84C9C">
              <w:rPr>
                <w:lang w:eastAsia="en-GB"/>
              </w:rPr>
              <w:t>Onboarding</w:t>
            </w:r>
            <w:proofErr w:type="spellEnd"/>
            <w:r w:rsidRPr="00F84C9C">
              <w:rPr>
                <w:lang w:eastAsia="en-GB"/>
              </w:rPr>
              <w:t xml:space="preserve"> and </w:t>
            </w:r>
            <w:proofErr w:type="spellStart"/>
            <w:r w:rsidRPr="00F84C9C">
              <w:rPr>
                <w:lang w:eastAsia="en-GB"/>
              </w:rPr>
              <w:t>offboarding</w:t>
            </w:r>
            <w:proofErr w:type="spellEnd"/>
            <w:r w:rsidRPr="00F84C9C">
              <w:rPr>
                <w:lang w:eastAsia="en-GB"/>
              </w:rPr>
              <w:t xml:space="preserve"> </w:t>
            </w:r>
          </w:p>
        </w:tc>
      </w:tr>
      <w:tr w:rsidR="00F84C9C" w:rsidRPr="00F84C9C" w:rsidTr="00F84C9C">
        <w:trPr>
          <w:gridAfter w:val="1"/>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Getting started </w:t>
            </w:r>
          </w:p>
        </w:tc>
        <w:tc>
          <w:tcPr>
            <w:tcW w:w="0" w:type="auto"/>
            <w:vAlign w:val="center"/>
            <w:hideMark/>
          </w:tcPr>
          <w:p w:rsidR="00F84C9C" w:rsidRPr="00F84C9C" w:rsidRDefault="00F84C9C" w:rsidP="00F84C9C">
            <w:pPr>
              <w:rPr>
                <w:lang w:eastAsia="en-GB"/>
              </w:rPr>
            </w:pPr>
            <w:r w:rsidRPr="00F84C9C">
              <w:rPr>
                <w:lang w:eastAsia="en-GB"/>
              </w:rPr>
              <w:t xml:space="preserve">Please see the Unifii implementation service definitions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Service documentation </w:t>
            </w:r>
          </w:p>
        </w:tc>
        <w:tc>
          <w:tcPr>
            <w:tcW w:w="0" w:type="auto"/>
            <w:vAlign w:val="center"/>
            <w:hideMark/>
          </w:tcPr>
          <w:p w:rsidR="00F84C9C" w:rsidRPr="00F84C9C" w:rsidRDefault="00F84C9C" w:rsidP="00F84C9C">
            <w:pPr>
              <w:rPr>
                <w:lang w:eastAsia="en-GB"/>
              </w:rPr>
            </w:pPr>
            <w:r w:rsidRPr="00F84C9C">
              <w:rPr>
                <w:lang w:eastAsia="en-GB"/>
              </w:rPr>
              <w:t xml:space="preserve">Yes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Documentation formats </w:t>
            </w:r>
          </w:p>
        </w:tc>
        <w:tc>
          <w:tcPr>
            <w:tcW w:w="0" w:type="auto"/>
            <w:vAlign w:val="center"/>
            <w:hideMark/>
          </w:tcPr>
          <w:p w:rsidR="00F84C9C" w:rsidRPr="00F84C9C" w:rsidRDefault="00F84C9C" w:rsidP="00F84C9C">
            <w:pPr>
              <w:numPr>
                <w:ilvl w:val="0"/>
                <w:numId w:val="5"/>
              </w:numPr>
              <w:spacing w:before="100" w:beforeAutospacing="1" w:after="100" w:afterAutospacing="1"/>
              <w:rPr>
                <w:lang w:eastAsia="en-GB"/>
              </w:rPr>
            </w:pPr>
            <w:r w:rsidRPr="00F84C9C">
              <w:rPr>
                <w:lang w:eastAsia="en-GB"/>
              </w:rPr>
              <w:t>HTML</w:t>
            </w:r>
          </w:p>
          <w:p w:rsidR="00F84C9C" w:rsidRPr="00F84C9C" w:rsidRDefault="00F84C9C" w:rsidP="00F84C9C">
            <w:pPr>
              <w:numPr>
                <w:ilvl w:val="0"/>
                <w:numId w:val="5"/>
              </w:numPr>
              <w:spacing w:before="100" w:beforeAutospacing="1" w:after="100" w:afterAutospacing="1"/>
              <w:rPr>
                <w:lang w:eastAsia="en-GB"/>
              </w:rPr>
            </w:pPr>
            <w:r w:rsidRPr="00F84C9C">
              <w:rPr>
                <w:lang w:eastAsia="en-GB"/>
              </w:rPr>
              <w:t>PDF</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End-of-contract data extraction </w:t>
            </w:r>
          </w:p>
        </w:tc>
        <w:tc>
          <w:tcPr>
            <w:tcW w:w="0" w:type="auto"/>
            <w:vAlign w:val="center"/>
            <w:hideMark/>
          </w:tcPr>
          <w:p w:rsidR="00F84C9C" w:rsidRPr="00F84C9C" w:rsidRDefault="00F84C9C" w:rsidP="00F84C9C">
            <w:pPr>
              <w:rPr>
                <w:lang w:eastAsia="en-GB"/>
              </w:rPr>
            </w:pPr>
            <w:r w:rsidRPr="00F84C9C">
              <w:rPr>
                <w:lang w:eastAsia="en-GB"/>
              </w:rPr>
              <w:t xml:space="preserve">The process for the return of data follows: 1) ServiceNow exports the entire database in a MySQL format. 2) ServiceNow provides the customer a set of instructions on how to import the data on the customer's side. 3) The customer can FTP the files from ServiceNow to their site. Customers are permitted to store data hosted within ServiceNow for the duration of their service subscription with ServiceNow. Under this model, the customer can purge or retain data according to their own retention policy. ServiceNow retains customer data for up to 45 days from the end of a contract. Within the 45 days, the customer can request their data to be sent to them in a standard database export format. After 45 days, all data from the customer instances is removed from ServiceNow servers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End-of-contract process </w:t>
            </w:r>
          </w:p>
        </w:tc>
        <w:tc>
          <w:tcPr>
            <w:tcW w:w="0" w:type="auto"/>
            <w:vAlign w:val="center"/>
            <w:hideMark/>
          </w:tcPr>
          <w:p w:rsidR="00F84C9C" w:rsidRPr="00F84C9C" w:rsidRDefault="00F84C9C" w:rsidP="00F84C9C">
            <w:pPr>
              <w:rPr>
                <w:lang w:eastAsia="en-GB"/>
              </w:rPr>
            </w:pPr>
            <w:r w:rsidRPr="00F84C9C">
              <w:rPr>
                <w:lang w:eastAsia="en-GB"/>
              </w:rPr>
              <w:t xml:space="preserve">ServiceNow has several options for an exit management plan. At least thirty (30) days prior to either the expiration of the Subscription Term (where the customer elects not to renew) or in connection with the termination by the customer of the Subscription Service in accordance with </w:t>
            </w:r>
            <w:proofErr w:type="spellStart"/>
            <w:r w:rsidRPr="00F84C9C">
              <w:rPr>
                <w:lang w:eastAsia="en-GB"/>
              </w:rPr>
              <w:t>ServiceNow's</w:t>
            </w:r>
            <w:proofErr w:type="spellEnd"/>
            <w:r w:rsidRPr="00F84C9C">
              <w:rPr>
                <w:lang w:eastAsia="en-GB"/>
              </w:rPr>
              <w:t xml:space="preserve"> General Terms and Conditions, the customer may purchase the following services: (</w:t>
            </w:r>
            <w:proofErr w:type="spellStart"/>
            <w:r w:rsidRPr="00F84C9C">
              <w:rPr>
                <w:lang w:eastAsia="en-GB"/>
              </w:rPr>
              <w:t>i</w:t>
            </w:r>
            <w:proofErr w:type="spellEnd"/>
            <w:r w:rsidRPr="00F84C9C">
              <w:rPr>
                <w:lang w:eastAsia="en-GB"/>
              </w:rPr>
              <w:t xml:space="preserve">) one (1) extension of the Subscription Service for up to six (6) months ("Transition Subscription Service"); and (ii) Professional Services. The customer pays in advance for the Transition Subscription Service at the monthly subscription fee rate charged to the customer in the expiring Order Form plus an additional ten percent (10%). The customer pre-pays for any Professional Services ordered during the transition period plus verifiable travel and expenses. The parties sign a mutually agreed upon Order Form setting forth the fees and purchased Subscription Service and Professional Services prior to the commencement of any Transition Subscription Service or Professional Services. ServiceNow can provide customer data in its standard database export format. </w:t>
            </w:r>
          </w:p>
        </w:tc>
      </w:tr>
    </w:tbl>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Using the service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7"/>
        <w:gridCol w:w="6049"/>
      </w:tblGrid>
      <w:tr w:rsidR="00F84C9C" w:rsidRPr="00F84C9C" w:rsidTr="00F84C9C">
        <w:trPr>
          <w:gridAfter w:val="1"/>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r w:rsidRPr="00F84C9C">
              <w:rPr>
                <w:lang w:eastAsia="en-GB"/>
              </w:rPr>
              <w:t xml:space="preserve">Using the service </w:t>
            </w:r>
          </w:p>
        </w:tc>
      </w:tr>
      <w:tr w:rsidR="00F84C9C" w:rsidRPr="00F84C9C" w:rsidTr="00F84C9C">
        <w:trPr>
          <w:gridAfter w:val="1"/>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Web browser interface </w:t>
            </w:r>
          </w:p>
        </w:tc>
        <w:tc>
          <w:tcPr>
            <w:tcW w:w="0" w:type="auto"/>
            <w:vAlign w:val="center"/>
            <w:hideMark/>
          </w:tcPr>
          <w:p w:rsidR="00F84C9C" w:rsidRPr="00F84C9C" w:rsidRDefault="00F84C9C" w:rsidP="00F84C9C">
            <w:pPr>
              <w:rPr>
                <w:lang w:eastAsia="en-GB"/>
              </w:rPr>
            </w:pPr>
            <w:r w:rsidRPr="00F84C9C">
              <w:rPr>
                <w:lang w:eastAsia="en-GB"/>
              </w:rPr>
              <w:t xml:space="preserve">Yes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Supported browsers </w:t>
            </w:r>
          </w:p>
        </w:tc>
        <w:tc>
          <w:tcPr>
            <w:tcW w:w="0" w:type="auto"/>
            <w:vAlign w:val="center"/>
            <w:hideMark/>
          </w:tcPr>
          <w:p w:rsidR="00F84C9C" w:rsidRPr="00F84C9C" w:rsidRDefault="00F84C9C" w:rsidP="00F84C9C">
            <w:pPr>
              <w:numPr>
                <w:ilvl w:val="0"/>
                <w:numId w:val="6"/>
              </w:numPr>
              <w:spacing w:before="100" w:beforeAutospacing="1" w:after="100" w:afterAutospacing="1"/>
              <w:rPr>
                <w:lang w:eastAsia="en-GB"/>
              </w:rPr>
            </w:pPr>
            <w:r w:rsidRPr="00F84C9C">
              <w:rPr>
                <w:lang w:eastAsia="en-GB"/>
              </w:rPr>
              <w:t>Internet Explorer 11</w:t>
            </w:r>
          </w:p>
          <w:p w:rsidR="00F84C9C" w:rsidRPr="00F84C9C" w:rsidRDefault="00F84C9C" w:rsidP="00F84C9C">
            <w:pPr>
              <w:numPr>
                <w:ilvl w:val="0"/>
                <w:numId w:val="6"/>
              </w:numPr>
              <w:spacing w:before="100" w:beforeAutospacing="1" w:after="100" w:afterAutospacing="1"/>
              <w:rPr>
                <w:lang w:eastAsia="en-GB"/>
              </w:rPr>
            </w:pPr>
            <w:r w:rsidRPr="00F84C9C">
              <w:rPr>
                <w:lang w:eastAsia="en-GB"/>
              </w:rPr>
              <w:t>Microsoft Edge</w:t>
            </w:r>
          </w:p>
          <w:p w:rsidR="00F84C9C" w:rsidRPr="00F84C9C" w:rsidRDefault="00F84C9C" w:rsidP="00F84C9C">
            <w:pPr>
              <w:numPr>
                <w:ilvl w:val="0"/>
                <w:numId w:val="6"/>
              </w:numPr>
              <w:spacing w:before="100" w:beforeAutospacing="1" w:after="100" w:afterAutospacing="1"/>
              <w:rPr>
                <w:lang w:eastAsia="en-GB"/>
              </w:rPr>
            </w:pPr>
            <w:r w:rsidRPr="00F84C9C">
              <w:rPr>
                <w:lang w:eastAsia="en-GB"/>
              </w:rPr>
              <w:t>Firefox</w:t>
            </w:r>
          </w:p>
          <w:p w:rsidR="00F84C9C" w:rsidRPr="00F84C9C" w:rsidRDefault="00F84C9C" w:rsidP="00F84C9C">
            <w:pPr>
              <w:numPr>
                <w:ilvl w:val="0"/>
                <w:numId w:val="6"/>
              </w:numPr>
              <w:spacing w:before="100" w:beforeAutospacing="1" w:after="100" w:afterAutospacing="1"/>
              <w:rPr>
                <w:lang w:eastAsia="en-GB"/>
              </w:rPr>
            </w:pPr>
            <w:r w:rsidRPr="00F84C9C">
              <w:rPr>
                <w:lang w:eastAsia="en-GB"/>
              </w:rPr>
              <w:t>Chrome</w:t>
            </w:r>
          </w:p>
          <w:p w:rsidR="00F84C9C" w:rsidRPr="00F84C9C" w:rsidRDefault="00F84C9C" w:rsidP="00F84C9C">
            <w:pPr>
              <w:numPr>
                <w:ilvl w:val="0"/>
                <w:numId w:val="6"/>
              </w:numPr>
              <w:spacing w:before="100" w:beforeAutospacing="1" w:after="100" w:afterAutospacing="1"/>
              <w:rPr>
                <w:lang w:eastAsia="en-GB"/>
              </w:rPr>
            </w:pPr>
            <w:r w:rsidRPr="00F84C9C">
              <w:rPr>
                <w:lang w:eastAsia="en-GB"/>
              </w:rPr>
              <w:t>Safari 9+</w:t>
            </w:r>
          </w:p>
          <w:p w:rsidR="00F84C9C" w:rsidRPr="00F84C9C" w:rsidRDefault="00F84C9C" w:rsidP="00F84C9C">
            <w:pPr>
              <w:numPr>
                <w:ilvl w:val="0"/>
                <w:numId w:val="6"/>
              </w:numPr>
              <w:spacing w:before="100" w:beforeAutospacing="1" w:after="100" w:afterAutospacing="1"/>
              <w:rPr>
                <w:lang w:eastAsia="en-GB"/>
              </w:rPr>
            </w:pPr>
            <w:r w:rsidRPr="00F84C9C">
              <w:rPr>
                <w:lang w:eastAsia="en-GB"/>
              </w:rPr>
              <w:t>Opera</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Application to install </w:t>
            </w:r>
          </w:p>
        </w:tc>
        <w:tc>
          <w:tcPr>
            <w:tcW w:w="0" w:type="auto"/>
            <w:vAlign w:val="center"/>
            <w:hideMark/>
          </w:tcPr>
          <w:p w:rsidR="00F84C9C" w:rsidRPr="00F84C9C" w:rsidRDefault="00F84C9C" w:rsidP="00F84C9C">
            <w:pPr>
              <w:rPr>
                <w:lang w:eastAsia="en-GB"/>
              </w:rPr>
            </w:pPr>
            <w:r w:rsidRPr="00F84C9C">
              <w:rPr>
                <w:lang w:eastAsia="en-GB"/>
              </w:rPr>
              <w:t xml:space="preserve">No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Designed for use on mobile devices </w:t>
            </w:r>
          </w:p>
        </w:tc>
        <w:tc>
          <w:tcPr>
            <w:tcW w:w="0" w:type="auto"/>
            <w:vAlign w:val="center"/>
            <w:hideMark/>
          </w:tcPr>
          <w:p w:rsidR="00F84C9C" w:rsidRPr="00F84C9C" w:rsidRDefault="00F84C9C" w:rsidP="00F84C9C">
            <w:pPr>
              <w:rPr>
                <w:lang w:eastAsia="en-GB"/>
              </w:rPr>
            </w:pPr>
            <w:r w:rsidRPr="00F84C9C">
              <w:rPr>
                <w:lang w:eastAsia="en-GB"/>
              </w:rPr>
              <w:t xml:space="preserve">Yes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Differences between the mobile and desktop service </w:t>
            </w:r>
          </w:p>
        </w:tc>
        <w:tc>
          <w:tcPr>
            <w:tcW w:w="0" w:type="auto"/>
            <w:vAlign w:val="center"/>
            <w:hideMark/>
          </w:tcPr>
          <w:p w:rsidR="00F84C9C" w:rsidRPr="00F84C9C" w:rsidRDefault="00F84C9C" w:rsidP="00F84C9C">
            <w:pPr>
              <w:rPr>
                <w:lang w:eastAsia="en-GB"/>
              </w:rPr>
            </w:pPr>
            <w:r w:rsidRPr="00F84C9C">
              <w:rPr>
                <w:lang w:eastAsia="en-GB"/>
              </w:rPr>
              <w:t xml:space="preserve">UI actions function the same on the mobile interface as on desktop interface, but are keyed off a different table. The mobile interface is a simplified version of the standard interface so not all operations are supported the same way.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Accessibility standards </w:t>
            </w:r>
          </w:p>
        </w:tc>
        <w:tc>
          <w:tcPr>
            <w:tcW w:w="0" w:type="auto"/>
            <w:vAlign w:val="center"/>
            <w:hideMark/>
          </w:tcPr>
          <w:p w:rsidR="00F84C9C" w:rsidRPr="00F84C9C" w:rsidRDefault="00F84C9C" w:rsidP="00F84C9C">
            <w:pPr>
              <w:rPr>
                <w:lang w:eastAsia="en-GB"/>
              </w:rPr>
            </w:pPr>
            <w:r w:rsidRPr="00F84C9C">
              <w:rPr>
                <w:lang w:eastAsia="en-GB"/>
              </w:rPr>
              <w:t xml:space="preserve">WCAG 2.1 AA or EN 301 549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Accessibility testing </w:t>
            </w:r>
          </w:p>
        </w:tc>
        <w:tc>
          <w:tcPr>
            <w:tcW w:w="0" w:type="auto"/>
            <w:vAlign w:val="center"/>
            <w:hideMark/>
          </w:tcPr>
          <w:p w:rsidR="00F84C9C" w:rsidRPr="00F84C9C" w:rsidRDefault="00F84C9C" w:rsidP="00F84C9C">
            <w:pPr>
              <w:rPr>
                <w:lang w:eastAsia="en-GB"/>
              </w:rPr>
            </w:pPr>
            <w:r w:rsidRPr="00F84C9C">
              <w:rPr>
                <w:lang w:eastAsia="en-GB"/>
              </w:rPr>
              <w:t xml:space="preserve">ServiceNow carry out this type of testing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API </w:t>
            </w:r>
          </w:p>
        </w:tc>
        <w:tc>
          <w:tcPr>
            <w:tcW w:w="0" w:type="auto"/>
            <w:vAlign w:val="center"/>
            <w:hideMark/>
          </w:tcPr>
          <w:p w:rsidR="00F84C9C" w:rsidRPr="00F84C9C" w:rsidRDefault="00F84C9C" w:rsidP="00F84C9C">
            <w:pPr>
              <w:rPr>
                <w:lang w:eastAsia="en-GB"/>
              </w:rPr>
            </w:pPr>
            <w:r w:rsidRPr="00F84C9C">
              <w:rPr>
                <w:lang w:eastAsia="en-GB"/>
              </w:rPr>
              <w:t xml:space="preserve">Yes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What users can and can't do using the API </w:t>
            </w:r>
          </w:p>
        </w:tc>
        <w:tc>
          <w:tcPr>
            <w:tcW w:w="0" w:type="auto"/>
            <w:vAlign w:val="center"/>
            <w:hideMark/>
          </w:tcPr>
          <w:p w:rsidR="00F84C9C" w:rsidRPr="00F84C9C" w:rsidRDefault="00F84C9C" w:rsidP="00F84C9C">
            <w:pPr>
              <w:rPr>
                <w:lang w:eastAsia="en-GB"/>
              </w:rPr>
            </w:pPr>
            <w:r w:rsidRPr="00F84C9C">
              <w:rPr>
                <w:lang w:eastAsia="en-GB"/>
              </w:rPr>
              <w:t xml:space="preserve">Native SOAP and REST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API documentation </w:t>
            </w:r>
          </w:p>
        </w:tc>
        <w:tc>
          <w:tcPr>
            <w:tcW w:w="0" w:type="auto"/>
            <w:vAlign w:val="center"/>
            <w:hideMark/>
          </w:tcPr>
          <w:p w:rsidR="00F84C9C" w:rsidRPr="00F84C9C" w:rsidRDefault="00F84C9C" w:rsidP="00F84C9C">
            <w:pPr>
              <w:rPr>
                <w:lang w:eastAsia="en-GB"/>
              </w:rPr>
            </w:pPr>
            <w:r w:rsidRPr="00F84C9C">
              <w:rPr>
                <w:lang w:eastAsia="en-GB"/>
              </w:rPr>
              <w:t xml:space="preserve">Yes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API documentation formats </w:t>
            </w:r>
          </w:p>
        </w:tc>
        <w:tc>
          <w:tcPr>
            <w:tcW w:w="0" w:type="auto"/>
            <w:vAlign w:val="center"/>
            <w:hideMark/>
          </w:tcPr>
          <w:p w:rsidR="00F84C9C" w:rsidRPr="00F84C9C" w:rsidRDefault="00F84C9C" w:rsidP="00F84C9C">
            <w:pPr>
              <w:rPr>
                <w:lang w:eastAsia="en-GB"/>
              </w:rPr>
            </w:pPr>
            <w:r w:rsidRPr="00F84C9C">
              <w:rPr>
                <w:lang w:eastAsia="en-GB"/>
              </w:rPr>
              <w:t xml:space="preserve">HTML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API sandbox or test environment </w:t>
            </w:r>
          </w:p>
        </w:tc>
        <w:tc>
          <w:tcPr>
            <w:tcW w:w="0" w:type="auto"/>
            <w:vAlign w:val="center"/>
            <w:hideMark/>
          </w:tcPr>
          <w:p w:rsidR="00F84C9C" w:rsidRPr="00F84C9C" w:rsidRDefault="00F84C9C" w:rsidP="00F84C9C">
            <w:pPr>
              <w:rPr>
                <w:lang w:eastAsia="en-GB"/>
              </w:rPr>
            </w:pPr>
            <w:r w:rsidRPr="00F84C9C">
              <w:rPr>
                <w:lang w:eastAsia="en-GB"/>
              </w:rPr>
              <w:t xml:space="preserve">Yes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Customisation available </w:t>
            </w:r>
          </w:p>
        </w:tc>
        <w:tc>
          <w:tcPr>
            <w:tcW w:w="0" w:type="auto"/>
            <w:vAlign w:val="center"/>
            <w:hideMark/>
          </w:tcPr>
          <w:p w:rsidR="00F84C9C" w:rsidRPr="00F84C9C" w:rsidRDefault="00F84C9C" w:rsidP="00F84C9C">
            <w:pPr>
              <w:rPr>
                <w:lang w:eastAsia="en-GB"/>
              </w:rPr>
            </w:pPr>
            <w:r w:rsidRPr="00F84C9C">
              <w:rPr>
                <w:lang w:eastAsia="en-GB"/>
              </w:rPr>
              <w:t xml:space="preserve">Yes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Description of customisation </w:t>
            </w:r>
          </w:p>
        </w:tc>
        <w:tc>
          <w:tcPr>
            <w:tcW w:w="0" w:type="auto"/>
            <w:vAlign w:val="center"/>
            <w:hideMark/>
          </w:tcPr>
          <w:p w:rsidR="00F84C9C" w:rsidRPr="00F84C9C" w:rsidRDefault="00F84C9C" w:rsidP="00F84C9C">
            <w:pPr>
              <w:rPr>
                <w:lang w:eastAsia="en-GB"/>
              </w:rPr>
            </w:pPr>
            <w:r w:rsidRPr="00F84C9C">
              <w:rPr>
                <w:lang w:eastAsia="en-GB"/>
              </w:rPr>
              <w:t xml:space="preserve">The whole platform can be configured to client needs </w:t>
            </w:r>
          </w:p>
        </w:tc>
      </w:tr>
    </w:tbl>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Scaling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5"/>
        <w:gridCol w:w="6221"/>
      </w:tblGrid>
      <w:tr w:rsidR="00F84C9C" w:rsidRPr="00F84C9C" w:rsidTr="00F84C9C">
        <w:trPr>
          <w:gridAfter w:val="1"/>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r w:rsidRPr="00F84C9C">
              <w:rPr>
                <w:lang w:eastAsia="en-GB"/>
              </w:rPr>
              <w:t xml:space="preserve">Scaling </w:t>
            </w:r>
          </w:p>
        </w:tc>
      </w:tr>
      <w:tr w:rsidR="00F84C9C" w:rsidRPr="00F84C9C" w:rsidTr="00F84C9C">
        <w:trPr>
          <w:gridAfter w:val="1"/>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Independence of resources </w:t>
            </w:r>
          </w:p>
        </w:tc>
        <w:tc>
          <w:tcPr>
            <w:tcW w:w="0" w:type="auto"/>
            <w:vAlign w:val="center"/>
            <w:hideMark/>
          </w:tcPr>
          <w:p w:rsidR="00F84C9C" w:rsidRPr="00F84C9C" w:rsidRDefault="00F84C9C" w:rsidP="00F84C9C">
            <w:pPr>
              <w:rPr>
                <w:lang w:eastAsia="en-GB"/>
              </w:rPr>
            </w:pPr>
            <w:r w:rsidRPr="00F84C9C">
              <w:rPr>
                <w:lang w:eastAsia="en-GB"/>
              </w:rPr>
              <w:t xml:space="preserve">Each ServiceNow instance is hosted in a single-tenant architecture on infrastructure scaled to meet SLAs </w:t>
            </w:r>
          </w:p>
        </w:tc>
      </w:tr>
    </w:tbl>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Analytics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8"/>
        <w:gridCol w:w="369"/>
      </w:tblGrid>
      <w:tr w:rsidR="00F84C9C" w:rsidRPr="00F84C9C" w:rsidTr="00F84C9C">
        <w:trPr>
          <w:gridAfter w:val="1"/>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r w:rsidRPr="00F84C9C">
              <w:rPr>
                <w:lang w:eastAsia="en-GB"/>
              </w:rPr>
              <w:t xml:space="preserve">Analytics </w:t>
            </w:r>
          </w:p>
        </w:tc>
      </w:tr>
      <w:tr w:rsidR="00F84C9C" w:rsidRPr="00F84C9C" w:rsidTr="00F84C9C">
        <w:trPr>
          <w:gridAfter w:val="1"/>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Service usage metrics </w:t>
            </w:r>
          </w:p>
        </w:tc>
        <w:tc>
          <w:tcPr>
            <w:tcW w:w="0" w:type="auto"/>
            <w:vAlign w:val="center"/>
            <w:hideMark/>
          </w:tcPr>
          <w:p w:rsidR="00F84C9C" w:rsidRPr="00F84C9C" w:rsidRDefault="00F84C9C" w:rsidP="00F84C9C">
            <w:pPr>
              <w:rPr>
                <w:lang w:eastAsia="en-GB"/>
              </w:rPr>
            </w:pPr>
            <w:r w:rsidRPr="00F84C9C">
              <w:rPr>
                <w:lang w:eastAsia="en-GB"/>
              </w:rPr>
              <w:t xml:space="preserve">No </w:t>
            </w:r>
          </w:p>
        </w:tc>
      </w:tr>
    </w:tbl>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Resellers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71"/>
        <w:gridCol w:w="4135"/>
      </w:tblGrid>
      <w:tr w:rsidR="00F84C9C" w:rsidRPr="00F84C9C" w:rsidTr="00F84C9C">
        <w:trPr>
          <w:gridAfter w:val="1"/>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r w:rsidRPr="00F84C9C">
              <w:rPr>
                <w:lang w:eastAsia="en-GB"/>
              </w:rPr>
              <w:t xml:space="preserve">Resellers </w:t>
            </w:r>
          </w:p>
        </w:tc>
      </w:tr>
      <w:tr w:rsidR="00F84C9C" w:rsidRPr="00F84C9C" w:rsidTr="00F84C9C">
        <w:trPr>
          <w:gridAfter w:val="1"/>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Supplier type </w:t>
            </w:r>
          </w:p>
        </w:tc>
        <w:tc>
          <w:tcPr>
            <w:tcW w:w="0" w:type="auto"/>
            <w:vAlign w:val="center"/>
            <w:hideMark/>
          </w:tcPr>
          <w:p w:rsidR="00F84C9C" w:rsidRPr="00F84C9C" w:rsidRDefault="00F84C9C" w:rsidP="00F84C9C">
            <w:pPr>
              <w:rPr>
                <w:lang w:eastAsia="en-GB"/>
              </w:rPr>
            </w:pPr>
            <w:r w:rsidRPr="00F84C9C">
              <w:rPr>
                <w:lang w:eastAsia="en-GB"/>
              </w:rPr>
              <w:t xml:space="preserve">Reseller providing extra features and support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Organisation whose services are being resold </w:t>
            </w:r>
          </w:p>
        </w:tc>
        <w:tc>
          <w:tcPr>
            <w:tcW w:w="0" w:type="auto"/>
            <w:vAlign w:val="center"/>
            <w:hideMark/>
          </w:tcPr>
          <w:p w:rsidR="00F84C9C" w:rsidRPr="00F84C9C" w:rsidRDefault="00F84C9C" w:rsidP="00F84C9C">
            <w:pPr>
              <w:rPr>
                <w:lang w:eastAsia="en-GB"/>
              </w:rPr>
            </w:pPr>
            <w:r w:rsidRPr="00F84C9C">
              <w:rPr>
                <w:lang w:eastAsia="en-GB"/>
              </w:rPr>
              <w:t xml:space="preserve">User Licenses </w:t>
            </w:r>
          </w:p>
        </w:tc>
      </w:tr>
    </w:tbl>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Staff security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1"/>
        <w:gridCol w:w="3008"/>
      </w:tblGrid>
      <w:tr w:rsidR="00F84C9C" w:rsidRPr="00F84C9C" w:rsidTr="00F84C9C">
        <w:trPr>
          <w:gridAfter w:val="1"/>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r w:rsidRPr="00F84C9C">
              <w:rPr>
                <w:lang w:eastAsia="en-GB"/>
              </w:rPr>
              <w:t xml:space="preserve">Staff security </w:t>
            </w:r>
          </w:p>
        </w:tc>
      </w:tr>
      <w:tr w:rsidR="00F84C9C" w:rsidRPr="00F84C9C" w:rsidTr="00F84C9C">
        <w:trPr>
          <w:gridAfter w:val="1"/>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Staff security clearance </w:t>
            </w:r>
          </w:p>
        </w:tc>
        <w:tc>
          <w:tcPr>
            <w:tcW w:w="0" w:type="auto"/>
            <w:vAlign w:val="center"/>
            <w:hideMark/>
          </w:tcPr>
          <w:p w:rsidR="00F84C9C" w:rsidRPr="00F84C9C" w:rsidRDefault="00F84C9C" w:rsidP="00F84C9C">
            <w:pPr>
              <w:rPr>
                <w:lang w:eastAsia="en-GB"/>
              </w:rPr>
            </w:pPr>
            <w:r w:rsidRPr="00F84C9C">
              <w:rPr>
                <w:lang w:eastAsia="en-GB"/>
              </w:rPr>
              <w:t xml:space="preserve">Conforms to BS7858:2012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Government security clearance </w:t>
            </w:r>
          </w:p>
        </w:tc>
        <w:tc>
          <w:tcPr>
            <w:tcW w:w="0" w:type="auto"/>
            <w:vAlign w:val="center"/>
            <w:hideMark/>
          </w:tcPr>
          <w:p w:rsidR="00F84C9C" w:rsidRPr="00F84C9C" w:rsidRDefault="00F84C9C" w:rsidP="00F84C9C">
            <w:pPr>
              <w:rPr>
                <w:lang w:eastAsia="en-GB"/>
              </w:rPr>
            </w:pPr>
            <w:r w:rsidRPr="00F84C9C">
              <w:rPr>
                <w:lang w:eastAsia="en-GB"/>
              </w:rPr>
              <w:t xml:space="preserve">Up to Security Clearance (SC) </w:t>
            </w:r>
          </w:p>
        </w:tc>
      </w:tr>
    </w:tbl>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Asset protection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3"/>
        <w:gridCol w:w="6493"/>
      </w:tblGrid>
      <w:tr w:rsidR="00F84C9C" w:rsidRPr="00F84C9C" w:rsidTr="00F84C9C">
        <w:trPr>
          <w:gridAfter w:val="1"/>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r w:rsidRPr="00F84C9C">
              <w:rPr>
                <w:lang w:eastAsia="en-GB"/>
              </w:rPr>
              <w:t xml:space="preserve">Asset protection </w:t>
            </w:r>
          </w:p>
        </w:tc>
      </w:tr>
      <w:tr w:rsidR="00F84C9C" w:rsidRPr="00F84C9C" w:rsidTr="00F84C9C">
        <w:trPr>
          <w:gridAfter w:val="1"/>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Knowledge of data storage and processing locations </w:t>
            </w:r>
          </w:p>
        </w:tc>
        <w:tc>
          <w:tcPr>
            <w:tcW w:w="0" w:type="auto"/>
            <w:vAlign w:val="center"/>
            <w:hideMark/>
          </w:tcPr>
          <w:p w:rsidR="00F84C9C" w:rsidRPr="00F84C9C" w:rsidRDefault="00F84C9C" w:rsidP="00F84C9C">
            <w:pPr>
              <w:rPr>
                <w:lang w:eastAsia="en-GB"/>
              </w:rPr>
            </w:pPr>
            <w:r w:rsidRPr="00F84C9C">
              <w:rPr>
                <w:lang w:eastAsia="en-GB"/>
              </w:rPr>
              <w:t xml:space="preserve">Yes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Data storage and processing locations </w:t>
            </w:r>
          </w:p>
        </w:tc>
        <w:tc>
          <w:tcPr>
            <w:tcW w:w="0" w:type="auto"/>
            <w:vAlign w:val="center"/>
            <w:hideMark/>
          </w:tcPr>
          <w:p w:rsidR="00F84C9C" w:rsidRPr="00F84C9C" w:rsidRDefault="00F84C9C" w:rsidP="00F84C9C">
            <w:pPr>
              <w:numPr>
                <w:ilvl w:val="0"/>
                <w:numId w:val="7"/>
              </w:numPr>
              <w:spacing w:before="100" w:beforeAutospacing="1" w:after="100" w:afterAutospacing="1"/>
              <w:rPr>
                <w:lang w:eastAsia="en-GB"/>
              </w:rPr>
            </w:pPr>
            <w:r w:rsidRPr="00F84C9C">
              <w:rPr>
                <w:lang w:eastAsia="en-GB"/>
              </w:rPr>
              <w:t>United Kingdom</w:t>
            </w:r>
          </w:p>
          <w:p w:rsidR="00F84C9C" w:rsidRPr="00F84C9C" w:rsidRDefault="00F84C9C" w:rsidP="00F84C9C">
            <w:pPr>
              <w:numPr>
                <w:ilvl w:val="0"/>
                <w:numId w:val="7"/>
              </w:numPr>
              <w:spacing w:before="100" w:beforeAutospacing="1" w:after="100" w:afterAutospacing="1"/>
              <w:rPr>
                <w:lang w:eastAsia="en-GB"/>
              </w:rPr>
            </w:pPr>
            <w:r w:rsidRPr="00F84C9C">
              <w:rPr>
                <w:lang w:eastAsia="en-GB"/>
              </w:rPr>
              <w:t>European Economic Area (EEA)</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User control over data storage and processing locations </w:t>
            </w:r>
          </w:p>
        </w:tc>
        <w:tc>
          <w:tcPr>
            <w:tcW w:w="0" w:type="auto"/>
            <w:vAlign w:val="center"/>
            <w:hideMark/>
          </w:tcPr>
          <w:p w:rsidR="00F84C9C" w:rsidRPr="00F84C9C" w:rsidRDefault="00F84C9C" w:rsidP="00F84C9C">
            <w:pPr>
              <w:rPr>
                <w:lang w:eastAsia="en-GB"/>
              </w:rPr>
            </w:pPr>
            <w:r w:rsidRPr="00F84C9C">
              <w:rPr>
                <w:lang w:eastAsia="en-GB"/>
              </w:rPr>
              <w:t xml:space="preserve">No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Datacentre security standards </w:t>
            </w:r>
          </w:p>
        </w:tc>
        <w:tc>
          <w:tcPr>
            <w:tcW w:w="0" w:type="auto"/>
            <w:vAlign w:val="center"/>
            <w:hideMark/>
          </w:tcPr>
          <w:p w:rsidR="00F84C9C" w:rsidRPr="00F84C9C" w:rsidRDefault="00F84C9C" w:rsidP="00F84C9C">
            <w:pPr>
              <w:rPr>
                <w:lang w:eastAsia="en-GB"/>
              </w:rPr>
            </w:pPr>
            <w:r w:rsidRPr="00F84C9C">
              <w:rPr>
                <w:lang w:eastAsia="en-GB"/>
              </w:rPr>
              <w:t xml:space="preserve">Complies with a recognised standard (for example CSA CCM version 3.0)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Penetration testing frequency </w:t>
            </w:r>
          </w:p>
        </w:tc>
        <w:tc>
          <w:tcPr>
            <w:tcW w:w="0" w:type="auto"/>
            <w:vAlign w:val="center"/>
            <w:hideMark/>
          </w:tcPr>
          <w:p w:rsidR="00F84C9C" w:rsidRPr="00F84C9C" w:rsidRDefault="00F84C9C" w:rsidP="00F84C9C">
            <w:pPr>
              <w:rPr>
                <w:lang w:eastAsia="en-GB"/>
              </w:rPr>
            </w:pPr>
            <w:r w:rsidRPr="00F84C9C">
              <w:rPr>
                <w:lang w:eastAsia="en-GB"/>
              </w:rPr>
              <w:t xml:space="preserve">At least once a year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Penetration testing approach </w:t>
            </w:r>
          </w:p>
        </w:tc>
        <w:tc>
          <w:tcPr>
            <w:tcW w:w="0" w:type="auto"/>
            <w:vAlign w:val="center"/>
            <w:hideMark/>
          </w:tcPr>
          <w:p w:rsidR="00F84C9C" w:rsidRPr="00F84C9C" w:rsidRDefault="00F84C9C" w:rsidP="00F84C9C">
            <w:pPr>
              <w:rPr>
                <w:lang w:eastAsia="en-GB"/>
              </w:rPr>
            </w:pPr>
            <w:r w:rsidRPr="00F84C9C">
              <w:rPr>
                <w:lang w:eastAsia="en-GB"/>
              </w:rPr>
              <w:t xml:space="preserve">Another external penetration testing organisation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Protecting data at rest </w:t>
            </w:r>
          </w:p>
        </w:tc>
        <w:tc>
          <w:tcPr>
            <w:tcW w:w="0" w:type="auto"/>
            <w:vAlign w:val="center"/>
            <w:hideMark/>
          </w:tcPr>
          <w:p w:rsidR="00F84C9C" w:rsidRPr="00F84C9C" w:rsidRDefault="00F84C9C" w:rsidP="00F84C9C">
            <w:pPr>
              <w:rPr>
                <w:lang w:eastAsia="en-GB"/>
              </w:rPr>
            </w:pPr>
            <w:r w:rsidRPr="00F84C9C">
              <w:rPr>
                <w:lang w:eastAsia="en-GB"/>
              </w:rPr>
              <w:t xml:space="preserve">Other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Other data at rest protection approach </w:t>
            </w:r>
          </w:p>
        </w:tc>
        <w:tc>
          <w:tcPr>
            <w:tcW w:w="0" w:type="auto"/>
            <w:vAlign w:val="center"/>
            <w:hideMark/>
          </w:tcPr>
          <w:p w:rsidR="00F84C9C" w:rsidRPr="00F84C9C" w:rsidRDefault="00F84C9C" w:rsidP="00F84C9C">
            <w:pPr>
              <w:rPr>
                <w:lang w:eastAsia="en-GB"/>
              </w:rPr>
            </w:pPr>
            <w:r w:rsidRPr="00F84C9C">
              <w:rPr>
                <w:lang w:eastAsia="en-GB"/>
              </w:rPr>
              <w:t>ServiceNow provides two types of encryption for data at rest upon customer request.</w:t>
            </w:r>
            <w:r w:rsidRPr="00F84C9C">
              <w:rPr>
                <w:lang w:eastAsia="en-GB"/>
              </w:rPr>
              <w:br/>
              <w:t>•Column encryption of customer added fields and attachments: Provides data encryption using AES128/256 or 3DES symmetric key encryption. The customer provides keys for encryption. Data stored in these fields cannot be searched or reported on.</w:t>
            </w:r>
            <w:r w:rsidRPr="00F84C9C">
              <w:rPr>
                <w:lang w:eastAsia="en-GB"/>
              </w:rPr>
              <w:br/>
              <w:t>More details available on request</w:t>
            </w:r>
            <w:r w:rsidRPr="00F84C9C">
              <w:rPr>
                <w:lang w:eastAsia="en-GB"/>
              </w:rPr>
              <w:br/>
              <w:t xml:space="preserve">•Full disk </w:t>
            </w:r>
            <w:proofErr w:type="spellStart"/>
            <w:r w:rsidRPr="00F84C9C">
              <w:rPr>
                <w:lang w:eastAsia="en-GB"/>
              </w:rPr>
              <w:t>encryption:Provided</w:t>
            </w:r>
            <w:proofErr w:type="spellEnd"/>
            <w:r w:rsidRPr="00F84C9C">
              <w:rPr>
                <w:lang w:eastAsia="en-GB"/>
              </w:rPr>
              <w:t xml:space="preserve"> via self-encrypting hard drives with AES256 bit encryption. This capability is only available through purchase of dedicated ServiceNow hardware at additional cost. This delivers “at-rest” protection only and focuses solely on preventing data exposure through the loss/theft of hard disks holding customer data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Data sanitisation process </w:t>
            </w:r>
          </w:p>
        </w:tc>
        <w:tc>
          <w:tcPr>
            <w:tcW w:w="0" w:type="auto"/>
            <w:vAlign w:val="center"/>
            <w:hideMark/>
          </w:tcPr>
          <w:p w:rsidR="00F84C9C" w:rsidRPr="00F84C9C" w:rsidRDefault="00F84C9C" w:rsidP="00F84C9C">
            <w:pPr>
              <w:rPr>
                <w:lang w:eastAsia="en-GB"/>
              </w:rPr>
            </w:pPr>
            <w:r w:rsidRPr="00F84C9C">
              <w:rPr>
                <w:lang w:eastAsia="en-GB"/>
              </w:rPr>
              <w:t xml:space="preserve">Yes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Data sanitisation type </w:t>
            </w:r>
          </w:p>
        </w:tc>
        <w:tc>
          <w:tcPr>
            <w:tcW w:w="0" w:type="auto"/>
            <w:vAlign w:val="center"/>
            <w:hideMark/>
          </w:tcPr>
          <w:p w:rsidR="00F84C9C" w:rsidRPr="00F84C9C" w:rsidRDefault="00F84C9C" w:rsidP="00F84C9C">
            <w:pPr>
              <w:rPr>
                <w:lang w:eastAsia="en-GB"/>
              </w:rPr>
            </w:pPr>
            <w:r w:rsidRPr="00F84C9C">
              <w:rPr>
                <w:lang w:eastAsia="en-GB"/>
              </w:rPr>
              <w:t xml:space="preserve">Explicit overwriting of storage before reallocation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Equipment disposal approach </w:t>
            </w:r>
          </w:p>
        </w:tc>
        <w:tc>
          <w:tcPr>
            <w:tcW w:w="0" w:type="auto"/>
            <w:vAlign w:val="center"/>
            <w:hideMark/>
          </w:tcPr>
          <w:p w:rsidR="00F84C9C" w:rsidRPr="00F84C9C" w:rsidRDefault="00F84C9C" w:rsidP="00F84C9C">
            <w:pPr>
              <w:rPr>
                <w:lang w:eastAsia="en-GB"/>
              </w:rPr>
            </w:pPr>
            <w:r w:rsidRPr="00F84C9C">
              <w:rPr>
                <w:lang w:eastAsia="en-GB"/>
              </w:rPr>
              <w:t xml:space="preserve">In-house destruction process </w:t>
            </w:r>
          </w:p>
        </w:tc>
      </w:tr>
    </w:tbl>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Data importing and exporting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2"/>
        <w:gridCol w:w="2062"/>
      </w:tblGrid>
      <w:tr w:rsidR="00F84C9C" w:rsidRPr="00F84C9C" w:rsidTr="00F84C9C">
        <w:trPr>
          <w:gridAfter w:val="1"/>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r w:rsidRPr="00F84C9C">
              <w:rPr>
                <w:lang w:eastAsia="en-GB"/>
              </w:rPr>
              <w:t xml:space="preserve">Data importing and exporting </w:t>
            </w:r>
          </w:p>
        </w:tc>
      </w:tr>
      <w:tr w:rsidR="00F84C9C" w:rsidRPr="00F84C9C" w:rsidTr="00F84C9C">
        <w:trPr>
          <w:gridAfter w:val="1"/>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Data export approach </w:t>
            </w:r>
          </w:p>
        </w:tc>
        <w:tc>
          <w:tcPr>
            <w:tcW w:w="0" w:type="auto"/>
            <w:vAlign w:val="center"/>
            <w:hideMark/>
          </w:tcPr>
          <w:p w:rsidR="00F84C9C" w:rsidRPr="00F84C9C" w:rsidRDefault="00F84C9C" w:rsidP="00F84C9C">
            <w:pPr>
              <w:rPr>
                <w:lang w:eastAsia="en-GB"/>
              </w:rPr>
            </w:pPr>
            <w:r w:rsidRPr="00F84C9C">
              <w:rPr>
                <w:lang w:eastAsia="en-GB"/>
              </w:rPr>
              <w:t xml:space="preserve">Excel, CSV or XML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Data export formats </w:t>
            </w:r>
          </w:p>
        </w:tc>
        <w:tc>
          <w:tcPr>
            <w:tcW w:w="0" w:type="auto"/>
            <w:vAlign w:val="center"/>
            <w:hideMark/>
          </w:tcPr>
          <w:p w:rsidR="00F84C9C" w:rsidRPr="00F84C9C" w:rsidRDefault="00F84C9C" w:rsidP="00F84C9C">
            <w:pPr>
              <w:numPr>
                <w:ilvl w:val="0"/>
                <w:numId w:val="8"/>
              </w:numPr>
              <w:spacing w:before="100" w:beforeAutospacing="1" w:after="100" w:afterAutospacing="1"/>
              <w:rPr>
                <w:lang w:eastAsia="en-GB"/>
              </w:rPr>
            </w:pPr>
            <w:r w:rsidRPr="00F84C9C">
              <w:rPr>
                <w:lang w:eastAsia="en-GB"/>
              </w:rPr>
              <w:t>CSV</w:t>
            </w:r>
          </w:p>
          <w:p w:rsidR="00F84C9C" w:rsidRPr="00F84C9C" w:rsidRDefault="00F84C9C" w:rsidP="00F84C9C">
            <w:pPr>
              <w:numPr>
                <w:ilvl w:val="0"/>
                <w:numId w:val="8"/>
              </w:numPr>
              <w:spacing w:before="100" w:beforeAutospacing="1" w:after="100" w:afterAutospacing="1"/>
              <w:rPr>
                <w:lang w:eastAsia="en-GB"/>
              </w:rPr>
            </w:pPr>
            <w:r w:rsidRPr="00F84C9C">
              <w:rPr>
                <w:lang w:eastAsia="en-GB"/>
              </w:rPr>
              <w:t>Other</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Data import formats </w:t>
            </w:r>
          </w:p>
        </w:tc>
        <w:tc>
          <w:tcPr>
            <w:tcW w:w="0" w:type="auto"/>
            <w:vAlign w:val="center"/>
            <w:hideMark/>
          </w:tcPr>
          <w:p w:rsidR="00F84C9C" w:rsidRPr="00F84C9C" w:rsidRDefault="00F84C9C" w:rsidP="00F84C9C">
            <w:pPr>
              <w:numPr>
                <w:ilvl w:val="0"/>
                <w:numId w:val="9"/>
              </w:numPr>
              <w:spacing w:before="100" w:beforeAutospacing="1" w:after="100" w:afterAutospacing="1"/>
              <w:rPr>
                <w:lang w:eastAsia="en-GB"/>
              </w:rPr>
            </w:pPr>
            <w:r w:rsidRPr="00F84C9C">
              <w:rPr>
                <w:lang w:eastAsia="en-GB"/>
              </w:rPr>
              <w:t>CSV</w:t>
            </w:r>
          </w:p>
          <w:p w:rsidR="00F84C9C" w:rsidRPr="00F84C9C" w:rsidRDefault="00F84C9C" w:rsidP="00F84C9C">
            <w:pPr>
              <w:numPr>
                <w:ilvl w:val="0"/>
                <w:numId w:val="9"/>
              </w:numPr>
              <w:spacing w:before="100" w:beforeAutospacing="1" w:after="100" w:afterAutospacing="1"/>
              <w:rPr>
                <w:lang w:eastAsia="en-GB"/>
              </w:rPr>
            </w:pPr>
            <w:r w:rsidRPr="00F84C9C">
              <w:rPr>
                <w:lang w:eastAsia="en-GB"/>
              </w:rPr>
              <w:t>Other</w:t>
            </w:r>
          </w:p>
        </w:tc>
      </w:tr>
    </w:tbl>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Data-in-transit protection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07"/>
        <w:gridCol w:w="2682"/>
      </w:tblGrid>
      <w:tr w:rsidR="00F84C9C" w:rsidRPr="00F84C9C" w:rsidTr="00F84C9C">
        <w:trPr>
          <w:gridAfter w:val="1"/>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r w:rsidRPr="00F84C9C">
              <w:rPr>
                <w:lang w:eastAsia="en-GB"/>
              </w:rPr>
              <w:t xml:space="preserve">Data-in-transit protection </w:t>
            </w:r>
          </w:p>
        </w:tc>
      </w:tr>
      <w:tr w:rsidR="00F84C9C" w:rsidRPr="00F84C9C" w:rsidTr="00F84C9C">
        <w:trPr>
          <w:gridAfter w:val="1"/>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Data protection between buyer and supplier networks </w:t>
            </w:r>
          </w:p>
        </w:tc>
        <w:tc>
          <w:tcPr>
            <w:tcW w:w="0" w:type="auto"/>
            <w:vAlign w:val="center"/>
            <w:hideMark/>
          </w:tcPr>
          <w:p w:rsidR="00F84C9C" w:rsidRPr="00F84C9C" w:rsidRDefault="00F84C9C" w:rsidP="00F84C9C">
            <w:pPr>
              <w:rPr>
                <w:lang w:eastAsia="en-GB"/>
              </w:rPr>
            </w:pPr>
            <w:r w:rsidRPr="00F84C9C">
              <w:rPr>
                <w:lang w:eastAsia="en-GB"/>
              </w:rPr>
              <w:t xml:space="preserve">TLS (version 1.2 or above)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Data protection within supplier network </w:t>
            </w:r>
          </w:p>
        </w:tc>
        <w:tc>
          <w:tcPr>
            <w:tcW w:w="0" w:type="auto"/>
            <w:vAlign w:val="center"/>
            <w:hideMark/>
          </w:tcPr>
          <w:p w:rsidR="00F84C9C" w:rsidRPr="00F84C9C" w:rsidRDefault="00F84C9C" w:rsidP="00F84C9C">
            <w:pPr>
              <w:rPr>
                <w:lang w:eastAsia="en-GB"/>
              </w:rPr>
            </w:pPr>
            <w:r w:rsidRPr="00F84C9C">
              <w:rPr>
                <w:lang w:eastAsia="en-GB"/>
              </w:rPr>
              <w:t xml:space="preserve">TLS (version 1.2 or above) </w:t>
            </w:r>
          </w:p>
        </w:tc>
      </w:tr>
    </w:tbl>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Availability and resilience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9"/>
        <w:gridCol w:w="6837"/>
      </w:tblGrid>
      <w:tr w:rsidR="00F84C9C" w:rsidRPr="00F84C9C" w:rsidTr="00F84C9C">
        <w:trPr>
          <w:gridAfter w:val="1"/>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r w:rsidRPr="00F84C9C">
              <w:rPr>
                <w:lang w:eastAsia="en-GB"/>
              </w:rPr>
              <w:t xml:space="preserve">Availability and resilience </w:t>
            </w:r>
          </w:p>
        </w:tc>
      </w:tr>
      <w:tr w:rsidR="00F84C9C" w:rsidRPr="00F84C9C" w:rsidTr="00F84C9C">
        <w:trPr>
          <w:gridAfter w:val="1"/>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Guaranteed availability </w:t>
            </w:r>
          </w:p>
        </w:tc>
        <w:tc>
          <w:tcPr>
            <w:tcW w:w="0" w:type="auto"/>
            <w:vAlign w:val="center"/>
            <w:hideMark/>
          </w:tcPr>
          <w:p w:rsidR="00F84C9C" w:rsidRPr="00F84C9C" w:rsidRDefault="00F84C9C" w:rsidP="00F84C9C">
            <w:pPr>
              <w:rPr>
                <w:lang w:eastAsia="en-GB"/>
              </w:rPr>
            </w:pPr>
            <w:r w:rsidRPr="00F84C9C">
              <w:rPr>
                <w:lang w:eastAsia="en-GB"/>
              </w:rPr>
              <w:t xml:space="preserve">ServiceNow provides 99.8% availability (calculated monthly) for production instances. This design includes redundancy and fault tolerance of the entire ServiceNow application and platform stack, including electrical, cooling, network, security, and server infrastructure. Over the last 3 years (2014-2016), we have averaged 99.995% availability and have not fallen below 99.8% (contract SLA) in any quarter. In 2016 we averaged 99.996% and did not fall below 99.8% in any quarter.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Approach to resilience </w:t>
            </w:r>
          </w:p>
        </w:tc>
        <w:tc>
          <w:tcPr>
            <w:tcW w:w="0" w:type="auto"/>
            <w:vAlign w:val="center"/>
            <w:hideMark/>
          </w:tcPr>
          <w:p w:rsidR="00F84C9C" w:rsidRPr="00F84C9C" w:rsidRDefault="00F84C9C" w:rsidP="00F84C9C">
            <w:pPr>
              <w:rPr>
                <w:lang w:eastAsia="en-GB"/>
              </w:rPr>
            </w:pPr>
            <w:proofErr w:type="spellStart"/>
            <w:r w:rsidRPr="00F84C9C">
              <w:rPr>
                <w:lang w:eastAsia="en-GB"/>
              </w:rPr>
              <w:t>ServiceNow’s</w:t>
            </w:r>
            <w:proofErr w:type="spellEnd"/>
            <w:r w:rsidRPr="00F84C9C">
              <w:rPr>
                <w:lang w:eastAsia="en-GB"/>
              </w:rPr>
              <w:t xml:space="preserve"> data </w:t>
            </w:r>
            <w:proofErr w:type="spellStart"/>
            <w:r w:rsidRPr="00F84C9C">
              <w:rPr>
                <w:lang w:eastAsia="en-GB"/>
              </w:rPr>
              <w:t>centers</w:t>
            </w:r>
            <w:proofErr w:type="spellEnd"/>
            <w:r w:rsidRPr="00F84C9C">
              <w:rPr>
                <w:lang w:eastAsia="en-GB"/>
              </w:rPr>
              <w:t xml:space="preserve"> are arranged in pairs. All customer production data is stored in both data </w:t>
            </w:r>
            <w:proofErr w:type="spellStart"/>
            <w:r w:rsidRPr="00F84C9C">
              <w:rPr>
                <w:lang w:eastAsia="en-GB"/>
              </w:rPr>
              <w:t>centers</w:t>
            </w:r>
            <w:proofErr w:type="spellEnd"/>
            <w:r w:rsidRPr="00F84C9C">
              <w:rPr>
                <w:lang w:eastAsia="en-GB"/>
              </w:rPr>
              <w:t xml:space="preserve"> and kept in sync using asynchronous database replication. Both data </w:t>
            </w:r>
            <w:proofErr w:type="spellStart"/>
            <w:r w:rsidRPr="00F84C9C">
              <w:rPr>
                <w:lang w:eastAsia="en-GB"/>
              </w:rPr>
              <w:t>centers</w:t>
            </w:r>
            <w:proofErr w:type="spellEnd"/>
            <w:r w:rsidRPr="00F84C9C">
              <w:rPr>
                <w:lang w:eastAsia="en-GB"/>
              </w:rPr>
              <w:t xml:space="preserve"> are active at all times, each with the ability to support the combined production load of the pair. A production instance from one customer may be operating out of one data </w:t>
            </w:r>
            <w:proofErr w:type="spellStart"/>
            <w:r w:rsidRPr="00F84C9C">
              <w:rPr>
                <w:lang w:eastAsia="en-GB"/>
              </w:rPr>
              <w:t>center</w:t>
            </w:r>
            <w:proofErr w:type="spellEnd"/>
            <w:r w:rsidRPr="00F84C9C">
              <w:rPr>
                <w:lang w:eastAsia="en-GB"/>
              </w:rPr>
              <w:t xml:space="preserve"> in the pair and a production instance of another customer from the other.</w:t>
            </w:r>
            <w:r w:rsidRPr="00F84C9C">
              <w:rPr>
                <w:lang w:eastAsia="en-GB"/>
              </w:rPr>
              <w:br/>
              <w:t>More details available on request.</w:t>
            </w:r>
            <w:r w:rsidRPr="00F84C9C">
              <w:rPr>
                <w:lang w:eastAsia="en-GB"/>
              </w:rPr>
              <w:br/>
              <w:t xml:space="preserve">ServiceNow maintains continuous, asynchronous replication from the database in the current primary data </w:t>
            </w:r>
            <w:proofErr w:type="spellStart"/>
            <w:r w:rsidRPr="00F84C9C">
              <w:rPr>
                <w:lang w:eastAsia="en-GB"/>
              </w:rPr>
              <w:t>center</w:t>
            </w:r>
            <w:proofErr w:type="spellEnd"/>
            <w:r w:rsidRPr="00F84C9C">
              <w:rPr>
                <w:lang w:eastAsia="en-GB"/>
              </w:rPr>
              <w:t xml:space="preserve"> (read-write) to the secondary data </w:t>
            </w:r>
            <w:proofErr w:type="spellStart"/>
            <w:r w:rsidRPr="00F84C9C">
              <w:rPr>
                <w:lang w:eastAsia="en-GB"/>
              </w:rPr>
              <w:t>center</w:t>
            </w:r>
            <w:proofErr w:type="spellEnd"/>
            <w:r w:rsidRPr="00F84C9C">
              <w:rPr>
                <w:lang w:eastAsia="en-GB"/>
              </w:rPr>
              <w:t xml:space="preserve"> (read-only). To transfer a customer instance from a primary data </w:t>
            </w:r>
            <w:proofErr w:type="spellStart"/>
            <w:r w:rsidRPr="00F84C9C">
              <w:rPr>
                <w:lang w:eastAsia="en-GB"/>
              </w:rPr>
              <w:t>center</w:t>
            </w:r>
            <w:proofErr w:type="spellEnd"/>
            <w:r w:rsidRPr="00F84C9C">
              <w:rPr>
                <w:lang w:eastAsia="en-GB"/>
              </w:rPr>
              <w:t xml:space="preserve"> to a secondary, ServiceNow designates the secondary to be the primary and the primary to be the secondary if it still exists.</w:t>
            </w:r>
            <w:r w:rsidRPr="00F84C9C">
              <w:rPr>
                <w:lang w:eastAsia="en-GB"/>
              </w:rPr>
              <w:br/>
            </w:r>
            <w:proofErr w:type="spellStart"/>
            <w:r w:rsidRPr="00F84C9C">
              <w:rPr>
                <w:lang w:eastAsia="en-GB"/>
              </w:rPr>
              <w:t>ServiceNow’s</w:t>
            </w:r>
            <w:proofErr w:type="spellEnd"/>
            <w:r w:rsidRPr="00F84C9C">
              <w:rPr>
                <w:lang w:eastAsia="en-GB"/>
              </w:rPr>
              <w:t xml:space="preserve"> data </w:t>
            </w:r>
            <w:proofErr w:type="spellStart"/>
            <w:r w:rsidRPr="00F84C9C">
              <w:rPr>
                <w:lang w:eastAsia="en-GB"/>
              </w:rPr>
              <w:t>centers</w:t>
            </w:r>
            <w:proofErr w:type="spellEnd"/>
            <w:r w:rsidRPr="00F84C9C">
              <w:rPr>
                <w:lang w:eastAsia="en-GB"/>
              </w:rPr>
              <w:t xml:space="preserve"> and cloud-based infrastructure have been designed to be highly available. All servers and network devices have redundant components and multiple diverse network paths to avoid single points of failure.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Outage reporting </w:t>
            </w:r>
          </w:p>
        </w:tc>
        <w:tc>
          <w:tcPr>
            <w:tcW w:w="0" w:type="auto"/>
            <w:vAlign w:val="center"/>
            <w:hideMark/>
          </w:tcPr>
          <w:p w:rsidR="00F84C9C" w:rsidRPr="00F84C9C" w:rsidRDefault="00F84C9C" w:rsidP="00F84C9C">
            <w:pPr>
              <w:rPr>
                <w:lang w:eastAsia="en-GB"/>
              </w:rPr>
            </w:pPr>
            <w:r w:rsidRPr="00F84C9C">
              <w:rPr>
                <w:lang w:eastAsia="en-GB"/>
              </w:rPr>
              <w:t xml:space="preserve">ServiceNow have a customer portal where all requests, changes and incidents can be logged. Customers also now have complete transparency into the real availability of their production and non-production instances. Users can view the impact severity of issues and even drill into incident records to view details for problems. It is this level of transparency that further sets ServiceNow apart. </w:t>
            </w:r>
          </w:p>
        </w:tc>
      </w:tr>
    </w:tbl>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Identity and authentication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4"/>
        <w:gridCol w:w="6182"/>
      </w:tblGrid>
      <w:tr w:rsidR="00F84C9C" w:rsidRPr="00F84C9C" w:rsidTr="00F84C9C">
        <w:trPr>
          <w:gridAfter w:val="1"/>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r w:rsidRPr="00F84C9C">
              <w:rPr>
                <w:lang w:eastAsia="en-GB"/>
              </w:rPr>
              <w:t xml:space="preserve">Identity and authentication </w:t>
            </w:r>
          </w:p>
        </w:tc>
      </w:tr>
      <w:tr w:rsidR="00F84C9C" w:rsidRPr="00F84C9C" w:rsidTr="00F84C9C">
        <w:trPr>
          <w:gridAfter w:val="1"/>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User authentication needed </w:t>
            </w:r>
          </w:p>
        </w:tc>
        <w:tc>
          <w:tcPr>
            <w:tcW w:w="0" w:type="auto"/>
            <w:vAlign w:val="center"/>
            <w:hideMark/>
          </w:tcPr>
          <w:p w:rsidR="00F84C9C" w:rsidRPr="00F84C9C" w:rsidRDefault="00F84C9C" w:rsidP="00F84C9C">
            <w:pPr>
              <w:rPr>
                <w:lang w:eastAsia="en-GB"/>
              </w:rPr>
            </w:pPr>
            <w:r w:rsidRPr="00F84C9C">
              <w:rPr>
                <w:lang w:eastAsia="en-GB"/>
              </w:rPr>
              <w:t xml:space="preserve">Yes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User authentication </w:t>
            </w:r>
          </w:p>
        </w:tc>
        <w:tc>
          <w:tcPr>
            <w:tcW w:w="0" w:type="auto"/>
            <w:vAlign w:val="center"/>
            <w:hideMark/>
          </w:tcPr>
          <w:p w:rsidR="00F84C9C" w:rsidRPr="00F84C9C" w:rsidRDefault="00F84C9C" w:rsidP="00F84C9C">
            <w:pPr>
              <w:numPr>
                <w:ilvl w:val="0"/>
                <w:numId w:val="10"/>
              </w:numPr>
              <w:spacing w:before="100" w:beforeAutospacing="1" w:after="100" w:afterAutospacing="1"/>
              <w:rPr>
                <w:lang w:eastAsia="en-GB"/>
              </w:rPr>
            </w:pPr>
            <w:r w:rsidRPr="00F84C9C">
              <w:rPr>
                <w:lang w:eastAsia="en-GB"/>
              </w:rPr>
              <w:t>2-factor authentication</w:t>
            </w:r>
          </w:p>
          <w:p w:rsidR="00F84C9C" w:rsidRPr="00F84C9C" w:rsidRDefault="00F84C9C" w:rsidP="00F84C9C">
            <w:pPr>
              <w:numPr>
                <w:ilvl w:val="0"/>
                <w:numId w:val="10"/>
              </w:numPr>
              <w:spacing w:before="100" w:beforeAutospacing="1" w:after="100" w:afterAutospacing="1"/>
              <w:rPr>
                <w:lang w:eastAsia="en-GB"/>
              </w:rPr>
            </w:pPr>
            <w:r w:rsidRPr="00F84C9C">
              <w:rPr>
                <w:lang w:eastAsia="en-GB"/>
              </w:rPr>
              <w:t>Username or password</w:t>
            </w:r>
          </w:p>
          <w:p w:rsidR="00F84C9C" w:rsidRPr="00F84C9C" w:rsidRDefault="00F84C9C" w:rsidP="00F84C9C">
            <w:pPr>
              <w:numPr>
                <w:ilvl w:val="0"/>
                <w:numId w:val="10"/>
              </w:numPr>
              <w:spacing w:before="100" w:beforeAutospacing="1" w:after="100" w:afterAutospacing="1"/>
              <w:rPr>
                <w:lang w:eastAsia="en-GB"/>
              </w:rPr>
            </w:pPr>
            <w:r w:rsidRPr="00F84C9C">
              <w:rPr>
                <w:lang w:eastAsia="en-GB"/>
              </w:rPr>
              <w:t>Other</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Other user authentication </w:t>
            </w:r>
          </w:p>
        </w:tc>
        <w:tc>
          <w:tcPr>
            <w:tcW w:w="0" w:type="auto"/>
            <w:vAlign w:val="center"/>
            <w:hideMark/>
          </w:tcPr>
          <w:p w:rsidR="00F84C9C" w:rsidRPr="00F84C9C" w:rsidRDefault="00F84C9C" w:rsidP="00F84C9C">
            <w:pPr>
              <w:rPr>
                <w:lang w:eastAsia="en-GB"/>
              </w:rPr>
            </w:pPr>
            <w:r w:rsidRPr="00F84C9C">
              <w:rPr>
                <w:lang w:eastAsia="en-GB"/>
              </w:rPr>
              <w:t xml:space="preserve">SAML 2.0 based SSO, LDAPS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Access restrictions in management interfaces and support channels </w:t>
            </w:r>
          </w:p>
        </w:tc>
        <w:tc>
          <w:tcPr>
            <w:tcW w:w="0" w:type="auto"/>
            <w:vAlign w:val="center"/>
            <w:hideMark/>
          </w:tcPr>
          <w:p w:rsidR="00F84C9C" w:rsidRPr="00F84C9C" w:rsidRDefault="00F84C9C" w:rsidP="00F84C9C">
            <w:pPr>
              <w:rPr>
                <w:lang w:eastAsia="en-GB"/>
              </w:rPr>
            </w:pPr>
            <w:r w:rsidRPr="00F84C9C">
              <w:rPr>
                <w:lang w:eastAsia="en-GB"/>
              </w:rPr>
              <w:t>By User Access control lists and Groups and user roles.</w:t>
            </w:r>
            <w:r w:rsidRPr="00F84C9C">
              <w:rPr>
                <w:lang w:eastAsia="en-GB"/>
              </w:rPr>
              <w:br/>
              <w:t xml:space="preserve">All ServiceNow staff are placed into Groups and have a user role, these groups and roles have access rights attached to them. Any person that will try to access an interface will have their group membership and user role checked and if they do not belong to the user role and group that is required to access that particular interface then access will be denied.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Access restriction testing frequency </w:t>
            </w:r>
          </w:p>
        </w:tc>
        <w:tc>
          <w:tcPr>
            <w:tcW w:w="0" w:type="auto"/>
            <w:vAlign w:val="center"/>
            <w:hideMark/>
          </w:tcPr>
          <w:p w:rsidR="00F84C9C" w:rsidRPr="00F84C9C" w:rsidRDefault="00F84C9C" w:rsidP="00F84C9C">
            <w:pPr>
              <w:rPr>
                <w:lang w:eastAsia="en-GB"/>
              </w:rPr>
            </w:pPr>
            <w:r w:rsidRPr="00F84C9C">
              <w:rPr>
                <w:lang w:eastAsia="en-GB"/>
              </w:rPr>
              <w:t xml:space="preserve">At least every 6 months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Management access authentication </w:t>
            </w:r>
          </w:p>
        </w:tc>
        <w:tc>
          <w:tcPr>
            <w:tcW w:w="0" w:type="auto"/>
            <w:vAlign w:val="center"/>
            <w:hideMark/>
          </w:tcPr>
          <w:p w:rsidR="00F84C9C" w:rsidRPr="00F84C9C" w:rsidRDefault="00F84C9C" w:rsidP="00F84C9C">
            <w:pPr>
              <w:numPr>
                <w:ilvl w:val="0"/>
                <w:numId w:val="11"/>
              </w:numPr>
              <w:spacing w:before="100" w:beforeAutospacing="1" w:after="100" w:afterAutospacing="1"/>
              <w:rPr>
                <w:lang w:eastAsia="en-GB"/>
              </w:rPr>
            </w:pPr>
            <w:r w:rsidRPr="00F84C9C">
              <w:rPr>
                <w:lang w:eastAsia="en-GB"/>
              </w:rPr>
              <w:t>2-factor authentication</w:t>
            </w:r>
          </w:p>
          <w:p w:rsidR="00F84C9C" w:rsidRPr="00F84C9C" w:rsidRDefault="00F84C9C" w:rsidP="00F84C9C">
            <w:pPr>
              <w:numPr>
                <w:ilvl w:val="0"/>
                <w:numId w:val="11"/>
              </w:numPr>
              <w:spacing w:before="100" w:beforeAutospacing="1" w:after="100" w:afterAutospacing="1"/>
              <w:rPr>
                <w:lang w:eastAsia="en-GB"/>
              </w:rPr>
            </w:pPr>
            <w:r w:rsidRPr="00F84C9C">
              <w:rPr>
                <w:lang w:eastAsia="en-GB"/>
              </w:rPr>
              <w:t>Username or password</w:t>
            </w:r>
          </w:p>
        </w:tc>
      </w:tr>
    </w:tbl>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Audit information for users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91"/>
        <w:gridCol w:w="4315"/>
      </w:tblGrid>
      <w:tr w:rsidR="00F84C9C" w:rsidRPr="00F84C9C" w:rsidTr="00F84C9C">
        <w:trPr>
          <w:gridAfter w:val="1"/>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r w:rsidRPr="00F84C9C">
              <w:rPr>
                <w:lang w:eastAsia="en-GB"/>
              </w:rPr>
              <w:t xml:space="preserve">Audit information for users </w:t>
            </w:r>
          </w:p>
        </w:tc>
      </w:tr>
      <w:tr w:rsidR="00F84C9C" w:rsidRPr="00F84C9C" w:rsidTr="00F84C9C">
        <w:trPr>
          <w:gridAfter w:val="1"/>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Access to user activity audit information </w:t>
            </w:r>
          </w:p>
        </w:tc>
        <w:tc>
          <w:tcPr>
            <w:tcW w:w="0" w:type="auto"/>
            <w:vAlign w:val="center"/>
            <w:hideMark/>
          </w:tcPr>
          <w:p w:rsidR="00F84C9C" w:rsidRPr="00F84C9C" w:rsidRDefault="00F84C9C" w:rsidP="00F84C9C">
            <w:pPr>
              <w:rPr>
                <w:lang w:eastAsia="en-GB"/>
              </w:rPr>
            </w:pPr>
            <w:r w:rsidRPr="00F84C9C">
              <w:rPr>
                <w:lang w:eastAsia="en-GB"/>
              </w:rPr>
              <w:t xml:space="preserve">Users have access to real-time audit information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How long user audit data is stored for </w:t>
            </w:r>
          </w:p>
        </w:tc>
        <w:tc>
          <w:tcPr>
            <w:tcW w:w="0" w:type="auto"/>
            <w:vAlign w:val="center"/>
            <w:hideMark/>
          </w:tcPr>
          <w:p w:rsidR="00F84C9C" w:rsidRPr="00F84C9C" w:rsidRDefault="00F84C9C" w:rsidP="00F84C9C">
            <w:pPr>
              <w:rPr>
                <w:lang w:eastAsia="en-GB"/>
              </w:rPr>
            </w:pPr>
            <w:r w:rsidRPr="00F84C9C">
              <w:rPr>
                <w:lang w:eastAsia="en-GB"/>
              </w:rPr>
              <w:t xml:space="preserve">At least 12 months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Access to supplier activity audit information </w:t>
            </w:r>
          </w:p>
        </w:tc>
        <w:tc>
          <w:tcPr>
            <w:tcW w:w="0" w:type="auto"/>
            <w:vAlign w:val="center"/>
            <w:hideMark/>
          </w:tcPr>
          <w:p w:rsidR="00F84C9C" w:rsidRPr="00F84C9C" w:rsidRDefault="00F84C9C" w:rsidP="00F84C9C">
            <w:pPr>
              <w:rPr>
                <w:lang w:eastAsia="en-GB"/>
              </w:rPr>
            </w:pPr>
            <w:r w:rsidRPr="00F84C9C">
              <w:rPr>
                <w:lang w:eastAsia="en-GB"/>
              </w:rPr>
              <w:t xml:space="preserve">Users have access to real-time audit information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How long supplier audit data is stored for </w:t>
            </w:r>
          </w:p>
        </w:tc>
        <w:tc>
          <w:tcPr>
            <w:tcW w:w="0" w:type="auto"/>
            <w:vAlign w:val="center"/>
            <w:hideMark/>
          </w:tcPr>
          <w:p w:rsidR="00F84C9C" w:rsidRPr="00F84C9C" w:rsidRDefault="00F84C9C" w:rsidP="00F84C9C">
            <w:pPr>
              <w:rPr>
                <w:lang w:eastAsia="en-GB"/>
              </w:rPr>
            </w:pPr>
            <w:r w:rsidRPr="00F84C9C">
              <w:rPr>
                <w:lang w:eastAsia="en-GB"/>
              </w:rPr>
              <w:t xml:space="preserve">At least 12 months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How long system logs are stored for </w:t>
            </w:r>
          </w:p>
        </w:tc>
        <w:tc>
          <w:tcPr>
            <w:tcW w:w="0" w:type="auto"/>
            <w:vAlign w:val="center"/>
            <w:hideMark/>
          </w:tcPr>
          <w:p w:rsidR="00F84C9C" w:rsidRPr="00F84C9C" w:rsidRDefault="00F84C9C" w:rsidP="00F84C9C">
            <w:pPr>
              <w:rPr>
                <w:lang w:eastAsia="en-GB"/>
              </w:rPr>
            </w:pPr>
            <w:r w:rsidRPr="00F84C9C">
              <w:rPr>
                <w:lang w:eastAsia="en-GB"/>
              </w:rPr>
              <w:t xml:space="preserve">At least 12 months </w:t>
            </w:r>
          </w:p>
        </w:tc>
      </w:tr>
    </w:tbl>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Standards and certifications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8"/>
        <w:gridCol w:w="6588"/>
      </w:tblGrid>
      <w:tr w:rsidR="00F84C9C" w:rsidRPr="00F84C9C" w:rsidTr="00F84C9C">
        <w:trPr>
          <w:gridAfter w:val="1"/>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r w:rsidRPr="00F84C9C">
              <w:rPr>
                <w:lang w:eastAsia="en-GB"/>
              </w:rPr>
              <w:t xml:space="preserve">Standards and certifications </w:t>
            </w:r>
          </w:p>
        </w:tc>
      </w:tr>
      <w:tr w:rsidR="00F84C9C" w:rsidRPr="00F84C9C" w:rsidTr="00F84C9C">
        <w:trPr>
          <w:gridAfter w:val="1"/>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ISO/IEC 27001 certification </w:t>
            </w:r>
          </w:p>
        </w:tc>
        <w:tc>
          <w:tcPr>
            <w:tcW w:w="0" w:type="auto"/>
            <w:vAlign w:val="center"/>
            <w:hideMark/>
          </w:tcPr>
          <w:p w:rsidR="00F84C9C" w:rsidRPr="00F84C9C" w:rsidRDefault="00F84C9C" w:rsidP="00F84C9C">
            <w:pPr>
              <w:rPr>
                <w:lang w:eastAsia="en-GB"/>
              </w:rPr>
            </w:pPr>
            <w:r w:rsidRPr="00F84C9C">
              <w:rPr>
                <w:lang w:eastAsia="en-GB"/>
              </w:rPr>
              <w:t xml:space="preserve">Yes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Who accredited the ISO/IEC 27001 </w:t>
            </w:r>
          </w:p>
        </w:tc>
        <w:tc>
          <w:tcPr>
            <w:tcW w:w="0" w:type="auto"/>
            <w:vAlign w:val="center"/>
            <w:hideMark/>
          </w:tcPr>
          <w:p w:rsidR="00F84C9C" w:rsidRPr="00F84C9C" w:rsidRDefault="00F84C9C" w:rsidP="00F84C9C">
            <w:pPr>
              <w:rPr>
                <w:lang w:eastAsia="en-GB"/>
              </w:rPr>
            </w:pPr>
            <w:proofErr w:type="spellStart"/>
            <w:r w:rsidRPr="00F84C9C">
              <w:rPr>
                <w:lang w:eastAsia="en-GB"/>
              </w:rPr>
              <w:t>Schellman</w:t>
            </w:r>
            <w:proofErr w:type="spellEnd"/>
            <w:r w:rsidRPr="00F84C9C">
              <w:rPr>
                <w:lang w:eastAsia="en-GB"/>
              </w:rPr>
              <w:t xml:space="preserve"> &amp; Company, LLC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ISO/IEC 27001 accreditation date </w:t>
            </w:r>
          </w:p>
        </w:tc>
        <w:tc>
          <w:tcPr>
            <w:tcW w:w="0" w:type="auto"/>
            <w:vAlign w:val="center"/>
            <w:hideMark/>
          </w:tcPr>
          <w:p w:rsidR="00F84C9C" w:rsidRPr="00F84C9C" w:rsidRDefault="00F84C9C" w:rsidP="00F84C9C">
            <w:pPr>
              <w:rPr>
                <w:lang w:eastAsia="en-GB"/>
              </w:rPr>
            </w:pPr>
            <w:r w:rsidRPr="00F84C9C">
              <w:rPr>
                <w:lang w:eastAsia="en-GB"/>
              </w:rPr>
              <w:t xml:space="preserve">23/11/2016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What the ISO/IEC 27001 doesn’t cover </w:t>
            </w:r>
          </w:p>
        </w:tc>
        <w:tc>
          <w:tcPr>
            <w:tcW w:w="0" w:type="auto"/>
            <w:vAlign w:val="center"/>
            <w:hideMark/>
          </w:tcPr>
          <w:p w:rsidR="00F84C9C" w:rsidRPr="00F84C9C" w:rsidRDefault="00F84C9C" w:rsidP="00F84C9C">
            <w:pPr>
              <w:rPr>
                <w:lang w:eastAsia="en-GB"/>
              </w:rPr>
            </w:pPr>
            <w:r w:rsidRPr="00F84C9C">
              <w:rPr>
                <w:lang w:eastAsia="en-GB"/>
              </w:rPr>
              <w:t xml:space="preserve">The only exclusion to the scope is the physical Data Centre environment as these are covered by the Data Centre providers' own ISO certifications.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ISO 28000:2007 certification </w:t>
            </w:r>
          </w:p>
        </w:tc>
        <w:tc>
          <w:tcPr>
            <w:tcW w:w="0" w:type="auto"/>
            <w:vAlign w:val="center"/>
            <w:hideMark/>
          </w:tcPr>
          <w:p w:rsidR="00F84C9C" w:rsidRPr="00F84C9C" w:rsidRDefault="00F84C9C" w:rsidP="00F84C9C">
            <w:pPr>
              <w:rPr>
                <w:lang w:eastAsia="en-GB"/>
              </w:rPr>
            </w:pPr>
            <w:r w:rsidRPr="00F84C9C">
              <w:rPr>
                <w:lang w:eastAsia="en-GB"/>
              </w:rPr>
              <w:t xml:space="preserve">No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CSA STAR certification </w:t>
            </w:r>
          </w:p>
        </w:tc>
        <w:tc>
          <w:tcPr>
            <w:tcW w:w="0" w:type="auto"/>
            <w:vAlign w:val="center"/>
            <w:hideMark/>
          </w:tcPr>
          <w:p w:rsidR="00F84C9C" w:rsidRPr="00F84C9C" w:rsidRDefault="00F84C9C" w:rsidP="00F84C9C">
            <w:pPr>
              <w:rPr>
                <w:lang w:eastAsia="en-GB"/>
              </w:rPr>
            </w:pPr>
            <w:r w:rsidRPr="00F84C9C">
              <w:rPr>
                <w:lang w:eastAsia="en-GB"/>
              </w:rPr>
              <w:t xml:space="preserve">Yes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CSA STAR accreditation date </w:t>
            </w:r>
          </w:p>
        </w:tc>
        <w:tc>
          <w:tcPr>
            <w:tcW w:w="0" w:type="auto"/>
            <w:vAlign w:val="center"/>
            <w:hideMark/>
          </w:tcPr>
          <w:p w:rsidR="00F84C9C" w:rsidRPr="00F84C9C" w:rsidRDefault="00F84C9C" w:rsidP="00F84C9C">
            <w:pPr>
              <w:rPr>
                <w:lang w:eastAsia="en-GB"/>
              </w:rPr>
            </w:pPr>
            <w:r w:rsidRPr="00F84C9C">
              <w:rPr>
                <w:lang w:eastAsia="en-GB"/>
              </w:rPr>
              <w:t xml:space="preserve">26/01/2015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CSA STAR certification level </w:t>
            </w:r>
          </w:p>
        </w:tc>
        <w:tc>
          <w:tcPr>
            <w:tcW w:w="0" w:type="auto"/>
            <w:vAlign w:val="center"/>
            <w:hideMark/>
          </w:tcPr>
          <w:p w:rsidR="00F84C9C" w:rsidRPr="00F84C9C" w:rsidRDefault="00F84C9C" w:rsidP="00F84C9C">
            <w:pPr>
              <w:rPr>
                <w:lang w:eastAsia="en-GB"/>
              </w:rPr>
            </w:pPr>
            <w:r w:rsidRPr="00F84C9C">
              <w:rPr>
                <w:lang w:eastAsia="en-GB"/>
              </w:rPr>
              <w:t xml:space="preserve">Level 1: CSA STAR Self-Assessment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What the CSA STAR doesn’t cover </w:t>
            </w:r>
          </w:p>
        </w:tc>
        <w:tc>
          <w:tcPr>
            <w:tcW w:w="0" w:type="auto"/>
            <w:vAlign w:val="center"/>
            <w:hideMark/>
          </w:tcPr>
          <w:p w:rsidR="00F84C9C" w:rsidRPr="00F84C9C" w:rsidRDefault="00F84C9C" w:rsidP="00F84C9C">
            <w:pPr>
              <w:rPr>
                <w:lang w:eastAsia="en-GB"/>
              </w:rPr>
            </w:pPr>
            <w:r w:rsidRPr="00F84C9C">
              <w:rPr>
                <w:lang w:eastAsia="en-GB"/>
              </w:rPr>
              <w:t>ServiceNow has completed a version of the CSA CCM document internally as well as the self-assessment, to make the document more informative however it contains information that is only able to be shared under the protection of an NDA.</w:t>
            </w:r>
            <w:r w:rsidRPr="00F84C9C">
              <w:rPr>
                <w:lang w:eastAsia="en-GB"/>
              </w:rPr>
              <w:br/>
            </w:r>
            <w:r w:rsidRPr="00F84C9C">
              <w:rPr>
                <w:lang w:eastAsia="en-GB"/>
              </w:rPr>
              <w:br/>
              <w:t>CSA STAR certification: The CSA STAR certification is effectively an ISO 27001 audit and certification process. ServiceNow is already an ISO 27001 certified organisation and will not repeat the exercise to be certified with a second nearly identical certification program due to the significant cost of this type of program. ServiceNow can share its ISO 27001 certificate as evidence of its certification status.</w:t>
            </w:r>
            <w:r w:rsidRPr="00F84C9C">
              <w:rPr>
                <w:lang w:eastAsia="en-GB"/>
              </w:rPr>
              <w:br/>
            </w:r>
            <w:r w:rsidRPr="00F84C9C">
              <w:rPr>
                <w:lang w:eastAsia="en-GB"/>
              </w:rPr>
              <w:br/>
              <w:t xml:space="preserve">CSA STAR attestation: The CSA STAR attestation program is effectively the same as an SSAE 16 Type II SOC2. ServiceNow holds an SSAE 16 Type I </w:t>
            </w:r>
            <w:proofErr w:type="gramStart"/>
            <w:r w:rsidRPr="00F84C9C">
              <w:rPr>
                <w:lang w:eastAsia="en-GB"/>
              </w:rPr>
              <w:t>SOC ,</w:t>
            </w:r>
            <w:proofErr w:type="gramEnd"/>
            <w:r w:rsidRPr="00F84C9C">
              <w:rPr>
                <w:lang w:eastAsia="en-GB"/>
              </w:rPr>
              <w:t xml:space="preserve"> SSAE 16 Type II SOC1 and an SSAE 16 Type II SOC2 and therefore does not plan to undergo the CSA STAR attestation. As with the certification program ServiceNow will not attempt to undergo this program as it already holds this attestation and the cost of undergoing the audit process does not make sense due to the cost in running this audit process.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PCI certification </w:t>
            </w:r>
          </w:p>
        </w:tc>
        <w:tc>
          <w:tcPr>
            <w:tcW w:w="0" w:type="auto"/>
            <w:vAlign w:val="center"/>
            <w:hideMark/>
          </w:tcPr>
          <w:p w:rsidR="00F84C9C" w:rsidRPr="00F84C9C" w:rsidRDefault="00F84C9C" w:rsidP="00F84C9C">
            <w:pPr>
              <w:rPr>
                <w:lang w:eastAsia="en-GB"/>
              </w:rPr>
            </w:pPr>
            <w:r w:rsidRPr="00F84C9C">
              <w:rPr>
                <w:lang w:eastAsia="en-GB"/>
              </w:rPr>
              <w:t xml:space="preserve">No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Other security certifications </w:t>
            </w:r>
          </w:p>
        </w:tc>
        <w:tc>
          <w:tcPr>
            <w:tcW w:w="0" w:type="auto"/>
            <w:vAlign w:val="center"/>
            <w:hideMark/>
          </w:tcPr>
          <w:p w:rsidR="00F84C9C" w:rsidRPr="00F84C9C" w:rsidRDefault="00F84C9C" w:rsidP="00F84C9C">
            <w:pPr>
              <w:rPr>
                <w:lang w:eastAsia="en-GB"/>
              </w:rPr>
            </w:pPr>
            <w:r w:rsidRPr="00F84C9C">
              <w:rPr>
                <w:lang w:eastAsia="en-GB"/>
              </w:rPr>
              <w:t xml:space="preserve">Yes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Any other security certifications </w:t>
            </w:r>
          </w:p>
        </w:tc>
        <w:tc>
          <w:tcPr>
            <w:tcW w:w="0" w:type="auto"/>
            <w:vAlign w:val="center"/>
            <w:hideMark/>
          </w:tcPr>
          <w:p w:rsidR="00F84C9C" w:rsidRPr="00F84C9C" w:rsidRDefault="00F84C9C" w:rsidP="00F84C9C">
            <w:pPr>
              <w:numPr>
                <w:ilvl w:val="0"/>
                <w:numId w:val="12"/>
              </w:numPr>
              <w:spacing w:before="100" w:beforeAutospacing="1" w:after="100" w:afterAutospacing="1"/>
              <w:rPr>
                <w:lang w:eastAsia="en-GB"/>
              </w:rPr>
            </w:pPr>
            <w:r w:rsidRPr="00F84C9C">
              <w:rPr>
                <w:lang w:eastAsia="en-GB"/>
              </w:rPr>
              <w:t>ISO 27001</w:t>
            </w:r>
          </w:p>
          <w:p w:rsidR="00F84C9C" w:rsidRPr="00F84C9C" w:rsidRDefault="00F84C9C" w:rsidP="00F84C9C">
            <w:pPr>
              <w:numPr>
                <w:ilvl w:val="0"/>
                <w:numId w:val="12"/>
              </w:numPr>
              <w:spacing w:before="100" w:beforeAutospacing="1" w:after="100" w:afterAutospacing="1"/>
              <w:rPr>
                <w:lang w:eastAsia="en-GB"/>
              </w:rPr>
            </w:pPr>
            <w:r w:rsidRPr="00F84C9C">
              <w:rPr>
                <w:lang w:eastAsia="en-GB"/>
              </w:rPr>
              <w:t>SSAE 16 SOC 1 Type 1</w:t>
            </w:r>
          </w:p>
          <w:p w:rsidR="00F84C9C" w:rsidRPr="00F84C9C" w:rsidRDefault="00F84C9C" w:rsidP="00F84C9C">
            <w:pPr>
              <w:numPr>
                <w:ilvl w:val="0"/>
                <w:numId w:val="12"/>
              </w:numPr>
              <w:spacing w:before="100" w:beforeAutospacing="1" w:after="100" w:afterAutospacing="1"/>
              <w:rPr>
                <w:lang w:eastAsia="en-GB"/>
              </w:rPr>
            </w:pPr>
            <w:r w:rsidRPr="00F84C9C">
              <w:rPr>
                <w:lang w:eastAsia="en-GB"/>
              </w:rPr>
              <w:t>SSAE 16 SOC 1 Type 2</w:t>
            </w:r>
          </w:p>
          <w:p w:rsidR="00F84C9C" w:rsidRPr="00F84C9C" w:rsidRDefault="00F84C9C" w:rsidP="00F84C9C">
            <w:pPr>
              <w:numPr>
                <w:ilvl w:val="0"/>
                <w:numId w:val="12"/>
              </w:numPr>
              <w:spacing w:before="100" w:beforeAutospacing="1" w:after="100" w:afterAutospacing="1"/>
              <w:rPr>
                <w:lang w:eastAsia="en-GB"/>
              </w:rPr>
            </w:pPr>
            <w:r w:rsidRPr="00F84C9C">
              <w:rPr>
                <w:lang w:eastAsia="en-GB"/>
              </w:rPr>
              <w:t>SSAE 16 SOC 2 Type 1</w:t>
            </w:r>
          </w:p>
          <w:p w:rsidR="00F84C9C" w:rsidRPr="00F84C9C" w:rsidRDefault="00F84C9C" w:rsidP="00F84C9C">
            <w:pPr>
              <w:numPr>
                <w:ilvl w:val="0"/>
                <w:numId w:val="12"/>
              </w:numPr>
              <w:spacing w:before="100" w:beforeAutospacing="1" w:after="100" w:afterAutospacing="1"/>
              <w:rPr>
                <w:lang w:eastAsia="en-GB"/>
              </w:rPr>
            </w:pPr>
            <w:r w:rsidRPr="00F84C9C">
              <w:rPr>
                <w:lang w:eastAsia="en-GB"/>
              </w:rPr>
              <w:t>International Life Science</w:t>
            </w:r>
          </w:p>
          <w:p w:rsidR="00F84C9C" w:rsidRPr="00F84C9C" w:rsidRDefault="00F84C9C" w:rsidP="00F84C9C">
            <w:pPr>
              <w:numPr>
                <w:ilvl w:val="0"/>
                <w:numId w:val="12"/>
              </w:numPr>
              <w:spacing w:before="100" w:beforeAutospacing="1" w:after="100" w:afterAutospacing="1"/>
              <w:rPr>
                <w:lang w:eastAsia="en-GB"/>
              </w:rPr>
            </w:pPr>
            <w:r w:rsidRPr="00F84C9C">
              <w:rPr>
                <w:lang w:eastAsia="en-GB"/>
              </w:rPr>
              <w:t>FDA QMS (based on ISO 9001)</w:t>
            </w:r>
          </w:p>
          <w:p w:rsidR="00F84C9C" w:rsidRPr="00F84C9C" w:rsidRDefault="00F84C9C" w:rsidP="00F84C9C">
            <w:pPr>
              <w:numPr>
                <w:ilvl w:val="0"/>
                <w:numId w:val="12"/>
              </w:numPr>
              <w:spacing w:before="100" w:beforeAutospacing="1" w:after="100" w:afterAutospacing="1"/>
              <w:rPr>
                <w:lang w:eastAsia="en-GB"/>
              </w:rPr>
            </w:pPr>
            <w:proofErr w:type="spellStart"/>
            <w:r w:rsidRPr="00F84C9C">
              <w:rPr>
                <w:lang w:eastAsia="en-GB"/>
              </w:rPr>
              <w:t>FedRAMP</w:t>
            </w:r>
            <w:proofErr w:type="spellEnd"/>
          </w:p>
          <w:p w:rsidR="00F84C9C" w:rsidRPr="00F84C9C" w:rsidRDefault="00F84C9C" w:rsidP="00F84C9C">
            <w:pPr>
              <w:numPr>
                <w:ilvl w:val="0"/>
                <w:numId w:val="12"/>
              </w:numPr>
              <w:spacing w:before="100" w:beforeAutospacing="1" w:after="100" w:afterAutospacing="1"/>
              <w:rPr>
                <w:lang w:eastAsia="en-GB"/>
              </w:rPr>
            </w:pPr>
            <w:r w:rsidRPr="00F84C9C">
              <w:rPr>
                <w:lang w:eastAsia="en-GB"/>
              </w:rPr>
              <w:t>Moderate Agency ATO</w:t>
            </w:r>
          </w:p>
          <w:p w:rsidR="00F84C9C" w:rsidRPr="00F84C9C" w:rsidRDefault="00F84C9C" w:rsidP="00F84C9C">
            <w:pPr>
              <w:numPr>
                <w:ilvl w:val="0"/>
                <w:numId w:val="12"/>
              </w:numPr>
              <w:spacing w:before="100" w:beforeAutospacing="1" w:after="100" w:afterAutospacing="1"/>
              <w:rPr>
                <w:lang w:eastAsia="en-GB"/>
              </w:rPr>
            </w:pPr>
            <w:r w:rsidRPr="00F84C9C">
              <w:rPr>
                <w:lang w:eastAsia="en-GB"/>
              </w:rPr>
              <w:t>Multi-Tier Cloud Security Standard (MTCS) Asia</w:t>
            </w:r>
          </w:p>
        </w:tc>
      </w:tr>
    </w:tbl>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Security governance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14"/>
        <w:gridCol w:w="3192"/>
      </w:tblGrid>
      <w:tr w:rsidR="00F84C9C" w:rsidRPr="00F84C9C" w:rsidTr="00F84C9C">
        <w:trPr>
          <w:gridAfter w:val="1"/>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r w:rsidRPr="00F84C9C">
              <w:rPr>
                <w:lang w:eastAsia="en-GB"/>
              </w:rPr>
              <w:t xml:space="preserve">Security governance </w:t>
            </w:r>
          </w:p>
        </w:tc>
      </w:tr>
      <w:tr w:rsidR="00F84C9C" w:rsidRPr="00F84C9C" w:rsidTr="00F84C9C">
        <w:trPr>
          <w:gridAfter w:val="1"/>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Named board-level person responsible for service security </w:t>
            </w:r>
          </w:p>
        </w:tc>
        <w:tc>
          <w:tcPr>
            <w:tcW w:w="0" w:type="auto"/>
            <w:vAlign w:val="center"/>
            <w:hideMark/>
          </w:tcPr>
          <w:p w:rsidR="00F84C9C" w:rsidRPr="00F84C9C" w:rsidRDefault="00F84C9C" w:rsidP="00F84C9C">
            <w:pPr>
              <w:rPr>
                <w:lang w:eastAsia="en-GB"/>
              </w:rPr>
            </w:pPr>
            <w:r w:rsidRPr="00F84C9C">
              <w:rPr>
                <w:lang w:eastAsia="en-GB"/>
              </w:rPr>
              <w:t xml:space="preserve">Yes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Security governance certified </w:t>
            </w:r>
          </w:p>
        </w:tc>
        <w:tc>
          <w:tcPr>
            <w:tcW w:w="0" w:type="auto"/>
            <w:vAlign w:val="center"/>
            <w:hideMark/>
          </w:tcPr>
          <w:p w:rsidR="00F84C9C" w:rsidRPr="00F84C9C" w:rsidRDefault="00F84C9C" w:rsidP="00F84C9C">
            <w:pPr>
              <w:rPr>
                <w:lang w:eastAsia="en-GB"/>
              </w:rPr>
            </w:pPr>
            <w:r w:rsidRPr="00F84C9C">
              <w:rPr>
                <w:lang w:eastAsia="en-GB"/>
              </w:rPr>
              <w:t xml:space="preserve">Yes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Security governance standards </w:t>
            </w:r>
          </w:p>
        </w:tc>
        <w:tc>
          <w:tcPr>
            <w:tcW w:w="0" w:type="auto"/>
            <w:vAlign w:val="center"/>
            <w:hideMark/>
          </w:tcPr>
          <w:p w:rsidR="00F84C9C" w:rsidRPr="00F84C9C" w:rsidRDefault="00F84C9C" w:rsidP="00F84C9C">
            <w:pPr>
              <w:numPr>
                <w:ilvl w:val="0"/>
                <w:numId w:val="13"/>
              </w:numPr>
              <w:spacing w:before="100" w:beforeAutospacing="1" w:after="100" w:afterAutospacing="1"/>
              <w:rPr>
                <w:lang w:eastAsia="en-GB"/>
              </w:rPr>
            </w:pPr>
            <w:r w:rsidRPr="00F84C9C">
              <w:rPr>
                <w:lang w:eastAsia="en-GB"/>
              </w:rPr>
              <w:t>CSA CCM version 3.0</w:t>
            </w:r>
          </w:p>
          <w:p w:rsidR="00F84C9C" w:rsidRPr="00F84C9C" w:rsidRDefault="00F84C9C" w:rsidP="00F84C9C">
            <w:pPr>
              <w:numPr>
                <w:ilvl w:val="0"/>
                <w:numId w:val="13"/>
              </w:numPr>
              <w:spacing w:before="100" w:beforeAutospacing="1" w:after="100" w:afterAutospacing="1"/>
              <w:rPr>
                <w:lang w:eastAsia="en-GB"/>
              </w:rPr>
            </w:pPr>
            <w:r w:rsidRPr="00F84C9C">
              <w:rPr>
                <w:lang w:eastAsia="en-GB"/>
              </w:rPr>
              <w:t>ISO/IEC 27001</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Information security policies and processes </w:t>
            </w:r>
          </w:p>
        </w:tc>
        <w:tc>
          <w:tcPr>
            <w:tcW w:w="0" w:type="auto"/>
            <w:vAlign w:val="center"/>
            <w:hideMark/>
          </w:tcPr>
          <w:p w:rsidR="00F84C9C" w:rsidRPr="00F84C9C" w:rsidRDefault="00F84C9C" w:rsidP="00F84C9C">
            <w:pPr>
              <w:rPr>
                <w:lang w:eastAsia="en-GB"/>
              </w:rPr>
            </w:pPr>
            <w:r w:rsidRPr="00F84C9C">
              <w:rPr>
                <w:lang w:eastAsia="en-GB"/>
              </w:rPr>
              <w:t>ISO 27001</w:t>
            </w:r>
            <w:r w:rsidRPr="00F84C9C">
              <w:rPr>
                <w:lang w:eastAsia="en-GB"/>
              </w:rPr>
              <w:br/>
              <w:t>SSAE 16 SOC 1 Type 1</w:t>
            </w:r>
            <w:r w:rsidRPr="00F84C9C">
              <w:rPr>
                <w:lang w:eastAsia="en-GB"/>
              </w:rPr>
              <w:br/>
              <w:t>SSAE 16 SOC 1 Type 2</w:t>
            </w:r>
            <w:r w:rsidRPr="00F84C9C">
              <w:rPr>
                <w:lang w:eastAsia="en-GB"/>
              </w:rPr>
              <w:br/>
              <w:t>SSAE 16 SOC 2 Type 1</w:t>
            </w:r>
            <w:r w:rsidRPr="00F84C9C">
              <w:rPr>
                <w:lang w:eastAsia="en-GB"/>
              </w:rPr>
              <w:br/>
              <w:t>FISMA</w:t>
            </w:r>
            <w:r w:rsidRPr="00F84C9C">
              <w:rPr>
                <w:lang w:eastAsia="en-GB"/>
              </w:rPr>
              <w:br/>
            </w:r>
            <w:proofErr w:type="spellStart"/>
            <w:r w:rsidRPr="00F84C9C">
              <w:rPr>
                <w:lang w:eastAsia="en-GB"/>
              </w:rPr>
              <w:t>FedRAMP</w:t>
            </w:r>
            <w:proofErr w:type="spellEnd"/>
            <w:r w:rsidRPr="00F84C9C">
              <w:rPr>
                <w:lang w:eastAsia="en-GB"/>
              </w:rPr>
              <w:br/>
              <w:t xml:space="preserve">FDA Quality Management System </w:t>
            </w:r>
          </w:p>
        </w:tc>
      </w:tr>
    </w:tbl>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Operational security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5"/>
        <w:gridCol w:w="6351"/>
      </w:tblGrid>
      <w:tr w:rsidR="00F84C9C" w:rsidRPr="00F84C9C" w:rsidTr="00F84C9C">
        <w:trPr>
          <w:gridAfter w:val="1"/>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r w:rsidRPr="00F84C9C">
              <w:rPr>
                <w:lang w:eastAsia="en-GB"/>
              </w:rPr>
              <w:t xml:space="preserve">Operational security </w:t>
            </w:r>
          </w:p>
        </w:tc>
      </w:tr>
      <w:tr w:rsidR="00F84C9C" w:rsidRPr="00F84C9C" w:rsidTr="00F84C9C">
        <w:trPr>
          <w:gridAfter w:val="1"/>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Configuration and change management standard </w:t>
            </w:r>
          </w:p>
        </w:tc>
        <w:tc>
          <w:tcPr>
            <w:tcW w:w="0" w:type="auto"/>
            <w:vAlign w:val="center"/>
            <w:hideMark/>
          </w:tcPr>
          <w:p w:rsidR="00F84C9C" w:rsidRPr="00F84C9C" w:rsidRDefault="00F84C9C" w:rsidP="00F84C9C">
            <w:pPr>
              <w:rPr>
                <w:lang w:eastAsia="en-GB"/>
              </w:rPr>
            </w:pPr>
            <w:r w:rsidRPr="00F84C9C">
              <w:rPr>
                <w:lang w:eastAsia="en-GB"/>
              </w:rPr>
              <w:t xml:space="preserve">Conforms to a recognised standard, for example CSA CCM v3.0 or SSAE-16 / ISAE 3402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Configuration and change management approach </w:t>
            </w:r>
          </w:p>
        </w:tc>
        <w:tc>
          <w:tcPr>
            <w:tcW w:w="0" w:type="auto"/>
            <w:vAlign w:val="center"/>
            <w:hideMark/>
          </w:tcPr>
          <w:p w:rsidR="00F84C9C" w:rsidRPr="00F84C9C" w:rsidRDefault="00F84C9C" w:rsidP="00F84C9C">
            <w:pPr>
              <w:rPr>
                <w:lang w:eastAsia="en-GB"/>
              </w:rPr>
            </w:pPr>
            <w:r w:rsidRPr="00F84C9C">
              <w:rPr>
                <w:lang w:eastAsia="en-GB"/>
              </w:rPr>
              <w:t xml:space="preserve">ServiceNow has a formally documented change management process that uses an internal ServiceNow instance to track change requests and approvals. All changes to production environments must go through the change management process. Change requests must include the change procedure, risk, and back out plans. Change requests are reviewed and approved by the Change Advisory Board (CAB). All assets are tagged and tracked though the ServiceNow CMDB.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Vulnerability management type </w:t>
            </w:r>
          </w:p>
        </w:tc>
        <w:tc>
          <w:tcPr>
            <w:tcW w:w="0" w:type="auto"/>
            <w:vAlign w:val="center"/>
            <w:hideMark/>
          </w:tcPr>
          <w:p w:rsidR="00F84C9C" w:rsidRPr="00F84C9C" w:rsidRDefault="00F84C9C" w:rsidP="00F84C9C">
            <w:pPr>
              <w:rPr>
                <w:lang w:eastAsia="en-GB"/>
              </w:rPr>
            </w:pPr>
            <w:r w:rsidRPr="00F84C9C">
              <w:rPr>
                <w:lang w:eastAsia="en-GB"/>
              </w:rPr>
              <w:t xml:space="preserve">Conforms to a recognised standard, for example CSA CCM v3.0 or SSAE-16 / ISAE 3402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Vulnerability management approach </w:t>
            </w:r>
          </w:p>
        </w:tc>
        <w:tc>
          <w:tcPr>
            <w:tcW w:w="0" w:type="auto"/>
            <w:vAlign w:val="center"/>
            <w:hideMark/>
          </w:tcPr>
          <w:p w:rsidR="00F84C9C" w:rsidRPr="00F84C9C" w:rsidRDefault="00F84C9C" w:rsidP="00F84C9C">
            <w:pPr>
              <w:rPr>
                <w:lang w:eastAsia="en-GB"/>
              </w:rPr>
            </w:pPr>
            <w:proofErr w:type="spellStart"/>
            <w:r w:rsidRPr="00F84C9C">
              <w:rPr>
                <w:lang w:eastAsia="en-GB"/>
              </w:rPr>
              <w:t>ServiceNow's</w:t>
            </w:r>
            <w:proofErr w:type="spellEnd"/>
            <w:r w:rsidRPr="00F84C9C">
              <w:rPr>
                <w:lang w:eastAsia="en-GB"/>
              </w:rPr>
              <w:t xml:space="preserve"> Infrastructure stack is customised at each layer to specifically support the only application residing in the ServiceNow private cloud. With each published patch, ServiceNow follows a risk-based approach to determine if the patch is to be deployed. Once it is determined that a patch needs to be deployed, the process then follows the Change Management process to identify the assets, the risk and potential impact to the environment, the testing process as well as the timeline for deployment. ServiceNow leverages the Advanced High Availability architecture to transfer customers' production instances to the other data </w:t>
            </w:r>
            <w:proofErr w:type="spellStart"/>
            <w:r w:rsidRPr="00F84C9C">
              <w:rPr>
                <w:lang w:eastAsia="en-GB"/>
              </w:rPr>
              <w:t>center</w:t>
            </w:r>
            <w:proofErr w:type="spellEnd"/>
            <w:r w:rsidRPr="00F84C9C">
              <w:rPr>
                <w:lang w:eastAsia="en-GB"/>
              </w:rPr>
              <w:t xml:space="preserve"> when performing maintenance.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Protective monitoring type </w:t>
            </w:r>
          </w:p>
        </w:tc>
        <w:tc>
          <w:tcPr>
            <w:tcW w:w="0" w:type="auto"/>
            <w:vAlign w:val="center"/>
            <w:hideMark/>
          </w:tcPr>
          <w:p w:rsidR="00F84C9C" w:rsidRPr="00F84C9C" w:rsidRDefault="00F84C9C" w:rsidP="00F84C9C">
            <w:pPr>
              <w:rPr>
                <w:lang w:eastAsia="en-GB"/>
              </w:rPr>
            </w:pPr>
            <w:r w:rsidRPr="00F84C9C">
              <w:rPr>
                <w:lang w:eastAsia="en-GB"/>
              </w:rPr>
              <w:t xml:space="preserve">Conforms to a recognised standard, for example CSA CCM v3.0 or SSAE-16 / ISAE 3402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Protective monitoring approach </w:t>
            </w:r>
          </w:p>
        </w:tc>
        <w:tc>
          <w:tcPr>
            <w:tcW w:w="0" w:type="auto"/>
            <w:vAlign w:val="center"/>
            <w:hideMark/>
          </w:tcPr>
          <w:p w:rsidR="00F84C9C" w:rsidRPr="00F84C9C" w:rsidRDefault="00F84C9C" w:rsidP="00F84C9C">
            <w:pPr>
              <w:rPr>
                <w:lang w:eastAsia="en-GB"/>
              </w:rPr>
            </w:pPr>
            <w:r w:rsidRPr="00F84C9C">
              <w:rPr>
                <w:lang w:eastAsia="en-GB"/>
              </w:rPr>
              <w:t xml:space="preserve">ServiceNow has an implementation of </w:t>
            </w:r>
            <w:proofErr w:type="spellStart"/>
            <w:r w:rsidRPr="00F84C9C">
              <w:rPr>
                <w:lang w:eastAsia="en-GB"/>
              </w:rPr>
              <w:t>Sourefire</w:t>
            </w:r>
            <w:proofErr w:type="spellEnd"/>
            <w:r w:rsidRPr="00F84C9C">
              <w:rPr>
                <w:lang w:eastAsia="en-GB"/>
              </w:rPr>
              <w:t xml:space="preserve"> for IDS and </w:t>
            </w:r>
            <w:proofErr w:type="spellStart"/>
            <w:r w:rsidRPr="00F84C9C">
              <w:rPr>
                <w:lang w:eastAsia="en-GB"/>
              </w:rPr>
              <w:t>Splunk</w:t>
            </w:r>
            <w:proofErr w:type="spellEnd"/>
            <w:r w:rsidRPr="00F84C9C">
              <w:rPr>
                <w:lang w:eastAsia="en-GB"/>
              </w:rPr>
              <w:t xml:space="preserve"> for SIEM. The IDS system monitors inbound traffic in the DMZ. </w:t>
            </w:r>
            <w:proofErr w:type="spellStart"/>
            <w:r w:rsidRPr="00F84C9C">
              <w:rPr>
                <w:lang w:eastAsia="en-GB"/>
              </w:rPr>
              <w:t>Splunk</w:t>
            </w:r>
            <w:proofErr w:type="spellEnd"/>
            <w:r w:rsidRPr="00F84C9C">
              <w:rPr>
                <w:lang w:eastAsia="en-GB"/>
              </w:rPr>
              <w:t xml:space="preserve"> does log collection on network devices, IDS and servers used to support customer information. These systems are monitored with both proactive alerting and regular log files reviews. Events are responded to within 24 hours.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Incident management type </w:t>
            </w:r>
          </w:p>
        </w:tc>
        <w:tc>
          <w:tcPr>
            <w:tcW w:w="0" w:type="auto"/>
            <w:vAlign w:val="center"/>
            <w:hideMark/>
          </w:tcPr>
          <w:p w:rsidR="00F84C9C" w:rsidRPr="00F84C9C" w:rsidRDefault="00F84C9C" w:rsidP="00F84C9C">
            <w:pPr>
              <w:rPr>
                <w:lang w:eastAsia="en-GB"/>
              </w:rPr>
            </w:pPr>
            <w:r w:rsidRPr="00F84C9C">
              <w:rPr>
                <w:lang w:eastAsia="en-GB"/>
              </w:rPr>
              <w:t xml:space="preserve">Conforms to a recognised standard, for example, CSA CCM v3.0 or ISO/IEC 27035:2011 or SSAE-16 / ISAE 3402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Incident management approach </w:t>
            </w:r>
          </w:p>
        </w:tc>
        <w:tc>
          <w:tcPr>
            <w:tcW w:w="0" w:type="auto"/>
            <w:vAlign w:val="center"/>
            <w:hideMark/>
          </w:tcPr>
          <w:p w:rsidR="00F84C9C" w:rsidRPr="00F84C9C" w:rsidRDefault="00F84C9C" w:rsidP="00F84C9C">
            <w:pPr>
              <w:rPr>
                <w:lang w:eastAsia="en-GB"/>
              </w:rPr>
            </w:pPr>
            <w:r w:rsidRPr="00F84C9C">
              <w:rPr>
                <w:lang w:eastAsia="en-GB"/>
              </w:rPr>
              <w:t xml:space="preserve">ServiceNow has a formal documented Security Incident Response policy, process and workflow which aligns with NIST 800-61. ServiceNow Incident Response process includes event discovery, triage, escalation, notification (including customer notification) remediation, and post-mortem review. </w:t>
            </w:r>
          </w:p>
        </w:tc>
      </w:tr>
    </w:tbl>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Secure development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69"/>
        <w:gridCol w:w="4037"/>
      </w:tblGrid>
      <w:tr w:rsidR="00F84C9C" w:rsidRPr="00F84C9C" w:rsidTr="00F84C9C">
        <w:trPr>
          <w:gridAfter w:val="1"/>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r w:rsidRPr="00F84C9C">
              <w:rPr>
                <w:lang w:eastAsia="en-GB"/>
              </w:rPr>
              <w:t xml:space="preserve">Secure development </w:t>
            </w:r>
          </w:p>
        </w:tc>
      </w:tr>
      <w:tr w:rsidR="00F84C9C" w:rsidRPr="00F84C9C" w:rsidTr="00F84C9C">
        <w:trPr>
          <w:gridAfter w:val="1"/>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Approach to secure software development best practice </w:t>
            </w:r>
          </w:p>
        </w:tc>
        <w:tc>
          <w:tcPr>
            <w:tcW w:w="0" w:type="auto"/>
            <w:vAlign w:val="center"/>
            <w:hideMark/>
          </w:tcPr>
          <w:p w:rsidR="00F84C9C" w:rsidRPr="00F84C9C" w:rsidRDefault="00F84C9C" w:rsidP="00F84C9C">
            <w:pPr>
              <w:rPr>
                <w:lang w:eastAsia="en-GB"/>
              </w:rPr>
            </w:pPr>
            <w:r w:rsidRPr="00F84C9C">
              <w:rPr>
                <w:lang w:eastAsia="en-GB"/>
              </w:rPr>
              <w:t xml:space="preserve">Conforms to a recognised standard, but self-assessed </w:t>
            </w:r>
          </w:p>
        </w:tc>
      </w:tr>
    </w:tbl>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Public sector networks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1"/>
        <w:gridCol w:w="369"/>
      </w:tblGrid>
      <w:tr w:rsidR="00F84C9C" w:rsidRPr="00F84C9C" w:rsidTr="00F84C9C">
        <w:trPr>
          <w:gridAfter w:val="1"/>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r w:rsidRPr="00F84C9C">
              <w:rPr>
                <w:lang w:eastAsia="en-GB"/>
              </w:rPr>
              <w:t xml:space="preserve">Public sector networks </w:t>
            </w:r>
          </w:p>
        </w:tc>
      </w:tr>
      <w:tr w:rsidR="00F84C9C" w:rsidRPr="00F84C9C" w:rsidTr="00F84C9C">
        <w:trPr>
          <w:gridAfter w:val="1"/>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Connection to public sector networks </w:t>
            </w:r>
          </w:p>
        </w:tc>
        <w:tc>
          <w:tcPr>
            <w:tcW w:w="0" w:type="auto"/>
            <w:vAlign w:val="center"/>
            <w:hideMark/>
          </w:tcPr>
          <w:p w:rsidR="00F84C9C" w:rsidRPr="00F84C9C" w:rsidRDefault="00F84C9C" w:rsidP="00F84C9C">
            <w:pPr>
              <w:rPr>
                <w:lang w:eastAsia="en-GB"/>
              </w:rPr>
            </w:pPr>
            <w:r w:rsidRPr="00F84C9C">
              <w:rPr>
                <w:lang w:eastAsia="en-GB"/>
              </w:rPr>
              <w:t xml:space="preserve">No </w:t>
            </w:r>
          </w:p>
        </w:tc>
      </w:tr>
    </w:tbl>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Pricing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8"/>
        <w:gridCol w:w="2542"/>
      </w:tblGrid>
      <w:tr w:rsidR="00F84C9C" w:rsidRPr="00F84C9C" w:rsidTr="00F84C9C">
        <w:trPr>
          <w:gridAfter w:val="1"/>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r w:rsidRPr="00F84C9C">
              <w:rPr>
                <w:lang w:eastAsia="en-GB"/>
              </w:rPr>
              <w:t xml:space="preserve">Pricing </w:t>
            </w:r>
          </w:p>
        </w:tc>
      </w:tr>
      <w:tr w:rsidR="00F84C9C" w:rsidRPr="00F84C9C" w:rsidTr="00F84C9C">
        <w:trPr>
          <w:gridAfter w:val="1"/>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Price </w:t>
            </w:r>
          </w:p>
        </w:tc>
        <w:tc>
          <w:tcPr>
            <w:tcW w:w="0" w:type="auto"/>
            <w:vAlign w:val="center"/>
            <w:hideMark/>
          </w:tcPr>
          <w:p w:rsidR="00F84C9C" w:rsidRPr="00F84C9C" w:rsidRDefault="00F84C9C" w:rsidP="00F84C9C">
            <w:pPr>
              <w:rPr>
                <w:lang w:eastAsia="en-GB"/>
              </w:rPr>
            </w:pPr>
            <w:r w:rsidRPr="00F84C9C">
              <w:rPr>
                <w:lang w:eastAsia="en-GB"/>
              </w:rPr>
              <w:t xml:space="preserve">£79 per person per month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Discount for educational organisations </w:t>
            </w:r>
          </w:p>
        </w:tc>
        <w:tc>
          <w:tcPr>
            <w:tcW w:w="0" w:type="auto"/>
            <w:vAlign w:val="center"/>
            <w:hideMark/>
          </w:tcPr>
          <w:p w:rsidR="00F84C9C" w:rsidRPr="00F84C9C" w:rsidRDefault="00F84C9C" w:rsidP="00F84C9C">
            <w:pPr>
              <w:rPr>
                <w:lang w:eastAsia="en-GB"/>
              </w:rPr>
            </w:pPr>
            <w:r w:rsidRPr="00F84C9C">
              <w:rPr>
                <w:lang w:eastAsia="en-GB"/>
              </w:rPr>
              <w:t xml:space="preserve">No </w:t>
            </w:r>
          </w:p>
        </w:tc>
      </w:tr>
      <w:tr w:rsidR="00F84C9C" w:rsidRPr="00F84C9C" w:rsidTr="00F84C9C">
        <w:trPr>
          <w:tblCellSpacing w:w="15" w:type="dxa"/>
        </w:trPr>
        <w:tc>
          <w:tcPr>
            <w:tcW w:w="0" w:type="auto"/>
            <w:vAlign w:val="center"/>
            <w:hideMark/>
          </w:tcPr>
          <w:p w:rsidR="00F84C9C" w:rsidRPr="00F84C9C" w:rsidRDefault="00F84C9C" w:rsidP="00F84C9C">
            <w:pPr>
              <w:rPr>
                <w:lang w:eastAsia="en-GB"/>
              </w:rPr>
            </w:pPr>
            <w:r w:rsidRPr="00F84C9C">
              <w:rPr>
                <w:lang w:eastAsia="en-GB"/>
              </w:rPr>
              <w:t xml:space="preserve">Free trial available </w:t>
            </w:r>
          </w:p>
        </w:tc>
        <w:tc>
          <w:tcPr>
            <w:tcW w:w="0" w:type="auto"/>
            <w:vAlign w:val="center"/>
            <w:hideMark/>
          </w:tcPr>
          <w:p w:rsidR="00F84C9C" w:rsidRPr="00F84C9C" w:rsidRDefault="00F84C9C" w:rsidP="00F84C9C">
            <w:pPr>
              <w:rPr>
                <w:lang w:eastAsia="en-GB"/>
              </w:rPr>
            </w:pPr>
            <w:r w:rsidRPr="00F84C9C">
              <w:rPr>
                <w:lang w:eastAsia="en-GB"/>
              </w:rPr>
              <w:t xml:space="preserve">No </w:t>
            </w:r>
          </w:p>
        </w:tc>
      </w:tr>
    </w:tbl>
    <w:p w:rsidR="00F84C9C" w:rsidRPr="00F84C9C" w:rsidRDefault="00F84C9C" w:rsidP="00F84C9C">
      <w:pPr>
        <w:spacing w:before="100" w:beforeAutospacing="1" w:after="100" w:afterAutospacing="1"/>
        <w:outlineLvl w:val="1"/>
        <w:rPr>
          <w:b/>
          <w:bCs/>
          <w:sz w:val="36"/>
          <w:szCs w:val="36"/>
          <w:lang w:val="en" w:eastAsia="en-GB"/>
        </w:rPr>
      </w:pPr>
      <w:r w:rsidRPr="00F84C9C">
        <w:rPr>
          <w:b/>
          <w:bCs/>
          <w:sz w:val="36"/>
          <w:szCs w:val="36"/>
          <w:lang w:val="en" w:eastAsia="en-GB"/>
        </w:rPr>
        <w:t xml:space="preserve">Service documents </w:t>
      </w:r>
    </w:p>
    <w:p w:rsidR="00F84C9C" w:rsidRPr="00F84C9C" w:rsidRDefault="0030670C" w:rsidP="00F84C9C">
      <w:pPr>
        <w:rPr>
          <w:lang w:val="en" w:eastAsia="en-GB"/>
        </w:rPr>
      </w:pPr>
      <w:hyperlink r:id="rId9" w:history="1">
        <w:r w:rsidR="00F84C9C" w:rsidRPr="00F84C9C">
          <w:rPr>
            <w:color w:val="0000FF"/>
            <w:u w:val="single"/>
            <w:lang w:val="en" w:eastAsia="en-GB"/>
          </w:rPr>
          <w:t xml:space="preserve">pdf document: Pricing document </w:t>
        </w:r>
      </w:hyperlink>
      <w:hyperlink r:id="rId10" w:history="1">
        <w:r w:rsidR="00F84C9C" w:rsidRPr="00F84C9C">
          <w:rPr>
            <w:color w:val="0000FF"/>
            <w:u w:val="single"/>
            <w:lang w:val="en" w:eastAsia="en-GB"/>
          </w:rPr>
          <w:t xml:space="preserve">pdf document: Skills Framework for the Information Age rate card </w:t>
        </w:r>
      </w:hyperlink>
      <w:hyperlink r:id="rId11" w:history="1">
        <w:r w:rsidR="00F84C9C" w:rsidRPr="00F84C9C">
          <w:rPr>
            <w:color w:val="0000FF"/>
            <w:u w:val="single"/>
            <w:lang w:val="en" w:eastAsia="en-GB"/>
          </w:rPr>
          <w:t xml:space="preserve">pdf document: Terms and conditions </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0"/>
      </w:tblGrid>
      <w:tr w:rsidR="00F84C9C" w:rsidRPr="00F84C9C" w:rsidTr="00F84C9C">
        <w:trPr>
          <w:tblHeader/>
          <w:tblCellSpacing w:w="15" w:type="dxa"/>
        </w:trPr>
        <w:tc>
          <w:tcPr>
            <w:tcW w:w="0" w:type="auto"/>
            <w:tcBorders>
              <w:top w:val="nil"/>
              <w:left w:val="nil"/>
              <w:bottom w:val="nil"/>
              <w:right w:val="nil"/>
            </w:tcBorders>
            <w:vAlign w:val="center"/>
            <w:hideMark/>
          </w:tcPr>
          <w:p w:rsidR="00F84C9C" w:rsidRPr="00F84C9C" w:rsidRDefault="00F84C9C" w:rsidP="00F84C9C">
            <w:pPr>
              <w:jc w:val="center"/>
              <w:rPr>
                <w:lang w:eastAsia="en-GB"/>
              </w:rPr>
            </w:pPr>
            <w:r w:rsidRPr="00F84C9C">
              <w:rPr>
                <w:lang w:eastAsia="en-GB"/>
              </w:rPr>
              <w:t xml:space="preserve">Service documents </w:t>
            </w:r>
          </w:p>
        </w:tc>
      </w:tr>
      <w:tr w:rsidR="00F84C9C" w:rsidRPr="00F84C9C" w:rsidTr="00F84C9C">
        <w:trPr>
          <w:tblHeader/>
          <w:tblCellSpacing w:w="15" w:type="dxa"/>
        </w:trPr>
        <w:tc>
          <w:tcPr>
            <w:tcW w:w="0" w:type="auto"/>
            <w:vAlign w:val="center"/>
            <w:hideMark/>
          </w:tcPr>
          <w:p w:rsidR="00F84C9C" w:rsidRPr="00F84C9C" w:rsidRDefault="00F84C9C" w:rsidP="00F84C9C">
            <w:pPr>
              <w:jc w:val="center"/>
              <w:rPr>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sz w:val="20"/>
                <w:szCs w:val="20"/>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sz w:val="20"/>
                <w:szCs w:val="20"/>
                <w:lang w:eastAsia="en-GB"/>
              </w:rPr>
            </w:pPr>
          </w:p>
        </w:tc>
      </w:tr>
      <w:tr w:rsidR="00F84C9C" w:rsidRPr="00F84C9C" w:rsidTr="00F84C9C">
        <w:trPr>
          <w:tblCellSpacing w:w="15" w:type="dxa"/>
        </w:trPr>
        <w:tc>
          <w:tcPr>
            <w:tcW w:w="0" w:type="auto"/>
            <w:vAlign w:val="center"/>
            <w:hideMark/>
          </w:tcPr>
          <w:p w:rsidR="00F84C9C" w:rsidRPr="00F84C9C" w:rsidRDefault="00F84C9C" w:rsidP="00F84C9C">
            <w:pPr>
              <w:rPr>
                <w:sz w:val="20"/>
                <w:szCs w:val="20"/>
                <w:lang w:eastAsia="en-GB"/>
              </w:rPr>
            </w:pPr>
          </w:p>
        </w:tc>
      </w:tr>
    </w:tbl>
    <w:p w:rsidR="00F84C9C" w:rsidRPr="00F84C9C" w:rsidRDefault="0030670C" w:rsidP="00F84C9C">
      <w:pPr>
        <w:rPr>
          <w:lang w:val="en" w:eastAsia="en-GB"/>
        </w:rPr>
      </w:pPr>
      <w:hyperlink r:id="rId12" w:anchor="content" w:history="1">
        <w:r w:rsidR="00F84C9C" w:rsidRPr="00F84C9C">
          <w:rPr>
            <w:color w:val="0000FF"/>
            <w:u w:val="single"/>
            <w:lang w:val="en" w:eastAsia="en-GB"/>
          </w:rPr>
          <w:t>R</w:t>
        </w:r>
      </w:hyperlink>
    </w:p>
    <w:p w:rsidR="0093611D" w:rsidRDefault="0093611D"/>
    <w:sectPr w:rsidR="0093611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531"/>
    <w:multiLevelType w:val="multilevel"/>
    <w:tmpl w:val="F814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B47F4"/>
    <w:multiLevelType w:val="multilevel"/>
    <w:tmpl w:val="508E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C1276"/>
    <w:multiLevelType w:val="multilevel"/>
    <w:tmpl w:val="C44E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A290E"/>
    <w:multiLevelType w:val="multilevel"/>
    <w:tmpl w:val="8CDE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A2E07"/>
    <w:multiLevelType w:val="multilevel"/>
    <w:tmpl w:val="DB44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600B0"/>
    <w:multiLevelType w:val="multilevel"/>
    <w:tmpl w:val="0E1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A3B1F"/>
    <w:multiLevelType w:val="multilevel"/>
    <w:tmpl w:val="CD3A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B35275"/>
    <w:multiLevelType w:val="multilevel"/>
    <w:tmpl w:val="57F0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612DE"/>
    <w:multiLevelType w:val="multilevel"/>
    <w:tmpl w:val="1EC8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095033"/>
    <w:multiLevelType w:val="multilevel"/>
    <w:tmpl w:val="D14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3F7CC8"/>
    <w:multiLevelType w:val="multilevel"/>
    <w:tmpl w:val="8F04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306F47"/>
    <w:multiLevelType w:val="multilevel"/>
    <w:tmpl w:val="9884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C70AA3"/>
    <w:multiLevelType w:val="multilevel"/>
    <w:tmpl w:val="837C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5"/>
  </w:num>
  <w:num w:numId="4">
    <w:abstractNumId w:val="3"/>
  </w:num>
  <w:num w:numId="5">
    <w:abstractNumId w:val="10"/>
  </w:num>
  <w:num w:numId="6">
    <w:abstractNumId w:val="9"/>
  </w:num>
  <w:num w:numId="7">
    <w:abstractNumId w:val="2"/>
  </w:num>
  <w:num w:numId="8">
    <w:abstractNumId w:val="0"/>
  </w:num>
  <w:num w:numId="9">
    <w:abstractNumId w:val="6"/>
  </w:num>
  <w:num w:numId="10">
    <w:abstractNumId w:val="1"/>
  </w:num>
  <w:num w:numId="11">
    <w:abstractNumId w:val="1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9C"/>
    <w:rsid w:val="000D3DAE"/>
    <w:rsid w:val="00146AD4"/>
    <w:rsid w:val="00176619"/>
    <w:rsid w:val="00206E9E"/>
    <w:rsid w:val="002162CD"/>
    <w:rsid w:val="0028178D"/>
    <w:rsid w:val="0030341E"/>
    <w:rsid w:val="0030670C"/>
    <w:rsid w:val="00317F05"/>
    <w:rsid w:val="003304DB"/>
    <w:rsid w:val="003A6CD5"/>
    <w:rsid w:val="00414C9A"/>
    <w:rsid w:val="00415720"/>
    <w:rsid w:val="004C4BF1"/>
    <w:rsid w:val="00630004"/>
    <w:rsid w:val="007413FC"/>
    <w:rsid w:val="00753D2B"/>
    <w:rsid w:val="007D4418"/>
    <w:rsid w:val="007D7133"/>
    <w:rsid w:val="008736BD"/>
    <w:rsid w:val="008B238F"/>
    <w:rsid w:val="008D02DE"/>
    <w:rsid w:val="0093611D"/>
    <w:rsid w:val="009A0A68"/>
    <w:rsid w:val="009F5DB6"/>
    <w:rsid w:val="00A10971"/>
    <w:rsid w:val="00AC2935"/>
    <w:rsid w:val="00B11400"/>
    <w:rsid w:val="00B4683C"/>
    <w:rsid w:val="00B57D1A"/>
    <w:rsid w:val="00B7423C"/>
    <w:rsid w:val="00B87EAA"/>
    <w:rsid w:val="00BE6D22"/>
    <w:rsid w:val="00C40905"/>
    <w:rsid w:val="00C576AA"/>
    <w:rsid w:val="00D01EDE"/>
    <w:rsid w:val="00D667F6"/>
    <w:rsid w:val="00D82BF4"/>
    <w:rsid w:val="00DF1416"/>
    <w:rsid w:val="00E411F3"/>
    <w:rsid w:val="00EA26A1"/>
    <w:rsid w:val="00EF49A6"/>
    <w:rsid w:val="00F4102D"/>
    <w:rsid w:val="00F702D7"/>
    <w:rsid w:val="00F84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CE6111-DAED-42F7-B181-AD6D513D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F84C9C"/>
    <w:pPr>
      <w:spacing w:before="100" w:beforeAutospacing="1" w:after="100" w:afterAutospacing="1"/>
      <w:outlineLvl w:val="0"/>
    </w:pPr>
    <w:rPr>
      <w:b/>
      <w:bCs/>
      <w:kern w:val="36"/>
      <w:sz w:val="48"/>
      <w:szCs w:val="48"/>
      <w:lang w:eastAsia="en-GB"/>
    </w:rPr>
  </w:style>
  <w:style w:type="paragraph" w:styleId="Heading2">
    <w:name w:val="heading 2"/>
    <w:basedOn w:val="Normal"/>
    <w:link w:val="Heading2Char"/>
    <w:uiPriority w:val="9"/>
    <w:qFormat/>
    <w:rsid w:val="00F84C9C"/>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C9C"/>
    <w:rPr>
      <w:b/>
      <w:bCs/>
      <w:kern w:val="36"/>
      <w:sz w:val="48"/>
      <w:szCs w:val="48"/>
    </w:rPr>
  </w:style>
  <w:style w:type="character" w:customStyle="1" w:styleId="Heading2Char">
    <w:name w:val="Heading 2 Char"/>
    <w:basedOn w:val="DefaultParagraphFont"/>
    <w:link w:val="Heading2"/>
    <w:uiPriority w:val="9"/>
    <w:rsid w:val="00F84C9C"/>
    <w:rPr>
      <w:b/>
      <w:bCs/>
      <w:sz w:val="36"/>
      <w:szCs w:val="36"/>
    </w:rPr>
  </w:style>
  <w:style w:type="paragraph" w:customStyle="1" w:styleId="context">
    <w:name w:val="context"/>
    <w:basedOn w:val="Normal"/>
    <w:rsid w:val="00F84C9C"/>
    <w:pPr>
      <w:spacing w:before="100" w:beforeAutospacing="1" w:after="100" w:afterAutospacing="1"/>
    </w:pPr>
    <w:rPr>
      <w:lang w:eastAsia="en-GB"/>
    </w:rPr>
  </w:style>
  <w:style w:type="paragraph" w:customStyle="1" w:styleId="service-summary-lede">
    <w:name w:val="service-summary-lede"/>
    <w:basedOn w:val="Normal"/>
    <w:rsid w:val="00F84C9C"/>
    <w:pPr>
      <w:spacing w:before="100" w:beforeAutospacing="1" w:after="100" w:afterAutospacing="1"/>
    </w:pPr>
    <w:rPr>
      <w:lang w:eastAsia="en-GB"/>
    </w:rPr>
  </w:style>
  <w:style w:type="paragraph" w:customStyle="1" w:styleId="price">
    <w:name w:val="price"/>
    <w:basedOn w:val="Normal"/>
    <w:rsid w:val="00F84C9C"/>
    <w:pPr>
      <w:spacing w:before="100" w:beforeAutospacing="1" w:after="100" w:afterAutospacing="1"/>
    </w:pPr>
    <w:rPr>
      <w:lang w:eastAsia="en-GB"/>
    </w:rPr>
  </w:style>
  <w:style w:type="character" w:styleId="Hyperlink">
    <w:name w:val="Hyperlink"/>
    <w:basedOn w:val="DefaultParagraphFont"/>
    <w:uiPriority w:val="99"/>
    <w:semiHidden/>
    <w:unhideWhenUsed/>
    <w:rsid w:val="00F84C9C"/>
    <w:rPr>
      <w:color w:val="0000FF"/>
      <w:u w:val="single"/>
    </w:rPr>
  </w:style>
  <w:style w:type="character" w:customStyle="1" w:styleId="document-icon">
    <w:name w:val="document-icon"/>
    <w:basedOn w:val="DefaultParagraphFont"/>
    <w:rsid w:val="00F84C9C"/>
  </w:style>
  <w:style w:type="paragraph" w:customStyle="1" w:styleId="framework-name">
    <w:name w:val="framework-name"/>
    <w:basedOn w:val="Normal"/>
    <w:rsid w:val="00F84C9C"/>
    <w:pPr>
      <w:spacing w:before="100" w:beforeAutospacing="1" w:after="100" w:afterAutospacing="1"/>
    </w:pPr>
    <w:rPr>
      <w:lang w:eastAsia="en-GB"/>
    </w:rPr>
  </w:style>
  <w:style w:type="character" w:customStyle="1" w:styleId="service-id-chunk">
    <w:name w:val="service-id-chunk"/>
    <w:basedOn w:val="DefaultParagraphFont"/>
    <w:rsid w:val="00F84C9C"/>
  </w:style>
  <w:style w:type="paragraph" w:customStyle="1" w:styleId="contact-details-organisation">
    <w:name w:val="contact-details-organisation"/>
    <w:basedOn w:val="Normal"/>
    <w:rsid w:val="00F84C9C"/>
    <w:pPr>
      <w:spacing w:before="100" w:beforeAutospacing="1" w:after="100" w:afterAutospacing="1"/>
    </w:pPr>
    <w:rPr>
      <w:lang w:eastAsia="en-GB"/>
    </w:rPr>
  </w:style>
  <w:style w:type="paragraph" w:customStyle="1" w:styleId="contact-details-block">
    <w:name w:val="contact-details-block"/>
    <w:basedOn w:val="Normal"/>
    <w:rsid w:val="00F84C9C"/>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270812">
      <w:bodyDiv w:val="1"/>
      <w:marLeft w:val="0"/>
      <w:marRight w:val="0"/>
      <w:marTop w:val="0"/>
      <w:marBottom w:val="0"/>
      <w:divBdr>
        <w:top w:val="none" w:sz="0" w:space="0" w:color="auto"/>
        <w:left w:val="none" w:sz="0" w:space="0" w:color="auto"/>
        <w:bottom w:val="none" w:sz="0" w:space="0" w:color="auto"/>
        <w:right w:val="none" w:sz="0" w:space="0" w:color="auto"/>
      </w:divBdr>
      <w:divsChild>
        <w:div w:id="2060279303">
          <w:marLeft w:val="0"/>
          <w:marRight w:val="0"/>
          <w:marTop w:val="0"/>
          <w:marBottom w:val="0"/>
          <w:divBdr>
            <w:top w:val="none" w:sz="0" w:space="0" w:color="auto"/>
            <w:left w:val="none" w:sz="0" w:space="0" w:color="auto"/>
            <w:bottom w:val="none" w:sz="0" w:space="0" w:color="auto"/>
            <w:right w:val="none" w:sz="0" w:space="0" w:color="auto"/>
          </w:divBdr>
          <w:divsChild>
            <w:div w:id="1815828782">
              <w:marLeft w:val="0"/>
              <w:marRight w:val="0"/>
              <w:marTop w:val="0"/>
              <w:marBottom w:val="0"/>
              <w:divBdr>
                <w:top w:val="none" w:sz="0" w:space="0" w:color="auto"/>
                <w:left w:val="none" w:sz="0" w:space="0" w:color="auto"/>
                <w:bottom w:val="none" w:sz="0" w:space="0" w:color="auto"/>
                <w:right w:val="none" w:sz="0" w:space="0" w:color="auto"/>
              </w:divBdr>
              <w:divsChild>
                <w:div w:id="591009986">
                  <w:marLeft w:val="0"/>
                  <w:marRight w:val="0"/>
                  <w:marTop w:val="0"/>
                  <w:marBottom w:val="0"/>
                  <w:divBdr>
                    <w:top w:val="none" w:sz="0" w:space="0" w:color="auto"/>
                    <w:left w:val="none" w:sz="0" w:space="0" w:color="auto"/>
                    <w:bottom w:val="none" w:sz="0" w:space="0" w:color="auto"/>
                    <w:right w:val="none" w:sz="0" w:space="0" w:color="auto"/>
                  </w:divBdr>
                </w:div>
              </w:divsChild>
            </w:div>
            <w:div w:id="178354973">
              <w:marLeft w:val="0"/>
              <w:marRight w:val="0"/>
              <w:marTop w:val="0"/>
              <w:marBottom w:val="0"/>
              <w:divBdr>
                <w:top w:val="none" w:sz="0" w:space="0" w:color="auto"/>
                <w:left w:val="none" w:sz="0" w:space="0" w:color="auto"/>
                <w:bottom w:val="none" w:sz="0" w:space="0" w:color="auto"/>
                <w:right w:val="none" w:sz="0" w:space="0" w:color="auto"/>
              </w:divBdr>
              <w:divsChild>
                <w:div w:id="1956597187">
                  <w:marLeft w:val="0"/>
                  <w:marRight w:val="0"/>
                  <w:marTop w:val="0"/>
                  <w:marBottom w:val="0"/>
                  <w:divBdr>
                    <w:top w:val="none" w:sz="0" w:space="0" w:color="auto"/>
                    <w:left w:val="none" w:sz="0" w:space="0" w:color="auto"/>
                    <w:bottom w:val="none" w:sz="0" w:space="0" w:color="auto"/>
                    <w:right w:val="none" w:sz="0" w:space="0" w:color="auto"/>
                  </w:divBdr>
                </w:div>
                <w:div w:id="28844208">
                  <w:marLeft w:val="0"/>
                  <w:marRight w:val="0"/>
                  <w:marTop w:val="0"/>
                  <w:marBottom w:val="0"/>
                  <w:divBdr>
                    <w:top w:val="none" w:sz="0" w:space="0" w:color="auto"/>
                    <w:left w:val="none" w:sz="0" w:space="0" w:color="auto"/>
                    <w:bottom w:val="none" w:sz="0" w:space="0" w:color="auto"/>
                    <w:right w:val="none" w:sz="0" w:space="0" w:color="auto"/>
                  </w:divBdr>
                  <w:divsChild>
                    <w:div w:id="984552099">
                      <w:marLeft w:val="0"/>
                      <w:marRight w:val="0"/>
                      <w:marTop w:val="0"/>
                      <w:marBottom w:val="0"/>
                      <w:divBdr>
                        <w:top w:val="none" w:sz="0" w:space="0" w:color="auto"/>
                        <w:left w:val="none" w:sz="0" w:space="0" w:color="auto"/>
                        <w:bottom w:val="none" w:sz="0" w:space="0" w:color="auto"/>
                        <w:right w:val="none" w:sz="0" w:space="0" w:color="auto"/>
                      </w:divBdr>
                      <w:divsChild>
                        <w:div w:id="2072265739">
                          <w:marLeft w:val="0"/>
                          <w:marRight w:val="0"/>
                          <w:marTop w:val="0"/>
                          <w:marBottom w:val="0"/>
                          <w:divBdr>
                            <w:top w:val="none" w:sz="0" w:space="0" w:color="auto"/>
                            <w:left w:val="none" w:sz="0" w:space="0" w:color="auto"/>
                            <w:bottom w:val="none" w:sz="0" w:space="0" w:color="auto"/>
                            <w:right w:val="none" w:sz="0" w:space="0" w:color="auto"/>
                          </w:divBdr>
                        </w:div>
                        <w:div w:id="20638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71314">
              <w:marLeft w:val="0"/>
              <w:marRight w:val="0"/>
              <w:marTop w:val="0"/>
              <w:marBottom w:val="0"/>
              <w:divBdr>
                <w:top w:val="none" w:sz="0" w:space="0" w:color="auto"/>
                <w:left w:val="none" w:sz="0" w:space="0" w:color="auto"/>
                <w:bottom w:val="none" w:sz="0" w:space="0" w:color="auto"/>
                <w:right w:val="none" w:sz="0" w:space="0" w:color="auto"/>
              </w:divBdr>
              <w:divsChild>
                <w:div w:id="647562636">
                  <w:marLeft w:val="0"/>
                  <w:marRight w:val="0"/>
                  <w:marTop w:val="0"/>
                  <w:marBottom w:val="0"/>
                  <w:divBdr>
                    <w:top w:val="none" w:sz="0" w:space="0" w:color="auto"/>
                    <w:left w:val="none" w:sz="0" w:space="0" w:color="auto"/>
                    <w:bottom w:val="none" w:sz="0" w:space="0" w:color="auto"/>
                    <w:right w:val="none" w:sz="0" w:space="0" w:color="auto"/>
                  </w:divBdr>
                  <w:divsChild>
                    <w:div w:id="1955021074">
                      <w:marLeft w:val="0"/>
                      <w:marRight w:val="0"/>
                      <w:marTop w:val="0"/>
                      <w:marBottom w:val="0"/>
                      <w:divBdr>
                        <w:top w:val="none" w:sz="0" w:space="0" w:color="auto"/>
                        <w:left w:val="none" w:sz="0" w:space="0" w:color="auto"/>
                        <w:bottom w:val="none" w:sz="0" w:space="0" w:color="auto"/>
                        <w:right w:val="none" w:sz="0" w:space="0" w:color="auto"/>
                      </w:divBdr>
                    </w:div>
                    <w:div w:id="1608849626">
                      <w:marLeft w:val="0"/>
                      <w:marRight w:val="0"/>
                      <w:marTop w:val="0"/>
                      <w:marBottom w:val="0"/>
                      <w:divBdr>
                        <w:top w:val="none" w:sz="0" w:space="0" w:color="auto"/>
                        <w:left w:val="none" w:sz="0" w:space="0" w:color="auto"/>
                        <w:bottom w:val="none" w:sz="0" w:space="0" w:color="auto"/>
                        <w:right w:val="none" w:sz="0" w:space="0" w:color="auto"/>
                      </w:divBdr>
                    </w:div>
                    <w:div w:id="2030250997">
                      <w:marLeft w:val="0"/>
                      <w:marRight w:val="0"/>
                      <w:marTop w:val="0"/>
                      <w:marBottom w:val="0"/>
                      <w:divBdr>
                        <w:top w:val="none" w:sz="0" w:space="0" w:color="auto"/>
                        <w:left w:val="none" w:sz="0" w:space="0" w:color="auto"/>
                        <w:bottom w:val="none" w:sz="0" w:space="0" w:color="auto"/>
                        <w:right w:val="none" w:sz="0" w:space="0" w:color="auto"/>
                      </w:divBdr>
                    </w:div>
                    <w:div w:id="1720934998">
                      <w:marLeft w:val="0"/>
                      <w:marRight w:val="0"/>
                      <w:marTop w:val="0"/>
                      <w:marBottom w:val="0"/>
                      <w:divBdr>
                        <w:top w:val="none" w:sz="0" w:space="0" w:color="auto"/>
                        <w:left w:val="none" w:sz="0" w:space="0" w:color="auto"/>
                        <w:bottom w:val="none" w:sz="0" w:space="0" w:color="auto"/>
                        <w:right w:val="none" w:sz="0" w:space="0" w:color="auto"/>
                      </w:divBdr>
                    </w:div>
                    <w:div w:id="1719430943">
                      <w:marLeft w:val="0"/>
                      <w:marRight w:val="0"/>
                      <w:marTop w:val="0"/>
                      <w:marBottom w:val="0"/>
                      <w:divBdr>
                        <w:top w:val="none" w:sz="0" w:space="0" w:color="auto"/>
                        <w:left w:val="none" w:sz="0" w:space="0" w:color="auto"/>
                        <w:bottom w:val="none" w:sz="0" w:space="0" w:color="auto"/>
                        <w:right w:val="none" w:sz="0" w:space="0" w:color="auto"/>
                      </w:divBdr>
                    </w:div>
                    <w:div w:id="331834262">
                      <w:marLeft w:val="0"/>
                      <w:marRight w:val="0"/>
                      <w:marTop w:val="0"/>
                      <w:marBottom w:val="0"/>
                      <w:divBdr>
                        <w:top w:val="none" w:sz="0" w:space="0" w:color="auto"/>
                        <w:left w:val="none" w:sz="0" w:space="0" w:color="auto"/>
                        <w:bottom w:val="none" w:sz="0" w:space="0" w:color="auto"/>
                        <w:right w:val="none" w:sz="0" w:space="0" w:color="auto"/>
                      </w:divBdr>
                    </w:div>
                    <w:div w:id="2060938707">
                      <w:marLeft w:val="0"/>
                      <w:marRight w:val="0"/>
                      <w:marTop w:val="0"/>
                      <w:marBottom w:val="0"/>
                      <w:divBdr>
                        <w:top w:val="none" w:sz="0" w:space="0" w:color="auto"/>
                        <w:left w:val="none" w:sz="0" w:space="0" w:color="auto"/>
                        <w:bottom w:val="none" w:sz="0" w:space="0" w:color="auto"/>
                        <w:right w:val="none" w:sz="0" w:space="0" w:color="auto"/>
                      </w:divBdr>
                    </w:div>
                    <w:div w:id="206337273">
                      <w:marLeft w:val="0"/>
                      <w:marRight w:val="0"/>
                      <w:marTop w:val="0"/>
                      <w:marBottom w:val="0"/>
                      <w:divBdr>
                        <w:top w:val="none" w:sz="0" w:space="0" w:color="auto"/>
                        <w:left w:val="none" w:sz="0" w:space="0" w:color="auto"/>
                        <w:bottom w:val="none" w:sz="0" w:space="0" w:color="auto"/>
                        <w:right w:val="none" w:sz="0" w:space="0" w:color="auto"/>
                      </w:divBdr>
                    </w:div>
                    <w:div w:id="1436825080">
                      <w:marLeft w:val="0"/>
                      <w:marRight w:val="0"/>
                      <w:marTop w:val="0"/>
                      <w:marBottom w:val="0"/>
                      <w:divBdr>
                        <w:top w:val="none" w:sz="0" w:space="0" w:color="auto"/>
                        <w:left w:val="none" w:sz="0" w:space="0" w:color="auto"/>
                        <w:bottom w:val="none" w:sz="0" w:space="0" w:color="auto"/>
                        <w:right w:val="none" w:sz="0" w:space="0" w:color="auto"/>
                      </w:divBdr>
                    </w:div>
                    <w:div w:id="967005366">
                      <w:marLeft w:val="0"/>
                      <w:marRight w:val="0"/>
                      <w:marTop w:val="0"/>
                      <w:marBottom w:val="0"/>
                      <w:divBdr>
                        <w:top w:val="none" w:sz="0" w:space="0" w:color="auto"/>
                        <w:left w:val="none" w:sz="0" w:space="0" w:color="auto"/>
                        <w:bottom w:val="none" w:sz="0" w:space="0" w:color="auto"/>
                        <w:right w:val="none" w:sz="0" w:space="0" w:color="auto"/>
                      </w:divBdr>
                    </w:div>
                    <w:div w:id="16396418">
                      <w:marLeft w:val="0"/>
                      <w:marRight w:val="0"/>
                      <w:marTop w:val="0"/>
                      <w:marBottom w:val="0"/>
                      <w:divBdr>
                        <w:top w:val="none" w:sz="0" w:space="0" w:color="auto"/>
                        <w:left w:val="none" w:sz="0" w:space="0" w:color="auto"/>
                        <w:bottom w:val="none" w:sz="0" w:space="0" w:color="auto"/>
                        <w:right w:val="none" w:sz="0" w:space="0" w:color="auto"/>
                      </w:divBdr>
                    </w:div>
                    <w:div w:id="2072534180">
                      <w:marLeft w:val="0"/>
                      <w:marRight w:val="0"/>
                      <w:marTop w:val="0"/>
                      <w:marBottom w:val="0"/>
                      <w:divBdr>
                        <w:top w:val="none" w:sz="0" w:space="0" w:color="auto"/>
                        <w:left w:val="none" w:sz="0" w:space="0" w:color="auto"/>
                        <w:bottom w:val="none" w:sz="0" w:space="0" w:color="auto"/>
                        <w:right w:val="none" w:sz="0" w:space="0" w:color="auto"/>
                      </w:divBdr>
                    </w:div>
                    <w:div w:id="1566723232">
                      <w:marLeft w:val="0"/>
                      <w:marRight w:val="0"/>
                      <w:marTop w:val="0"/>
                      <w:marBottom w:val="0"/>
                      <w:divBdr>
                        <w:top w:val="none" w:sz="0" w:space="0" w:color="auto"/>
                        <w:left w:val="none" w:sz="0" w:space="0" w:color="auto"/>
                        <w:bottom w:val="none" w:sz="0" w:space="0" w:color="auto"/>
                        <w:right w:val="none" w:sz="0" w:space="0" w:color="auto"/>
                      </w:divBdr>
                    </w:div>
                    <w:div w:id="1981030874">
                      <w:marLeft w:val="0"/>
                      <w:marRight w:val="0"/>
                      <w:marTop w:val="0"/>
                      <w:marBottom w:val="0"/>
                      <w:divBdr>
                        <w:top w:val="none" w:sz="0" w:space="0" w:color="auto"/>
                        <w:left w:val="none" w:sz="0" w:space="0" w:color="auto"/>
                        <w:bottom w:val="none" w:sz="0" w:space="0" w:color="auto"/>
                        <w:right w:val="none" w:sz="0" w:space="0" w:color="auto"/>
                      </w:divBdr>
                    </w:div>
                    <w:div w:id="68575515">
                      <w:marLeft w:val="0"/>
                      <w:marRight w:val="0"/>
                      <w:marTop w:val="0"/>
                      <w:marBottom w:val="0"/>
                      <w:divBdr>
                        <w:top w:val="none" w:sz="0" w:space="0" w:color="auto"/>
                        <w:left w:val="none" w:sz="0" w:space="0" w:color="auto"/>
                        <w:bottom w:val="none" w:sz="0" w:space="0" w:color="auto"/>
                        <w:right w:val="none" w:sz="0" w:space="0" w:color="auto"/>
                      </w:divBdr>
                    </w:div>
                    <w:div w:id="1669097837">
                      <w:marLeft w:val="0"/>
                      <w:marRight w:val="0"/>
                      <w:marTop w:val="0"/>
                      <w:marBottom w:val="0"/>
                      <w:divBdr>
                        <w:top w:val="none" w:sz="0" w:space="0" w:color="auto"/>
                        <w:left w:val="none" w:sz="0" w:space="0" w:color="auto"/>
                        <w:bottom w:val="none" w:sz="0" w:space="0" w:color="auto"/>
                        <w:right w:val="none" w:sz="0" w:space="0" w:color="auto"/>
                      </w:divBdr>
                    </w:div>
                    <w:div w:id="1712262729">
                      <w:marLeft w:val="0"/>
                      <w:marRight w:val="0"/>
                      <w:marTop w:val="0"/>
                      <w:marBottom w:val="0"/>
                      <w:divBdr>
                        <w:top w:val="none" w:sz="0" w:space="0" w:color="auto"/>
                        <w:left w:val="none" w:sz="0" w:space="0" w:color="auto"/>
                        <w:bottom w:val="none" w:sz="0" w:space="0" w:color="auto"/>
                        <w:right w:val="none" w:sz="0" w:space="0" w:color="auto"/>
                      </w:divBdr>
                    </w:div>
                    <w:div w:id="209541789">
                      <w:marLeft w:val="0"/>
                      <w:marRight w:val="0"/>
                      <w:marTop w:val="0"/>
                      <w:marBottom w:val="0"/>
                      <w:divBdr>
                        <w:top w:val="none" w:sz="0" w:space="0" w:color="auto"/>
                        <w:left w:val="none" w:sz="0" w:space="0" w:color="auto"/>
                        <w:bottom w:val="none" w:sz="0" w:space="0" w:color="auto"/>
                        <w:right w:val="none" w:sz="0" w:space="0" w:color="auto"/>
                      </w:divBdr>
                    </w:div>
                    <w:div w:id="2137137635">
                      <w:marLeft w:val="0"/>
                      <w:marRight w:val="0"/>
                      <w:marTop w:val="0"/>
                      <w:marBottom w:val="0"/>
                      <w:divBdr>
                        <w:top w:val="none" w:sz="0" w:space="0" w:color="auto"/>
                        <w:left w:val="none" w:sz="0" w:space="0" w:color="auto"/>
                        <w:bottom w:val="none" w:sz="0" w:space="0" w:color="auto"/>
                        <w:right w:val="none" w:sz="0" w:space="0" w:color="auto"/>
                      </w:divBdr>
                    </w:div>
                    <w:div w:id="24446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nifii.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digitalmarketplace.service.gov.uk/g-cloud-11/documents/700034/560315308644857-terms-and-conditions-2019-05-08-1316.pdf" TargetMode="External"/><Relationship Id="rId12" Type="http://schemas.openxmlformats.org/officeDocument/2006/relationships/hyperlink" Target="https://www.digitalmarketplace.service.gov.uk/g-cloud/services/5603153086448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digitalmarketplace.service.gov.uk/g-cloud-11/documents/700034/560315308644857-sfia-rate-card-2019-05-08-1315.pdf" TargetMode="External"/><Relationship Id="rId11" Type="http://schemas.openxmlformats.org/officeDocument/2006/relationships/hyperlink" Target="https://assets.digitalmarketplace.service.gov.uk/g-cloud-11/documents/700034/560315308644857-terms-and-conditions-2019-05-08-1316.pdf" TargetMode="External"/><Relationship Id="rId5" Type="http://schemas.openxmlformats.org/officeDocument/2006/relationships/hyperlink" Target="https://assets.digitalmarketplace.service.gov.uk/g-cloud-11/documents/700034/560315308644857-pricing-document-2019-05-21-1035.pdf" TargetMode="External"/><Relationship Id="rId10" Type="http://schemas.openxmlformats.org/officeDocument/2006/relationships/hyperlink" Target="https://assets.digitalmarketplace.service.gov.uk/g-cloud-11/documents/700034/560315308644857-sfia-rate-card-2019-05-08-1315.pdf" TargetMode="External"/><Relationship Id="rId4" Type="http://schemas.openxmlformats.org/officeDocument/2006/relationships/webSettings" Target="webSettings.xml"/><Relationship Id="rId9" Type="http://schemas.openxmlformats.org/officeDocument/2006/relationships/hyperlink" Target="https://assets.digitalmarketplace.service.gov.uk/g-cloud-11/documents/700034/560315308644857-pricing-document-2019-05-21-103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DD848840</Template>
  <TotalTime>0</TotalTime>
  <Pages>1</Pages>
  <Words>2574</Words>
  <Characters>14673</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ServiceNow</vt:lpstr>
      <vt:lpstr>    Features</vt:lpstr>
      <vt:lpstr>    Benefits</vt:lpstr>
      <vt:lpstr>    Pricing</vt:lpstr>
      <vt:lpstr>    Service documents</vt:lpstr>
      <vt:lpstr>    Framework</vt:lpstr>
      <vt:lpstr>    Service ID</vt:lpstr>
      <vt:lpstr>    Contact</vt:lpstr>
      <vt:lpstr>    Service scope </vt:lpstr>
      <vt:lpstr>    User support </vt:lpstr>
      <vt:lpstr>    Onboarding and offboarding </vt:lpstr>
      <vt:lpstr>    Using the service </vt:lpstr>
      <vt:lpstr>    Scaling </vt:lpstr>
      <vt:lpstr>    Analytics </vt:lpstr>
      <vt:lpstr>    Resellers </vt:lpstr>
      <vt:lpstr>    Staff security </vt:lpstr>
      <vt:lpstr>    Asset protection </vt:lpstr>
      <vt:lpstr>    Data importing and exporting </vt:lpstr>
      <vt:lpstr>    Data-in-transit protection </vt:lpstr>
      <vt:lpstr>    Availability and resilience </vt:lpstr>
      <vt:lpstr>    Identity and authentication </vt:lpstr>
      <vt:lpstr>    Audit information for users </vt:lpstr>
      <vt:lpstr>    Standards and certifications </vt:lpstr>
      <vt:lpstr>    Security governance </vt:lpstr>
      <vt:lpstr>    Operational security </vt:lpstr>
      <vt:lpstr>    Secure development </vt:lpstr>
      <vt:lpstr>    Public sector networks </vt:lpstr>
      <vt:lpstr>    Pricing </vt:lpstr>
      <vt:lpstr>    Service documents </vt:lpstr>
    </vt:vector>
  </TitlesOfParts>
  <Company>DWP</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Joanne DWP COMMERCIAL DIRECTORATE</dc:creator>
  <cp:keywords/>
  <dc:description/>
  <cp:lastModifiedBy>Young Joanne DWP COMMERCIAL DIRECTORATE</cp:lastModifiedBy>
  <cp:revision>1</cp:revision>
  <dcterms:created xsi:type="dcterms:W3CDTF">2020-03-31T10:18:00Z</dcterms:created>
  <dcterms:modified xsi:type="dcterms:W3CDTF">2020-03-31T10:18:00Z</dcterms:modified>
</cp:coreProperties>
</file>