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DCF78" w14:textId="77777777" w:rsidR="00315850" w:rsidRPr="00315850" w:rsidRDefault="00315850" w:rsidP="00315850">
      <w:pPr>
        <w:jc w:val="center"/>
        <w:rPr>
          <w:b/>
          <w:szCs w:val="24"/>
          <w:u w:val="single"/>
        </w:rPr>
      </w:pPr>
      <w:r w:rsidRPr="00315850">
        <w:rPr>
          <w:b/>
          <w:szCs w:val="24"/>
          <w:u w:val="single"/>
        </w:rPr>
        <w:t>Supplier engagement notification</w:t>
      </w:r>
    </w:p>
    <w:p w14:paraId="48320EC7" w14:textId="77777777" w:rsidR="00315850" w:rsidRDefault="00315850" w:rsidP="005F0EC1">
      <w:pPr>
        <w:rPr>
          <w:sz w:val="20"/>
          <w:szCs w:val="20"/>
        </w:rPr>
      </w:pPr>
    </w:p>
    <w:p w14:paraId="3102A4BD" w14:textId="53AE1E0B" w:rsidR="005F0EC1" w:rsidRDefault="0031790B" w:rsidP="005F0EC1">
      <w:pPr>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after </w:t>
      </w:r>
      <w:r w:rsidR="002420FA">
        <w:rPr>
          <w:sz w:val="20"/>
          <w:szCs w:val="20"/>
        </w:rPr>
        <w:t>3</w:t>
      </w:r>
      <w:r w:rsidR="002420FA" w:rsidRPr="002420FA">
        <w:rPr>
          <w:sz w:val="20"/>
          <w:szCs w:val="20"/>
          <w:vertAlign w:val="superscript"/>
        </w:rPr>
        <w:t>rd</w:t>
      </w:r>
      <w:r w:rsidR="002420FA">
        <w:rPr>
          <w:sz w:val="20"/>
          <w:szCs w:val="20"/>
        </w:rPr>
        <w:t xml:space="preserve"> May</w:t>
      </w:r>
      <w:bookmarkStart w:id="0" w:name="_GoBack"/>
      <w:bookmarkEnd w:id="0"/>
      <w:r w:rsidR="00C60DE1" w:rsidRPr="00602673">
        <w:rPr>
          <w:sz w:val="20"/>
          <w:szCs w:val="20"/>
        </w:rPr>
        <w:t xml:space="preserve"> 2021.</w:t>
      </w:r>
    </w:p>
    <w:p w14:paraId="4D76AF6A" w14:textId="77777777" w:rsidR="00680884" w:rsidRPr="00680884" w:rsidRDefault="00680884" w:rsidP="005F0EC1">
      <w:pPr>
        <w:rPr>
          <w:sz w:val="20"/>
          <w:szCs w:val="20"/>
          <w:u w:val="single"/>
        </w:rPr>
      </w:pPr>
      <w:r w:rsidRPr="00680884">
        <w:rPr>
          <w:sz w:val="20"/>
          <w:szCs w:val="20"/>
          <w:u w:val="single"/>
        </w:rPr>
        <w:t>Supplier engagement notification</w:t>
      </w:r>
    </w:p>
    <w:p w14:paraId="5D345DA8" w14:textId="77777777" w:rsidR="00680884" w:rsidRDefault="00680884" w:rsidP="005F0EC1">
      <w:pPr>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6C2503">
        <w:rPr>
          <w:sz w:val="20"/>
          <w:szCs w:val="20"/>
        </w:rPr>
        <w:t>the Coal Authority will</w:t>
      </w:r>
      <w:r>
        <w:rPr>
          <w:sz w:val="20"/>
          <w:szCs w:val="20"/>
        </w:rPr>
        <w:t xml:space="preserve"> host two supplier engagement events</w:t>
      </w:r>
      <w:r w:rsidR="006C2503">
        <w:rPr>
          <w:sz w:val="20"/>
          <w:szCs w:val="20"/>
        </w:rPr>
        <w:t xml:space="preserve"> via Zoom</w:t>
      </w:r>
      <w:r>
        <w:rPr>
          <w:sz w:val="20"/>
          <w:szCs w:val="20"/>
        </w:rPr>
        <w:t xml:space="preserve">. </w:t>
      </w:r>
    </w:p>
    <w:p w14:paraId="3CF9E24E" w14:textId="77777777" w:rsidR="00680884" w:rsidRDefault="00680884" w:rsidP="005F0EC1">
      <w:pPr>
        <w:rPr>
          <w:sz w:val="20"/>
          <w:szCs w:val="20"/>
        </w:rPr>
      </w:pPr>
      <w:r>
        <w:rPr>
          <w:sz w:val="20"/>
          <w:szCs w:val="20"/>
        </w:rPr>
        <w:t>The purpose of these events are to provide further information about this requirement, the tendering process and to invite feedback and questions from potential bidders.</w:t>
      </w:r>
    </w:p>
    <w:p w14:paraId="596B8FDE" w14:textId="77777777" w:rsidR="00680884" w:rsidRDefault="00680884" w:rsidP="005F0EC1">
      <w:pPr>
        <w:rPr>
          <w:sz w:val="20"/>
          <w:szCs w:val="20"/>
        </w:rPr>
      </w:pPr>
      <w:r>
        <w:rPr>
          <w:sz w:val="20"/>
          <w:szCs w:val="20"/>
        </w:rPr>
        <w:t xml:space="preserve">Dates/times – </w:t>
      </w:r>
    </w:p>
    <w:p w14:paraId="0E7B2712" w14:textId="77777777" w:rsidR="006C2503" w:rsidRDefault="006C2503" w:rsidP="005F0EC1">
      <w:pPr>
        <w:rPr>
          <w:sz w:val="20"/>
          <w:szCs w:val="20"/>
        </w:rPr>
      </w:pPr>
      <w:r>
        <w:rPr>
          <w:sz w:val="20"/>
          <w:szCs w:val="20"/>
        </w:rPr>
        <w:t>Tuesday 23 March 2021 14:00</w:t>
      </w:r>
    </w:p>
    <w:p w14:paraId="259694D7" w14:textId="77777777" w:rsidR="006C2503" w:rsidRDefault="006C2503" w:rsidP="005F0EC1">
      <w:pPr>
        <w:rPr>
          <w:sz w:val="20"/>
          <w:szCs w:val="20"/>
        </w:rPr>
      </w:pPr>
      <w:r>
        <w:rPr>
          <w:sz w:val="20"/>
          <w:szCs w:val="20"/>
        </w:rPr>
        <w:t>Thursday 25 March 2021 14:00</w:t>
      </w:r>
    </w:p>
    <w:p w14:paraId="1CD8B188" w14:textId="77777777" w:rsidR="00680884" w:rsidRDefault="00680884" w:rsidP="005F0EC1">
      <w:pPr>
        <w:rPr>
          <w:sz w:val="20"/>
          <w:szCs w:val="20"/>
        </w:rPr>
      </w:pPr>
      <w:r>
        <w:rPr>
          <w:sz w:val="20"/>
          <w:szCs w:val="20"/>
        </w:rPr>
        <w:t xml:space="preserve">Interested parties should email Helen Baldwin - </w:t>
      </w:r>
      <w:hyperlink r:id="rId7" w:history="1">
        <w:r w:rsidRPr="00A501D8">
          <w:rPr>
            <w:rStyle w:val="Hyperlink"/>
            <w:sz w:val="20"/>
            <w:szCs w:val="20"/>
          </w:rPr>
          <w:t>helenbaldwin@coal.gov.uk</w:t>
        </w:r>
      </w:hyperlink>
      <w:r w:rsidR="00352910">
        <w:rPr>
          <w:sz w:val="20"/>
          <w:szCs w:val="20"/>
        </w:rPr>
        <w:t xml:space="preserve"> to book a place </w:t>
      </w:r>
      <w:r w:rsidR="00352910" w:rsidRPr="00602673">
        <w:rPr>
          <w:sz w:val="20"/>
          <w:szCs w:val="20"/>
        </w:rPr>
        <w:t>or if there are any queries about this requirement</w:t>
      </w:r>
      <w:r w:rsidR="00352910">
        <w:rPr>
          <w:sz w:val="20"/>
          <w:szCs w:val="20"/>
        </w:rPr>
        <w:t xml:space="preserve"> </w:t>
      </w:r>
    </w:p>
    <w:p w14:paraId="401F7570" w14:textId="77777777" w:rsidR="00680884" w:rsidRPr="00683522" w:rsidRDefault="00683522" w:rsidP="005F0EC1">
      <w:pPr>
        <w:rPr>
          <w:sz w:val="20"/>
          <w:szCs w:val="20"/>
          <w:u w:val="single"/>
        </w:rPr>
      </w:pPr>
      <w:r w:rsidRPr="00683522">
        <w:rPr>
          <w:sz w:val="20"/>
          <w:szCs w:val="20"/>
          <w:u w:val="single"/>
        </w:rPr>
        <w:t>Requirement Overview</w:t>
      </w:r>
    </w:p>
    <w:p w14:paraId="11E92B06" w14:textId="77777777" w:rsidR="005F0EC1" w:rsidRDefault="005F0EC1" w:rsidP="005F0EC1">
      <w:pPr>
        <w:rPr>
          <w:sz w:val="20"/>
          <w:szCs w:val="20"/>
        </w:rPr>
      </w:pPr>
      <w:r>
        <w:rPr>
          <w:sz w:val="20"/>
          <w:szCs w:val="20"/>
        </w:rPr>
        <w:t xml:space="preserve">Deliverables from this </w:t>
      </w:r>
      <w:r w:rsidR="00823A95">
        <w:rPr>
          <w:sz w:val="20"/>
          <w:szCs w:val="20"/>
        </w:rPr>
        <w:t xml:space="preserve">contract </w:t>
      </w:r>
      <w:r>
        <w:rPr>
          <w:sz w:val="20"/>
          <w:szCs w:val="20"/>
        </w:rPr>
        <w:t xml:space="preserve">are </w:t>
      </w:r>
      <w:r w:rsidR="00BE33AC">
        <w:rPr>
          <w:sz w:val="20"/>
          <w:szCs w:val="20"/>
        </w:rPr>
        <w:t xml:space="preserve">to provide </w:t>
      </w:r>
      <w:r w:rsidR="003853CD" w:rsidRPr="003853CD">
        <w:rPr>
          <w:sz w:val="20"/>
          <w:szCs w:val="20"/>
        </w:rPr>
        <w:t xml:space="preserve">a service that can </w:t>
      </w:r>
      <w:r w:rsidR="00B9465A">
        <w:rPr>
          <w:sz w:val="20"/>
          <w:szCs w:val="20"/>
        </w:rPr>
        <w:t>carry out</w:t>
      </w:r>
      <w:r w:rsidR="003853CD" w:rsidRPr="003853CD">
        <w:rPr>
          <w:sz w:val="20"/>
          <w:szCs w:val="20"/>
        </w:rPr>
        <w:t xml:space="preserve"> </w:t>
      </w:r>
      <w:r w:rsidR="009A1526">
        <w:rPr>
          <w:sz w:val="20"/>
          <w:szCs w:val="20"/>
        </w:rPr>
        <w:t>emergency call outs</w:t>
      </w:r>
      <w:r w:rsidR="007F1CDA">
        <w:rPr>
          <w:sz w:val="20"/>
          <w:szCs w:val="20"/>
        </w:rPr>
        <w:t xml:space="preserve"> with minor works and</w:t>
      </w:r>
      <w:r w:rsidR="009A1526">
        <w:rPr>
          <w:sz w:val="20"/>
          <w:szCs w:val="20"/>
        </w:rPr>
        <w:t xml:space="preserve"> subsidence </w:t>
      </w:r>
      <w:r w:rsidR="007F1CDA">
        <w:rPr>
          <w:sz w:val="20"/>
          <w:szCs w:val="20"/>
        </w:rPr>
        <w:t>decoration and repair</w:t>
      </w:r>
      <w:r w:rsidR="003853CD" w:rsidRPr="003853CD">
        <w:rPr>
          <w:sz w:val="20"/>
          <w:szCs w:val="20"/>
        </w:rPr>
        <w:t xml:space="preserve"> </w:t>
      </w:r>
      <w:r w:rsidR="00472071">
        <w:rPr>
          <w:sz w:val="20"/>
          <w:szCs w:val="20"/>
        </w:rPr>
        <w:t>across all UK coalfield regions.</w:t>
      </w:r>
    </w:p>
    <w:p w14:paraId="392436C8" w14:textId="77777777" w:rsidR="00B9465A" w:rsidRDefault="00B9465A" w:rsidP="005F0EC1">
      <w:pPr>
        <w:rPr>
          <w:sz w:val="20"/>
          <w:szCs w:val="20"/>
          <w:u w:val="single"/>
        </w:rPr>
      </w:pPr>
      <w:r>
        <w:rPr>
          <w:sz w:val="20"/>
          <w:szCs w:val="20"/>
          <w:u w:val="single"/>
        </w:rPr>
        <w:t>Package</w:t>
      </w:r>
    </w:p>
    <w:p w14:paraId="3D5679F0" w14:textId="77777777" w:rsidR="009A1526" w:rsidRDefault="009A1526" w:rsidP="009A1526">
      <w:pPr>
        <w:rPr>
          <w:sz w:val="20"/>
          <w:szCs w:val="20"/>
        </w:rPr>
      </w:pPr>
      <w:r>
        <w:rPr>
          <w:sz w:val="20"/>
          <w:szCs w:val="20"/>
        </w:rPr>
        <w:t xml:space="preserve">The Coal Authority </w:t>
      </w:r>
      <w:r w:rsidR="00046B69">
        <w:rPr>
          <w:sz w:val="20"/>
          <w:szCs w:val="20"/>
        </w:rPr>
        <w:t>intends to tender</w:t>
      </w:r>
      <w:r w:rsidR="00FB2A87">
        <w:rPr>
          <w:sz w:val="20"/>
          <w:szCs w:val="20"/>
        </w:rPr>
        <w:t xml:space="preserve"> for the provision of emergency call out support and subsidence repair damage. The </w:t>
      </w:r>
      <w:r w:rsidR="00046B69">
        <w:rPr>
          <w:sz w:val="20"/>
          <w:szCs w:val="20"/>
        </w:rPr>
        <w:t>framework</w:t>
      </w:r>
      <w:r w:rsidR="00FB2A87">
        <w:rPr>
          <w:sz w:val="20"/>
          <w:szCs w:val="20"/>
        </w:rPr>
        <w:t xml:space="preserve"> wi</w:t>
      </w:r>
      <w:r w:rsidR="007F1CDA">
        <w:rPr>
          <w:sz w:val="20"/>
          <w:szCs w:val="20"/>
        </w:rPr>
        <w:t xml:space="preserve">ll be </w:t>
      </w:r>
      <w:r w:rsidR="008365A8">
        <w:rPr>
          <w:sz w:val="20"/>
          <w:szCs w:val="20"/>
        </w:rPr>
        <w:t>divided</w:t>
      </w:r>
      <w:r w:rsidR="007F1CDA">
        <w:rPr>
          <w:sz w:val="20"/>
          <w:szCs w:val="20"/>
        </w:rPr>
        <w:t xml:space="preserve"> </w:t>
      </w:r>
      <w:r w:rsidR="007F1CDA" w:rsidRPr="00683522">
        <w:rPr>
          <w:sz w:val="20"/>
          <w:szCs w:val="20"/>
        </w:rPr>
        <w:t xml:space="preserve">into </w:t>
      </w:r>
      <w:r w:rsidR="00683522">
        <w:rPr>
          <w:sz w:val="20"/>
          <w:szCs w:val="20"/>
        </w:rPr>
        <w:t>10 Lots as shown below:</w:t>
      </w:r>
    </w:p>
    <w:tbl>
      <w:tblPr>
        <w:tblStyle w:val="TableGrid"/>
        <w:tblW w:w="0" w:type="auto"/>
        <w:tblLook w:val="04A0" w:firstRow="1" w:lastRow="0" w:firstColumn="1" w:lastColumn="0" w:noHBand="0" w:noVBand="1"/>
      </w:tblPr>
      <w:tblGrid>
        <w:gridCol w:w="1413"/>
        <w:gridCol w:w="1134"/>
        <w:gridCol w:w="4111"/>
      </w:tblGrid>
      <w:tr w:rsidR="004D6CC9" w14:paraId="75B33FE0" w14:textId="77777777" w:rsidTr="004D6CC9">
        <w:tc>
          <w:tcPr>
            <w:tcW w:w="1413" w:type="dxa"/>
          </w:tcPr>
          <w:p w14:paraId="3990B984" w14:textId="77777777" w:rsidR="004D6CC9" w:rsidRDefault="004D6CC9" w:rsidP="009A1526">
            <w:pPr>
              <w:rPr>
                <w:sz w:val="20"/>
                <w:szCs w:val="20"/>
              </w:rPr>
            </w:pPr>
            <w:r>
              <w:rPr>
                <w:sz w:val="20"/>
                <w:szCs w:val="20"/>
              </w:rPr>
              <w:t>Lot number</w:t>
            </w:r>
          </w:p>
        </w:tc>
        <w:tc>
          <w:tcPr>
            <w:tcW w:w="1134" w:type="dxa"/>
          </w:tcPr>
          <w:p w14:paraId="0029C1D1" w14:textId="77777777" w:rsidR="004D6CC9" w:rsidRDefault="004D6CC9" w:rsidP="009A1526">
            <w:pPr>
              <w:rPr>
                <w:sz w:val="20"/>
                <w:szCs w:val="20"/>
              </w:rPr>
            </w:pPr>
            <w:r>
              <w:rPr>
                <w:sz w:val="20"/>
                <w:szCs w:val="20"/>
              </w:rPr>
              <w:t>Contract</w:t>
            </w:r>
          </w:p>
        </w:tc>
        <w:tc>
          <w:tcPr>
            <w:tcW w:w="4111" w:type="dxa"/>
          </w:tcPr>
          <w:p w14:paraId="5CFD1FA1" w14:textId="77777777" w:rsidR="004D6CC9" w:rsidRDefault="004D6CC9" w:rsidP="009A1526">
            <w:pPr>
              <w:rPr>
                <w:sz w:val="20"/>
                <w:szCs w:val="20"/>
              </w:rPr>
            </w:pPr>
            <w:r>
              <w:rPr>
                <w:sz w:val="20"/>
                <w:szCs w:val="20"/>
              </w:rPr>
              <w:t>Region</w:t>
            </w:r>
          </w:p>
        </w:tc>
      </w:tr>
      <w:tr w:rsidR="004D6CC9" w14:paraId="6471CD9F" w14:textId="77777777" w:rsidTr="004D6CC9">
        <w:tc>
          <w:tcPr>
            <w:tcW w:w="1413" w:type="dxa"/>
          </w:tcPr>
          <w:p w14:paraId="78A65B2C" w14:textId="77777777" w:rsidR="004D6CC9" w:rsidRDefault="004D6CC9" w:rsidP="009A1526">
            <w:pPr>
              <w:rPr>
                <w:sz w:val="20"/>
                <w:szCs w:val="20"/>
              </w:rPr>
            </w:pPr>
            <w:r>
              <w:rPr>
                <w:sz w:val="20"/>
                <w:szCs w:val="20"/>
              </w:rPr>
              <w:t>1.1</w:t>
            </w:r>
          </w:p>
        </w:tc>
        <w:tc>
          <w:tcPr>
            <w:tcW w:w="1134" w:type="dxa"/>
          </w:tcPr>
          <w:p w14:paraId="2104AF48" w14:textId="77777777" w:rsidR="004D6CC9" w:rsidRDefault="004D6CC9" w:rsidP="009A1526">
            <w:pPr>
              <w:rPr>
                <w:sz w:val="20"/>
                <w:szCs w:val="20"/>
              </w:rPr>
            </w:pPr>
            <w:r>
              <w:rPr>
                <w:sz w:val="20"/>
                <w:szCs w:val="20"/>
              </w:rPr>
              <w:t>ECO</w:t>
            </w:r>
          </w:p>
        </w:tc>
        <w:tc>
          <w:tcPr>
            <w:tcW w:w="4111" w:type="dxa"/>
          </w:tcPr>
          <w:p w14:paraId="4BC52037" w14:textId="77777777" w:rsidR="004D6CC9" w:rsidRDefault="004D6CC9" w:rsidP="004D6CC9">
            <w:pPr>
              <w:rPr>
                <w:sz w:val="20"/>
                <w:szCs w:val="20"/>
              </w:rPr>
            </w:pPr>
            <w:r>
              <w:rPr>
                <w:sz w:val="20"/>
                <w:szCs w:val="20"/>
              </w:rPr>
              <w:t>Scotland</w:t>
            </w:r>
          </w:p>
        </w:tc>
      </w:tr>
      <w:tr w:rsidR="004D6CC9" w14:paraId="7E35AF84" w14:textId="77777777" w:rsidTr="004D6CC9">
        <w:tc>
          <w:tcPr>
            <w:tcW w:w="1413" w:type="dxa"/>
          </w:tcPr>
          <w:p w14:paraId="7CEA3F53" w14:textId="77777777" w:rsidR="004D6CC9" w:rsidRDefault="004D6CC9" w:rsidP="004D6CC9">
            <w:pPr>
              <w:rPr>
                <w:sz w:val="20"/>
                <w:szCs w:val="20"/>
              </w:rPr>
            </w:pPr>
            <w:r>
              <w:rPr>
                <w:sz w:val="20"/>
                <w:szCs w:val="20"/>
              </w:rPr>
              <w:t>1.2</w:t>
            </w:r>
          </w:p>
        </w:tc>
        <w:tc>
          <w:tcPr>
            <w:tcW w:w="1134" w:type="dxa"/>
          </w:tcPr>
          <w:p w14:paraId="418C48F1" w14:textId="77777777" w:rsidR="004D6CC9" w:rsidRDefault="004D6CC9" w:rsidP="004D6CC9">
            <w:pPr>
              <w:rPr>
                <w:sz w:val="20"/>
                <w:szCs w:val="20"/>
              </w:rPr>
            </w:pPr>
            <w:r w:rsidRPr="0034733B">
              <w:rPr>
                <w:sz w:val="20"/>
                <w:szCs w:val="20"/>
              </w:rPr>
              <w:t>ECO</w:t>
            </w:r>
          </w:p>
        </w:tc>
        <w:tc>
          <w:tcPr>
            <w:tcW w:w="4111" w:type="dxa"/>
          </w:tcPr>
          <w:p w14:paraId="3DD70DB5" w14:textId="77777777" w:rsidR="004D6CC9" w:rsidRDefault="004D6CC9" w:rsidP="004D6CC9">
            <w:pPr>
              <w:rPr>
                <w:sz w:val="20"/>
                <w:szCs w:val="20"/>
              </w:rPr>
            </w:pPr>
            <w:r>
              <w:rPr>
                <w:sz w:val="20"/>
                <w:szCs w:val="20"/>
              </w:rPr>
              <w:t>North East &amp; Cumbria.</w:t>
            </w:r>
          </w:p>
        </w:tc>
      </w:tr>
      <w:tr w:rsidR="004D6CC9" w14:paraId="028D106E" w14:textId="77777777" w:rsidTr="004D6CC9">
        <w:tc>
          <w:tcPr>
            <w:tcW w:w="1413" w:type="dxa"/>
          </w:tcPr>
          <w:p w14:paraId="6C9B6831" w14:textId="77777777" w:rsidR="004D6CC9" w:rsidRDefault="004D6CC9" w:rsidP="004D6CC9">
            <w:pPr>
              <w:rPr>
                <w:sz w:val="20"/>
                <w:szCs w:val="20"/>
              </w:rPr>
            </w:pPr>
            <w:r>
              <w:rPr>
                <w:sz w:val="20"/>
                <w:szCs w:val="20"/>
              </w:rPr>
              <w:t>1.3</w:t>
            </w:r>
          </w:p>
        </w:tc>
        <w:tc>
          <w:tcPr>
            <w:tcW w:w="1134" w:type="dxa"/>
          </w:tcPr>
          <w:p w14:paraId="20F908C7" w14:textId="77777777" w:rsidR="004D6CC9" w:rsidRDefault="004D6CC9" w:rsidP="004D6CC9">
            <w:pPr>
              <w:rPr>
                <w:sz w:val="20"/>
                <w:szCs w:val="20"/>
              </w:rPr>
            </w:pPr>
            <w:r w:rsidRPr="0034733B">
              <w:rPr>
                <w:sz w:val="20"/>
                <w:szCs w:val="20"/>
              </w:rPr>
              <w:t>ECO</w:t>
            </w:r>
          </w:p>
        </w:tc>
        <w:tc>
          <w:tcPr>
            <w:tcW w:w="4111" w:type="dxa"/>
          </w:tcPr>
          <w:p w14:paraId="0CD28034" w14:textId="77777777" w:rsidR="004D6CC9" w:rsidRDefault="004D6CC9" w:rsidP="004D6CC9">
            <w:pPr>
              <w:rPr>
                <w:sz w:val="20"/>
                <w:szCs w:val="20"/>
              </w:rPr>
            </w:pPr>
            <w:r w:rsidRPr="004D6CC9">
              <w:rPr>
                <w:sz w:val="20"/>
                <w:szCs w:val="20"/>
              </w:rPr>
              <w:t xml:space="preserve">North West, North Wales &amp; </w:t>
            </w:r>
            <w:r>
              <w:rPr>
                <w:sz w:val="20"/>
                <w:szCs w:val="20"/>
              </w:rPr>
              <w:t>Yorkshire.</w:t>
            </w:r>
          </w:p>
        </w:tc>
      </w:tr>
      <w:tr w:rsidR="004D6CC9" w14:paraId="7B67E388" w14:textId="77777777" w:rsidTr="004D6CC9">
        <w:tc>
          <w:tcPr>
            <w:tcW w:w="1413" w:type="dxa"/>
          </w:tcPr>
          <w:p w14:paraId="78BBEEA6" w14:textId="77777777" w:rsidR="004D6CC9" w:rsidRDefault="004D6CC9" w:rsidP="004D6CC9">
            <w:pPr>
              <w:rPr>
                <w:sz w:val="20"/>
                <w:szCs w:val="20"/>
              </w:rPr>
            </w:pPr>
            <w:r>
              <w:rPr>
                <w:sz w:val="20"/>
                <w:szCs w:val="20"/>
              </w:rPr>
              <w:t>1.4</w:t>
            </w:r>
          </w:p>
        </w:tc>
        <w:tc>
          <w:tcPr>
            <w:tcW w:w="1134" w:type="dxa"/>
          </w:tcPr>
          <w:p w14:paraId="5CBF5A54" w14:textId="77777777" w:rsidR="004D6CC9" w:rsidRDefault="004D6CC9" w:rsidP="004D6CC9">
            <w:pPr>
              <w:rPr>
                <w:sz w:val="20"/>
                <w:szCs w:val="20"/>
              </w:rPr>
            </w:pPr>
            <w:r w:rsidRPr="0034733B">
              <w:rPr>
                <w:sz w:val="20"/>
                <w:szCs w:val="20"/>
              </w:rPr>
              <w:t>ECO</w:t>
            </w:r>
          </w:p>
        </w:tc>
        <w:tc>
          <w:tcPr>
            <w:tcW w:w="4111" w:type="dxa"/>
          </w:tcPr>
          <w:p w14:paraId="33F93B62" w14:textId="77777777" w:rsidR="004D6CC9" w:rsidRDefault="004D6CC9" w:rsidP="004D6CC9">
            <w:pPr>
              <w:rPr>
                <w:sz w:val="20"/>
                <w:szCs w:val="20"/>
              </w:rPr>
            </w:pPr>
            <w:r>
              <w:rPr>
                <w:sz w:val="20"/>
                <w:szCs w:val="20"/>
              </w:rPr>
              <w:t>East &amp; West Midlands</w:t>
            </w:r>
          </w:p>
        </w:tc>
      </w:tr>
      <w:tr w:rsidR="004D6CC9" w14:paraId="48C74BE4" w14:textId="77777777" w:rsidTr="004D6CC9">
        <w:tc>
          <w:tcPr>
            <w:tcW w:w="1413" w:type="dxa"/>
          </w:tcPr>
          <w:p w14:paraId="5B90DCCE" w14:textId="77777777" w:rsidR="004D6CC9" w:rsidRDefault="004D6CC9" w:rsidP="004D6CC9">
            <w:pPr>
              <w:rPr>
                <w:sz w:val="20"/>
                <w:szCs w:val="20"/>
              </w:rPr>
            </w:pPr>
            <w:r>
              <w:rPr>
                <w:sz w:val="20"/>
                <w:szCs w:val="20"/>
              </w:rPr>
              <w:t>1.5</w:t>
            </w:r>
          </w:p>
        </w:tc>
        <w:tc>
          <w:tcPr>
            <w:tcW w:w="1134" w:type="dxa"/>
          </w:tcPr>
          <w:p w14:paraId="5F73A32D" w14:textId="77777777" w:rsidR="004D6CC9" w:rsidRDefault="004D6CC9" w:rsidP="004D6CC9">
            <w:pPr>
              <w:rPr>
                <w:sz w:val="20"/>
                <w:szCs w:val="20"/>
              </w:rPr>
            </w:pPr>
            <w:r w:rsidRPr="0034733B">
              <w:rPr>
                <w:sz w:val="20"/>
                <w:szCs w:val="20"/>
              </w:rPr>
              <w:t>ECO</w:t>
            </w:r>
          </w:p>
        </w:tc>
        <w:tc>
          <w:tcPr>
            <w:tcW w:w="4111" w:type="dxa"/>
          </w:tcPr>
          <w:p w14:paraId="7247D51A" w14:textId="77777777" w:rsidR="004D6CC9" w:rsidRDefault="004D6CC9" w:rsidP="004D6CC9">
            <w:pPr>
              <w:rPr>
                <w:sz w:val="20"/>
                <w:szCs w:val="20"/>
              </w:rPr>
            </w:pPr>
            <w:r w:rsidRPr="004D6CC9">
              <w:rPr>
                <w:sz w:val="20"/>
                <w:szCs w:val="20"/>
              </w:rPr>
              <w:t>South Wales &amp; South West</w:t>
            </w:r>
          </w:p>
        </w:tc>
      </w:tr>
      <w:tr w:rsidR="004D6CC9" w14:paraId="4378FA41" w14:textId="77777777" w:rsidTr="004D6CC9">
        <w:tc>
          <w:tcPr>
            <w:tcW w:w="1413" w:type="dxa"/>
          </w:tcPr>
          <w:p w14:paraId="20B75700" w14:textId="77777777" w:rsidR="004D6CC9" w:rsidRDefault="004D6CC9" w:rsidP="004D6CC9">
            <w:pPr>
              <w:rPr>
                <w:sz w:val="20"/>
                <w:szCs w:val="20"/>
              </w:rPr>
            </w:pPr>
            <w:r>
              <w:rPr>
                <w:sz w:val="20"/>
                <w:szCs w:val="20"/>
              </w:rPr>
              <w:t>2.1</w:t>
            </w:r>
          </w:p>
        </w:tc>
        <w:tc>
          <w:tcPr>
            <w:tcW w:w="1134" w:type="dxa"/>
          </w:tcPr>
          <w:p w14:paraId="3491676E" w14:textId="77777777" w:rsidR="004D6CC9" w:rsidRDefault="004D6CC9" w:rsidP="004D6CC9">
            <w:pPr>
              <w:rPr>
                <w:sz w:val="20"/>
                <w:szCs w:val="20"/>
              </w:rPr>
            </w:pPr>
            <w:r>
              <w:rPr>
                <w:sz w:val="20"/>
                <w:szCs w:val="20"/>
              </w:rPr>
              <w:t>Subs</w:t>
            </w:r>
          </w:p>
        </w:tc>
        <w:tc>
          <w:tcPr>
            <w:tcW w:w="4111" w:type="dxa"/>
          </w:tcPr>
          <w:p w14:paraId="4939A4ED" w14:textId="77777777" w:rsidR="004D6CC9" w:rsidRDefault="004D6CC9" w:rsidP="004D6CC9">
            <w:pPr>
              <w:rPr>
                <w:sz w:val="20"/>
                <w:szCs w:val="20"/>
              </w:rPr>
            </w:pPr>
            <w:r>
              <w:rPr>
                <w:sz w:val="20"/>
                <w:szCs w:val="20"/>
              </w:rPr>
              <w:t>Scotland</w:t>
            </w:r>
          </w:p>
        </w:tc>
      </w:tr>
      <w:tr w:rsidR="004D6CC9" w14:paraId="7526C597" w14:textId="77777777" w:rsidTr="004D6CC9">
        <w:tc>
          <w:tcPr>
            <w:tcW w:w="1413" w:type="dxa"/>
          </w:tcPr>
          <w:p w14:paraId="13256782" w14:textId="77777777" w:rsidR="004D6CC9" w:rsidRDefault="004D6CC9" w:rsidP="004D6CC9">
            <w:pPr>
              <w:rPr>
                <w:sz w:val="20"/>
                <w:szCs w:val="20"/>
              </w:rPr>
            </w:pPr>
            <w:r>
              <w:rPr>
                <w:sz w:val="20"/>
                <w:szCs w:val="20"/>
              </w:rPr>
              <w:t>2.2</w:t>
            </w:r>
          </w:p>
        </w:tc>
        <w:tc>
          <w:tcPr>
            <w:tcW w:w="1134" w:type="dxa"/>
          </w:tcPr>
          <w:p w14:paraId="1D009C2D" w14:textId="77777777" w:rsidR="004D6CC9" w:rsidRDefault="004D6CC9" w:rsidP="004D6CC9">
            <w:pPr>
              <w:rPr>
                <w:sz w:val="20"/>
                <w:szCs w:val="20"/>
              </w:rPr>
            </w:pPr>
            <w:r w:rsidRPr="004C08E5">
              <w:rPr>
                <w:sz w:val="20"/>
                <w:szCs w:val="20"/>
              </w:rPr>
              <w:t>Subs</w:t>
            </w:r>
          </w:p>
        </w:tc>
        <w:tc>
          <w:tcPr>
            <w:tcW w:w="4111" w:type="dxa"/>
          </w:tcPr>
          <w:p w14:paraId="3B743BCC" w14:textId="77777777" w:rsidR="004D6CC9" w:rsidRDefault="004D6CC9" w:rsidP="004D6CC9">
            <w:pPr>
              <w:rPr>
                <w:sz w:val="20"/>
                <w:szCs w:val="20"/>
              </w:rPr>
            </w:pPr>
            <w:r>
              <w:rPr>
                <w:sz w:val="20"/>
                <w:szCs w:val="20"/>
              </w:rPr>
              <w:t>North East &amp; Cumbria.</w:t>
            </w:r>
          </w:p>
        </w:tc>
      </w:tr>
      <w:tr w:rsidR="004D6CC9" w14:paraId="143E59AF" w14:textId="77777777" w:rsidTr="004D6CC9">
        <w:tc>
          <w:tcPr>
            <w:tcW w:w="1413" w:type="dxa"/>
          </w:tcPr>
          <w:p w14:paraId="6B7732CE" w14:textId="77777777" w:rsidR="004D6CC9" w:rsidRDefault="004D6CC9" w:rsidP="004D6CC9">
            <w:pPr>
              <w:rPr>
                <w:sz w:val="20"/>
                <w:szCs w:val="20"/>
              </w:rPr>
            </w:pPr>
            <w:r>
              <w:rPr>
                <w:sz w:val="20"/>
                <w:szCs w:val="20"/>
              </w:rPr>
              <w:t>2.3</w:t>
            </w:r>
          </w:p>
        </w:tc>
        <w:tc>
          <w:tcPr>
            <w:tcW w:w="1134" w:type="dxa"/>
          </w:tcPr>
          <w:p w14:paraId="56E4F9E7" w14:textId="77777777" w:rsidR="004D6CC9" w:rsidRDefault="004D6CC9" w:rsidP="004D6CC9">
            <w:pPr>
              <w:rPr>
                <w:sz w:val="20"/>
                <w:szCs w:val="20"/>
              </w:rPr>
            </w:pPr>
            <w:r w:rsidRPr="004C08E5">
              <w:rPr>
                <w:sz w:val="20"/>
                <w:szCs w:val="20"/>
              </w:rPr>
              <w:t>Subs</w:t>
            </w:r>
          </w:p>
        </w:tc>
        <w:tc>
          <w:tcPr>
            <w:tcW w:w="4111" w:type="dxa"/>
          </w:tcPr>
          <w:p w14:paraId="2953F081" w14:textId="77777777" w:rsidR="004D6CC9" w:rsidRDefault="004D6CC9" w:rsidP="004D6CC9">
            <w:pPr>
              <w:rPr>
                <w:sz w:val="20"/>
                <w:szCs w:val="20"/>
              </w:rPr>
            </w:pPr>
            <w:r w:rsidRPr="004D6CC9">
              <w:rPr>
                <w:sz w:val="20"/>
                <w:szCs w:val="20"/>
              </w:rPr>
              <w:t xml:space="preserve">North West, North Wales &amp; </w:t>
            </w:r>
            <w:r>
              <w:rPr>
                <w:sz w:val="20"/>
                <w:szCs w:val="20"/>
              </w:rPr>
              <w:t>Yorkshire.</w:t>
            </w:r>
          </w:p>
        </w:tc>
      </w:tr>
      <w:tr w:rsidR="004D6CC9" w14:paraId="13C1ADEE" w14:textId="77777777" w:rsidTr="004D6CC9">
        <w:tc>
          <w:tcPr>
            <w:tcW w:w="1413" w:type="dxa"/>
          </w:tcPr>
          <w:p w14:paraId="370359BA" w14:textId="77777777" w:rsidR="004D6CC9" w:rsidRDefault="004D6CC9" w:rsidP="004D6CC9">
            <w:pPr>
              <w:rPr>
                <w:sz w:val="20"/>
                <w:szCs w:val="20"/>
              </w:rPr>
            </w:pPr>
            <w:r>
              <w:rPr>
                <w:sz w:val="20"/>
                <w:szCs w:val="20"/>
              </w:rPr>
              <w:t>2.4</w:t>
            </w:r>
          </w:p>
        </w:tc>
        <w:tc>
          <w:tcPr>
            <w:tcW w:w="1134" w:type="dxa"/>
          </w:tcPr>
          <w:p w14:paraId="16961588" w14:textId="77777777" w:rsidR="004D6CC9" w:rsidRDefault="004D6CC9" w:rsidP="004D6CC9">
            <w:pPr>
              <w:rPr>
                <w:sz w:val="20"/>
                <w:szCs w:val="20"/>
              </w:rPr>
            </w:pPr>
            <w:r w:rsidRPr="004C08E5">
              <w:rPr>
                <w:sz w:val="20"/>
                <w:szCs w:val="20"/>
              </w:rPr>
              <w:t>Subs</w:t>
            </w:r>
          </w:p>
        </w:tc>
        <w:tc>
          <w:tcPr>
            <w:tcW w:w="4111" w:type="dxa"/>
          </w:tcPr>
          <w:p w14:paraId="16C4B789" w14:textId="77777777" w:rsidR="004D6CC9" w:rsidRDefault="004D6CC9" w:rsidP="004D6CC9">
            <w:pPr>
              <w:rPr>
                <w:sz w:val="20"/>
                <w:szCs w:val="20"/>
              </w:rPr>
            </w:pPr>
            <w:r>
              <w:rPr>
                <w:sz w:val="20"/>
                <w:szCs w:val="20"/>
              </w:rPr>
              <w:t>East &amp; West Midlands</w:t>
            </w:r>
          </w:p>
        </w:tc>
      </w:tr>
      <w:tr w:rsidR="004D6CC9" w14:paraId="21700F2D" w14:textId="77777777" w:rsidTr="004D6CC9">
        <w:tc>
          <w:tcPr>
            <w:tcW w:w="1413" w:type="dxa"/>
          </w:tcPr>
          <w:p w14:paraId="083A4EEB" w14:textId="77777777" w:rsidR="004D6CC9" w:rsidRDefault="004D6CC9" w:rsidP="004D6CC9">
            <w:pPr>
              <w:rPr>
                <w:sz w:val="20"/>
                <w:szCs w:val="20"/>
              </w:rPr>
            </w:pPr>
            <w:r>
              <w:rPr>
                <w:sz w:val="20"/>
                <w:szCs w:val="20"/>
              </w:rPr>
              <w:t>2.5</w:t>
            </w:r>
          </w:p>
        </w:tc>
        <w:tc>
          <w:tcPr>
            <w:tcW w:w="1134" w:type="dxa"/>
          </w:tcPr>
          <w:p w14:paraId="3FF23D7A" w14:textId="77777777" w:rsidR="004D6CC9" w:rsidRDefault="004D6CC9" w:rsidP="004D6CC9">
            <w:pPr>
              <w:rPr>
                <w:sz w:val="20"/>
                <w:szCs w:val="20"/>
              </w:rPr>
            </w:pPr>
            <w:r w:rsidRPr="004C08E5">
              <w:rPr>
                <w:sz w:val="20"/>
                <w:szCs w:val="20"/>
              </w:rPr>
              <w:t>Subs</w:t>
            </w:r>
          </w:p>
        </w:tc>
        <w:tc>
          <w:tcPr>
            <w:tcW w:w="4111" w:type="dxa"/>
          </w:tcPr>
          <w:p w14:paraId="4B2D3C53" w14:textId="77777777" w:rsidR="004D6CC9" w:rsidRDefault="004D6CC9" w:rsidP="004D6CC9">
            <w:pPr>
              <w:rPr>
                <w:sz w:val="20"/>
                <w:szCs w:val="20"/>
              </w:rPr>
            </w:pPr>
            <w:r w:rsidRPr="004D6CC9">
              <w:rPr>
                <w:sz w:val="20"/>
                <w:szCs w:val="20"/>
              </w:rPr>
              <w:t>South Wales &amp; South West</w:t>
            </w:r>
          </w:p>
        </w:tc>
      </w:tr>
    </w:tbl>
    <w:p w14:paraId="6302EEB6" w14:textId="77777777" w:rsidR="004D6CC9" w:rsidRDefault="004D6CC9" w:rsidP="00683522">
      <w:pPr>
        <w:rPr>
          <w:sz w:val="20"/>
          <w:szCs w:val="20"/>
          <w:highlight w:val="yellow"/>
        </w:rPr>
      </w:pPr>
    </w:p>
    <w:p w14:paraId="6AC5971B" w14:textId="77213A49" w:rsidR="004D6CC9" w:rsidRDefault="004D6CC9" w:rsidP="009A1526">
      <w:pPr>
        <w:rPr>
          <w:sz w:val="20"/>
          <w:szCs w:val="20"/>
        </w:rPr>
      </w:pPr>
      <w:r>
        <w:rPr>
          <w:sz w:val="20"/>
          <w:szCs w:val="20"/>
        </w:rPr>
        <w:lastRenderedPageBreak/>
        <w:t>This</w:t>
      </w:r>
      <w:r w:rsidR="009A1526" w:rsidRPr="004D6CC9">
        <w:rPr>
          <w:sz w:val="20"/>
          <w:szCs w:val="20"/>
        </w:rPr>
        <w:t xml:space="preserve"> is </w:t>
      </w:r>
      <w:r>
        <w:rPr>
          <w:sz w:val="20"/>
          <w:szCs w:val="20"/>
        </w:rPr>
        <w:t xml:space="preserve">a </w:t>
      </w:r>
      <w:r w:rsidR="009A1526" w:rsidRPr="004D6CC9">
        <w:rPr>
          <w:sz w:val="20"/>
          <w:szCs w:val="20"/>
        </w:rPr>
        <w:t>non-exclusive</w:t>
      </w:r>
      <w:r w:rsidRPr="004D6CC9">
        <w:rPr>
          <w:sz w:val="20"/>
          <w:szCs w:val="20"/>
        </w:rPr>
        <w:t xml:space="preserve"> framework agreement</w:t>
      </w:r>
      <w:r w:rsidR="009A1526" w:rsidRPr="004D6CC9">
        <w:rPr>
          <w:sz w:val="20"/>
          <w:szCs w:val="20"/>
        </w:rPr>
        <w:t xml:space="preserve">, </w:t>
      </w:r>
      <w:r w:rsidR="00683522" w:rsidRPr="004D6CC9">
        <w:rPr>
          <w:sz w:val="20"/>
          <w:szCs w:val="20"/>
        </w:rPr>
        <w:t>and</w:t>
      </w:r>
      <w:r w:rsidR="00683522">
        <w:rPr>
          <w:sz w:val="20"/>
          <w:szCs w:val="20"/>
        </w:rPr>
        <w:t xml:space="preserve"> t</w:t>
      </w:r>
      <w:r w:rsidR="00683522" w:rsidRPr="009A1526">
        <w:rPr>
          <w:sz w:val="20"/>
          <w:szCs w:val="20"/>
        </w:rPr>
        <w:t>he Coal Authority is unable to guarantee the volume and value of allocated work. Tenderers may submit a bid for</w:t>
      </w:r>
      <w:r>
        <w:rPr>
          <w:sz w:val="20"/>
          <w:szCs w:val="20"/>
        </w:rPr>
        <w:t xml:space="preserve"> single, multiple or all lot(s)</w:t>
      </w:r>
      <w:r w:rsidR="00683522" w:rsidRPr="009A1526">
        <w:rPr>
          <w:sz w:val="20"/>
          <w:szCs w:val="20"/>
        </w:rPr>
        <w:t xml:space="preserve">. </w:t>
      </w:r>
    </w:p>
    <w:p w14:paraId="5A104B90" w14:textId="77777777" w:rsidR="00643A23" w:rsidRPr="00C26FE7" w:rsidRDefault="00C26FE7" w:rsidP="00B9465A">
      <w:pPr>
        <w:rPr>
          <w:sz w:val="20"/>
          <w:szCs w:val="20"/>
          <w:u w:val="single"/>
        </w:rPr>
      </w:pPr>
      <w:r w:rsidRPr="00C26FE7">
        <w:rPr>
          <w:sz w:val="20"/>
          <w:szCs w:val="20"/>
          <w:u w:val="single"/>
        </w:rPr>
        <w:t>Emergency Call Out</w:t>
      </w:r>
    </w:p>
    <w:p w14:paraId="3E2FB804" w14:textId="77777777" w:rsidR="00643A23" w:rsidRDefault="00FB2A87" w:rsidP="00B9465A">
      <w:pPr>
        <w:rPr>
          <w:sz w:val="20"/>
          <w:szCs w:val="20"/>
        </w:rPr>
      </w:pPr>
      <w:r>
        <w:rPr>
          <w:sz w:val="20"/>
          <w:szCs w:val="20"/>
        </w:rPr>
        <w:t>T</w:t>
      </w:r>
      <w:r w:rsidR="00643A23" w:rsidRPr="00643A23">
        <w:rPr>
          <w:sz w:val="20"/>
          <w:szCs w:val="20"/>
        </w:rPr>
        <w:t xml:space="preserve">o respond to public safety incidents on a 24 hour/365 day basis. The initial emergency response is to attend a public safety incident within 4 hours of notification and erect temporary fencing and warning notices (within 6 hours of notification) to ensure the hazard is secured. Typical hazards relating to past coal mining present issues such as ground collapses of shafts and adits, outbreaks of </w:t>
      </w:r>
      <w:r w:rsidR="00683522" w:rsidRPr="00643A23">
        <w:rPr>
          <w:sz w:val="20"/>
          <w:szCs w:val="20"/>
        </w:rPr>
        <w:t>mine water</w:t>
      </w:r>
      <w:r w:rsidR="00643A23" w:rsidRPr="00643A23">
        <w:rPr>
          <w:sz w:val="20"/>
          <w:szCs w:val="20"/>
        </w:rPr>
        <w:t xml:space="preserve"> and gas emissions, therefore the following types of remedial works may be required:</w:t>
      </w:r>
    </w:p>
    <w:p w14:paraId="47B35016" w14:textId="77777777" w:rsidR="009A1526" w:rsidRDefault="00683522" w:rsidP="00B73E5A">
      <w:pPr>
        <w:pStyle w:val="ListParagraph"/>
        <w:numPr>
          <w:ilvl w:val="0"/>
          <w:numId w:val="1"/>
        </w:numPr>
        <w:rPr>
          <w:sz w:val="20"/>
          <w:szCs w:val="20"/>
        </w:rPr>
      </w:pPr>
      <w:r>
        <w:rPr>
          <w:sz w:val="20"/>
          <w:szCs w:val="20"/>
        </w:rPr>
        <w:t>F</w:t>
      </w:r>
      <w:r w:rsidR="00643A23" w:rsidRPr="009A1526">
        <w:rPr>
          <w:sz w:val="20"/>
          <w:szCs w:val="20"/>
        </w:rPr>
        <w:t xml:space="preserve">illing of open shafts/adits/mine-workings/voids, </w:t>
      </w:r>
    </w:p>
    <w:p w14:paraId="451445A4" w14:textId="77777777" w:rsidR="009A1526" w:rsidRDefault="00683522" w:rsidP="00B73E5A">
      <w:pPr>
        <w:pStyle w:val="ListParagraph"/>
        <w:numPr>
          <w:ilvl w:val="0"/>
          <w:numId w:val="1"/>
        </w:numPr>
        <w:rPr>
          <w:sz w:val="20"/>
          <w:szCs w:val="20"/>
        </w:rPr>
      </w:pPr>
      <w:r>
        <w:rPr>
          <w:sz w:val="20"/>
          <w:szCs w:val="20"/>
        </w:rPr>
        <w:t>M</w:t>
      </w:r>
      <w:r w:rsidR="00643A23" w:rsidRPr="009A1526">
        <w:rPr>
          <w:sz w:val="20"/>
          <w:szCs w:val="20"/>
        </w:rPr>
        <w:t xml:space="preserve">ass concrete plugging of shafts/adits/mine-working/voids, </w:t>
      </w:r>
    </w:p>
    <w:p w14:paraId="35C082C4" w14:textId="77777777" w:rsidR="009A1526" w:rsidRDefault="00683522" w:rsidP="00B73E5A">
      <w:pPr>
        <w:pStyle w:val="ListParagraph"/>
        <w:numPr>
          <w:ilvl w:val="0"/>
          <w:numId w:val="1"/>
        </w:numPr>
        <w:rPr>
          <w:sz w:val="20"/>
          <w:szCs w:val="20"/>
        </w:rPr>
      </w:pPr>
      <w:r>
        <w:rPr>
          <w:sz w:val="20"/>
          <w:szCs w:val="20"/>
        </w:rPr>
        <w:t>R</w:t>
      </w:r>
      <w:r w:rsidR="00643A23" w:rsidRPr="009A1526">
        <w:rPr>
          <w:sz w:val="20"/>
          <w:szCs w:val="20"/>
        </w:rPr>
        <w:t xml:space="preserve">einforced concrete capping of shafts/adits, </w:t>
      </w:r>
    </w:p>
    <w:p w14:paraId="3565590B" w14:textId="77777777" w:rsidR="009A1526" w:rsidRDefault="00683522" w:rsidP="00B73E5A">
      <w:pPr>
        <w:pStyle w:val="ListParagraph"/>
        <w:numPr>
          <w:ilvl w:val="0"/>
          <w:numId w:val="1"/>
        </w:numPr>
        <w:rPr>
          <w:sz w:val="20"/>
          <w:szCs w:val="20"/>
        </w:rPr>
      </w:pPr>
      <w:r>
        <w:rPr>
          <w:sz w:val="20"/>
          <w:szCs w:val="20"/>
        </w:rPr>
        <w:t>T</w:t>
      </w:r>
      <w:r w:rsidR="00643A23" w:rsidRPr="009A1526">
        <w:rPr>
          <w:sz w:val="20"/>
          <w:szCs w:val="20"/>
        </w:rPr>
        <w:t xml:space="preserve">reatment of fissures, geotextiles, </w:t>
      </w:r>
    </w:p>
    <w:p w14:paraId="0C15CB8C" w14:textId="77777777" w:rsidR="009A1526" w:rsidRDefault="00683522" w:rsidP="00B73E5A">
      <w:pPr>
        <w:pStyle w:val="ListParagraph"/>
        <w:numPr>
          <w:ilvl w:val="0"/>
          <w:numId w:val="1"/>
        </w:numPr>
        <w:rPr>
          <w:sz w:val="20"/>
          <w:szCs w:val="20"/>
        </w:rPr>
      </w:pPr>
      <w:r>
        <w:rPr>
          <w:sz w:val="20"/>
          <w:szCs w:val="20"/>
        </w:rPr>
        <w:t>P</w:t>
      </w:r>
      <w:r w:rsidR="00643A23" w:rsidRPr="009A1526">
        <w:rPr>
          <w:sz w:val="20"/>
          <w:szCs w:val="20"/>
        </w:rPr>
        <w:t xml:space="preserve">ermanent fencing, </w:t>
      </w:r>
    </w:p>
    <w:p w14:paraId="3B2E7773" w14:textId="77777777" w:rsidR="009A1526" w:rsidRDefault="00683522" w:rsidP="00B73E5A">
      <w:pPr>
        <w:pStyle w:val="ListParagraph"/>
        <w:numPr>
          <w:ilvl w:val="0"/>
          <w:numId w:val="1"/>
        </w:numPr>
        <w:rPr>
          <w:sz w:val="20"/>
          <w:szCs w:val="20"/>
        </w:rPr>
      </w:pPr>
      <w:r>
        <w:rPr>
          <w:sz w:val="20"/>
          <w:szCs w:val="20"/>
        </w:rPr>
        <w:t>A</w:t>
      </w:r>
      <w:r w:rsidR="00643A23" w:rsidRPr="009A1526">
        <w:rPr>
          <w:sz w:val="20"/>
          <w:szCs w:val="20"/>
        </w:rPr>
        <w:t xml:space="preserve">ssociated reinstatement works, </w:t>
      </w:r>
    </w:p>
    <w:p w14:paraId="00A95C76" w14:textId="77777777" w:rsidR="009A1526" w:rsidRDefault="00683522" w:rsidP="00B73E5A">
      <w:pPr>
        <w:pStyle w:val="ListParagraph"/>
        <w:numPr>
          <w:ilvl w:val="0"/>
          <w:numId w:val="1"/>
        </w:numPr>
        <w:rPr>
          <w:sz w:val="20"/>
          <w:szCs w:val="20"/>
        </w:rPr>
      </w:pPr>
      <w:r>
        <w:rPr>
          <w:sz w:val="20"/>
          <w:szCs w:val="20"/>
        </w:rPr>
        <w:t>D</w:t>
      </w:r>
      <w:r w:rsidR="00643A23" w:rsidRPr="009A1526">
        <w:rPr>
          <w:sz w:val="20"/>
          <w:szCs w:val="20"/>
        </w:rPr>
        <w:t xml:space="preserve">rainage works, </w:t>
      </w:r>
    </w:p>
    <w:p w14:paraId="7C4CBAA2" w14:textId="77777777" w:rsidR="009A1526" w:rsidRDefault="00683522" w:rsidP="00B73E5A">
      <w:pPr>
        <w:pStyle w:val="ListParagraph"/>
        <w:numPr>
          <w:ilvl w:val="0"/>
          <w:numId w:val="1"/>
        </w:numPr>
        <w:rPr>
          <w:sz w:val="20"/>
          <w:szCs w:val="20"/>
        </w:rPr>
      </w:pPr>
      <w:r>
        <w:rPr>
          <w:sz w:val="20"/>
          <w:szCs w:val="20"/>
        </w:rPr>
        <w:t>M</w:t>
      </w:r>
      <w:r w:rsidR="00643A23" w:rsidRPr="009A1526">
        <w:rPr>
          <w:sz w:val="20"/>
          <w:szCs w:val="20"/>
        </w:rPr>
        <w:t xml:space="preserve">aintenance works to coal authority sites and spoil tips, </w:t>
      </w:r>
    </w:p>
    <w:p w14:paraId="26A0D9A8" w14:textId="77777777" w:rsidR="00643A23" w:rsidRPr="009A1526" w:rsidRDefault="00683522" w:rsidP="00B73E5A">
      <w:pPr>
        <w:pStyle w:val="ListParagraph"/>
        <w:numPr>
          <w:ilvl w:val="0"/>
          <w:numId w:val="1"/>
        </w:numPr>
        <w:rPr>
          <w:sz w:val="20"/>
          <w:szCs w:val="20"/>
        </w:rPr>
      </w:pPr>
      <w:r w:rsidRPr="009A1526">
        <w:rPr>
          <w:sz w:val="20"/>
          <w:szCs w:val="20"/>
        </w:rPr>
        <w:t>Gabion</w:t>
      </w:r>
      <w:r w:rsidR="00643A23" w:rsidRPr="009A1526">
        <w:rPr>
          <w:sz w:val="20"/>
          <w:szCs w:val="20"/>
        </w:rPr>
        <w:t xml:space="preserve"> baskets. </w:t>
      </w:r>
    </w:p>
    <w:p w14:paraId="03CACA57" w14:textId="77777777" w:rsidR="00643A23" w:rsidRDefault="00643A23" w:rsidP="00B9465A">
      <w:pPr>
        <w:rPr>
          <w:sz w:val="20"/>
          <w:szCs w:val="20"/>
        </w:rPr>
      </w:pPr>
      <w:r w:rsidRPr="00643A23">
        <w:rPr>
          <w:sz w:val="20"/>
          <w:szCs w:val="20"/>
        </w:rPr>
        <w:t>The works may also include undertaking the following for non-coal mining activities:</w:t>
      </w:r>
    </w:p>
    <w:p w14:paraId="15C129F3" w14:textId="77777777" w:rsidR="00B9465A" w:rsidRDefault="00683522" w:rsidP="009A1526">
      <w:pPr>
        <w:pStyle w:val="ListParagraph"/>
        <w:numPr>
          <w:ilvl w:val="0"/>
          <w:numId w:val="1"/>
        </w:numPr>
        <w:rPr>
          <w:sz w:val="20"/>
          <w:szCs w:val="20"/>
        </w:rPr>
      </w:pPr>
      <w:r>
        <w:rPr>
          <w:sz w:val="20"/>
          <w:szCs w:val="20"/>
        </w:rPr>
        <w:t>E</w:t>
      </w:r>
      <w:r w:rsidR="00643A23" w:rsidRPr="00643A23">
        <w:rPr>
          <w:sz w:val="20"/>
          <w:szCs w:val="20"/>
        </w:rPr>
        <w:t>nabling works e.g. site clearance/site access.</w:t>
      </w:r>
    </w:p>
    <w:p w14:paraId="2E73078D" w14:textId="77777777" w:rsidR="00643A23" w:rsidRPr="00680884" w:rsidRDefault="00C26FE7" w:rsidP="00B9465A">
      <w:pPr>
        <w:rPr>
          <w:sz w:val="20"/>
          <w:szCs w:val="20"/>
          <w:u w:val="single"/>
        </w:rPr>
      </w:pPr>
      <w:r w:rsidRPr="00680884">
        <w:rPr>
          <w:sz w:val="20"/>
          <w:szCs w:val="20"/>
          <w:u w:val="single"/>
        </w:rPr>
        <w:t>Subsidence Damage Repair and Decorating</w:t>
      </w:r>
    </w:p>
    <w:p w14:paraId="0DF56F83" w14:textId="77777777" w:rsidR="009A1526" w:rsidRDefault="009A1526" w:rsidP="00B9465A">
      <w:pPr>
        <w:rPr>
          <w:sz w:val="20"/>
          <w:szCs w:val="20"/>
        </w:rPr>
      </w:pPr>
      <w:r w:rsidRPr="009A1526">
        <w:rPr>
          <w:sz w:val="20"/>
          <w:szCs w:val="20"/>
        </w:rPr>
        <w:t xml:space="preserve">The works will primarily consist of undertaking repairs and decorations to domestic properties through the regions specified. All works will follow an agreed schedule of repairs and decorations that may be varied by agreement with the Authority. The repairs and decorations will entail working with residents to minimise disruption to their property but ensuring that a high standard of repairs and decorations are undertaken. Under normal </w:t>
      </w:r>
      <w:r w:rsidR="00683522" w:rsidRPr="009A1526">
        <w:rPr>
          <w:sz w:val="20"/>
          <w:szCs w:val="20"/>
        </w:rPr>
        <w:t>circumstances,</w:t>
      </w:r>
      <w:r w:rsidRPr="009A1526">
        <w:rPr>
          <w:sz w:val="20"/>
          <w:szCs w:val="20"/>
        </w:rPr>
        <w:t xml:space="preserve"> residents will remain in residence whilst repairs are undertaken. Repairs may also be undertaken to non-domestic properties such as factories, offices, etc. to the same standard. Repairs will be carried out to buildings, roads and any other structures damaged due to coal mining subsidence. </w:t>
      </w:r>
    </w:p>
    <w:p w14:paraId="1BC3AC6A" w14:textId="77777777" w:rsidR="009A1526" w:rsidRDefault="009A1526" w:rsidP="00B9465A">
      <w:pPr>
        <w:rPr>
          <w:sz w:val="20"/>
          <w:szCs w:val="20"/>
        </w:rPr>
      </w:pPr>
      <w:r w:rsidRPr="009A1526">
        <w:rPr>
          <w:sz w:val="20"/>
          <w:szCs w:val="20"/>
        </w:rPr>
        <w:t xml:space="preserve">Typical works to be undertaken will involve </w:t>
      </w:r>
    </w:p>
    <w:p w14:paraId="3CBA1E59" w14:textId="77777777" w:rsidR="009A1526" w:rsidRDefault="00683522" w:rsidP="009A1526">
      <w:pPr>
        <w:pStyle w:val="ListParagraph"/>
        <w:numPr>
          <w:ilvl w:val="0"/>
          <w:numId w:val="1"/>
        </w:numPr>
        <w:rPr>
          <w:sz w:val="20"/>
          <w:szCs w:val="20"/>
        </w:rPr>
      </w:pPr>
      <w:r>
        <w:rPr>
          <w:sz w:val="20"/>
          <w:szCs w:val="20"/>
        </w:rPr>
        <w:t>U</w:t>
      </w:r>
      <w:r w:rsidR="009A1526" w:rsidRPr="009A1526">
        <w:rPr>
          <w:sz w:val="20"/>
          <w:szCs w:val="20"/>
        </w:rPr>
        <w:t xml:space="preserve">nderpinning, </w:t>
      </w:r>
    </w:p>
    <w:p w14:paraId="4B2B0CE1" w14:textId="77777777" w:rsidR="009A1526" w:rsidRDefault="00683522" w:rsidP="009A1526">
      <w:pPr>
        <w:pStyle w:val="ListParagraph"/>
        <w:numPr>
          <w:ilvl w:val="0"/>
          <w:numId w:val="1"/>
        </w:numPr>
        <w:rPr>
          <w:sz w:val="20"/>
          <w:szCs w:val="20"/>
        </w:rPr>
      </w:pPr>
      <w:r>
        <w:rPr>
          <w:sz w:val="20"/>
          <w:szCs w:val="20"/>
        </w:rPr>
        <w:t>D</w:t>
      </w:r>
      <w:r w:rsidR="009A1526" w:rsidRPr="009A1526">
        <w:rPr>
          <w:sz w:val="20"/>
          <w:szCs w:val="20"/>
        </w:rPr>
        <w:t xml:space="preserve">emolition, </w:t>
      </w:r>
    </w:p>
    <w:p w14:paraId="4D99F7B1" w14:textId="77777777" w:rsidR="009A1526" w:rsidRDefault="00683522" w:rsidP="009A1526">
      <w:pPr>
        <w:pStyle w:val="ListParagraph"/>
        <w:numPr>
          <w:ilvl w:val="0"/>
          <w:numId w:val="1"/>
        </w:numPr>
        <w:rPr>
          <w:sz w:val="20"/>
          <w:szCs w:val="20"/>
        </w:rPr>
      </w:pPr>
      <w:r>
        <w:rPr>
          <w:sz w:val="20"/>
          <w:szCs w:val="20"/>
        </w:rPr>
        <w:t>T</w:t>
      </w:r>
      <w:r w:rsidR="009A1526" w:rsidRPr="009A1526">
        <w:rPr>
          <w:sz w:val="20"/>
          <w:szCs w:val="20"/>
        </w:rPr>
        <w:t xml:space="preserve">emporary propping, </w:t>
      </w:r>
    </w:p>
    <w:p w14:paraId="26C026FB" w14:textId="77777777" w:rsidR="009A1526" w:rsidRDefault="00683522" w:rsidP="009A1526">
      <w:pPr>
        <w:pStyle w:val="ListParagraph"/>
        <w:numPr>
          <w:ilvl w:val="0"/>
          <w:numId w:val="1"/>
        </w:numPr>
        <w:rPr>
          <w:sz w:val="20"/>
          <w:szCs w:val="20"/>
        </w:rPr>
      </w:pPr>
      <w:r>
        <w:rPr>
          <w:sz w:val="20"/>
          <w:szCs w:val="20"/>
        </w:rPr>
        <w:t>S</w:t>
      </w:r>
      <w:r w:rsidR="009A1526" w:rsidRPr="009A1526">
        <w:rPr>
          <w:sz w:val="20"/>
          <w:szCs w:val="20"/>
        </w:rPr>
        <w:t xml:space="preserve">tructural repairs, </w:t>
      </w:r>
    </w:p>
    <w:p w14:paraId="34A43151" w14:textId="77777777" w:rsidR="009A1526" w:rsidRDefault="00683522" w:rsidP="009A1526">
      <w:pPr>
        <w:pStyle w:val="ListParagraph"/>
        <w:numPr>
          <w:ilvl w:val="0"/>
          <w:numId w:val="1"/>
        </w:numPr>
        <w:rPr>
          <w:sz w:val="20"/>
          <w:szCs w:val="20"/>
        </w:rPr>
      </w:pPr>
      <w:r>
        <w:rPr>
          <w:sz w:val="20"/>
          <w:szCs w:val="20"/>
        </w:rPr>
        <w:t>R</w:t>
      </w:r>
      <w:r w:rsidR="009A1526" w:rsidRPr="009A1526">
        <w:rPr>
          <w:sz w:val="20"/>
          <w:szCs w:val="20"/>
        </w:rPr>
        <w:t xml:space="preserve">oofing, brick &amp; blockwork, </w:t>
      </w:r>
    </w:p>
    <w:p w14:paraId="1A04CADE" w14:textId="77777777" w:rsidR="009A1526" w:rsidRDefault="00683522" w:rsidP="009A1526">
      <w:pPr>
        <w:pStyle w:val="ListParagraph"/>
        <w:numPr>
          <w:ilvl w:val="0"/>
          <w:numId w:val="1"/>
        </w:numPr>
        <w:rPr>
          <w:sz w:val="20"/>
          <w:szCs w:val="20"/>
        </w:rPr>
      </w:pPr>
      <w:r>
        <w:rPr>
          <w:sz w:val="20"/>
          <w:szCs w:val="20"/>
        </w:rPr>
        <w:lastRenderedPageBreak/>
        <w:t>E</w:t>
      </w:r>
      <w:r w:rsidR="009A1526" w:rsidRPr="009A1526">
        <w:rPr>
          <w:sz w:val="20"/>
          <w:szCs w:val="20"/>
        </w:rPr>
        <w:t xml:space="preserve">xternal / internal refurbishments </w:t>
      </w:r>
    </w:p>
    <w:p w14:paraId="44E76357" w14:textId="77777777" w:rsidR="009A1526" w:rsidRDefault="00683522" w:rsidP="009A1526">
      <w:pPr>
        <w:pStyle w:val="ListParagraph"/>
        <w:numPr>
          <w:ilvl w:val="0"/>
          <w:numId w:val="1"/>
        </w:numPr>
        <w:rPr>
          <w:sz w:val="20"/>
          <w:szCs w:val="20"/>
        </w:rPr>
      </w:pPr>
      <w:r w:rsidRPr="009A1526">
        <w:rPr>
          <w:sz w:val="20"/>
          <w:szCs w:val="20"/>
        </w:rPr>
        <w:t>Paving</w:t>
      </w:r>
      <w:r w:rsidR="009A1526" w:rsidRPr="009A1526">
        <w:rPr>
          <w:sz w:val="20"/>
          <w:szCs w:val="20"/>
        </w:rPr>
        <w:t xml:space="preserve"> / glazing / electrical / plumbing / plastering / decorating. </w:t>
      </w:r>
    </w:p>
    <w:p w14:paraId="7BDADF63" w14:textId="77777777" w:rsidR="00845A1D" w:rsidRPr="00845A1D" w:rsidRDefault="00845A1D" w:rsidP="00845A1D">
      <w:pPr>
        <w:rPr>
          <w:b/>
          <w:sz w:val="20"/>
          <w:szCs w:val="20"/>
        </w:rPr>
      </w:pPr>
      <w:r w:rsidRPr="00845A1D">
        <w:rPr>
          <w:b/>
          <w:sz w:val="20"/>
          <w:szCs w:val="20"/>
        </w:rPr>
        <w:t xml:space="preserve">About the buyer </w:t>
      </w:r>
    </w:p>
    <w:p w14:paraId="16B8D08E" w14:textId="77777777" w:rsidR="00845A1D" w:rsidRPr="00845A1D" w:rsidRDefault="00680884" w:rsidP="00680884">
      <w:pPr>
        <w:spacing w:after="0"/>
        <w:rPr>
          <w:sz w:val="20"/>
          <w:szCs w:val="20"/>
        </w:rPr>
      </w:pPr>
      <w:r>
        <w:rPr>
          <w:sz w:val="20"/>
          <w:szCs w:val="20"/>
        </w:rPr>
        <w:t>Helen Baldwin</w:t>
      </w:r>
    </w:p>
    <w:p w14:paraId="4B25872A" w14:textId="77777777" w:rsidR="00845A1D" w:rsidRPr="00845A1D" w:rsidRDefault="00845A1D" w:rsidP="00680884">
      <w:pPr>
        <w:spacing w:after="0"/>
        <w:rPr>
          <w:sz w:val="20"/>
          <w:szCs w:val="20"/>
        </w:rPr>
      </w:pPr>
      <w:r w:rsidRPr="00845A1D">
        <w:rPr>
          <w:sz w:val="20"/>
          <w:szCs w:val="20"/>
        </w:rPr>
        <w:t xml:space="preserve">The Coal Authority </w:t>
      </w:r>
    </w:p>
    <w:p w14:paraId="79BF3D35" w14:textId="77777777" w:rsidR="00845A1D" w:rsidRPr="00845A1D" w:rsidRDefault="00845A1D" w:rsidP="00680884">
      <w:pPr>
        <w:spacing w:after="0"/>
        <w:rPr>
          <w:sz w:val="20"/>
          <w:szCs w:val="20"/>
        </w:rPr>
      </w:pPr>
      <w:r w:rsidRPr="00845A1D">
        <w:rPr>
          <w:sz w:val="20"/>
          <w:szCs w:val="20"/>
        </w:rPr>
        <w:t xml:space="preserve">200 Lichfield Lane </w:t>
      </w:r>
    </w:p>
    <w:p w14:paraId="389C0A1F" w14:textId="77777777" w:rsidR="00845A1D" w:rsidRPr="00845A1D" w:rsidRDefault="00845A1D" w:rsidP="00680884">
      <w:pPr>
        <w:spacing w:after="0"/>
        <w:rPr>
          <w:sz w:val="20"/>
          <w:szCs w:val="20"/>
        </w:rPr>
      </w:pPr>
      <w:r w:rsidRPr="00845A1D">
        <w:rPr>
          <w:sz w:val="20"/>
          <w:szCs w:val="20"/>
        </w:rPr>
        <w:t xml:space="preserve">Mansfield </w:t>
      </w:r>
    </w:p>
    <w:p w14:paraId="553D2871" w14:textId="77777777" w:rsidR="00845A1D" w:rsidRPr="00845A1D" w:rsidRDefault="00845A1D" w:rsidP="00680884">
      <w:pPr>
        <w:spacing w:after="0"/>
        <w:rPr>
          <w:sz w:val="20"/>
          <w:szCs w:val="20"/>
        </w:rPr>
      </w:pPr>
      <w:r w:rsidRPr="00845A1D">
        <w:rPr>
          <w:sz w:val="20"/>
          <w:szCs w:val="20"/>
        </w:rPr>
        <w:t xml:space="preserve">NG18 4RG </w:t>
      </w:r>
    </w:p>
    <w:p w14:paraId="26456772" w14:textId="77777777" w:rsidR="00845A1D" w:rsidRPr="00845A1D" w:rsidRDefault="00845A1D" w:rsidP="00680884">
      <w:pPr>
        <w:spacing w:after="0"/>
        <w:rPr>
          <w:sz w:val="20"/>
          <w:szCs w:val="20"/>
        </w:rPr>
      </w:pPr>
      <w:r w:rsidRPr="00845A1D">
        <w:rPr>
          <w:sz w:val="20"/>
          <w:szCs w:val="20"/>
        </w:rPr>
        <w:t xml:space="preserve">England </w:t>
      </w:r>
    </w:p>
    <w:p w14:paraId="4F9E4592" w14:textId="77777777" w:rsidR="00C57920" w:rsidRDefault="00845A1D" w:rsidP="00680884">
      <w:pPr>
        <w:spacing w:after="0"/>
        <w:rPr>
          <w:sz w:val="20"/>
          <w:szCs w:val="20"/>
        </w:rPr>
      </w:pPr>
      <w:r w:rsidRPr="00845A1D">
        <w:rPr>
          <w:sz w:val="20"/>
          <w:szCs w:val="20"/>
        </w:rPr>
        <w:t xml:space="preserve">Email - </w:t>
      </w:r>
      <w:hyperlink r:id="rId8" w:history="1">
        <w:r w:rsidR="00680884" w:rsidRPr="00A501D8">
          <w:rPr>
            <w:rStyle w:val="Hyperlink"/>
            <w:sz w:val="20"/>
            <w:szCs w:val="20"/>
          </w:rPr>
          <w:t>helenbaldwin@coal.gov.uk</w:t>
        </w:r>
      </w:hyperlink>
    </w:p>
    <w:p w14:paraId="05DFE4FC" w14:textId="77777777" w:rsidR="004C31CA" w:rsidRDefault="004C31CA" w:rsidP="00845A1D">
      <w:pPr>
        <w:rPr>
          <w:sz w:val="20"/>
          <w:szCs w:val="20"/>
        </w:rPr>
      </w:pPr>
    </w:p>
    <w:p w14:paraId="79603D15" w14:textId="77777777" w:rsidR="004C31CA" w:rsidRPr="00845A1D" w:rsidRDefault="004C31CA" w:rsidP="00845A1D">
      <w:pPr>
        <w:rPr>
          <w:sz w:val="20"/>
          <w:szCs w:val="20"/>
        </w:rPr>
      </w:pPr>
    </w:p>
    <w:sectPr w:rsidR="004C31CA" w:rsidRPr="00845A1D" w:rsidSect="005D1CE3">
      <w:headerReference w:type="default" r:id="rId9"/>
      <w:pgSz w:w="11906" w:h="16838"/>
      <w:pgMar w:top="2501"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E1C9" w14:textId="77777777" w:rsidR="00CE40BF" w:rsidRDefault="00CE40BF" w:rsidP="00823A95">
      <w:pPr>
        <w:spacing w:after="0" w:line="240" w:lineRule="auto"/>
      </w:pPr>
      <w:r>
        <w:separator/>
      </w:r>
    </w:p>
  </w:endnote>
  <w:endnote w:type="continuationSeparator" w:id="0">
    <w:p w14:paraId="28B36B80" w14:textId="77777777" w:rsidR="00CE40BF" w:rsidRDefault="00CE40BF"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A6291" w14:textId="77777777" w:rsidR="00CE40BF" w:rsidRDefault="00CE40BF" w:rsidP="00823A95">
      <w:pPr>
        <w:spacing w:after="0" w:line="240" w:lineRule="auto"/>
      </w:pPr>
      <w:r>
        <w:separator/>
      </w:r>
    </w:p>
  </w:footnote>
  <w:footnote w:type="continuationSeparator" w:id="0">
    <w:p w14:paraId="5FD2B67B" w14:textId="77777777" w:rsidR="00CE40BF" w:rsidRDefault="00CE40BF"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C777A" w14:textId="77777777" w:rsidR="00823A95" w:rsidRDefault="00823A95">
    <w:pPr>
      <w:pStyle w:val="Header"/>
    </w:pPr>
    <w:r>
      <w:rPr>
        <w:noProof/>
        <w:lang w:eastAsia="en-GB"/>
      </w:rPr>
      <w:drawing>
        <wp:anchor distT="0" distB="0" distL="114300" distR="114300" simplePos="0" relativeHeight="251659264" behindDoc="0" locked="0" layoutInCell="1" allowOverlap="1" wp14:anchorId="405449A6" wp14:editId="7C9A4223">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46B69"/>
    <w:rsid w:val="00067435"/>
    <w:rsid w:val="002420FA"/>
    <w:rsid w:val="002954D9"/>
    <w:rsid w:val="00315850"/>
    <w:rsid w:val="0031790B"/>
    <w:rsid w:val="00352910"/>
    <w:rsid w:val="003853CD"/>
    <w:rsid w:val="00472071"/>
    <w:rsid w:val="004C31CA"/>
    <w:rsid w:val="004D6CC9"/>
    <w:rsid w:val="004D7BB4"/>
    <w:rsid w:val="005D1CE3"/>
    <w:rsid w:val="005F0EC1"/>
    <w:rsid w:val="00602673"/>
    <w:rsid w:val="00643A23"/>
    <w:rsid w:val="0065666B"/>
    <w:rsid w:val="00680884"/>
    <w:rsid w:val="00683522"/>
    <w:rsid w:val="006C2503"/>
    <w:rsid w:val="006E2884"/>
    <w:rsid w:val="006F5BB7"/>
    <w:rsid w:val="00732536"/>
    <w:rsid w:val="007463F5"/>
    <w:rsid w:val="007F1CDA"/>
    <w:rsid w:val="00823A95"/>
    <w:rsid w:val="008365A8"/>
    <w:rsid w:val="00845A1D"/>
    <w:rsid w:val="008D4A72"/>
    <w:rsid w:val="009A1526"/>
    <w:rsid w:val="00A94BCA"/>
    <w:rsid w:val="00B9465A"/>
    <w:rsid w:val="00BE33AC"/>
    <w:rsid w:val="00BF4DBC"/>
    <w:rsid w:val="00C06792"/>
    <w:rsid w:val="00C26FE7"/>
    <w:rsid w:val="00C57920"/>
    <w:rsid w:val="00C60DE1"/>
    <w:rsid w:val="00CE40BF"/>
    <w:rsid w:val="00D01F21"/>
    <w:rsid w:val="00DA573B"/>
    <w:rsid w:val="00DA68FD"/>
    <w:rsid w:val="00E10B46"/>
    <w:rsid w:val="00E976D2"/>
    <w:rsid w:val="00EA2B8B"/>
    <w:rsid w:val="00FB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F6A72E"/>
  <w15:docId w15:val="{A8D08E6B-7CD7-4731-8A03-49B3ADD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baldwin@coal.gov.uk" TargetMode="External"/><Relationship Id="rId3" Type="http://schemas.openxmlformats.org/officeDocument/2006/relationships/settings" Target="settings.xml"/><Relationship Id="rId7" Type="http://schemas.openxmlformats.org/officeDocument/2006/relationships/hyperlink" Target="mailto:helenbaldwin@co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creator>Peter Kobryn</dc:creator>
  <cp:lastModifiedBy>Helen Baldwin</cp:lastModifiedBy>
  <cp:revision>3</cp:revision>
  <cp:lastPrinted>2021-01-06T16:45:00Z</cp:lastPrinted>
  <dcterms:created xsi:type="dcterms:W3CDTF">2021-03-04T12:38:00Z</dcterms:created>
  <dcterms:modified xsi:type="dcterms:W3CDTF">2021-03-12T12:57:00Z</dcterms:modified>
</cp:coreProperties>
</file>