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yellow"/>
              </w:rPr>
            </w:pPr>
            <w:bookmarkStart w:colFirst="0" w:colLast="0" w:name="_heading=h.gjdgxs" w:id="0"/>
            <w:bookmarkEnd w:id="0"/>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rPr>
          <w:rFonts w:ascii="Arial" w:cs="Arial" w:eastAsia="Arial" w:hAnsi="Arial"/>
          <w:sz w:val="20"/>
          <w:szCs w:val="20"/>
        </w:rPr>
      </w:pPr>
      <w:bookmarkStart w:colFirst="0" w:colLast="0" w:name="_heading=h.ihiux7gux33" w:id="1"/>
      <w:bookmarkEnd w:id="1"/>
      <w:r w:rsidDel="00000000" w:rsidR="00000000" w:rsidRPr="00000000">
        <w:rPr>
          <w:rFonts w:ascii="Arial" w:cs="Arial" w:eastAsia="Arial" w:hAnsi="Arial"/>
          <w:b w:val="1"/>
          <w:sz w:val="36"/>
          <w:szCs w:val="36"/>
          <w:rtl w:val="0"/>
        </w:rPr>
        <w:t xml:space="preserve">Joint Schedule 6 (Key Subcontractors)</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Restrictions on certain subcontractors</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is entitled to sub-contract its obligations under the Framework Contract to the Key Subcontractors set out in the Framework Award Form. </w:t>
      </w:r>
      <w:r w:rsidDel="00000000" w:rsidR="00000000" w:rsidRPr="00000000">
        <w:rPr>
          <w:rtl w:val="0"/>
        </w:rPr>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30j0zll" w:id="2"/>
      <w:bookmarkEnd w:id="2"/>
      <w:r w:rsidDel="00000000" w:rsidR="00000000" w:rsidRPr="00000000">
        <w:rPr>
          <w:rFonts w:ascii="Arial" w:cs="Arial" w:eastAsia="Arial" w:hAnsi="Arial"/>
          <w:color w:val="000000"/>
          <w:sz w:val="24"/>
          <w:szCs w:val="24"/>
          <w:rtl w:val="0"/>
        </w:rPr>
        <w:t xml:space="preserve">The Supplier is entitled to sub-contract its obligations under a Call-Off Contract to Key Subcontractors listed in the Framework Award Form who are specifically nominated in the Order Form.</w:t>
      </w:r>
      <w:r w:rsidDel="00000000" w:rsidR="00000000" w:rsidRPr="00000000">
        <w:rPr>
          <w:rtl w:val="0"/>
        </w:rPr>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Where during the Contract Period the Supplier wishes to enter into a new Key Sub-contract or replace a Key Subcontractor, it must obtain the prior written consent of CCS and the Buyer </w:t>
      </w:r>
      <w:r w:rsidDel="00000000" w:rsidR="00000000" w:rsidRPr="00000000">
        <w:rPr>
          <w:rFonts w:ascii="Arial" w:cs="Arial" w:eastAsia="Arial" w:hAnsi="Arial"/>
          <w:b w:val="1"/>
          <w:color w:val="000000"/>
          <w:sz w:val="24"/>
          <w:szCs w:val="24"/>
          <w:rtl w:val="0"/>
        </w:rPr>
        <w:t xml:space="preserve">(</w:t>
      </w:r>
      <w:r w:rsidDel="00000000" w:rsidR="00000000" w:rsidRPr="00000000">
        <w:rPr>
          <w:b w:val="1"/>
          <w:color w:val="000000"/>
          <w:rtl w:val="0"/>
        </w:rPr>
        <w:t xml:space="preserve">with whom it has entered into a Call Off Agreement and/ or Lease Agreement) </w:t>
      </w:r>
      <w:r w:rsidDel="00000000" w:rsidR="00000000" w:rsidRPr="00000000">
        <w:rPr>
          <w:rFonts w:ascii="Arial" w:cs="Arial" w:eastAsia="Arial" w:hAnsi="Arial"/>
          <w:color w:val="000000"/>
          <w:sz w:val="24"/>
          <w:szCs w:val="24"/>
          <w:rtl w:val="0"/>
        </w:rPr>
        <w:t xml:space="preserve">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section 18 of the Framework Award Form.  Where the Buyer consents to the appointment of a new Key Subcontractor then they will be added to Key Subcontractor section of the Order Form.  CCS and the Buyer may reasonably withhold their consent to the appointment of a Key Subcontractor if it considers that:</w:t>
      </w:r>
      <w:r w:rsidDel="00000000" w:rsidR="00000000" w:rsidRPr="00000000">
        <w:rPr>
          <w:rtl w:val="0"/>
        </w:rPr>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appointment of a proposed Key Subcontractor may prejudice the provision of the Deliverables or may be contrary to its interests;</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 is unreliable and/or has not provided reliable goods and or reasonable services to its other customers; and/or</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50"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 employs unfit persons.</w:t>
      </w:r>
    </w:p>
    <w:p w:rsidR="00000000" w:rsidDel="00000000" w:rsidP="00000000" w:rsidRDefault="00000000" w:rsidRPr="00000000" w14:paraId="0000000C">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1fob9te" w:id="3"/>
      <w:bookmarkEnd w:id="3"/>
      <w:r w:rsidDel="00000000" w:rsidR="00000000" w:rsidRPr="00000000">
        <w:rPr>
          <w:rFonts w:ascii="Arial" w:cs="Arial" w:eastAsia="Arial" w:hAnsi="Arial"/>
          <w:color w:val="000000"/>
          <w:sz w:val="24"/>
          <w:szCs w:val="24"/>
          <w:rtl w:val="0"/>
        </w:rPr>
        <w:t xml:space="preserve">The Supplier shall provide CCS and the Buyer with the following information in respect of the proposed Key Subcontractor:</w:t>
      </w:r>
      <w:r w:rsidDel="00000000" w:rsidR="00000000" w:rsidRPr="00000000">
        <w:rPr>
          <w:rtl w:val="0"/>
        </w:rPr>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Key Subcontractor’s name, registered office and company registration number;</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scope/description of any Deliverables to be provided by the proposed Key Subcontractor; </w:t>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proposed Key Subcontractor is an Affiliate of the Supplier, evidence that demonstrates to the reasonable satisfaction of the CCS and the Buyer that the proposed Key Sub-Contract has been agreed on "arm’s-length" terms;</w:t>
      </w:r>
    </w:p>
    <w:p w:rsidR="00000000" w:rsidDel="00000000" w:rsidP="00000000" w:rsidRDefault="00000000" w:rsidRPr="00000000" w14:paraId="00000010">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CCS, the Key Sub-Contract price expressed as a percentage of the total projected Framework Price over the Framework Contract Period; </w:t>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Buyer, the Key Sub-Contract price expressed as a percentage of the total projected Charges over the Call Off Contract Period; and</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applicable) Credit Rating Threshold (as defined in Joint Schedule 7 (Financial Distress)) of the Key Subcontractor.</w:t>
      </w:r>
    </w:p>
    <w:p w:rsidR="00000000" w:rsidDel="00000000" w:rsidP="00000000" w:rsidRDefault="00000000" w:rsidRPr="00000000" w14:paraId="00000013">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3znysh7" w:id="4"/>
      <w:bookmarkEnd w:id="4"/>
      <w:r w:rsidDel="00000000" w:rsidR="00000000" w:rsidRPr="00000000">
        <w:rPr>
          <w:rFonts w:ascii="Arial" w:cs="Arial" w:eastAsia="Arial" w:hAnsi="Arial"/>
          <w:color w:val="000000"/>
          <w:sz w:val="24"/>
          <w:szCs w:val="24"/>
          <w:rtl w:val="0"/>
        </w:rPr>
        <w:t xml:space="preserve">If requested by CCS and/or the Buyer, within ten (10) Working Days of receipt of the information provided by the Supplier pursuant to Paragraph 1.4, the Supplier shall also provide:</w:t>
      </w:r>
      <w:r w:rsidDel="00000000" w:rsidR="00000000" w:rsidRPr="00000000">
        <w:rPr>
          <w:rtl w:val="0"/>
        </w:rPr>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copy of the proposed Key Sub-Contract; and </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further information reasonably requested by CCS and/or the Buyer.</w:t>
      </w:r>
    </w:p>
    <w:p w:rsidR="00000000" w:rsidDel="00000000" w:rsidP="00000000" w:rsidRDefault="00000000" w:rsidRPr="00000000" w14:paraId="00000016">
      <w:pPr>
        <w:keepNext w:val="1"/>
        <w:numPr>
          <w:ilvl w:val="1"/>
          <w:numId w:val="1"/>
        </w:numPr>
        <w:pBdr>
          <w:top w:space="0" w:sz="0" w:val="nil"/>
          <w:left w:space="0" w:sz="0" w:val="nil"/>
          <w:bottom w:space="0" w:sz="0" w:val="nil"/>
          <w:right w:space="0" w:sz="0" w:val="nil"/>
          <w:between w:space="0" w:sz="0" w:val="nil"/>
        </w:pBdr>
        <w:spacing w:after="120" w:before="120" w:line="240" w:lineRule="auto"/>
        <w:ind w:left="900" w:hanging="540"/>
        <w:rPr>
          <w:rFonts w:ascii="Arial" w:cs="Arial" w:eastAsia="Arial" w:hAnsi="Arial"/>
          <w:b w:val="1"/>
          <w:color w:val="000000"/>
          <w:sz w:val="24"/>
          <w:szCs w:val="24"/>
        </w:rPr>
      </w:pPr>
      <w:bookmarkStart w:colFirst="0" w:colLast="0" w:name="_heading=h.2et92p0" w:id="5"/>
      <w:bookmarkEnd w:id="5"/>
      <w:r w:rsidDel="00000000" w:rsidR="00000000" w:rsidRPr="00000000">
        <w:rPr>
          <w:rFonts w:ascii="Arial" w:cs="Arial" w:eastAsia="Arial" w:hAnsi="Arial"/>
          <w:color w:val="000000"/>
          <w:sz w:val="24"/>
          <w:szCs w:val="24"/>
          <w:rtl w:val="0"/>
        </w:rPr>
        <w:t xml:space="preserve">The Supplier shall ensure that each new or replacement Key Sub-Contract shall include: </w:t>
      </w:r>
      <w:r w:rsidDel="00000000" w:rsidR="00000000" w:rsidRPr="00000000">
        <w:rPr>
          <w:rtl w:val="0"/>
        </w:rPr>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provisions which will enable the Supplier to discharge its obligations under the Contracts;</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right under CRTPA for CCS and the Buyer to enforce any provisions under the Key Sub-Contract which confer a benefit upon CCS and the Buyer respectively;</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provision enabling CCS and the Buyer to enforce the Key Sub-Contract as if it were the Supplier; </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provision enabling the Supplier to assign, novate or otherwise transfer any of its rights and/or obligations under the Key Sub-Contract to CCS and/or the Buyer; </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710" w:hanging="81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obligations no less onerous on the Key Subcontractor than those imposed on the Supplier under the Framework Contract in respect of:</w:t>
      </w:r>
    </w:p>
    <w:p w:rsidR="00000000" w:rsidDel="00000000" w:rsidP="00000000" w:rsidRDefault="00000000" w:rsidRPr="00000000" w14:paraId="0000001C">
      <w:pPr>
        <w:numPr>
          <w:ilvl w:val="3"/>
          <w:numId w:val="1"/>
        </w:numPr>
        <w:pBdr>
          <w:top w:space="0" w:sz="0" w:val="nil"/>
          <w:left w:space="0" w:sz="0" w:val="nil"/>
          <w:bottom w:space="0" w:sz="0" w:val="nil"/>
          <w:right w:space="0" w:sz="0" w:val="nil"/>
          <w:between w:space="0" w:sz="0" w:val="nil"/>
        </w:pBdr>
        <w:tabs>
          <w:tab w:val="left"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protection requirements set out in Clause 14 (Data protection);</w:t>
      </w:r>
    </w:p>
    <w:p w:rsidR="00000000" w:rsidDel="00000000" w:rsidP="00000000" w:rsidRDefault="00000000" w:rsidRPr="00000000" w14:paraId="0000001D">
      <w:pPr>
        <w:numPr>
          <w:ilvl w:val="3"/>
          <w:numId w:val="1"/>
        </w:numPr>
        <w:pBdr>
          <w:top w:space="0" w:sz="0" w:val="nil"/>
          <w:left w:space="0" w:sz="0" w:val="nil"/>
          <w:bottom w:space="0" w:sz="0" w:val="nil"/>
          <w:right w:space="0" w:sz="0" w:val="nil"/>
          <w:between w:space="0" w:sz="0" w:val="nil"/>
        </w:pBdr>
        <w:tabs>
          <w:tab w:val="left"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FOIA and other access request requirements set out in Clause 16 (When you can share information);</w:t>
      </w:r>
    </w:p>
    <w:p w:rsidR="00000000" w:rsidDel="00000000" w:rsidP="00000000" w:rsidRDefault="00000000" w:rsidRPr="00000000" w14:paraId="0000001E">
      <w:pPr>
        <w:numPr>
          <w:ilvl w:val="3"/>
          <w:numId w:val="1"/>
        </w:numPr>
        <w:pBdr>
          <w:top w:space="0" w:sz="0" w:val="nil"/>
          <w:left w:space="0" w:sz="0" w:val="nil"/>
          <w:bottom w:space="0" w:sz="0" w:val="nil"/>
          <w:right w:space="0" w:sz="0" w:val="nil"/>
          <w:between w:space="0" w:sz="0" w:val="nil"/>
        </w:pBdr>
        <w:tabs>
          <w:tab w:val="left"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obligation not to embarrass CCS or the Buyer or otherwise bring CCS or the Buyer into disrepute; </w:t>
      </w:r>
    </w:p>
    <w:p w:rsidR="00000000" w:rsidDel="00000000" w:rsidP="00000000" w:rsidRDefault="00000000" w:rsidRPr="00000000" w14:paraId="0000001F">
      <w:pPr>
        <w:numPr>
          <w:ilvl w:val="3"/>
          <w:numId w:val="1"/>
        </w:numPr>
        <w:pBdr>
          <w:top w:space="0" w:sz="0" w:val="nil"/>
          <w:left w:space="0" w:sz="0" w:val="nil"/>
          <w:bottom w:space="0" w:sz="0" w:val="nil"/>
          <w:right w:space="0" w:sz="0" w:val="nil"/>
          <w:between w:space="0" w:sz="0" w:val="nil"/>
        </w:pBdr>
        <w:tabs>
          <w:tab w:val="left"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keeping of records in respect of the goods and/or services being provided under the Key Sub-Contract, including the maintenance of Open Book Data; and</w:t>
      </w:r>
    </w:p>
    <w:p w:rsidR="00000000" w:rsidDel="00000000" w:rsidP="00000000" w:rsidRDefault="00000000" w:rsidRPr="00000000" w14:paraId="00000020">
      <w:pPr>
        <w:numPr>
          <w:ilvl w:val="3"/>
          <w:numId w:val="1"/>
        </w:numPr>
        <w:pBdr>
          <w:top w:space="0" w:sz="0" w:val="nil"/>
          <w:left w:space="0" w:sz="0" w:val="nil"/>
          <w:bottom w:space="0" w:sz="0" w:val="nil"/>
          <w:right w:space="0" w:sz="0" w:val="nil"/>
          <w:between w:space="0" w:sz="0" w:val="nil"/>
        </w:pBdr>
        <w:tabs>
          <w:tab w:val="left" w:pos="2552"/>
        </w:tabs>
        <w:spacing w:after="120" w:before="120" w:line="240" w:lineRule="auto"/>
        <w:ind w:left="2563" w:hanging="853.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conduct of audits set out in Clause 6 (Record keeping and reporting);</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provisions enabling the Supplier to terminate the Key Sub-Contract on notice on terms no more onerous on the Supplier than those imposed on CCS and the Buyer under Clauses 10.4 (When CCS or the Buyer can end this contract) and 10.5 (What happens if the contract ends) of this Contract; and</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pos="1985"/>
        </w:tabs>
        <w:spacing w:after="120" w:before="120" w:line="24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provision restricting the ability of the Key Subcontractor to sub-contract all or any part of the provision of the Deliverables provided to the Supplier under the Key Sub-Contract without first seeking the written consent of CCS and the Buyer.</w:t>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 w:name="Carlito"/>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tabs>
        <w:tab w:val="center" w:pos="4513"/>
        <w:tab w:val="right" w:pos="9026"/>
      </w:tabs>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2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spacing w:after="0" w:line="240" w:lineRule="auto"/>
      <w:jc w:val="both"/>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v3.1</w:t>
      <w:tab/>
      <w:tab/>
    </w:r>
    <w:r w:rsidDel="00000000" w:rsidR="00000000" w:rsidRPr="00000000">
      <w:rPr>
        <w:rFonts w:ascii="Arial" w:cs="Arial" w:eastAsia="Arial" w:hAnsi="Arial"/>
        <w:color w:val="bfbfbf"/>
        <w:sz w:val="20"/>
        <w:szCs w:val="20"/>
        <w:rtl w:val="0"/>
      </w:rPr>
      <w:tab/>
      <w:tab/>
    </w:r>
    <w:bookmarkStart w:colFirst="0" w:colLast="0" w:name="bookmark=id.4d34og8" w:id="6"/>
    <w:bookmarkEnd w:id="6"/>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6 (Key Subcontractors)</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0" w:line="240" w:lineRule="auto"/>
      <w:ind w:left="640" w:hanging="361"/>
    </w:pPr>
    <w:rPr>
      <w:rFonts w:ascii="Carlito" w:cs="Carlito" w:eastAsia="Carlito" w:hAnsi="Carlito"/>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link w:val="Heading2Char"/>
    <w:uiPriority w:val="1"/>
    <w:qFormat w:val="1"/>
    <w:rsid w:val="00C93924"/>
    <w:pPr>
      <w:widowControl w:val="0"/>
      <w:autoSpaceDE w:val="0"/>
      <w:autoSpaceDN w:val="0"/>
      <w:spacing w:after="0" w:line="240" w:lineRule="auto"/>
      <w:ind w:left="640" w:hanging="361"/>
      <w:outlineLvl w:val="1"/>
    </w:pPr>
    <w:rPr>
      <w:rFonts w:ascii="Carlito" w:cs="Carlito" w:eastAsia="Carlito" w:hAnsi="Carlito"/>
      <w:b w:val="1"/>
      <w:bCs w:val="1"/>
      <w:lang w:val="en-US"/>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cs="Arial" w:eastAsia="Times New Roman"/>
      <w:b w:val="1"/>
      <w:i w:val="1"/>
    </w:rPr>
  </w:style>
  <w:style w:type="paragraph" w:styleId="GPSL3Guidance" w:customStyle="1">
    <w:name w:val="GPS L3 Guidance"/>
    <w:basedOn w:val="Normal"/>
    <w:link w:val="GPSL3GuidanceChar"/>
    <w:qFormat w:val="1"/>
    <w:pPr>
      <w:tabs>
        <w:tab w:val="left" w:pos="1985"/>
      </w:tabs>
      <w:adjustRightInd w:val="0"/>
      <w:spacing w:after="120" w:before="120" w:line="240" w:lineRule="auto"/>
      <w:ind w:left="1985"/>
      <w:jc w:val="both"/>
    </w:pPr>
    <w:rPr>
      <w:rFonts w:cs="Arial" w:eastAsia="Times New Roman"/>
      <w:b w:val="1"/>
      <w:i w:val="1"/>
      <w:lang w:eastAsia="zh-CN"/>
    </w:rPr>
  </w:style>
  <w:style w:type="paragraph" w:styleId="GPSL1Schedulenumbered" w:customStyle="1">
    <w:name w:val="GPS L1 Schedule numbered"/>
    <w:basedOn w:val="Normal"/>
    <w:link w:val="GPSL1SchedulenumberedChar1"/>
    <w:qFormat w:val="1"/>
    <w:pPr>
      <w:numPr>
        <w:numId w:val="3"/>
      </w:numPr>
      <w:tabs>
        <w:tab w:val="left" w:pos="851"/>
      </w:tabs>
      <w:overflowPunct w:val="0"/>
      <w:autoSpaceDE w:val="0"/>
      <w:autoSpaceDN w:val="0"/>
      <w:adjustRightInd w:val="0"/>
      <w:spacing w:after="240" w:line="240" w:lineRule="auto"/>
      <w:jc w:val="both"/>
      <w:textAlignment w:val="baseline"/>
    </w:pPr>
    <w:rPr>
      <w:rFonts w:cs="Arial" w:eastAsia="Times New Roman"/>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GPSL1CLAUSEHEADING" w:customStyle="1">
    <w:name w:val="GPS L1 CLAUSE HEADING"/>
    <w:basedOn w:val="Normal"/>
    <w:next w:val="Normal"/>
    <w:qFormat w:val="1"/>
    <w:pPr>
      <w:numPr>
        <w:numId w:val="4"/>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4"/>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2NumberedBoldHeading" w:customStyle="1">
    <w:name w:val="GPS L2 Numbered Bold Heading"/>
    <w:basedOn w:val="Normal"/>
    <w:link w:val="GPSL2NumberedBoldHeadingChar"/>
    <w:qFormat w:val="1"/>
    <w:pPr>
      <w:numPr>
        <w:ilvl w:val="1"/>
        <w:numId w:val="4"/>
      </w:numPr>
      <w:adjustRightInd w:val="0"/>
      <w:spacing w:after="120" w:before="120" w:line="240" w:lineRule="auto"/>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legds2" w:customStyle="1">
    <w:name w:val="legds2"/>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numberedclause" w:customStyle="1">
    <w:name w:val="GPS L2 numbered clause"/>
    <w:basedOn w:val="Normal"/>
    <w:qFormat w:val="1"/>
    <w:pPr>
      <w:tabs>
        <w:tab w:val="left" w:pos="1134"/>
      </w:tabs>
      <w:adjustRightInd w:val="0"/>
      <w:spacing w:after="120" w:before="120" w:line="240" w:lineRule="auto"/>
      <w:ind w:left="1134" w:hanging="567"/>
      <w:jc w:val="both"/>
    </w:pPr>
    <w:rPr>
      <w:rFonts w:cs="Arial" w:eastAsia="Times New Roman"/>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1" w:customStyle="1">
    <w:name w:val="Table Grid1"/>
    <w:basedOn w:val="TableNormal"/>
    <w:next w:val="TableGrid"/>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2Char" w:customStyle="1">
    <w:name w:val="Heading 2 Char"/>
    <w:basedOn w:val="DefaultParagraphFont"/>
    <w:link w:val="Heading2"/>
    <w:uiPriority w:val="1"/>
    <w:rsid w:val="00C93924"/>
    <w:rPr>
      <w:rFonts w:ascii="Carlito" w:cs="Carlito" w:eastAsia="Carlito" w:hAnsi="Carlito"/>
      <w:b w:val="1"/>
      <w:bCs w:val="1"/>
      <w:lang w:val="en-US"/>
    </w:rPr>
  </w:style>
  <w:style w:type="paragraph" w:styleId="BodyText">
    <w:name w:val="Body Text"/>
    <w:basedOn w:val="Normal"/>
    <w:link w:val="BodyTextChar"/>
    <w:uiPriority w:val="1"/>
    <w:qFormat w:val="1"/>
    <w:rsid w:val="00C93924"/>
    <w:pPr>
      <w:widowControl w:val="0"/>
      <w:autoSpaceDE w:val="0"/>
      <w:autoSpaceDN w:val="0"/>
      <w:spacing w:after="0" w:before="121" w:line="240" w:lineRule="auto"/>
      <w:jc w:val="both"/>
    </w:pPr>
    <w:rPr>
      <w:rFonts w:ascii="Carlito" w:cs="Carlito" w:eastAsia="Carlito" w:hAnsi="Carlito"/>
      <w:lang w:val="en-US"/>
    </w:rPr>
  </w:style>
  <w:style w:type="character" w:styleId="BodyTextChar" w:customStyle="1">
    <w:name w:val="Body Text Char"/>
    <w:basedOn w:val="DefaultParagraphFont"/>
    <w:link w:val="BodyText"/>
    <w:uiPriority w:val="1"/>
    <w:rsid w:val="00C93924"/>
    <w:rPr>
      <w:rFonts w:ascii="Carlito" w:cs="Carlito" w:eastAsia="Carlito" w:hAnsi="Carlito"/>
      <w:lang w:val="en-US"/>
    </w:rPr>
  </w:style>
  <w:style w:type="paragraph" w:styleId="ListParagraph">
    <w:name w:val="List Paragraph"/>
    <w:basedOn w:val="Normal"/>
    <w:uiPriority w:val="1"/>
    <w:qFormat w:val="1"/>
    <w:rsid w:val="00C93924"/>
    <w:pPr>
      <w:widowControl w:val="0"/>
      <w:autoSpaceDE w:val="0"/>
      <w:autoSpaceDN w:val="0"/>
      <w:spacing w:after="0" w:before="121" w:line="240" w:lineRule="auto"/>
      <w:ind w:left="2702" w:hanging="721"/>
      <w:jc w:val="both"/>
    </w:pPr>
    <w:rPr>
      <w:rFonts w:ascii="Carlito" w:cs="Carlito" w:eastAsia="Carlito" w:hAnsi="Carlito"/>
      <w:lang w:val="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Pizem2HJVxgEIq2zvEka00Dsmg==">AMUW2mXYCvXvS3czr60O/dR7fqYt7dKsmm+XAz/6vptO/8nhJ7srbB0sDhOdgndA/UpeUoov+3IMTpF8xCXHvfYObXSi2T5UVhD+1soo1Fj8rygF3/JgMduaT7YpZ8AyWudKgia9BMd6oGWURIKjbRnItT5zpL62RU/ULS4TYgCb+nr5ED42WKAgXCRAN7Bo+GNVTSExVEAWkGsqf7XSUP+DN6qElrMltg==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2020-02-24T13:46:00Z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