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yellow"/>
              </w:rPr>
            </w:pPr>
            <w:bookmarkStart w:colFirst="0" w:colLast="0" w:name="_heading=h.gjdgxs" w:id="0"/>
            <w:bookmarkEnd w:id="0"/>
            <w:r w:rsidDel="00000000" w:rsidR="00000000" w:rsidRPr="00000000">
              <w:rPr>
                <w:rFonts w:ascii="Arial" w:cs="Arial" w:eastAsia="Arial" w:hAnsi="Arial"/>
                <w:b w:val="1"/>
                <w:highlight w:val="yellow"/>
                <w:rtl w:val="0"/>
              </w:rPr>
              <w:t xml:space="preserve">PLEASE RETAIN A COPY OF THIS SCHEDULE AS THIS FORMS PART OF YOUR CALL-OFF CONTRACT</w:t>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11 (Processing Data)</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w:t>
      </w:r>
    </w:p>
    <w:p w:rsidR="00000000" w:rsidDel="00000000" w:rsidP="00000000" w:rsidRDefault="00000000" w:rsidRPr="00000000" w14:paraId="00000007">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tl w:val="0"/>
        </w:rPr>
      </w:r>
    </w:p>
    <w:tbl>
      <w:tblPr>
        <w:tblStyle w:val="Table2"/>
        <w:tblW w:w="901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3"/>
        <w:gridCol w:w="6753"/>
        <w:tblGridChange w:id="0">
          <w:tblGrid>
            <w:gridCol w:w="2263"/>
            <w:gridCol w:w="6753"/>
          </w:tblGrid>
        </w:tblGridChange>
      </w:tblGrid>
      <w:tr>
        <w:trPr>
          <w:cantSplit w:val="0"/>
          <w:tblHeader w:val="0"/>
        </w:trPr>
        <w:tc>
          <w:tcPr/>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“Processor Personnel”</w:t>
            </w:r>
          </w:p>
        </w:tc>
        <w:tc>
          <w:tcPr/>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all directors, officers, employees, agents, consultants and suppliers of the Processor and/or of any Subprocessor engaged in the performance of its obligations under a Contract;</w:t>
            </w:r>
            <w:r w:rsidDel="00000000" w:rsidR="00000000" w:rsidRPr="00000000">
              <w:rPr>
                <w:rtl w:val="0"/>
              </w:rPr>
            </w:r>
          </w:p>
        </w:tc>
      </w:tr>
    </w:tbl>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Status of the Controller</w:t>
      </w:r>
    </w:p>
    <w:p w:rsidR="00000000" w:rsidDel="00000000" w:rsidP="00000000" w:rsidRDefault="00000000" w:rsidRPr="00000000" w14:paraId="0000000B">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rsidR="00000000" w:rsidDel="00000000" w:rsidP="00000000" w:rsidRDefault="00000000" w:rsidRPr="00000000" w14:paraId="0000000C">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“Controller” in respect of the other Party who is “Processor”;</w:t>
      </w:r>
    </w:p>
    <w:p w:rsidR="00000000" w:rsidDel="00000000" w:rsidP="00000000" w:rsidRDefault="00000000" w:rsidRPr="00000000" w14:paraId="0000000D">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“Processor” in respect of the other Party who is “Controller”;</w:t>
      </w:r>
    </w:p>
    <w:p w:rsidR="00000000" w:rsidDel="00000000" w:rsidP="00000000" w:rsidRDefault="00000000" w:rsidRPr="00000000" w14:paraId="0000000E">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“Joint Controller” with the other Party; </w:t>
      </w:r>
    </w:p>
    <w:p w:rsidR="00000000" w:rsidDel="00000000" w:rsidP="00000000" w:rsidRDefault="00000000" w:rsidRPr="00000000" w14:paraId="0000000F">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“Independent Controller” of the Personal Data where the other Party is also “Controller”,</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280" w:lineRule="auto"/>
        <w:ind w:left="8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certain Personal Data under a Contract and shall specify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which scenario they think shall apply in each situation. </w:t>
      </w:r>
    </w:p>
    <w:p w:rsidR="00000000" w:rsidDel="00000000" w:rsidP="00000000" w:rsidRDefault="00000000" w:rsidRPr="00000000" w14:paraId="00000011">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one Party is Controller and the other Party its Processor </w:t>
      </w:r>
    </w:p>
    <w:p w:rsidR="00000000" w:rsidDel="00000000" w:rsidP="00000000" w:rsidRDefault="00000000" w:rsidRPr="00000000" w14:paraId="00000012">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is a Processor, the only Processing that it is authorised to do is listed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by the Controller. </w:t>
      </w:r>
    </w:p>
    <w:p w:rsidR="00000000" w:rsidDel="00000000" w:rsidP="00000000" w:rsidRDefault="00000000" w:rsidRPr="00000000" w14:paraId="00000013">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notify the Controller immediately if it considers that any of the Controller’s instructions infringe the Data Protection Legislation.</w:t>
      </w:r>
    </w:p>
    <w:p w:rsidR="00000000" w:rsidDel="00000000" w:rsidP="00000000" w:rsidRDefault="00000000" w:rsidRPr="00000000" w14:paraId="00000014">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provide all reasonable assistance to the Controller in the preparation of any Data Protection Impact Assessment prior to commencing any Processing.  Such assistance may, at the discretion of the Controller, include:</w:t>
      </w:r>
    </w:p>
    <w:p w:rsidR="00000000" w:rsidDel="00000000" w:rsidP="00000000" w:rsidRDefault="00000000" w:rsidRPr="00000000" w14:paraId="00000015">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systematic description of the envisaged Processing and the purpose of the Processing;</w:t>
      </w:r>
    </w:p>
    <w:p w:rsidR="00000000" w:rsidDel="00000000" w:rsidP="00000000" w:rsidRDefault="00000000" w:rsidRPr="00000000" w14:paraId="00000016">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necessity and proportionality of the Processing in relation to the Deliverables;</w:t>
      </w:r>
    </w:p>
    <w:p w:rsidR="00000000" w:rsidDel="00000000" w:rsidP="00000000" w:rsidRDefault="00000000" w:rsidRPr="00000000" w14:paraId="00000017">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risks to the rights and freedoms of Data Subjects; and</w:t>
      </w:r>
    </w:p>
    <w:p w:rsidR="00000000" w:rsidDel="00000000" w:rsidP="00000000" w:rsidRDefault="00000000" w:rsidRPr="00000000" w14:paraId="00000018">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measures envisaged to address the risks, including safeguards, security measures and mechanisms to ensure the protection of Personal Data.</w:t>
      </w:r>
    </w:p>
    <w:bookmarkStart w:colFirst="0" w:colLast="0" w:name="bookmark=id.gjdgxs" w:id="1"/>
    <w:bookmarkEnd w:id="1"/>
    <w:p w:rsidR="00000000" w:rsidDel="00000000" w:rsidP="00000000" w:rsidRDefault="00000000" w:rsidRPr="00000000" w14:paraId="00000019">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in relation to any Personal Data Processed in connection with its obligations under the Contract:</w:t>
      </w:r>
    </w:p>
    <w:bookmarkStart w:colFirst="0" w:colLast="0" w:name="bookmark=id.30j0zll" w:id="2"/>
    <w:bookmarkEnd w:id="2"/>
    <w:p w:rsidR="00000000" w:rsidDel="00000000" w:rsidP="00000000" w:rsidRDefault="00000000" w:rsidRPr="00000000" w14:paraId="0000001A">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 that Personal Data only in accordance with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unless the Processor is required to do otherwise by Law. If it is so required the Processor shall notify the Controller before Processing the Personal Data unless prohibited by Law;</w:t>
      </w:r>
    </w:p>
    <w:bookmarkStart w:colFirst="0" w:colLast="0" w:name="bookmark=id.1fob9te" w:id="3"/>
    <w:bookmarkEnd w:id="3"/>
    <w:p w:rsidR="00000000" w:rsidDel="00000000" w:rsidP="00000000" w:rsidRDefault="00000000" w:rsidRPr="00000000" w14:paraId="0000001B">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including in the case of the Supplier the measures set out in Clause 14.3 of the Core Terms</w:t>
      </w:r>
      <w:r w:rsidDel="00000000" w:rsidR="00000000" w:rsidRPr="00000000">
        <w:rPr>
          <w:rFonts w:ascii="Arial" w:cs="Arial" w:eastAsia="Arial" w:hAnsi="Arial"/>
          <w:i w:val="1"/>
          <w:sz w:val="24"/>
          <w:szCs w:val="24"/>
          <w:rtl w:val="0"/>
        </w:rPr>
        <w:t xml:space="preserve">,</w:t>
      </w:r>
      <w:r w:rsidDel="00000000" w:rsidR="00000000" w:rsidRPr="00000000">
        <w:rPr>
          <w:rFonts w:ascii="Arial" w:cs="Arial" w:eastAsia="Arial" w:hAnsi="Arial"/>
          <w:sz w:val="24"/>
          <w:szCs w:val="24"/>
          <w:rtl w:val="0"/>
        </w:rPr>
        <w:t xml:space="preserve"> which  the Controller may reasonably reject (but failure to reject shall not amount to approval by the Controller of the adequacy of the Protective Measures) having taken account of the:</w:t>
      </w:r>
    </w:p>
    <w:p w:rsidR="00000000" w:rsidDel="00000000" w:rsidP="00000000" w:rsidRDefault="00000000" w:rsidRPr="00000000" w14:paraId="0000001C">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bookmarkStart w:colFirst="0" w:colLast="0" w:name="bookmark=id.3znysh7" w:id="4"/>
      <w:bookmarkEnd w:id="4"/>
      <w:r w:rsidDel="00000000" w:rsidR="00000000" w:rsidRPr="00000000">
        <w:rPr>
          <w:rtl w:val="0"/>
        </w:rPr>
      </w:r>
    </w:p>
    <w:p w:rsidR="00000000" w:rsidDel="00000000" w:rsidP="00000000" w:rsidRDefault="00000000" w:rsidRPr="00000000" w14:paraId="0000001D">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1E">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and</w:t>
      </w:r>
    </w:p>
    <w:p w:rsidR="00000000" w:rsidDel="00000000" w:rsidP="00000000" w:rsidRDefault="00000000" w:rsidRPr="00000000" w14:paraId="0000001F">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 </w:t>
      </w:r>
    </w:p>
    <w:bookmarkStart w:colFirst="0" w:colLast="0" w:name="bookmark=id.2et92p0" w:id="5"/>
    <w:bookmarkEnd w:id="5"/>
    <w:p w:rsidR="00000000" w:rsidDel="00000000" w:rsidP="00000000" w:rsidRDefault="00000000" w:rsidRPr="00000000" w14:paraId="00000020">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w:t>
      </w:r>
    </w:p>
    <w:p w:rsidR="00000000" w:rsidDel="00000000" w:rsidP="00000000" w:rsidRDefault="00000000" w:rsidRPr="00000000" w14:paraId="00000021">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Personnel do not Process Personal Data except in accordance with the Contract (and in particular Annex 1</w:t>
      </w:r>
      <w:r w:rsidDel="00000000" w:rsidR="00000000" w:rsidRPr="00000000">
        <w:rPr>
          <w:rFonts w:ascii="Arial" w:cs="Arial" w:eastAsia="Arial" w:hAnsi="Arial"/>
          <w:i w:val="1"/>
          <w:sz w:val="24"/>
          <w:szCs w:val="24"/>
          <w:rtl w:val="0"/>
        </w:rPr>
        <w:t xml:space="preserve"> (Processing Personal Data</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22">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 takes all reasonable steps to ensure the reliability and integrity of any Processor Personnel who have access to the Personal Data and ensure that they:</w:t>
      </w:r>
    </w:p>
    <w:p w:rsidR="00000000" w:rsidDel="00000000" w:rsidP="00000000" w:rsidRDefault="00000000" w:rsidRPr="00000000" w14:paraId="00000023">
      <w:pPr>
        <w:numPr>
          <w:ilvl w:val="4"/>
          <w:numId w:val="12"/>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 Processor’s duties under this Joint Schedule 11, Clauses 14 (</w:t>
      </w:r>
      <w:r w:rsidDel="00000000" w:rsidR="00000000" w:rsidRPr="00000000">
        <w:rPr>
          <w:rFonts w:ascii="Arial" w:cs="Arial" w:eastAsia="Arial" w:hAnsi="Arial"/>
          <w:i w:val="1"/>
          <w:sz w:val="24"/>
          <w:szCs w:val="24"/>
          <w:rtl w:val="0"/>
        </w:rPr>
        <w:t xml:space="preserve">Data protection</w:t>
      </w:r>
      <w:r w:rsidDel="00000000" w:rsidR="00000000" w:rsidRPr="00000000">
        <w:rPr>
          <w:rFonts w:ascii="Arial" w:cs="Arial" w:eastAsia="Arial" w:hAnsi="Arial"/>
          <w:sz w:val="24"/>
          <w:szCs w:val="24"/>
          <w:rtl w:val="0"/>
        </w:rPr>
        <w:t xml:space="preserve">), 15 (</w:t>
      </w:r>
      <w:r w:rsidDel="00000000" w:rsidR="00000000" w:rsidRPr="00000000">
        <w:rPr>
          <w:rFonts w:ascii="Arial" w:cs="Arial" w:eastAsia="Arial" w:hAnsi="Arial"/>
          <w:i w:val="1"/>
          <w:sz w:val="24"/>
          <w:szCs w:val="24"/>
          <w:rtl w:val="0"/>
        </w:rPr>
        <w:t xml:space="preserve">What you must keep confidential</w:t>
      </w:r>
      <w:r w:rsidDel="00000000" w:rsidR="00000000" w:rsidRPr="00000000">
        <w:rPr>
          <w:rFonts w:ascii="Arial" w:cs="Arial" w:eastAsia="Arial" w:hAnsi="Arial"/>
          <w:sz w:val="24"/>
          <w:szCs w:val="24"/>
          <w:rtl w:val="0"/>
        </w:rPr>
        <w:t xml:space="preserve">) and 16 (</w:t>
      </w:r>
      <w:r w:rsidDel="00000000" w:rsidR="00000000" w:rsidRPr="00000000">
        <w:rPr>
          <w:rFonts w:ascii="Arial" w:cs="Arial" w:eastAsia="Arial" w:hAnsi="Arial"/>
          <w:i w:val="1"/>
          <w:sz w:val="24"/>
          <w:szCs w:val="24"/>
          <w:rtl w:val="0"/>
        </w:rPr>
        <w:t xml:space="preserve">When you can share information</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24">
      <w:pPr>
        <w:numPr>
          <w:ilvl w:val="4"/>
          <w:numId w:val="12"/>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subject to appropriate confidentiality undertakings with the Processor or any Subprocessor;</w:t>
      </w:r>
    </w:p>
    <w:p w:rsidR="00000000" w:rsidDel="00000000" w:rsidP="00000000" w:rsidRDefault="00000000" w:rsidRPr="00000000" w14:paraId="00000025">
      <w:pPr>
        <w:numPr>
          <w:ilvl w:val="4"/>
          <w:numId w:val="12"/>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and do not publish, disclose or divulge any of the Personal Data to any third party unless directed in writing to do so by the Controller or as otherwise permitted by the Contract; and</w:t>
      </w:r>
    </w:p>
    <w:p w:rsidR="00000000" w:rsidDel="00000000" w:rsidP="00000000" w:rsidRDefault="00000000" w:rsidRPr="00000000" w14:paraId="00000026">
      <w:pPr>
        <w:numPr>
          <w:ilvl w:val="4"/>
          <w:numId w:val="12"/>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w:t>
      </w:r>
    </w:p>
    <w:bookmarkStart w:colFirst="0" w:colLast="0" w:name="bookmark=id.tyjcwt" w:id="6"/>
    <w:bookmarkEnd w:id="6"/>
    <w:p w:rsidR="00000000" w:rsidDel="00000000" w:rsidP="00000000" w:rsidRDefault="00000000" w:rsidRPr="00000000" w14:paraId="00000027">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transfer Personal Data outside of the EU unless the prior written consent of the Controller has been obtained and the following conditions are fulfilled:</w:t>
      </w:r>
    </w:p>
    <w:bookmarkStart w:colFirst="0" w:colLast="0" w:name="bookmark=id.3dy6vkm" w:id="7"/>
    <w:bookmarkEnd w:id="7"/>
    <w:p w:rsidR="00000000" w:rsidDel="00000000" w:rsidP="00000000" w:rsidRDefault="00000000" w:rsidRPr="00000000" w14:paraId="00000028">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or the Processor has provided appropriate safeguards in relation to the transfer (whether in accordance with UK GDPR Article 46 or LED Article 37) as determined by the Controller;</w:t>
      </w:r>
    </w:p>
    <w:bookmarkStart w:colFirst="0" w:colLast="0" w:name="bookmark=id.1t3h5sf" w:id="8"/>
    <w:bookmarkEnd w:id="8"/>
    <w:p w:rsidR="00000000" w:rsidDel="00000000" w:rsidP="00000000" w:rsidRDefault="00000000" w:rsidRPr="00000000" w14:paraId="00000029">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bookmarkStart w:colFirst="0" w:colLast="0" w:name="bookmark=id.4d34og8" w:id="9"/>
    <w:bookmarkEnd w:id="9"/>
    <w:p w:rsidR="00000000" w:rsidDel="00000000" w:rsidP="00000000" w:rsidRDefault="00000000" w:rsidRPr="00000000" w14:paraId="0000002A">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bookmarkStart w:colFirst="0" w:colLast="0" w:name="bookmark=id.2s8eyo1" w:id="10"/>
    <w:bookmarkEnd w:id="10"/>
    <w:p w:rsidR="00000000" w:rsidDel="00000000" w:rsidP="00000000" w:rsidRDefault="00000000" w:rsidRPr="00000000" w14:paraId="0000002B">
      <w:pPr>
        <w:numPr>
          <w:ilvl w:val="3"/>
          <w:numId w:val="12"/>
        </w:numPr>
        <w:pBdr>
          <w:top w:space="0" w:sz="0" w:val="nil"/>
          <w:left w:space="0" w:sz="0" w:val="nil"/>
          <w:bottom w:space="0" w:sz="0" w:val="nil"/>
          <w:right w:space="0" w:sz="0" w:val="nil"/>
          <w:between w:space="0" w:sz="0" w:val="nil"/>
        </w:pBdr>
        <w:tabs>
          <w:tab w:val="left"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any reasonable instructions notified to it in advance by the Controller with respect to the Processing of the Personal Data; and</w:t>
      </w:r>
    </w:p>
    <w:bookmarkStart w:colFirst="0" w:colLast="0" w:name="bookmark=id.17dp8vu" w:id="11"/>
    <w:bookmarkEnd w:id="11"/>
    <w:p w:rsidR="00000000" w:rsidDel="00000000" w:rsidP="00000000" w:rsidRDefault="00000000" w:rsidRPr="00000000" w14:paraId="0000002C">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 the written direction of the Controller, delete or return Personal Data (and any copies of it) to the Controller on termination of the Contract unless the Processor is required by Law to retain the Personal Data.</w:t>
      </w:r>
    </w:p>
    <w:bookmarkStart w:colFirst="0" w:colLast="0" w:name="bookmark=id.3rdcrjn" w:id="12"/>
    <w:bookmarkEnd w:id="12"/>
    <w:p w:rsidR="00000000" w:rsidDel="00000000" w:rsidP="00000000" w:rsidRDefault="00000000" w:rsidRPr="00000000" w14:paraId="0000002D">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Subject to paragraph 7 of this Joint Schedule 11, the Processor  shall notify the Controller immediately if in relation to it Processing Personal Data under or in connection with the Contract it:</w:t>
      </w:r>
    </w:p>
    <w:p w:rsidR="00000000" w:rsidDel="00000000" w:rsidP="00000000" w:rsidRDefault="00000000" w:rsidRPr="00000000" w14:paraId="0000002E">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Data Subject Access Request (or purported Data Subject Access Request);</w:t>
      </w:r>
    </w:p>
    <w:p w:rsidR="00000000" w:rsidDel="00000000" w:rsidP="00000000" w:rsidRDefault="00000000" w:rsidRPr="00000000" w14:paraId="0000002F">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to rectify, block or erase any Personal Data; </w:t>
      </w:r>
    </w:p>
    <w:p w:rsidR="00000000" w:rsidDel="00000000" w:rsidP="00000000" w:rsidRDefault="00000000" w:rsidRPr="00000000" w14:paraId="00000030">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other request, complaint or communication relating to either Party's obligations under the Data Protection Legislation; </w:t>
      </w:r>
    </w:p>
    <w:p w:rsidR="00000000" w:rsidDel="00000000" w:rsidP="00000000" w:rsidRDefault="00000000" w:rsidRPr="00000000" w14:paraId="00000031">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communication from the Information Commissioner or any other regulatory authority in connection with Personal Data Processed under the Contract; </w:t>
      </w:r>
    </w:p>
    <w:p w:rsidR="00000000" w:rsidDel="00000000" w:rsidP="00000000" w:rsidRDefault="00000000" w:rsidRPr="00000000" w14:paraId="00000032">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from any third Party for disclosure of Personal Data where compliance with such request is required or purported to be required by Law; or</w:t>
      </w:r>
    </w:p>
    <w:p w:rsidR="00000000" w:rsidDel="00000000" w:rsidP="00000000" w:rsidRDefault="00000000" w:rsidRPr="00000000" w14:paraId="00000033">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becomes aware of a Personal Data Breach.</w:t>
      </w:r>
    </w:p>
    <w:p w:rsidR="00000000" w:rsidDel="00000000" w:rsidP="00000000" w:rsidRDefault="00000000" w:rsidRPr="00000000" w14:paraId="00000034">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Processor’s obligation to notify under paragraph 6 of this Joint Schedule 11 shall include the provision of further information to the Controller, as details become available. </w:t>
      </w:r>
    </w:p>
    <w:p w:rsidR="00000000" w:rsidDel="00000000" w:rsidP="00000000" w:rsidRDefault="00000000" w:rsidRPr="00000000" w14:paraId="00000035">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Taking into account the nature of the Processing, the Processor shall provide the Controller with assistance in relation to either Party's obligations under Data Protection Legislation and any complaint, communication or request made under paragraph 6 of this Joint Schedule 11 (and insofar as possible within the timescales reasonably required by the Controller) including by immediately providing:</w:t>
      </w:r>
    </w:p>
    <w:p w:rsidR="00000000" w:rsidDel="00000000" w:rsidP="00000000" w:rsidRDefault="00000000" w:rsidRPr="00000000" w14:paraId="00000036">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with full details and copies of the complaint, communication or request;</w:t>
      </w:r>
    </w:p>
    <w:p w:rsidR="00000000" w:rsidDel="00000000" w:rsidP="00000000" w:rsidRDefault="00000000" w:rsidRPr="00000000" w14:paraId="00000037">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such assistance as is reasonably requested by the Controller to enable it to comply with a Data Subject Access Request within the relevant timescales set out in the Data Protection Legislation; </w:t>
      </w:r>
    </w:p>
    <w:p w:rsidR="00000000" w:rsidDel="00000000" w:rsidP="00000000" w:rsidRDefault="00000000" w:rsidRPr="00000000" w14:paraId="00000038">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at its request, with any Personal Data it holds in relation to a Data Subject; </w:t>
      </w:r>
    </w:p>
    <w:p w:rsidR="00000000" w:rsidDel="00000000" w:rsidP="00000000" w:rsidRDefault="00000000" w:rsidRPr="00000000" w14:paraId="00000039">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following any Personal Data Breach;  and/or</w:t>
      </w:r>
    </w:p>
    <w:p w:rsidR="00000000" w:rsidDel="00000000" w:rsidP="00000000" w:rsidRDefault="00000000" w:rsidRPr="00000000" w14:paraId="0000003A">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with respect to any request from the Information Commissioner’s Office, or any consultation by the Controller with the Information Commissioner's Office.</w:t>
      </w:r>
    </w:p>
    <w:p w:rsidR="00000000" w:rsidDel="00000000" w:rsidP="00000000" w:rsidRDefault="00000000" w:rsidRPr="00000000" w14:paraId="0000003B">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maintain complete and accurate records and information to demonstrate its compliance with this Joint Schedule 11. This requirement does not apply where the Processor employs fewer than 250 staff, unless:</w:t>
      </w:r>
    </w:p>
    <w:p w:rsidR="00000000" w:rsidDel="00000000" w:rsidP="00000000" w:rsidRDefault="00000000" w:rsidRPr="00000000" w14:paraId="0000003C">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not occasional;</w:t>
      </w:r>
    </w:p>
    <w:p w:rsidR="00000000" w:rsidDel="00000000" w:rsidP="00000000" w:rsidRDefault="00000000" w:rsidRPr="00000000" w14:paraId="0000003D">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bookmarkStart w:colFirst="0" w:colLast="0" w:name="_heading=h.26in1rg" w:id="13"/>
      <w:bookmarkEnd w:id="13"/>
      <w:r w:rsidDel="00000000" w:rsidR="00000000" w:rsidRPr="00000000">
        <w:rPr>
          <w:rFonts w:ascii="Arial" w:cs="Arial" w:eastAsia="Arial" w:hAnsi="Arial"/>
          <w:sz w:val="24"/>
          <w:szCs w:val="24"/>
          <w:rtl w:val="0"/>
        </w:rPr>
        <w:t xml:space="preserve">the Controller determines the Processing includes special categories of data as referred to in Article 9(1) of the UK GDPR or Personal Data relating to criminal convictions and offences referred to in Article 10 of the UK GDPR; or</w:t>
      </w:r>
    </w:p>
    <w:p w:rsidR="00000000" w:rsidDel="00000000" w:rsidP="00000000" w:rsidRDefault="00000000" w:rsidRPr="00000000" w14:paraId="0000003E">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likely to result in a risk to the rights and freedoms of Data Subjects.</w:t>
      </w:r>
    </w:p>
    <w:bookmarkStart w:colFirst="0" w:colLast="0" w:name="bookmark=id.lnxbz9" w:id="14"/>
    <w:bookmarkEnd w:id="14"/>
    <w:p w:rsidR="00000000" w:rsidDel="00000000" w:rsidP="00000000" w:rsidRDefault="00000000" w:rsidRPr="00000000" w14:paraId="0000003F">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allow for audits of its Data Processing activity by the Controller or the Controller’s designated auditor.</w:t>
      </w:r>
    </w:p>
    <w:p w:rsidR="00000000" w:rsidDel="00000000" w:rsidP="00000000" w:rsidRDefault="00000000" w:rsidRPr="00000000" w14:paraId="00000040">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designate a Data Protection Officer if required by the Data Protection Legislation. </w:t>
      </w:r>
    </w:p>
    <w:p w:rsidR="00000000" w:rsidDel="00000000" w:rsidP="00000000" w:rsidRDefault="00000000" w:rsidRPr="00000000" w14:paraId="00000041">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Before allowing any Subprocessor to Process any Personal Data related to the Contract, the Processor must:</w:t>
      </w:r>
    </w:p>
    <w:p w:rsidR="00000000" w:rsidDel="00000000" w:rsidP="00000000" w:rsidRDefault="00000000" w:rsidRPr="00000000" w14:paraId="00000042">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notify the Controller in writing of the intended Subprocessor and Processing;</w:t>
      </w:r>
    </w:p>
    <w:p w:rsidR="00000000" w:rsidDel="00000000" w:rsidP="00000000" w:rsidRDefault="00000000" w:rsidRPr="00000000" w14:paraId="00000043">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obtain the written consent of the Controller; </w:t>
      </w:r>
    </w:p>
    <w:p w:rsidR="00000000" w:rsidDel="00000000" w:rsidP="00000000" w:rsidRDefault="00000000" w:rsidRPr="00000000" w14:paraId="00000044">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enter into a written agreement with the Subprocessor which give effect to the terms set out in this Joint Schedule 11 such that they apply to the Subprocessor; and</w:t>
      </w:r>
    </w:p>
    <w:p w:rsidR="00000000" w:rsidDel="00000000" w:rsidP="00000000" w:rsidRDefault="00000000" w:rsidRPr="00000000" w14:paraId="00000045">
      <w:pPr>
        <w:numPr>
          <w:ilvl w:val="2"/>
          <w:numId w:val="12"/>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Controller with such information regarding the Subprocessor as the Controller may reasonably require.</w:t>
      </w:r>
    </w:p>
    <w:p w:rsidR="00000000" w:rsidDel="00000000" w:rsidP="00000000" w:rsidRDefault="00000000" w:rsidRPr="00000000" w14:paraId="00000046">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remain fully liable for all acts or omissions of any of its Subprocessors.</w:t>
      </w:r>
    </w:p>
    <w:bookmarkStart w:colFirst="0" w:colLast="0" w:name="bookmark=id.35nkun2" w:id="15"/>
    <w:bookmarkEnd w:id="15"/>
    <w:p w:rsidR="00000000" w:rsidDel="00000000" w:rsidP="00000000" w:rsidRDefault="00000000" w:rsidRPr="00000000" w14:paraId="00000047">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may, at any time on not less than thirty (30) Working Days’ notice, revise this Joint Schedule 11 by replacing it with any applicable controller to processor standard clauses or similar terms forming part of an applicable certification scheme (which shall apply when incorporated by attachment to the Contract).</w:t>
      </w:r>
    </w:p>
    <w:p w:rsidR="00000000" w:rsidDel="00000000" w:rsidP="00000000" w:rsidRDefault="00000000" w:rsidRPr="00000000" w14:paraId="00000048">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guidance issued by the Information Commissioner’s Office. The Relevant Authority may on not less than thirty (30) Working Days’ notice to the Supplier amend the Contract to ensure that it complies with any guidance issued by the Information Commissioner’s Office. </w:t>
      </w:r>
    </w:p>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the Parties are Joint Controllers of Personal Data </w:t>
      </w:r>
    </w:p>
    <w:p w:rsidR="00000000" w:rsidDel="00000000" w:rsidP="00000000" w:rsidRDefault="00000000" w:rsidRPr="00000000" w14:paraId="0000004A">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that the Parties are Joint Controllers in respect of Personal Data under the Contract, the Parties shall implement paragraphs that are necessary to comply with UK GDPR Article 26 based on the terms set out in Annex 2 to this Joint Schedule 11. </w:t>
      </w:r>
    </w:p>
    <w:p w:rsidR="00000000" w:rsidDel="00000000" w:rsidP="00000000" w:rsidRDefault="00000000" w:rsidRPr="00000000" w14:paraId="0000004B">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Independent Controllers of Personal Data </w:t>
      </w:r>
    </w:p>
    <w:p w:rsidR="00000000" w:rsidDel="00000000" w:rsidP="00000000" w:rsidRDefault="00000000" w:rsidRPr="00000000" w14:paraId="0000004C">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rsidR="00000000" w:rsidDel="00000000" w:rsidP="00000000" w:rsidRDefault="00000000" w:rsidRPr="00000000" w14:paraId="0000004D">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Process the Personal Data in compliance with its obligations under the Data Protection Legislation and not do anything to cause the other Party to be in breach of it. </w:t>
      </w:r>
    </w:p>
    <w:p w:rsidR="00000000" w:rsidDel="00000000" w:rsidP="00000000" w:rsidRDefault="00000000" w:rsidRPr="00000000" w14:paraId="0000004E">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has provided Personal Data to the other Party in accordance with paragraph 8 of this Joint Schedule 11 above, the recipient of the Personal Data will provide all such relevant documents and information relating to its data protection policies and procedures as the other Party may reasonably require.</w:t>
      </w:r>
    </w:p>
    <w:p w:rsidR="00000000" w:rsidDel="00000000" w:rsidP="00000000" w:rsidRDefault="00000000" w:rsidRPr="00000000" w14:paraId="0000004F">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be responsible for their own compliance with Articles 13 and 14 UK GDPR in respect of the Processing of Personal Data for the purposes of the Contract. </w:t>
      </w:r>
    </w:p>
    <w:p w:rsidR="00000000" w:rsidDel="00000000" w:rsidP="00000000" w:rsidRDefault="00000000" w:rsidRPr="00000000" w14:paraId="00000050">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only provide Personal Data to each other:</w:t>
      </w:r>
    </w:p>
    <w:p w:rsidR="00000000" w:rsidDel="00000000" w:rsidP="00000000" w:rsidRDefault="00000000" w:rsidRPr="00000000" w14:paraId="00000051">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 the extent necessary to perform their respective obligations under the Contract;</w:t>
      </w:r>
    </w:p>
    <w:p w:rsidR="00000000" w:rsidDel="00000000" w:rsidP="00000000" w:rsidRDefault="00000000" w:rsidRPr="00000000" w14:paraId="00000052">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compliance with the Data Protection Legislation (including by ensuring all required data privacy information has been given to affected Data Subjects to meet the requirements of Articles 13 and 14 of the UK GDPR); and</w:t>
      </w:r>
    </w:p>
    <w:p w:rsidR="00000000" w:rsidDel="00000000" w:rsidP="00000000" w:rsidRDefault="00000000" w:rsidRPr="00000000" w14:paraId="00000053">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it has recorded it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tl w:val="0"/>
        </w:rPr>
      </w:r>
    </w:p>
    <w:p w:rsidR="00000000" w:rsidDel="00000000" w:rsidP="00000000" w:rsidRDefault="00000000" w:rsidRPr="00000000" w14:paraId="00000054">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rsidR="00000000" w:rsidDel="00000000" w:rsidP="00000000" w:rsidRDefault="00000000" w:rsidRPr="00000000" w14:paraId="00000055">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Party Processing Personal Data for the purposes of the Contract shall maintain a record of its Processing activities in accordance with Article 30 UK GDPR and shall make the record available to the other Party upon reasonable request.</w:t>
      </w:r>
    </w:p>
    <w:p w:rsidR="00000000" w:rsidDel="00000000" w:rsidP="00000000" w:rsidRDefault="00000000" w:rsidRPr="00000000" w14:paraId="00000056">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receives a request by any Data Subject to exercise any of their rights under the Data Protection Legislation in relation to the Personal Data provided to it by the other Party pursuant to the Contract </w:t>
      </w:r>
      <w:r w:rsidDel="00000000" w:rsidR="00000000" w:rsidRPr="00000000">
        <w:rPr>
          <w:rFonts w:ascii="Arial" w:cs="Arial" w:eastAsia="Arial" w:hAnsi="Arial"/>
          <w:b w:val="1"/>
          <w:sz w:val="24"/>
          <w:szCs w:val="24"/>
          <w:rtl w:val="0"/>
        </w:rPr>
        <w:t xml:space="preserve">(“Request Recipient”)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57">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other Party shall provide any information and/or assistance as reasonably requested by the Request Recipient to help it respond to the request or correspondence, at the cost of the Request Recipient; or</w:t>
      </w:r>
    </w:p>
    <w:p w:rsidR="00000000" w:rsidDel="00000000" w:rsidP="00000000" w:rsidRDefault="00000000" w:rsidRPr="00000000" w14:paraId="00000058">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request or correspondence is directed to the other Party and/or relates to that other Party's Processing of the Personal Data, the Request Recipient  will:</w:t>
      </w:r>
    </w:p>
    <w:p w:rsidR="00000000" w:rsidDel="00000000" w:rsidP="00000000" w:rsidRDefault="00000000" w:rsidRPr="00000000" w14:paraId="00000059">
      <w:pPr>
        <w:numPr>
          <w:ilvl w:val="3"/>
          <w:numId w:val="12"/>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promptly, and in any event within five (5) Working Days of receipt of the request or correspondence, inform the other Party that it has received the same and shall forward such request or correspondence to the other Party; and</w:t>
      </w:r>
    </w:p>
    <w:p w:rsidR="00000000" w:rsidDel="00000000" w:rsidP="00000000" w:rsidRDefault="00000000" w:rsidRPr="00000000" w14:paraId="0000005A">
      <w:pPr>
        <w:numPr>
          <w:ilvl w:val="3"/>
          <w:numId w:val="12"/>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any information and/or assistance as reasonably requested by the other Party to help it respond to the request or correspondence in the timeframes specified by Data Protection Legislation.</w:t>
      </w:r>
    </w:p>
    <w:p w:rsidR="00000000" w:rsidDel="00000000" w:rsidP="00000000" w:rsidRDefault="00000000" w:rsidRPr="00000000" w14:paraId="0000005B">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promptly notify the other Party upon it becoming aware of any Personal Data Breach relating to Personal Data provided by the other Party pursuant to the Contract and shall: </w:t>
      </w:r>
    </w:p>
    <w:p w:rsidR="00000000" w:rsidDel="00000000" w:rsidP="00000000" w:rsidRDefault="00000000" w:rsidRPr="00000000" w14:paraId="0000005C">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 all such things as reasonably necessary to assist the other Party in mitigating the effects of the Personal Data Breach; </w:t>
      </w:r>
    </w:p>
    <w:p w:rsidR="00000000" w:rsidDel="00000000" w:rsidP="00000000" w:rsidRDefault="00000000" w:rsidRPr="00000000" w14:paraId="0000005D">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implement any measures necessary to restore the security of any compromised Personal Data; </w:t>
      </w:r>
    </w:p>
    <w:p w:rsidR="00000000" w:rsidDel="00000000" w:rsidP="00000000" w:rsidRDefault="00000000" w:rsidRPr="00000000" w14:paraId="0000005E">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work with the other Party to make any required notifications to the Information Commissioner’s Office and affected Data Subjects in accordance with the Data Protection Legislation (including the timeframes set out therein); and</w:t>
      </w:r>
    </w:p>
    <w:p w:rsidR="00000000" w:rsidDel="00000000" w:rsidP="00000000" w:rsidRDefault="00000000" w:rsidRPr="00000000" w14:paraId="0000005F">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do anything which may damage the reputation of the other Party or that Party's relationship with the relevant Data Subjects, save as required by Law. </w:t>
      </w:r>
    </w:p>
    <w:p w:rsidR="00000000" w:rsidDel="00000000" w:rsidP="00000000" w:rsidRDefault="00000000" w:rsidRPr="00000000" w14:paraId="00000060">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Personal Data provided by one Party to the other Party may be used exclusively to exercise rights and obligations under the Contract as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1">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Personal Data shall not be retained or processed for longer than is necessary to perform each Party’s respective obligations under the Contract which is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2">
      <w:pPr>
        <w:numPr>
          <w:ilvl w:val="1"/>
          <w:numId w:val="12"/>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27 of this Joint Schedule 11.</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before="280" w:lineRule="auto"/>
        <w:ind w:left="709"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4">
      <w:pPr>
        <w:pStyle w:val="Heading2"/>
        <w:spacing w:after="240" w:before="0" w:lineRule="auto"/>
        <w:ind w:left="709" w:hanging="709"/>
        <w:rPr>
          <w:rFonts w:ascii="Arial" w:cs="Arial" w:eastAsia="Arial" w:hAnsi="Arial"/>
          <w:b w:val="0"/>
          <w:sz w:val="24"/>
          <w:szCs w:val="24"/>
        </w:rPr>
      </w:pPr>
      <w:r w:rsidDel="00000000" w:rsidR="00000000" w:rsidRPr="00000000">
        <w:br w:type="page"/>
      </w:r>
      <w:r w:rsidDel="00000000" w:rsidR="00000000" w:rsidRPr="00000000">
        <w:rPr>
          <w:rFonts w:ascii="Arial" w:cs="Arial" w:eastAsia="Arial" w:hAnsi="Arial"/>
          <w:sz w:val="24"/>
          <w:szCs w:val="24"/>
          <w:rtl w:val="0"/>
        </w:rPr>
        <w:t xml:space="preserve">Annex 1 - Processing Personal Data</w:t>
      </w:r>
      <w:r w:rsidDel="00000000" w:rsidR="00000000" w:rsidRPr="00000000">
        <w:rPr>
          <w:rtl w:val="0"/>
        </w:rPr>
      </w:r>
    </w:p>
    <w:p w:rsidR="00000000" w:rsidDel="00000000" w:rsidP="00000000" w:rsidRDefault="00000000" w:rsidRPr="00000000" w14:paraId="00000065">
      <w:pPr>
        <w:rPr>
          <w:rFonts w:ascii="Arial" w:cs="Arial" w:eastAsia="Arial" w:hAnsi="Arial"/>
          <w:sz w:val="24"/>
          <w:szCs w:val="24"/>
        </w:rPr>
      </w:pPr>
      <w:r w:rsidDel="00000000" w:rsidR="00000000" w:rsidRPr="00000000">
        <w:rPr>
          <w:rFonts w:ascii="Arial" w:cs="Arial" w:eastAsia="Arial" w:hAnsi="Arial"/>
          <w:sz w:val="24"/>
          <w:szCs w:val="24"/>
          <w:rtl w:val="0"/>
        </w:rPr>
        <w:t xml:space="preserve">This Annex shall be completed by the Controller, who may take account of the view of the Processors, however the final decision as to the content of this Annex shall be with the Relevant Authority at its absolute discretion.  </w:t>
      </w:r>
    </w:p>
    <w:p w:rsidR="00000000" w:rsidDel="00000000" w:rsidP="00000000" w:rsidRDefault="00000000" w:rsidRPr="00000000" w14:paraId="00000066">
      <w:pPr>
        <w:keepNext w:val="1"/>
        <w:numPr>
          <w:ilvl w:val="3"/>
          <w:numId w:val="4"/>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Relevant Authority’s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67">
      <w:pPr>
        <w:keepNext w:val="1"/>
        <w:numPr>
          <w:ilvl w:val="3"/>
          <w:numId w:val="4"/>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Supplier’s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68">
      <w:pPr>
        <w:keepNext w:val="1"/>
        <w:numPr>
          <w:ilvl w:val="3"/>
          <w:numId w:val="4"/>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comply with any further written instructions with respect to Processing by the Controller.</w:t>
      </w:r>
    </w:p>
    <w:p w:rsidR="00000000" w:rsidDel="00000000" w:rsidP="00000000" w:rsidRDefault="00000000" w:rsidRPr="00000000" w14:paraId="00000069">
      <w:pPr>
        <w:keepNext w:val="1"/>
        <w:numPr>
          <w:ilvl w:val="3"/>
          <w:numId w:val="4"/>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such further instructions shall be incorporated into this Annex.</w:t>
      </w:r>
    </w:p>
    <w:p w:rsidR="00000000" w:rsidDel="00000000" w:rsidP="00000000" w:rsidRDefault="00000000" w:rsidRPr="00000000" w14:paraId="0000006A">
      <w:pPr>
        <w:keepNext w:val="1"/>
        <w:ind w:left="720" w:firstLine="0"/>
        <w:rPr>
          <w:rFonts w:ascii="Arial" w:cs="Arial" w:eastAsia="Arial" w:hAnsi="Arial"/>
          <w:sz w:val="24"/>
          <w:szCs w:val="24"/>
        </w:rPr>
      </w:pPr>
      <w:r w:rsidDel="00000000" w:rsidR="00000000" w:rsidRPr="00000000">
        <w:rPr>
          <w:rtl w:val="0"/>
        </w:rPr>
      </w:r>
    </w:p>
    <w:tbl>
      <w:tblPr>
        <w:tblStyle w:val="Table3"/>
        <w:tblW w:w="968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7423"/>
        <w:tblGridChange w:id="0">
          <w:tblGrid>
            <w:gridCol w:w="2263"/>
            <w:gridCol w:w="7423"/>
          </w:tblGrid>
        </w:tblGridChange>
      </w:tblGrid>
      <w:tr>
        <w:trPr>
          <w:cantSplit w:val="0"/>
          <w:trHeight w:val="700" w:hRule="atLeast"/>
          <w:tblHeader w:val="0"/>
        </w:trPr>
        <w:tc>
          <w:tcPr>
            <w:shd w:fill="bfbfbf" w:val="clear"/>
            <w:vAlign w:val="center"/>
          </w:tcPr>
          <w:p w:rsidR="00000000" w:rsidDel="00000000" w:rsidP="00000000" w:rsidRDefault="00000000" w:rsidRPr="00000000" w14:paraId="0000006B">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w:t>
            </w:r>
          </w:p>
        </w:tc>
        <w:tc>
          <w:tcPr>
            <w:shd w:fill="bfbfbf" w:val="clear"/>
            <w:vAlign w:val="center"/>
          </w:tcPr>
          <w:p w:rsidR="00000000" w:rsidDel="00000000" w:rsidP="00000000" w:rsidRDefault="00000000" w:rsidRPr="00000000" w14:paraId="0000006C">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Details</w:t>
            </w:r>
          </w:p>
        </w:tc>
      </w:tr>
      <w:tr>
        <w:trPr>
          <w:cantSplit w:val="0"/>
          <w:trHeight w:val="1620" w:hRule="atLeast"/>
          <w:tblHeader w:val="0"/>
        </w:trPr>
        <w:tc>
          <w:tcPr>
            <w:shd w:fill="auto" w:val="clear"/>
          </w:tcPr>
          <w:p w:rsidR="00000000" w:rsidDel="00000000" w:rsidP="00000000" w:rsidRDefault="00000000" w:rsidRPr="00000000" w14:paraId="0000006D">
            <w:pPr>
              <w:rPr>
                <w:rFonts w:ascii="Arial" w:cs="Arial" w:eastAsia="Arial" w:hAnsi="Arial"/>
                <w:sz w:val="24"/>
                <w:szCs w:val="24"/>
              </w:rPr>
            </w:pPr>
            <w:r w:rsidDel="00000000" w:rsidR="00000000" w:rsidRPr="00000000">
              <w:rPr>
                <w:rFonts w:ascii="Arial" w:cs="Arial" w:eastAsia="Arial" w:hAnsi="Arial"/>
                <w:sz w:val="24"/>
                <w:szCs w:val="24"/>
                <w:rtl w:val="0"/>
              </w:rPr>
              <w:t xml:space="preserve">Identity of Controller for each Category of Personal Data</w:t>
            </w:r>
          </w:p>
        </w:tc>
        <w:tc>
          <w:tcPr>
            <w:shd w:fill="auto" w:val="clear"/>
          </w:tcPr>
          <w:p w:rsidR="00000000" w:rsidDel="00000000" w:rsidP="00000000" w:rsidRDefault="00000000" w:rsidRPr="00000000" w14:paraId="0000006E">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Relevant Authority is Controller and the Supplier is Processor</w:t>
            </w:r>
          </w:p>
          <w:p w:rsidR="00000000" w:rsidDel="00000000" w:rsidP="00000000" w:rsidRDefault="00000000" w:rsidRPr="00000000" w14:paraId="0000006F">
            <w:pPr>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in accordance with paragraph 2 to paragraph 15 and for the purposes of the Data Protection Legislation, the Relevant Authority is the Controller and the Supplier is the Processor of the following Personal Data:</w:t>
            </w:r>
          </w:p>
          <w:p w:rsidR="00000000" w:rsidDel="00000000" w:rsidP="00000000" w:rsidRDefault="00000000" w:rsidRPr="00000000" w14:paraId="0000007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1">
            <w:pPr>
              <w:numPr>
                <w:ilvl w:val="0"/>
                <w:numId w:val="7"/>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by the Supplier is determined by the Relevant Authority]</w:t>
            </w:r>
          </w:p>
          <w:p w:rsidR="00000000" w:rsidDel="00000000" w:rsidP="00000000" w:rsidRDefault="00000000" w:rsidRPr="00000000" w14:paraId="0000007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3">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Supplier is Controller and the Relevant Authority is Processor</w:t>
            </w:r>
          </w:p>
          <w:p w:rsidR="00000000" w:rsidDel="00000000" w:rsidP="00000000" w:rsidRDefault="00000000" w:rsidRPr="00000000" w14:paraId="00000074">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5">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for the purposes of the Data Protection Legislation, the Supplier is the Controller and the Relevant Authority is the Processor in accordance with paragraph </w:t>
            </w:r>
            <w:r w:rsidDel="00000000" w:rsidR="00000000" w:rsidRPr="00000000">
              <w:rPr>
                <w:rFonts w:ascii="Arial" w:cs="Arial" w:eastAsia="Arial" w:hAnsi="Arial"/>
                <w:sz w:val="24"/>
                <w:szCs w:val="24"/>
                <w:rtl w:val="0"/>
              </w:rPr>
              <w:t xml:space="preserve">2 </w:t>
            </w:r>
            <w:r w:rsidDel="00000000" w:rsidR="00000000" w:rsidRPr="00000000">
              <w:rPr>
                <w:rFonts w:ascii="Arial" w:cs="Arial" w:eastAsia="Arial" w:hAnsi="Arial"/>
                <w:i w:val="1"/>
                <w:sz w:val="24"/>
                <w:szCs w:val="24"/>
                <w:rtl w:val="0"/>
              </w:rPr>
              <w:t xml:space="preserve">to paragraph 15</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of the following Personal Data:</w:t>
            </w:r>
          </w:p>
          <w:p w:rsidR="00000000" w:rsidDel="00000000" w:rsidP="00000000" w:rsidRDefault="00000000" w:rsidRPr="00000000" w14:paraId="0000007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7">
            <w:pPr>
              <w:numPr>
                <w:ilvl w:val="0"/>
                <w:numId w:val="7"/>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by the Relevant Authority  is determined by the Supplier]</w:t>
            </w:r>
          </w:p>
          <w:p w:rsidR="00000000" w:rsidDel="00000000" w:rsidP="00000000" w:rsidRDefault="00000000" w:rsidRPr="00000000" w14:paraId="00000078">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79">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Joint Controllers</w:t>
            </w:r>
          </w:p>
          <w:p w:rsidR="00000000" w:rsidDel="00000000" w:rsidP="00000000" w:rsidRDefault="00000000" w:rsidRPr="00000000" w14:paraId="0000007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B">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Joint Controllers for the purposes of the Data Protection Legislation in respect of:</w:t>
            </w:r>
          </w:p>
          <w:p w:rsidR="00000000" w:rsidDel="00000000" w:rsidP="00000000" w:rsidRDefault="00000000" w:rsidRPr="00000000" w14:paraId="0000007C">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7D">
            <w:pPr>
              <w:numPr>
                <w:ilvl w:val="0"/>
                <w:numId w:val="6"/>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is determined by the both Parties together]</w:t>
            </w:r>
          </w:p>
          <w:p w:rsidR="00000000" w:rsidDel="00000000" w:rsidP="00000000" w:rsidRDefault="00000000" w:rsidRPr="00000000" w14:paraId="0000007E">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F">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80">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Independent Controllers of Personal Data</w:t>
            </w:r>
          </w:p>
          <w:p w:rsidR="00000000" w:rsidDel="00000000" w:rsidP="00000000" w:rsidRDefault="00000000" w:rsidRPr="00000000" w14:paraId="00000081">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82">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Independent Controllers for the purposes of the Data Protection Legislation in respect of:</w:t>
            </w:r>
          </w:p>
          <w:p w:rsidR="00000000" w:rsidDel="00000000" w:rsidP="00000000" w:rsidRDefault="00000000" w:rsidRPr="00000000" w14:paraId="00000083">
            <w:pPr>
              <w:numPr>
                <w:ilvl w:val="0"/>
                <w:numId w:val="2"/>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Business contact details of Supplier Personnel for which the Supplier is the Controller,</w:t>
            </w:r>
          </w:p>
          <w:p w:rsidR="00000000" w:rsidDel="00000000" w:rsidP="00000000" w:rsidRDefault="00000000" w:rsidRPr="00000000" w14:paraId="00000084">
            <w:pPr>
              <w:numPr>
                <w:ilvl w:val="0"/>
                <w:numId w:val="2"/>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Business contact details of any</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directors, officers, employees, agents, consultants and contractors of Relevant Authority (excluding the Supplier Personnel) engaged in the performance of the Relevant Authority’s duties under the Contract) for which the Relevant Authority is the Controller,</w:t>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Relevant Authority cannot dictate the way in which Personal Data is processed by the Supplier, or (3) where the  Supplier comes to the transaction with Personal Data for which it is already Controller for use by the Relevant Authority] </w:t>
            </w:r>
          </w:p>
          <w:p w:rsidR="00000000" w:rsidDel="00000000" w:rsidP="00000000" w:rsidRDefault="00000000" w:rsidRPr="00000000" w14:paraId="00000086">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87">
            <w:pPr>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[Guidance</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where multiple relationships have been identified above, please address the below rows in the table for in respect of each relationship identified] </w:t>
            </w:r>
          </w:p>
          <w:p w:rsidR="00000000" w:rsidDel="00000000" w:rsidP="00000000" w:rsidRDefault="00000000" w:rsidRPr="00000000" w14:paraId="00000088">
            <w:pPr>
              <w:rPr>
                <w:rFonts w:ascii="Arial" w:cs="Arial" w:eastAsia="Arial" w:hAnsi="Arial"/>
                <w:sz w:val="24"/>
                <w:szCs w:val="24"/>
              </w:rPr>
            </w:pPr>
            <w:r w:rsidDel="00000000" w:rsidR="00000000" w:rsidRPr="00000000">
              <w:rPr>
                <w:rtl w:val="0"/>
              </w:rPr>
            </w:r>
          </w:p>
        </w:tc>
      </w:tr>
      <w:tr>
        <w:trPr>
          <w:cantSplit w:val="0"/>
          <w:trHeight w:val="1460" w:hRule="atLeast"/>
          <w:tblHeader w:val="0"/>
        </w:trPr>
        <w:tc>
          <w:tcPr>
            <w:shd w:fill="auto" w:val="clear"/>
          </w:tcPr>
          <w:p w:rsidR="00000000" w:rsidDel="00000000" w:rsidP="00000000" w:rsidRDefault="00000000" w:rsidRPr="00000000" w14:paraId="00000089">
            <w:pPr>
              <w:rPr>
                <w:rFonts w:ascii="Arial" w:cs="Arial" w:eastAsia="Arial" w:hAnsi="Arial"/>
                <w:sz w:val="24"/>
                <w:szCs w:val="24"/>
              </w:rPr>
            </w:pPr>
            <w:r w:rsidDel="00000000" w:rsidR="00000000" w:rsidRPr="00000000">
              <w:rPr>
                <w:rFonts w:ascii="Arial" w:cs="Arial" w:eastAsia="Arial" w:hAnsi="Arial"/>
                <w:sz w:val="24"/>
                <w:szCs w:val="24"/>
                <w:rtl w:val="0"/>
              </w:rPr>
              <w:t xml:space="preserve">Duration of the Processing</w:t>
            </w:r>
          </w:p>
        </w:tc>
        <w:tc>
          <w:tcPr>
            <w:shd w:fill="auto" w:val="clear"/>
          </w:tcPr>
          <w:p w:rsidR="00000000" w:rsidDel="00000000" w:rsidP="00000000" w:rsidRDefault="00000000" w:rsidRPr="00000000" w14:paraId="0000008A">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[Clearly set out the duration of the Processing including dates]</w:t>
            </w:r>
            <w:r w:rsidDel="00000000" w:rsidR="00000000" w:rsidRPr="00000000">
              <w:rPr>
                <w:rtl w:val="0"/>
              </w:rPr>
            </w:r>
          </w:p>
        </w:tc>
      </w:tr>
      <w:tr>
        <w:trPr>
          <w:cantSplit w:val="0"/>
          <w:trHeight w:val="1520" w:hRule="atLeast"/>
          <w:tblHeader w:val="0"/>
        </w:trPr>
        <w:tc>
          <w:tcPr>
            <w:shd w:fill="auto" w:val="clear"/>
          </w:tcPr>
          <w:p w:rsidR="00000000" w:rsidDel="00000000" w:rsidP="00000000" w:rsidRDefault="00000000" w:rsidRPr="00000000" w14:paraId="0000008B">
            <w:pPr>
              <w:rPr>
                <w:rFonts w:ascii="Arial" w:cs="Arial" w:eastAsia="Arial" w:hAnsi="Arial"/>
                <w:sz w:val="24"/>
                <w:szCs w:val="24"/>
              </w:rPr>
            </w:pPr>
            <w:r w:rsidDel="00000000" w:rsidR="00000000" w:rsidRPr="00000000">
              <w:rPr>
                <w:rFonts w:ascii="Arial" w:cs="Arial" w:eastAsia="Arial" w:hAnsi="Arial"/>
                <w:sz w:val="24"/>
                <w:szCs w:val="24"/>
                <w:rtl w:val="0"/>
              </w:rPr>
              <w:t xml:space="preserve">Nature and purposes of the Processing</w:t>
            </w:r>
          </w:p>
        </w:tc>
        <w:tc>
          <w:tcPr>
            <w:shd w:fill="auto" w:val="clear"/>
          </w:tcPr>
          <w:p w:rsidR="00000000" w:rsidDel="00000000" w:rsidP="00000000" w:rsidRDefault="00000000" w:rsidRPr="00000000" w14:paraId="0000008C">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[Please be as specific as possible, but make sure that you cover all intended purposes. </w:t>
            </w:r>
          </w:p>
          <w:p w:rsidR="00000000" w:rsidDel="00000000" w:rsidP="00000000" w:rsidRDefault="00000000" w:rsidRPr="00000000" w14:paraId="0000008D">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rsidR="00000000" w:rsidDel="00000000" w:rsidP="00000000" w:rsidRDefault="00000000" w:rsidRPr="00000000" w14:paraId="0000008E">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The purpose might include: employment processing, statutory obligation, recruitment assessment etc]</w:t>
            </w:r>
            <w:r w:rsidDel="00000000" w:rsidR="00000000" w:rsidRPr="00000000">
              <w:rPr>
                <w:rtl w:val="0"/>
              </w:rPr>
            </w:r>
          </w:p>
        </w:tc>
      </w:tr>
      <w:tr>
        <w:trPr>
          <w:cantSplit w:val="0"/>
          <w:trHeight w:val="1400" w:hRule="atLeast"/>
          <w:tblHeader w:val="0"/>
        </w:trPr>
        <w:tc>
          <w:tcPr>
            <w:shd w:fill="auto" w:val="clear"/>
          </w:tcPr>
          <w:p w:rsidR="00000000" w:rsidDel="00000000" w:rsidP="00000000" w:rsidRDefault="00000000" w:rsidRPr="00000000" w14:paraId="0000008F">
            <w:pPr>
              <w:rPr>
                <w:rFonts w:ascii="Arial" w:cs="Arial" w:eastAsia="Arial" w:hAnsi="Arial"/>
                <w:sz w:val="24"/>
                <w:szCs w:val="24"/>
              </w:rPr>
            </w:pPr>
            <w:r w:rsidDel="00000000" w:rsidR="00000000" w:rsidRPr="00000000">
              <w:rPr>
                <w:rFonts w:ascii="Arial" w:cs="Arial" w:eastAsia="Arial" w:hAnsi="Arial"/>
                <w:sz w:val="24"/>
                <w:szCs w:val="24"/>
                <w:rtl w:val="0"/>
              </w:rPr>
              <w:t xml:space="preserve">Type of Personal Data</w:t>
            </w:r>
          </w:p>
        </w:tc>
        <w:tc>
          <w:tcPr>
            <w:shd w:fill="auto" w:val="clear"/>
          </w:tcPr>
          <w:p w:rsidR="00000000" w:rsidDel="00000000" w:rsidP="00000000" w:rsidRDefault="00000000" w:rsidRPr="00000000" w14:paraId="00000090">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here include: name, address, date of birth, NI number, telephone number, pay, images, biometric data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91">
            <w:pPr>
              <w:rPr>
                <w:rFonts w:ascii="Arial" w:cs="Arial" w:eastAsia="Arial" w:hAnsi="Arial"/>
                <w:sz w:val="24"/>
                <w:szCs w:val="24"/>
              </w:rPr>
            </w:pPr>
            <w:r w:rsidDel="00000000" w:rsidR="00000000" w:rsidRPr="00000000">
              <w:rPr>
                <w:rFonts w:ascii="Arial" w:cs="Arial" w:eastAsia="Arial" w:hAnsi="Arial"/>
                <w:sz w:val="24"/>
                <w:szCs w:val="24"/>
                <w:rtl w:val="0"/>
              </w:rPr>
              <w:t xml:space="preserve">Categories of Data Subject</w:t>
            </w:r>
          </w:p>
        </w:tc>
        <w:tc>
          <w:tcPr>
            <w:shd w:fill="auto" w:val="clear"/>
          </w:tcPr>
          <w:p w:rsidR="00000000" w:rsidDel="00000000" w:rsidP="00000000" w:rsidRDefault="00000000" w:rsidRPr="00000000" w14:paraId="00000092">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include: Staff (including volunteers, agents, and temporary workers), customers/ clients, suppliers, patients, students / pupils, members of the public, users of a particular</w:t>
              <w:br w:type="textWrapping"/>
              <w:t xml:space="preserve">website etc]</w:t>
            </w:r>
            <w:r w:rsidDel="00000000" w:rsidR="00000000" w:rsidRPr="00000000">
              <w:rPr>
                <w:rtl w:val="0"/>
              </w:rPr>
            </w:r>
          </w:p>
        </w:tc>
      </w:tr>
      <w:tr>
        <w:trPr>
          <w:cantSplit w:val="0"/>
          <w:trHeight w:val="1660" w:hRule="atLeast"/>
          <w:tblHeader w:val="0"/>
        </w:trPr>
        <w:tc>
          <w:tcPr>
            <w:shd w:fill="auto" w:val="clear"/>
          </w:tcPr>
          <w:p w:rsidR="00000000" w:rsidDel="00000000" w:rsidP="00000000" w:rsidRDefault="00000000" w:rsidRPr="00000000" w14:paraId="00000093">
            <w:pPr>
              <w:rPr>
                <w:rFonts w:ascii="Arial" w:cs="Arial" w:eastAsia="Arial" w:hAnsi="Arial"/>
                <w:sz w:val="24"/>
                <w:szCs w:val="24"/>
              </w:rPr>
            </w:pPr>
            <w:r w:rsidDel="00000000" w:rsidR="00000000" w:rsidRPr="00000000">
              <w:rPr>
                <w:rFonts w:ascii="Arial" w:cs="Arial" w:eastAsia="Arial" w:hAnsi="Arial"/>
                <w:sz w:val="24"/>
                <w:szCs w:val="24"/>
                <w:rtl w:val="0"/>
              </w:rPr>
              <w:t xml:space="preserve">Plan for return and destruction of the data once the Processing is complete</w:t>
            </w:r>
          </w:p>
          <w:p w:rsidR="00000000" w:rsidDel="00000000" w:rsidP="00000000" w:rsidRDefault="00000000" w:rsidRPr="00000000" w14:paraId="00000094">
            <w:pPr>
              <w:rPr>
                <w:rFonts w:ascii="Arial" w:cs="Arial" w:eastAsia="Arial" w:hAnsi="Arial"/>
                <w:sz w:val="24"/>
                <w:szCs w:val="24"/>
              </w:rPr>
            </w:pPr>
            <w:r w:rsidDel="00000000" w:rsidR="00000000" w:rsidRPr="00000000">
              <w:rPr>
                <w:rFonts w:ascii="Arial" w:cs="Arial" w:eastAsia="Arial" w:hAnsi="Arial"/>
                <w:sz w:val="24"/>
                <w:szCs w:val="24"/>
                <w:rtl w:val="0"/>
              </w:rPr>
              <w:t xml:space="preserve">UNLESS requirement under Union or Member State law to preserve that type of data</w:t>
            </w:r>
          </w:p>
        </w:tc>
        <w:tc>
          <w:tcPr>
            <w:shd w:fill="auto" w:val="clear"/>
          </w:tcPr>
          <w:p w:rsidR="00000000" w:rsidDel="00000000" w:rsidP="00000000" w:rsidRDefault="00000000" w:rsidRPr="00000000" w14:paraId="00000095">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[Describe how long the data will be retained for, how it be returned or destroyed]</w:t>
            </w:r>
          </w:p>
          <w:p w:rsidR="00000000" w:rsidDel="00000000" w:rsidP="00000000" w:rsidRDefault="00000000" w:rsidRPr="00000000" w14:paraId="00000096">
            <w:pPr>
              <w:rPr>
                <w:rFonts w:ascii="Arial" w:cs="Arial" w:eastAsia="Arial" w:hAnsi="Arial"/>
                <w:i w:val="1"/>
                <w:sz w:val="24"/>
                <w:szCs w:val="24"/>
              </w:rPr>
            </w:pPr>
            <w:r w:rsidDel="00000000" w:rsidR="00000000" w:rsidRPr="00000000">
              <w:rPr>
                <w:rtl w:val="0"/>
              </w:rPr>
            </w:r>
          </w:p>
        </w:tc>
      </w:tr>
      <w:tr>
        <w:trPr>
          <w:cantSplit w:val="0"/>
          <w:trHeight w:val="1660" w:hRule="atLeast"/>
          <w:tblHeader w:val="0"/>
        </w:trPr>
        <w:tc>
          <w:tcPr>
            <w:shd w:fill="auto" w:val="clear"/>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Data Transfer </w:t>
            </w:r>
          </w:p>
        </w:tc>
        <w:tc>
          <w:tcPr>
            <w:shd w:fill="auto" w:val="clear"/>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The Supplier agrees that they will not transfer </w:t>
            </w:r>
            <w:r w:rsidDel="00000000" w:rsidR="00000000" w:rsidRPr="00000000">
              <w:rPr>
                <w:rFonts w:ascii="Arial" w:cs="Arial" w:eastAsia="Arial" w:hAnsi="Arial"/>
                <w:b w:val="1"/>
                <w:rtl w:val="0"/>
              </w:rPr>
              <w:t xml:space="preserve">Personal Data or Metadata outside of the EU</w:t>
            </w:r>
            <w:r w:rsidDel="00000000" w:rsidR="00000000" w:rsidRPr="00000000">
              <w:rPr>
                <w:rFonts w:ascii="Arial" w:cs="Arial" w:eastAsia="Arial" w:hAnsi="Arial"/>
                <w:rtl w:val="0"/>
              </w:rPr>
              <w:t xml:space="preserve"> unless the prior written consent of the Controller has been obtained</w:t>
            </w:r>
          </w:p>
        </w:tc>
      </w:tr>
    </w:tbl>
    <w:p w:rsidR="00000000" w:rsidDel="00000000" w:rsidP="00000000" w:rsidRDefault="00000000" w:rsidRPr="00000000" w14:paraId="00000099">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9A">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Annex 2 - Joint Controller Agreement</w:t>
      </w:r>
      <w:r w:rsidDel="00000000" w:rsidR="00000000" w:rsidRPr="00000000">
        <w:rPr>
          <w:rtl w:val="0"/>
        </w:rPr>
      </w:r>
    </w:p>
    <w:p w:rsidR="00000000" w:rsidDel="00000000" w:rsidP="00000000" w:rsidRDefault="00000000" w:rsidRPr="00000000" w14:paraId="0000009C">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 Joint Controller Status and Allocation of Responsibilities </w:t>
      </w:r>
    </w:p>
    <w:p w:rsidR="00000000" w:rsidDel="00000000" w:rsidP="00000000" w:rsidRDefault="00000000" w:rsidRPr="00000000" w14:paraId="0000009D">
      <w:pPr>
        <w:keepNext w:val="1"/>
        <w:rPr>
          <w:rFonts w:ascii="Arial" w:cs="Arial" w:eastAsia="Arial" w:hAnsi="Arial"/>
          <w:sz w:val="24"/>
          <w:szCs w:val="24"/>
        </w:rPr>
      </w:pPr>
      <w:r w:rsidDel="00000000" w:rsidR="00000000" w:rsidRPr="00000000">
        <w:rPr>
          <w:rFonts w:ascii="Arial" w:cs="Arial" w:eastAsia="Arial" w:hAnsi="Arial"/>
          <w:sz w:val="24"/>
          <w:szCs w:val="24"/>
          <w:rtl w:val="0"/>
        </w:rPr>
        <w:t xml:space="preserve">1.1</w:t>
        <w:tab/>
        <w:t xml:space="preserve">With respect to Personal Data under Joint Control of the Parties, the Parties envisage that they shall each be a Data Controller in respect of that Personal Data in accordance with the terms of this Annex 2 (Joint Controller Agreement) in replacement of paragraphs 2-15 of Joint Schedule 11 (Where one Party is Controller and the other Party is Processor) and paragraphs 7-27 of Joint Schedule 11 (Independent Controllers of Personal Data). Accordingly, the Parties each undertake to comply with the applicable Data Protection Legislation in respect of their Processing of such Personal Data as Data Controllers. </w:t>
      </w:r>
    </w:p>
    <w:p w:rsidR="00000000" w:rsidDel="00000000" w:rsidP="00000000" w:rsidRDefault="00000000" w:rsidRPr="00000000" w14:paraId="0000009E">
      <w:pPr>
        <w:keepNext w:val="1"/>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1.2 The Parties agree that the </w:t>
      </w:r>
      <w:r w:rsidDel="00000000" w:rsidR="00000000" w:rsidRPr="00000000">
        <w:rPr>
          <w:rFonts w:ascii="Arial" w:cs="Arial" w:eastAsia="Arial" w:hAnsi="Arial"/>
          <w:sz w:val="24"/>
          <w:szCs w:val="24"/>
          <w:highlight w:val="yellow"/>
          <w:rtl w:val="0"/>
        </w:rPr>
        <w:t xml:space="preserve">[Supplier/Relevant Authority]: </w:t>
      </w:r>
      <w:r w:rsidDel="00000000" w:rsidR="00000000" w:rsidRPr="00000000">
        <w:rPr>
          <w:rtl w:val="0"/>
        </w:rPr>
      </w:r>
    </w:p>
    <w:p w:rsidR="00000000" w:rsidDel="00000000" w:rsidP="00000000" w:rsidRDefault="00000000" w:rsidRPr="00000000" w14:paraId="0000009F">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is the </w:t>
      </w:r>
      <w:r w:rsidDel="00000000" w:rsidR="00000000" w:rsidRPr="00000000">
        <w:rPr>
          <w:rFonts w:ascii="Arial" w:cs="Arial" w:eastAsia="Arial" w:hAnsi="Arial"/>
          <w:sz w:val="24"/>
          <w:szCs w:val="24"/>
          <w:rtl w:val="0"/>
        </w:rPr>
        <w:t xml:space="preserve">exclusive</w:t>
      </w:r>
      <w:r w:rsidDel="00000000" w:rsidR="00000000" w:rsidRPr="00000000">
        <w:rPr>
          <w:rFonts w:ascii="Arial" w:cs="Arial" w:eastAsia="Arial" w:hAnsi="Arial"/>
          <w:sz w:val="24"/>
          <w:szCs w:val="24"/>
          <w:highlight w:val="white"/>
          <w:rtl w:val="0"/>
        </w:rPr>
        <w:t xml:space="preserve"> point of contact for Data Subjects and is responsible for all steps necessary to comply with the UK GDPR regarding the exercise by Data Subjects of their rights under the UK GDPR;</w:t>
      </w:r>
    </w:p>
    <w:p w:rsidR="00000000" w:rsidDel="00000000" w:rsidP="00000000" w:rsidRDefault="00000000" w:rsidRPr="00000000" w14:paraId="000000A0">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shall direct Data Subjects to its Data Protection Officer or suitable alternative in connection with the exercise of their rights as Data Subjects and for any enquiries concerning their Personal Data or privacy;</w:t>
      </w:r>
    </w:p>
    <w:p w:rsidR="00000000" w:rsidDel="00000000" w:rsidP="00000000" w:rsidRDefault="00000000" w:rsidRPr="00000000" w14:paraId="000000A1">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solely responsible for the Parties’ compliance with all duties to provide information to Data Subjects under Articles 13 and 14 of the UK GDPR;</w:t>
      </w:r>
    </w:p>
    <w:p w:rsidR="00000000" w:rsidDel="00000000" w:rsidP="00000000" w:rsidRDefault="00000000" w:rsidRPr="00000000" w14:paraId="000000A2">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responsible for obtaining the informed consent of Data Subjects, in accordance with the UK GDPR, for Processing in connection with the Deliverables where consent is the relevant legal basis for that Processing; and</w:t>
      </w:r>
    </w:p>
    <w:p w:rsidR="00000000" w:rsidDel="00000000" w:rsidP="00000000" w:rsidRDefault="00000000" w:rsidRPr="00000000" w14:paraId="000000A3">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shall make available to Data Subjects the essence of this Annex (and notify them of any changes to it) concerning the allocation of responsibilities as Joint Controller and its role as exclusive point of contact, the Parties having used their best endeavours to agree the terms of that essence. This must be outlined in the [Supplier’s/Relevant Authority’s] privacy policy (which must be readily available by hyperlink or otherwise on all of its public facing services and marketing).</w:t>
      </w:r>
    </w:p>
    <w:p w:rsidR="00000000" w:rsidDel="00000000" w:rsidP="00000000" w:rsidRDefault="00000000" w:rsidRPr="00000000" w14:paraId="000000A4">
      <w:pPr>
        <w:rPr>
          <w:rFonts w:ascii="Arial" w:cs="Arial" w:eastAsia="Arial" w:hAnsi="Arial"/>
          <w:sz w:val="24"/>
          <w:szCs w:val="24"/>
        </w:rPr>
      </w:pPr>
      <w:r w:rsidDel="00000000" w:rsidR="00000000" w:rsidRPr="00000000">
        <w:rPr>
          <w:rFonts w:ascii="Arial" w:cs="Arial" w:eastAsia="Arial" w:hAnsi="Arial"/>
          <w:sz w:val="24"/>
          <w:szCs w:val="24"/>
          <w:rtl w:val="0"/>
        </w:rPr>
        <w:t xml:space="preserve">1.3 Notwithstanding the terms of clause 1.2, the Parties acknowledge that a Data Subject has the right to exercise their legal rights under the Data Protection Legislation as against the relevant Party as Controller.</w:t>
      </w:r>
    </w:p>
    <w:p w:rsidR="00000000" w:rsidDel="00000000" w:rsidP="00000000" w:rsidRDefault="00000000" w:rsidRPr="00000000" w14:paraId="000000A5">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Undertakings of both Parties</w:t>
      </w:r>
    </w:p>
    <w:p w:rsidR="00000000" w:rsidDel="00000000" w:rsidP="00000000" w:rsidRDefault="00000000" w:rsidRPr="00000000" w14:paraId="000000A6">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 the Relevant Authority each undertake that they shall: </w:t>
      </w:r>
    </w:p>
    <w:p w:rsidR="00000000" w:rsidDel="00000000" w:rsidP="00000000" w:rsidRDefault="00000000" w:rsidRPr="00000000" w14:paraId="000000A7">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report to the other Party every </w:t>
      </w:r>
      <w:r w:rsidDel="00000000" w:rsidR="00000000" w:rsidRPr="00000000">
        <w:rPr>
          <w:rFonts w:ascii="Arial" w:cs="Arial" w:eastAsia="Arial" w:hAnsi="Arial"/>
          <w:sz w:val="24"/>
          <w:szCs w:val="24"/>
          <w:highlight w:val="yellow"/>
          <w:rtl w:val="0"/>
        </w:rPr>
        <w:t xml:space="preserve">[x]</w:t>
      </w:r>
      <w:r w:rsidDel="00000000" w:rsidR="00000000" w:rsidRPr="00000000">
        <w:rPr>
          <w:rFonts w:ascii="Arial" w:cs="Arial" w:eastAsia="Arial" w:hAnsi="Arial"/>
          <w:sz w:val="24"/>
          <w:szCs w:val="24"/>
          <w:rtl w:val="0"/>
        </w:rPr>
        <w:t xml:space="preserve"> months on:</w:t>
      </w:r>
    </w:p>
    <w:p w:rsidR="00000000" w:rsidDel="00000000" w:rsidP="00000000" w:rsidRDefault="00000000" w:rsidRPr="00000000" w14:paraId="000000A8">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Data Subject Access Request (or purported Data Subject  Access Requests) from Data Subjects (or third parties on their behalf);</w:t>
      </w:r>
    </w:p>
    <w:p w:rsidR="00000000" w:rsidDel="00000000" w:rsidP="00000000" w:rsidRDefault="00000000" w:rsidRPr="00000000" w14:paraId="000000A9">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requests from Data Subjects (or third parties on their behalf) to rectify, block or erase any Personal Data; </w:t>
      </w:r>
    </w:p>
    <w:p w:rsidR="00000000" w:rsidDel="00000000" w:rsidP="00000000" w:rsidRDefault="00000000" w:rsidRPr="00000000" w14:paraId="000000AA">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other requests, complaints or communications from Data Subjects (or third parties on their behalf) relating to the other Party’s obligations under applicable Data Protection Legislation;</w:t>
      </w:r>
    </w:p>
    <w:p w:rsidR="00000000" w:rsidDel="00000000" w:rsidP="00000000" w:rsidRDefault="00000000" w:rsidRPr="00000000" w14:paraId="000000AB">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communications from the Information Commissioner or any other regulatory authority in connection with Personal Data; and</w:t>
      </w:r>
    </w:p>
    <w:p w:rsidR="00000000" w:rsidDel="00000000" w:rsidP="00000000" w:rsidRDefault="00000000" w:rsidRPr="00000000" w14:paraId="000000AC">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requests from any third party for disclosure of Personal Data where compliance with such request is required or purported to be required by Law,</w:t>
      </w:r>
    </w:p>
    <w:p w:rsidR="00000000" w:rsidDel="00000000" w:rsidP="00000000" w:rsidRDefault="00000000" w:rsidRPr="00000000" w14:paraId="000000AD">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that it has received in relation to the subject matter of the Contract during that period; </w:t>
      </w:r>
    </w:p>
    <w:p w:rsidR="00000000" w:rsidDel="00000000" w:rsidP="00000000" w:rsidRDefault="00000000" w:rsidRPr="00000000" w14:paraId="000000AE">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notify each other immediately if it receives any request, complaint or communication made as referred to in Clauses 2.1(a)(i) to (v); </w:t>
      </w:r>
    </w:p>
    <w:p w:rsidR="00000000" w:rsidDel="00000000" w:rsidP="00000000" w:rsidRDefault="00000000" w:rsidRPr="00000000" w14:paraId="000000AF">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other Party with full cooperation and assistance in relation to any request, complaint or communication made as referred to in Clauses 2.1(a)(iii) to (v) to enable the other Party to comply with the relevant timescales set out in the Data Protection Legislation;</w:t>
      </w:r>
    </w:p>
    <w:p w:rsidR="00000000" w:rsidDel="00000000" w:rsidP="00000000" w:rsidRDefault="00000000" w:rsidRPr="00000000" w14:paraId="000000B0">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disclose or transfer the Personal Data to any third party unless necessary for the provision of the Deliverables and, for any disclosure or transfer of Personal Data to any third party, (save where such disclosure or transfer is specifically authorised under the Contract or is required by Law) ensure consent has been obtained from the Data Subject prior to disclosing or transferring the Personal Data to the third party. For the avoidance of doubt, the third party to which Personal Data is transferred must be subject to equivalent obligations which are no less onerous than those set out in this Annex;</w:t>
      </w:r>
    </w:p>
    <w:p w:rsidR="00000000" w:rsidDel="00000000" w:rsidP="00000000" w:rsidRDefault="00000000" w:rsidRPr="00000000" w14:paraId="000000B1">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request from the Data Subject only the minimum information necessary to provide the Deliverables and treat such extracted information as Confidential Information;</w:t>
      </w:r>
    </w:p>
    <w:p w:rsidR="00000000" w:rsidDel="00000000" w:rsidP="00000000" w:rsidRDefault="00000000" w:rsidRPr="00000000" w14:paraId="000000B2">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Data;</w:t>
      </w:r>
    </w:p>
    <w:p w:rsidR="00000000" w:rsidDel="00000000" w:rsidP="00000000" w:rsidRDefault="00000000" w:rsidRPr="00000000" w14:paraId="000000B3">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take all reasonable steps to ensure the reliability and integrity of any of its Personnel who have access to the Personal Data and ensure that its Personnel:</w:t>
      </w:r>
    </w:p>
    <w:p w:rsidR="00000000" w:rsidDel="00000000" w:rsidP="00000000" w:rsidRDefault="00000000" w:rsidRPr="00000000" w14:paraId="000000B4">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their duties under this Annex 2 (Joint Controller Agreement) and those in respect of Confidential Information; </w:t>
      </w:r>
    </w:p>
    <w:p w:rsidR="00000000" w:rsidDel="00000000" w:rsidP="00000000" w:rsidRDefault="00000000" w:rsidRPr="00000000" w14:paraId="000000B5">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are subject to appropriate obligations of confidentiality and do not publish, disclose or divulge any of the Personal Data to any third party where the that Party would not be permitted to do so; and</w:t>
      </w:r>
    </w:p>
    <w:p w:rsidR="00000000" w:rsidDel="00000000" w:rsidP="00000000" w:rsidRDefault="00000000" w:rsidRPr="00000000" w14:paraId="000000B6">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as required by the applicable Data Protection Legislation;</w:t>
      </w:r>
    </w:p>
    <w:p w:rsidR="00000000" w:rsidDel="00000000" w:rsidP="00000000" w:rsidRDefault="00000000" w:rsidRPr="00000000" w14:paraId="000000B7">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as appropriate to protect against a Personal Data Breach having taken account of the:</w:t>
      </w:r>
    </w:p>
    <w:p w:rsidR="00000000" w:rsidDel="00000000" w:rsidP="00000000" w:rsidRDefault="00000000" w:rsidRPr="00000000" w14:paraId="000000B8">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p>
    <w:p w:rsidR="00000000" w:rsidDel="00000000" w:rsidP="00000000" w:rsidRDefault="00000000" w:rsidRPr="00000000" w14:paraId="000000B9">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BA">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and</w:t>
      </w:r>
    </w:p>
    <w:p w:rsidR="00000000" w:rsidDel="00000000" w:rsidP="00000000" w:rsidRDefault="00000000" w:rsidRPr="00000000" w14:paraId="000000BB">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w:t>
      </w:r>
    </w:p>
    <w:p w:rsidR="00000000" w:rsidDel="00000000" w:rsidP="00000000" w:rsidRDefault="00000000" w:rsidRPr="00000000" w14:paraId="000000BC">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the capability (whether technological or otherwise), to the extent required by Data Protection Legislation, to provide or correct or delete at the request of a Data Subject all the Personal Data relating to that Data Subject that it holds; and</w:t>
      </w:r>
    </w:p>
    <w:p w:rsidR="00000000" w:rsidDel="00000000" w:rsidP="00000000" w:rsidRDefault="00000000" w:rsidRPr="00000000" w14:paraId="000000BD">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notifies the other Party as soon as it becomes aware of a Personal Data Breach. </w:t>
      </w:r>
    </w:p>
    <w:p w:rsidR="00000000" w:rsidDel="00000000" w:rsidP="00000000" w:rsidRDefault="00000000" w:rsidRPr="00000000" w14:paraId="000000BE">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Joint Controller shall use its reasonable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rsidR="00000000" w:rsidDel="00000000" w:rsidP="00000000" w:rsidRDefault="00000000" w:rsidRPr="00000000" w14:paraId="000000BF">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Breach</w:t>
      </w:r>
    </w:p>
    <w:p w:rsidR="00000000" w:rsidDel="00000000" w:rsidP="00000000" w:rsidRDefault="00000000" w:rsidRPr="00000000" w14:paraId="000000C0">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clause 3.2, each Party shall notify the other Party promptly and without undue delay, and in any event within 48 hours, upon becoming aware of any Personal Data Breach or circumstances that are likely to give rise to a Personal Data Breach, providing the other Party and its advisors with:</w:t>
      </w:r>
    </w:p>
    <w:p w:rsidR="00000000" w:rsidDel="00000000" w:rsidP="00000000" w:rsidRDefault="00000000" w:rsidRPr="00000000" w14:paraId="000000C1">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sufficient information and in a timescale which allows the other Party to meet any obligations to report a Personal Data Breach under the Data Protection Legislation; and</w:t>
      </w:r>
    </w:p>
    <w:p w:rsidR="00000000" w:rsidDel="00000000" w:rsidP="00000000" w:rsidRDefault="00000000" w:rsidRPr="00000000" w14:paraId="000000C2">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reasonable assistance, including:</w:t>
      </w:r>
    </w:p>
    <w:p w:rsidR="00000000" w:rsidDel="00000000" w:rsidP="00000000" w:rsidRDefault="00000000" w:rsidRPr="00000000" w14:paraId="000000C3">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and the Information Commissioner investigating the Personal Data Breach and its cause, containing and recovering the compromised Personal Data and compliance with the applicable guidance;</w:t>
      </w:r>
    </w:p>
    <w:p w:rsidR="00000000" w:rsidDel="00000000" w:rsidP="00000000" w:rsidRDefault="00000000" w:rsidRPr="00000000" w14:paraId="000000C4">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including taking such reasonable steps as are directed by the other Party to assist in the investigation, mitigation and remediation of a Personal Data Breach;</w:t>
      </w:r>
    </w:p>
    <w:p w:rsidR="00000000" w:rsidDel="00000000" w:rsidP="00000000" w:rsidRDefault="00000000" w:rsidRPr="00000000" w14:paraId="000000C5">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co-ordination with the other Party regarding the management of public relations and public statements relating to the Personal Data Breach; and/or</w:t>
      </w:r>
    </w:p>
    <w:p w:rsidR="00000000" w:rsidDel="00000000" w:rsidP="00000000" w:rsidRDefault="00000000" w:rsidRPr="00000000" w14:paraId="000000C6">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providing the other Party and to the extent instructed by the other Party to do so, and/or the Information Commissioner investigating the Personal Data Breach, with complete information relating to the Personal Data Breach, including, without limitation, the information set out in Clause 3.2.</w:t>
      </w:r>
    </w:p>
    <w:p w:rsidR="00000000" w:rsidDel="00000000" w:rsidP="00000000" w:rsidRDefault="00000000" w:rsidRPr="00000000" w14:paraId="000000C7">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Party shall take all steps to restore, re-constitute and/or reconstruct any Personal Data where it has  lost, damaged, destroyed, altered or corrupted as a result of a Personal Data Breach as it was  that Party’s own data at its own cost with all possible speed and shall provide the other Party with all reasonable assistance in respect of any such Personal Data Breach, including providing the other Party, as soon as possible and within 48 hours of the Personal Data Breach relating to the Personal Data Breach, in particular:</w:t>
      </w:r>
    </w:p>
    <w:p w:rsidR="00000000" w:rsidDel="00000000" w:rsidP="00000000" w:rsidRDefault="00000000" w:rsidRPr="00000000" w14:paraId="000000C8">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the Personal Data Breach; </w:t>
      </w:r>
    </w:p>
    <w:p w:rsidR="00000000" w:rsidDel="00000000" w:rsidP="00000000" w:rsidRDefault="00000000" w:rsidRPr="00000000" w14:paraId="000000C9">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Personal Data affected;</w:t>
      </w:r>
    </w:p>
    <w:p w:rsidR="00000000" w:rsidDel="00000000" w:rsidP="00000000" w:rsidRDefault="00000000" w:rsidRPr="00000000" w14:paraId="000000CA">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categories and number of Data Subjects concerned;</w:t>
      </w:r>
    </w:p>
    <w:p w:rsidR="00000000" w:rsidDel="00000000" w:rsidP="00000000" w:rsidRDefault="00000000" w:rsidRPr="00000000" w14:paraId="000000CB">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name and contact details of the Supplier’s Data Protection Officer or other relevant contact from whom more information may be obtained;</w:t>
      </w:r>
    </w:p>
    <w:p w:rsidR="00000000" w:rsidDel="00000000" w:rsidP="00000000" w:rsidRDefault="00000000" w:rsidRPr="00000000" w14:paraId="000000CC">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measures taken or proposed to be taken to address the Personal Data Breach; and</w:t>
      </w:r>
    </w:p>
    <w:p w:rsidR="00000000" w:rsidDel="00000000" w:rsidP="00000000" w:rsidRDefault="00000000" w:rsidRPr="00000000" w14:paraId="000000CD">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describe the likely consequences of the Personal Data Breach.</w:t>
      </w:r>
    </w:p>
    <w:p w:rsidR="00000000" w:rsidDel="00000000" w:rsidP="00000000" w:rsidRDefault="00000000" w:rsidRPr="00000000" w14:paraId="000000CE">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p w:rsidR="00000000" w:rsidDel="00000000" w:rsidP="00000000" w:rsidRDefault="00000000" w:rsidRPr="00000000" w14:paraId="000000CF">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permit:</w:t>
        <w:tab/>
      </w:r>
    </w:p>
    <w:p w:rsidR="00000000" w:rsidDel="00000000" w:rsidP="00000000" w:rsidRDefault="00000000" w:rsidRPr="00000000" w14:paraId="000000D0">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rsidR="00000000" w:rsidDel="00000000" w:rsidP="00000000" w:rsidRDefault="00000000" w:rsidRPr="00000000" w14:paraId="000000D1">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access to premises at which the Personal Data is accessible or at which it is able to inspect any relevant records, including the record maintained under Article 30 UK GDPR by the Supplier so far as relevant to the Contract, and procedures, including premises under the control of any third party appointed by the Supplier to assist in the provision of the Deliverables. </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3">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 may, in its sole discretion, require the Supplier to provide evidence of the Supplier’s compliance with Clause 4.1 in lieu of conducting such an audit, assessment or inspection.</w:t>
      </w:r>
    </w:p>
    <w:p w:rsidR="00000000" w:rsidDel="00000000" w:rsidP="00000000" w:rsidRDefault="00000000" w:rsidRPr="00000000" w14:paraId="000000D4">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Impact Assessments</w:t>
      </w:r>
    </w:p>
    <w:p w:rsidR="00000000" w:rsidDel="00000000" w:rsidP="00000000" w:rsidRDefault="00000000" w:rsidRPr="00000000" w14:paraId="000000D5">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shall:</w:t>
      </w:r>
    </w:p>
    <w:p w:rsidR="00000000" w:rsidDel="00000000" w:rsidP="00000000" w:rsidRDefault="00000000" w:rsidRPr="00000000" w14:paraId="000000D6">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all reasonable assistance to each other to prepare any Data Protection Impact Assessment as may be required (including provision of detailed information and assessments in relation to Processing operations, risks and measures); and</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80" w:lineRule="auto"/>
        <w:ind w:left="11"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8">
      <w:pPr>
        <w:numPr>
          <w:ilvl w:val="2"/>
          <w:numId w:val="13"/>
        </w:numPr>
        <w:pBdr>
          <w:top w:space="0" w:sz="0" w:val="nil"/>
          <w:left w:space="0" w:sz="0" w:val="nil"/>
          <w:bottom w:space="0" w:sz="0" w:val="nil"/>
          <w:right w:space="0" w:sz="0" w:val="nil"/>
          <w:between w:space="0" w:sz="0" w:val="nil"/>
        </w:pBdr>
        <w:spacing w:after="120" w:before="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maintain full and complete records of all Processing carried out in respect of the Personal Data in connection with the Contract, in accordance with the terms of Article 30 UK GDPR.</w:t>
      </w:r>
    </w:p>
    <w:p w:rsidR="00000000" w:rsidDel="00000000" w:rsidP="00000000" w:rsidRDefault="00000000" w:rsidRPr="00000000" w14:paraId="000000D9">
      <w:pPr>
        <w:keepNext w:val="1"/>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A">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ICO Guidance</w:t>
      </w:r>
    </w:p>
    <w:p w:rsidR="00000000" w:rsidDel="00000000" w:rsidP="00000000" w:rsidRDefault="00000000" w:rsidRPr="00000000" w14:paraId="000000DB">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guidance issued by the Information Commissioner and/or any relevant Central Government Body. The Relevant Authority may on not less than thirty (30) Working Days’ notice to the Supplier amend the Contract to ensure that it complies with any guidance issued by the Information Commissioner and/or any relevant Central Government Body.</w:t>
      </w:r>
    </w:p>
    <w:p w:rsidR="00000000" w:rsidDel="00000000" w:rsidP="00000000" w:rsidRDefault="00000000" w:rsidRPr="00000000" w14:paraId="000000DC">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Liabilities for Data Protection Breach</w:t>
      </w:r>
    </w:p>
    <w:p w:rsidR="00000000" w:rsidDel="00000000" w:rsidP="00000000" w:rsidRDefault="00000000" w:rsidRPr="00000000" w14:paraId="000000DD">
      <w:pPr>
        <w:ind w:left="720" w:firstLine="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[Guidance: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This clause represents a risk share, you may wish to reconsider the apportionment of liability and whether recoverability of losses are likely to be hindered by the contractual limitation of liability provisions] </w:t>
      </w:r>
      <w:r w:rsidDel="00000000" w:rsidR="00000000" w:rsidRPr="00000000">
        <w:rPr>
          <w:rtl w:val="0"/>
        </w:rPr>
      </w:r>
    </w:p>
    <w:p w:rsidR="00000000" w:rsidDel="00000000" w:rsidP="00000000" w:rsidRDefault="00000000" w:rsidRPr="00000000" w14:paraId="000000DE">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financial penalties are imposed by the Information Commissioner on either the Relevant Authority or the Supplier for a Personal Data Breach ("</w:t>
      </w:r>
      <w:r w:rsidDel="00000000" w:rsidR="00000000" w:rsidRPr="00000000">
        <w:rPr>
          <w:rFonts w:ascii="Arial" w:cs="Arial" w:eastAsia="Arial" w:hAnsi="Arial"/>
          <w:b w:val="1"/>
          <w:color w:val="000000"/>
          <w:sz w:val="24"/>
          <w:szCs w:val="24"/>
          <w:rtl w:val="0"/>
        </w:rPr>
        <w:t xml:space="preserve">Financial Penalties</w:t>
      </w:r>
      <w:r w:rsidDel="00000000" w:rsidR="00000000" w:rsidRPr="00000000">
        <w:rPr>
          <w:rFonts w:ascii="Arial" w:cs="Arial" w:eastAsia="Arial" w:hAnsi="Arial"/>
          <w:color w:val="000000"/>
          <w:sz w:val="24"/>
          <w:szCs w:val="24"/>
          <w:rtl w:val="0"/>
        </w:rPr>
        <w:t xml:space="preserve">") then the following shall occur:</w:t>
      </w:r>
    </w:p>
    <w:p w:rsidR="00000000" w:rsidDel="00000000" w:rsidP="00000000" w:rsidRDefault="00000000" w:rsidRPr="00000000" w14:paraId="000000DF">
      <w:pPr>
        <w:numPr>
          <w:ilvl w:val="2"/>
          <w:numId w:val="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Relevant Authority is responsible for the Personal Data Breach, in that it is caused as a result of the actions or inaction of the Relevant Authority, its employees, agents, contractors (other than the Supplier) or systems and procedures controlled by the Relevant Authority, then the Relevant Authority shall be responsible for the payment of such Financial Penalties. In this case, the Relevant Authority will conduct an internal audit and engage at its reasonable cost when necessary, an independent third party to conduct an audit of any such Personal Data Breach. The Supplier shall provide to the Relevant Authority and its third party investigators and auditors, on request and at the Supplier's reasonable cost, full cooperation and access to conduct a thorough audit of such Personal Data Breach; </w:t>
      </w:r>
    </w:p>
    <w:p w:rsidR="00000000" w:rsidDel="00000000" w:rsidP="00000000" w:rsidRDefault="00000000" w:rsidRPr="00000000" w14:paraId="000000E0">
      <w:pPr>
        <w:numPr>
          <w:ilvl w:val="2"/>
          <w:numId w:val="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Supplier is responsible for the Personal Data Breach, in that it is not a Personal Data Breach that the Relevant Authority is responsible for, then the Supplier shall be responsible for the payment of these Financial Penalties. The Supplier will provide to the Relevant Authority and its auditors, on request and at the Supplier’s sole cost, full cooperation and access to conduct a thorough audit of such Personal Data Breach; or</w:t>
      </w:r>
    </w:p>
    <w:p w:rsidR="00000000" w:rsidDel="00000000" w:rsidP="00000000" w:rsidRDefault="00000000" w:rsidRPr="00000000" w14:paraId="000000E1">
      <w:pPr>
        <w:numPr>
          <w:ilvl w:val="2"/>
          <w:numId w:val="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no view as to responsibility is expressed by the Information Commissioner, then the Relevant Authority and the Supplier shall work together to investigate the relevant Personal Data Breach and allocate responsibility for any Financial Penalties as outlined above, or by agreement to split any financial penalties equally if no responsibility for the Personal Data Breach can be apportioned. In the event that the Parties do not agree such apportionment then such Dispute shall be referred to the Dispute Resolution Procedure set out in Clause 34 of the Core Terms (Resolving disputes). </w:t>
      </w:r>
    </w:p>
    <w:p w:rsidR="00000000" w:rsidDel="00000000" w:rsidP="00000000" w:rsidRDefault="00000000" w:rsidRPr="00000000" w14:paraId="000000E2">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either the Relevant Authority or the Supplier is the defendant in a legal claim brought before a court of competent jurisdiction (“Court”) by a third party in respect of a Personal Data Breach, then unless the Parties otherwise agree, the Party that is determined by the final decision of the court to be responsible for the Personal Data Breach shall be liable for the losses arising from such Personal Data Breach. Where both Parties are liable, the liability will be apportioned between the Parties in accordance with the decision of the Court.  </w:t>
      </w:r>
    </w:p>
    <w:p w:rsidR="00000000" w:rsidDel="00000000" w:rsidP="00000000" w:rsidRDefault="00000000" w:rsidRPr="00000000" w14:paraId="000000E3">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losses, cost claims or expenses incurred by either Party as a result of a Personal Data Breach (the “Claim Losses”):</w:t>
      </w:r>
    </w:p>
    <w:p w:rsidR="00000000" w:rsidDel="00000000" w:rsidP="00000000" w:rsidRDefault="00000000" w:rsidRPr="00000000" w14:paraId="000000E4">
      <w:pPr>
        <w:numPr>
          <w:ilvl w:val="2"/>
          <w:numId w:val="5"/>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Relevant Authority is responsible for the relevant Personal Data Breach, then the Relevant Authority shall be responsible for the Claim Losses;</w:t>
      </w:r>
    </w:p>
    <w:p w:rsidR="00000000" w:rsidDel="00000000" w:rsidP="00000000" w:rsidRDefault="00000000" w:rsidRPr="00000000" w14:paraId="000000E5">
      <w:pPr>
        <w:numPr>
          <w:ilvl w:val="2"/>
          <w:numId w:val="5"/>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responsible for the relevant Personal Data Breach, then the Supplier shall be responsible for the Claim Losses: and</w:t>
      </w:r>
    </w:p>
    <w:p w:rsidR="00000000" w:rsidDel="00000000" w:rsidP="00000000" w:rsidRDefault="00000000" w:rsidRPr="00000000" w14:paraId="000000E6">
      <w:pPr>
        <w:numPr>
          <w:ilvl w:val="2"/>
          <w:numId w:val="5"/>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responsibility for the relevant Personal Data Breach is unclear, then the Relevant Authority and the Supplier shall be responsible for the Claim Losses equally. </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8">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Nothing in either clause 7.2 or clause 7.3 shall preclude the Relevant Authority and the Supplier reaching any other agreement, including by way of compromise with a third party complainant or claimant, as to the apportionment of financial responsibility for any Claim Losses as a result of a Personal Data Breach, having regard to all the circumstances of the Personal Data Breach and the legal and financial obligations of the Relevant Authority.</w:t>
      </w:r>
    </w:p>
    <w:p w:rsidR="00000000" w:rsidDel="00000000" w:rsidP="00000000" w:rsidRDefault="00000000" w:rsidRPr="00000000" w14:paraId="000000E9">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w:t>
      </w:r>
    </w:p>
    <w:p w:rsidR="00000000" w:rsidDel="00000000" w:rsidP="00000000" w:rsidRDefault="00000000" w:rsidRPr="00000000" w14:paraId="000000EA">
      <w:pPr>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in material Default under any of its obligations under this Annex 2 (</w:t>
      </w:r>
      <w:r w:rsidDel="00000000" w:rsidR="00000000" w:rsidRPr="00000000">
        <w:rPr>
          <w:rFonts w:ascii="Arial" w:cs="Arial" w:eastAsia="Arial" w:hAnsi="Arial"/>
          <w:i w:val="1"/>
          <w:sz w:val="24"/>
          <w:szCs w:val="24"/>
          <w:rtl w:val="0"/>
        </w:rPr>
        <w:t xml:space="preserve">Joint Controller Agreement</w:t>
      </w:r>
      <w:r w:rsidDel="00000000" w:rsidR="00000000" w:rsidRPr="00000000">
        <w:rPr>
          <w:rFonts w:ascii="Arial" w:cs="Arial" w:eastAsia="Arial" w:hAnsi="Arial"/>
          <w:sz w:val="24"/>
          <w:szCs w:val="24"/>
          <w:rtl w:val="0"/>
        </w:rPr>
        <w:t xml:space="preserve">), the Relevant Authority shall be entitled to terminate the Contract by issuing a Termination Notice to the Supplier in accordance with Clause 10 of the Core Terms (</w:t>
      </w:r>
      <w:r w:rsidDel="00000000" w:rsidR="00000000" w:rsidRPr="00000000">
        <w:rPr>
          <w:rFonts w:ascii="Arial" w:cs="Arial" w:eastAsia="Arial" w:hAnsi="Arial"/>
          <w:i w:val="1"/>
          <w:sz w:val="24"/>
          <w:szCs w:val="24"/>
          <w:rtl w:val="0"/>
        </w:rPr>
        <w:t xml:space="preserve">Ending the contract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EB">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Sub-Processing</w:t>
      </w:r>
      <w:r w:rsidDel="00000000" w:rsidR="00000000" w:rsidRPr="00000000">
        <w:rPr>
          <w:rtl w:val="0"/>
        </w:rPr>
      </w:r>
    </w:p>
    <w:p w:rsidR="00000000" w:rsidDel="00000000" w:rsidP="00000000" w:rsidRDefault="00000000" w:rsidRPr="00000000" w14:paraId="000000EC">
      <w:pPr>
        <w:numPr>
          <w:ilvl w:val="3"/>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Processing of Personal Data performed by a third party on behalf of a Party, that Party shall:</w:t>
      </w:r>
    </w:p>
    <w:p w:rsidR="00000000" w:rsidDel="00000000" w:rsidP="00000000" w:rsidRDefault="00000000" w:rsidRPr="00000000" w14:paraId="000000ED">
      <w:pPr>
        <w:numPr>
          <w:ilvl w:val="2"/>
          <w:numId w:val="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carry out adequate due diligence on such third party to ensure that it is capable of providing the level of protection for the Personal Data as is required by the Contract, and  provide evidence of such due diligence to the  other Party where reasonably requested; and</w:t>
      </w:r>
    </w:p>
    <w:p w:rsidR="00000000" w:rsidDel="00000000" w:rsidP="00000000" w:rsidRDefault="00000000" w:rsidRPr="00000000" w14:paraId="000000EE">
      <w:pPr>
        <w:numPr>
          <w:ilvl w:val="2"/>
          <w:numId w:val="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 suitable agreement is in place with the third party as required under applicable Data Protection Legislation.</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0">
      <w:pPr>
        <w:numPr>
          <w:ilvl w:val="2"/>
          <w:numId w:val="4"/>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Data Retention</w:t>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left" w:pos="-179"/>
        </w:tabs>
        <w:spacing w:after="120" w:line="240" w:lineRule="auto"/>
        <w:ind w:left="72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a Party for statutory compliance purposes or as otherwise required by the Contract), and taking all further actions as may be necessary to ensure its compliance with Data Protection Legislation and its privacy policy. </w:t>
      </w: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tabs>
          <w:tab w:val="left" w:pos="-179"/>
        </w:tabs>
        <w:spacing w:after="120" w:line="240" w:lineRule="auto"/>
        <w:ind w:left="2160" w:hanging="2160"/>
        <w:jc w:val="both"/>
        <w:rPr>
          <w:rFonts w:ascii="Arial" w:cs="Arial" w:eastAsia="Arial" w:hAnsi="Arial"/>
          <w:color w:val="000000"/>
          <w:sz w:val="24"/>
          <w:szCs w:val="24"/>
        </w:rPr>
      </w:pPr>
      <w:r w:rsidDel="00000000" w:rsidR="00000000" w:rsidRPr="00000000">
        <w:rPr>
          <w:rtl w:val="0"/>
        </w:rPr>
      </w:r>
    </w:p>
    <w:bookmarkStart w:colFirst="0" w:colLast="0" w:name="bookmark=id.1ksv4uv" w:id="16"/>
    <w:bookmarkEnd w:id="16"/>
    <w:p w:rsidR="00000000" w:rsidDel="00000000" w:rsidP="00000000" w:rsidRDefault="00000000" w:rsidRPr="00000000" w14:paraId="000000F3">
      <w:pPr>
        <w:keepNext w:val="1"/>
        <w:pBdr>
          <w:top w:space="0" w:sz="0" w:val="nil"/>
          <w:left w:space="0" w:sz="0" w:val="nil"/>
          <w:bottom w:space="0" w:sz="0" w:val="nil"/>
          <w:right w:space="0" w:sz="0" w:val="nil"/>
          <w:between w:space="0" w:sz="0" w:val="nil"/>
        </w:pBdr>
        <w:spacing w:after="240" w:before="240" w:lineRule="auto"/>
        <w:ind w:left="720" w:hanging="720"/>
        <w:jc w:val="both"/>
        <w:rPr>
          <w:rFonts w:ascii="Arial" w:cs="Arial" w:eastAsia="Arial" w:hAnsi="Arial"/>
          <w:b w:val="1"/>
          <w:color w:val="000000"/>
          <w:sz w:val="24"/>
          <w:szCs w:val="24"/>
        </w:rPr>
      </w:pPr>
      <w:bookmarkStart w:colFirst="0" w:colLast="0" w:name="_heading=h.44sinio" w:id="17"/>
      <w:bookmarkEnd w:id="17"/>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F8">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F9">
    <w:pPr>
      <w:spacing w:after="0" w:lineRule="auto"/>
      <w:rPr/>
    </w:pPr>
    <w:r w:rsidDel="00000000" w:rsidR="00000000" w:rsidRPr="00000000">
      <w:rPr>
        <w:rFonts w:ascii="Arial" w:cs="Arial" w:eastAsia="Arial" w:hAnsi="Arial"/>
        <w:sz w:val="20"/>
        <w:szCs w:val="20"/>
        <w:rtl w:val="0"/>
      </w:rPr>
      <w:t xml:space="preserve">Model Version: v3.0</w:t>
      <w:tab/>
      <w:tab/>
      <w:tab/>
      <w:tab/>
      <w:tab/>
      <w:tab/>
      <w:tab/>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A">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FB">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FC">
    <w:pPr>
      <w:spacing w:after="0" w:lineRule="auto"/>
      <w:rPr/>
    </w:pPr>
    <w:r w:rsidDel="00000000" w:rsidR="00000000" w:rsidRPr="00000000">
      <w:rPr>
        <w:rFonts w:ascii="Arial" w:cs="Arial" w:eastAsia="Arial" w:hAnsi="Arial"/>
        <w:sz w:val="20"/>
        <w:szCs w:val="20"/>
        <w:rtl w:val="0"/>
      </w:rPr>
      <w:t xml:space="preserve">Model Version: v4.3</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-13330</wp:posOffset>
          </wp:positionV>
          <wp:extent cx="849085" cy="685627"/>
          <wp:effectExtent b="0" l="0" r="0" t="0"/>
          <wp:wrapNone/>
          <wp:docPr descr="Crown Commercial Service" id="5"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11 (Processing Data)</w:t>
    </w:r>
  </w:p>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4">
    <w:lvl w:ilvl="0">
      <w:start w:val="1"/>
      <w:numFmt w:val="decimal"/>
      <w:lvlText w:val="Schedule %1"/>
      <w:lvlJc w:val="left"/>
      <w:pPr>
        <w:ind w:left="360" w:hanging="360"/>
      </w:pPr>
      <w:rPr>
        <w:color w:val="000000"/>
      </w:rPr>
    </w:lvl>
    <w:lvl w:ilvl="1">
      <w:start w:val="1"/>
      <w:numFmt w:val="decimal"/>
      <w:lvlText w:val="Part %2"/>
      <w:lvlJc w:val="left"/>
      <w:pPr>
        <w:ind w:left="357" w:hanging="357"/>
      </w:pPr>
      <w:r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rPr/>
    </w:lvl>
    <w:lvl w:ilvl="5">
      <w:start w:val="1"/>
      <w:numFmt w:val="lowerRoman"/>
      <w:lvlText w:val="(%6)"/>
      <w:lvlJc w:val="left"/>
      <w:pPr>
        <w:ind w:left="2275" w:hanging="576"/>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9">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0">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1">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2">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3">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240" w:lineRule="auto"/>
      <w:ind w:left="567" w:hanging="567"/>
      <w:jc w:val="both"/>
    </w:pPr>
    <w:rPr>
      <w:rFonts w:ascii="Arial" w:cs="Arial" w:eastAsia="Arial" w:hAnsi="Arial"/>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rFonts w:ascii="Arial" w:cs="Arial" w:eastAsia="Arial" w:hAnsi="Arial"/>
    </w:rPr>
  </w:style>
  <w:style w:type="paragraph" w:styleId="Heading5">
    <w:name w:val="heading 5"/>
    <w:basedOn w:val="Normal"/>
    <w:next w:val="Normal"/>
    <w:pPr>
      <w:spacing w:after="240" w:line="240" w:lineRule="auto"/>
      <w:ind w:left="1985" w:hanging="566.9999999999999"/>
      <w:jc w:val="both"/>
    </w:pPr>
    <w:rPr>
      <w:rFonts w:ascii="Arial" w:cs="Arial" w:eastAsia="Arial" w:hAnsi="Arial"/>
    </w:rPr>
  </w:style>
  <w:style w:type="paragraph" w:styleId="Heading6">
    <w:name w:val="heading 6"/>
    <w:basedOn w:val="Normal"/>
    <w:next w:val="Normal"/>
    <w:pPr>
      <w:spacing w:after="240" w:line="240" w:lineRule="auto"/>
      <w:ind w:left="432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val="1"/>
    <w:rsid w:val="002404A4"/>
    <w:pPr>
      <w:tabs>
        <w:tab w:val="num" w:pos="720"/>
      </w:tabs>
      <w:spacing w:after="240" w:line="240" w:lineRule="auto"/>
      <w:ind w:left="567" w:hanging="567"/>
      <w:jc w:val="both"/>
      <w:outlineLvl w:val="0"/>
    </w:pPr>
    <w:rPr>
      <w:rFonts w:ascii="Arial" w:cs="Arial" w:hAnsi="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1"/>
    </w:pPr>
    <w:rPr>
      <w:rFonts w:ascii="Cambria" w:cs="Cambria" w:eastAsia="Cambria" w:hAnsi="Cambria"/>
      <w:b w:val="1"/>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2"/>
    </w:pPr>
    <w:rPr>
      <w:rFonts w:ascii="Cambria" w:cs="Cambria" w:eastAsia="Cambria" w:hAnsi="Cambria"/>
      <w:b w:val="1"/>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val="1"/>
    <w:unhideWhenUsed w:val="1"/>
    <w:qFormat w:val="1"/>
    <w:rsid w:val="002404A4"/>
    <w:pPr>
      <w:tabs>
        <w:tab w:val="num" w:pos="2268"/>
      </w:tabs>
      <w:spacing w:after="240" w:line="240" w:lineRule="auto"/>
      <w:ind w:left="2268" w:hanging="850"/>
      <w:jc w:val="both"/>
      <w:outlineLvl w:val="3"/>
    </w:pPr>
    <w:rPr>
      <w:rFonts w:ascii="Arial" w:cs="Arial" w:hAnsi="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val="1"/>
    <w:unhideWhenUsed w:val="1"/>
    <w:qFormat w:val="1"/>
    <w:rsid w:val="002404A4"/>
    <w:pPr>
      <w:tabs>
        <w:tab w:val="num" w:pos="1985"/>
      </w:tabs>
      <w:spacing w:after="240" w:line="240" w:lineRule="auto"/>
      <w:ind w:left="1985" w:hanging="567"/>
      <w:jc w:val="both"/>
      <w:outlineLvl w:val="4"/>
    </w:pPr>
    <w:rPr>
      <w:rFonts w:ascii="Arial" w:cs="Arial" w:hAnsi="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val="1"/>
    <w:unhideWhenUsed w:val="1"/>
    <w:qFormat w:val="1"/>
    <w:rsid w:val="002404A4"/>
    <w:pPr>
      <w:tabs>
        <w:tab w:val="num" w:pos="4320"/>
      </w:tabs>
      <w:spacing w:after="240" w:line="240" w:lineRule="auto"/>
      <w:ind w:left="4320" w:hanging="720"/>
      <w:jc w:val="both"/>
      <w:outlineLvl w:val="5"/>
    </w:pPr>
    <w:rPr>
      <w:rFonts w:ascii="Arial" w:cs="Arial" w:hAnsi="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val="1"/>
    <w:unhideWhenUsed w:val="1"/>
    <w:qFormat w:val="1"/>
    <w:rsid w:val="002404A4"/>
    <w:pPr>
      <w:tabs>
        <w:tab w:val="num" w:pos="5040"/>
      </w:tabs>
      <w:spacing w:after="240" w:line="240" w:lineRule="auto"/>
      <w:ind w:left="5040" w:hanging="720"/>
      <w:jc w:val="both"/>
      <w:outlineLvl w:val="6"/>
    </w:pPr>
    <w:rPr>
      <w:rFonts w:ascii="Times New Roman" w:cs="Times New Roman" w:hAnsi="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val="1"/>
    <w:unhideWhenUsed w:val="1"/>
    <w:qFormat w:val="1"/>
    <w:rsid w:val="002404A4"/>
    <w:pPr>
      <w:tabs>
        <w:tab w:val="num" w:pos="5040"/>
      </w:tabs>
      <w:spacing w:after="240" w:line="240" w:lineRule="auto"/>
      <w:ind w:left="5040" w:hanging="720"/>
      <w:jc w:val="both"/>
      <w:outlineLvl w:val="7"/>
    </w:pPr>
    <w:rPr>
      <w:rFonts w:ascii="Times New Roman" w:cs="Times New Roman" w:hAnsi="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val="1"/>
    <w:unhideWhenUsed w:val="1"/>
    <w:qFormat w:val="1"/>
    <w:rsid w:val="002404A4"/>
    <w:pPr>
      <w:tabs>
        <w:tab w:val="num" w:pos="5040"/>
      </w:tabs>
      <w:spacing w:after="240" w:line="240" w:lineRule="auto"/>
      <w:ind w:left="5040" w:hanging="720"/>
      <w:jc w:val="both"/>
      <w:outlineLvl w:val="8"/>
    </w:pPr>
    <w:rPr>
      <w:rFonts w:ascii="Times New Roman" w:cs="Times New Roman" w:hAnsi="Times New Roman"/>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cs="Arial" w:eastAsia="STZhongsong"/>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cs="Arial" w:eastAsia="Times New Roman"/>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cheduleTitleClause" w:customStyle="1">
    <w:name w:val="Schedule Title Clause"/>
    <w:basedOn w:val="Normal"/>
    <w:rsid w:val="002771AA"/>
    <w:pPr>
      <w:keepNext w:val="1"/>
      <w:numPr>
        <w:ilvl w:val="2"/>
        <w:numId w:val="16"/>
      </w:numPr>
      <w:spacing w:after="240" w:before="240" w:line="300" w:lineRule="atLeast"/>
      <w:jc w:val="both"/>
      <w:outlineLvl w:val="0"/>
    </w:pPr>
    <w:rPr>
      <w:rFonts w:ascii="Arial" w:cs="Times New Roman" w:eastAsia="Times New Roman" w:hAnsi="Arial"/>
      <w:b w:val="1"/>
      <w:color w:val="000000"/>
      <w:kern w:val="28"/>
      <w:szCs w:val="20"/>
    </w:rPr>
  </w:style>
  <w:style w:type="paragraph" w:styleId="ScheduleUntitledsubclause1" w:customStyle="1">
    <w:name w:val="Schedule Untitled subclause 1"/>
    <w:basedOn w:val="Normal"/>
    <w:rsid w:val="002771AA"/>
    <w:pPr>
      <w:numPr>
        <w:ilvl w:val="3"/>
        <w:numId w:val="16"/>
      </w:numPr>
      <w:spacing w:after="120" w:before="280" w:line="300" w:lineRule="atLeast"/>
      <w:jc w:val="both"/>
      <w:outlineLvl w:val="1"/>
    </w:pPr>
    <w:rPr>
      <w:rFonts w:ascii="Arial" w:cs="Times New Roman" w:eastAsia="Times New Roman" w:hAnsi="Arial"/>
      <w:color w:val="000000"/>
      <w:szCs w:val="20"/>
    </w:rPr>
  </w:style>
  <w:style w:type="paragraph" w:styleId="ScheduleUntitledsubclause2" w:customStyle="1">
    <w:name w:val="Schedule Untitled subclause 2"/>
    <w:basedOn w:val="Normal"/>
    <w:rsid w:val="002771AA"/>
    <w:pPr>
      <w:numPr>
        <w:ilvl w:val="4"/>
        <w:numId w:val="16"/>
      </w:numPr>
      <w:spacing w:after="120" w:line="300" w:lineRule="atLeast"/>
      <w:jc w:val="both"/>
      <w:outlineLvl w:val="2"/>
    </w:pPr>
    <w:rPr>
      <w:rFonts w:ascii="Arial" w:cs="Times New Roman" w:eastAsia="Times New Roman" w:hAnsi="Arial"/>
      <w:color w:val="000000"/>
      <w:szCs w:val="20"/>
    </w:rPr>
  </w:style>
  <w:style w:type="paragraph" w:styleId="ScheduleUntitledsubclause3" w:customStyle="1">
    <w:name w:val="Schedule Untitled subclause 3"/>
    <w:basedOn w:val="Normal"/>
    <w:rsid w:val="002771AA"/>
    <w:pPr>
      <w:numPr>
        <w:ilvl w:val="5"/>
        <w:numId w:val="16"/>
      </w:numPr>
      <w:tabs>
        <w:tab w:val="left" w:pos="2261"/>
      </w:tabs>
      <w:spacing w:after="120" w:line="300" w:lineRule="atLeast"/>
      <w:jc w:val="both"/>
      <w:outlineLvl w:val="3"/>
    </w:pPr>
    <w:rPr>
      <w:rFonts w:ascii="Arial" w:cs="Times New Roman" w:eastAsia="Times New Roman" w:hAnsi="Arial"/>
      <w:color w:val="000000"/>
      <w:szCs w:val="20"/>
    </w:rPr>
  </w:style>
  <w:style w:type="paragraph" w:styleId="Schedule" w:customStyle="1">
    <w:name w:val="Schedule"/>
    <w:qFormat w:val="1"/>
    <w:rsid w:val="002771AA"/>
    <w:pPr>
      <w:numPr>
        <w:numId w:val="16"/>
      </w:numPr>
      <w:spacing w:after="240" w:before="240" w:line="240" w:lineRule="atLeast"/>
    </w:pPr>
    <w:rPr>
      <w:rFonts w:ascii="Arial" w:cs="Times New Roman" w:eastAsia="Times New Roman" w:hAnsi="Arial"/>
      <w:b w:val="1"/>
      <w:color w:val="000000"/>
      <w:lang w:val="en-US"/>
    </w:rPr>
  </w:style>
  <w:style w:type="paragraph" w:styleId="Part" w:customStyle="1">
    <w:name w:val="Part"/>
    <w:basedOn w:val="Normal"/>
    <w:qFormat w:val="1"/>
    <w:rsid w:val="002771AA"/>
    <w:pPr>
      <w:numPr>
        <w:ilvl w:val="1"/>
        <w:numId w:val="16"/>
      </w:numPr>
      <w:spacing w:after="240" w:before="240" w:line="300" w:lineRule="atLeast"/>
    </w:pPr>
    <w:rPr>
      <w:rFonts w:ascii="Arial" w:cs="Times New Roman" w:eastAsia="Times New Roman" w:hAnsi="Arial"/>
      <w:b w:val="1"/>
      <w:color w:val="000000"/>
      <w:szCs w:val="20"/>
    </w:rPr>
  </w:style>
  <w:style w:type="paragraph" w:styleId="NormalWeb">
    <w:name w:val="Normal (Web)"/>
    <w:basedOn w:val="Normal"/>
    <w:uiPriority w:val="99"/>
    <w:unhideWhenUsed w:val="1"/>
    <w:rsid w:val="00712566"/>
    <w:pPr>
      <w:spacing w:after="100" w:afterAutospacing="1" w:before="100" w:beforeAutospacing="1" w:line="240" w:lineRule="auto"/>
    </w:pPr>
    <w:rPr>
      <w:rFonts w:ascii="Times New Roman" w:cs="Times New Roman" w:hAnsi="Times New Roman"/>
      <w:sz w:val="24"/>
      <w:szCs w:val="24"/>
    </w:rPr>
  </w:style>
  <w:style w:type="character" w:styleId="gmail-apple-tab-span" w:customStyle="1">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val="1"/>
    <w:rsid w:val="000859BA"/>
    <w:pPr>
      <w:suppressAutoHyphens w:val="1"/>
      <w:autoSpaceDN w:val="0"/>
      <w:ind w:left="720"/>
      <w:textAlignment w:val="baseline"/>
    </w:pPr>
    <w:rPr>
      <w:rFonts w:cs="Times New Roman"/>
    </w:rPr>
  </w:style>
  <w:style w:type="paragraph" w:styleId="GPsDefinition" w:customStyle="1">
    <w:name w:val="GPs Definition"/>
    <w:basedOn w:val="Normal"/>
    <w:qFormat w:val="1"/>
    <w:rsid w:val="000859BA"/>
    <w:pPr>
      <w:tabs>
        <w:tab w:val="left" w:pos="-179"/>
      </w:tabs>
      <w:overflowPunct w:val="0"/>
      <w:autoSpaceDE w:val="0"/>
      <w:autoSpaceDN w:val="0"/>
      <w:spacing w:after="120" w:line="240" w:lineRule="auto"/>
      <w:jc w:val="both"/>
      <w:textAlignment w:val="baseline"/>
    </w:pPr>
    <w:rPr>
      <w:rFonts w:ascii="Arial" w:cs="Arial" w:eastAsia="Times New Roman" w:hAnsi="Arial"/>
    </w:rPr>
  </w:style>
  <w:style w:type="character" w:styleId="Heading2Char" w:customStyle="1">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cs="Cambria" w:eastAsia="Cambria" w:hAnsi="Cambria"/>
      <w:b w:val="1"/>
      <w:color w:val="000000"/>
      <w:sz w:val="26"/>
      <w:szCs w:val="26"/>
      <w:lang w:eastAsia="en-GB"/>
    </w:rPr>
  </w:style>
  <w:style w:type="character" w:styleId="Heading3Char" w:customStyle="1">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cs="Cambria" w:eastAsia="Cambria" w:hAnsi="Cambria"/>
      <w:b w:val="1"/>
      <w:color w:val="000000"/>
      <w:lang w:eastAsia="en-GB"/>
    </w:rPr>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cs="Arial" w:hAnsi="Arial"/>
      <w:lang w:eastAsia="zh-CN"/>
    </w:rPr>
  </w:style>
  <w:style w:type="character" w:styleId="Heading4Char" w:customStyle="1">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val="1"/>
    <w:rsid w:val="002404A4"/>
    <w:rPr>
      <w:rFonts w:ascii="Arial" w:cs="Arial" w:hAnsi="Arial"/>
      <w:lang w:eastAsia="zh-CN"/>
    </w:rPr>
  </w:style>
  <w:style w:type="character" w:styleId="Heading5Char" w:customStyle="1">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val="1"/>
    <w:rsid w:val="002404A4"/>
    <w:rPr>
      <w:rFonts w:ascii="Arial" w:cs="Arial" w:hAnsi="Arial"/>
      <w:lang w:eastAsia="zh-CN"/>
    </w:rPr>
  </w:style>
  <w:style w:type="character" w:styleId="Heading6Char" w:customStyle="1">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val="1"/>
    <w:rsid w:val="002404A4"/>
    <w:rPr>
      <w:rFonts w:ascii="Arial" w:cs="Arial" w:hAnsi="Arial"/>
      <w:lang w:eastAsia="zh-CN"/>
    </w:rPr>
  </w:style>
  <w:style w:type="character" w:styleId="Heading7Char" w:customStyle="1">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val="1"/>
    <w:rsid w:val="002404A4"/>
    <w:rPr>
      <w:rFonts w:ascii="Times New Roman" w:cs="Times New Roman" w:hAnsi="Times New Roman"/>
      <w:lang w:eastAsia="zh-CN"/>
    </w:rPr>
  </w:style>
  <w:style w:type="character" w:styleId="Heading8Char" w:customStyle="1">
    <w:name w:val="Heading 8 Char"/>
    <w:aliases w:val="Heading 8 (Do Not Use) Char,Legal Level 1.1.1. Char,Lev 8 Char,h8 DO NOT USE Char,PA Appendix Minor Char,Blank 4 Char,code/paths Char"/>
    <w:basedOn w:val="DefaultParagraphFont"/>
    <w:link w:val="Heading8"/>
    <w:uiPriority w:val="9"/>
    <w:semiHidden w:val="1"/>
    <w:rsid w:val="002404A4"/>
    <w:rPr>
      <w:rFonts w:ascii="Times New Roman" w:cs="Times New Roman" w:hAnsi="Times New Roman"/>
      <w:lang w:eastAsia="zh-CN"/>
    </w:rPr>
  </w:style>
  <w:style w:type="character" w:styleId="Heading9Char" w:customStyle="1">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val="1"/>
    <w:rsid w:val="002404A4"/>
    <w:rPr>
      <w:rFonts w:ascii="Times New Roman" w:cs="Times New Roman" w:hAnsi="Times New Roman"/>
      <w:lang w:eastAsia="zh-CN"/>
    </w:rPr>
  </w:style>
  <w:style w:type="paragraph" w:styleId="GPSDefinitionL2" w:customStyle="1">
    <w:name w:val="GPS Definition L2"/>
    <w:basedOn w:val="GPsDefinition"/>
    <w:qFormat w:val="1"/>
    <w:rsid w:val="002404A4"/>
    <w:pPr>
      <w:tabs>
        <w:tab w:val="clear" w:pos="-179"/>
        <w:tab w:val="left" w:pos="175"/>
      </w:tabs>
      <w:adjustRightInd w:val="0"/>
      <w:ind w:left="1440" w:hanging="544"/>
    </w:pPr>
    <w:rPr>
      <w:rFonts w:ascii="Calibri" w:hAnsi="Calibri"/>
    </w:rPr>
  </w:style>
  <w:style w:type="paragraph" w:styleId="GPSDefinitionL3" w:customStyle="1">
    <w:name w:val="GPS Definition L3"/>
    <w:basedOn w:val="GPSDefinitionL2"/>
    <w:qFormat w:val="1"/>
    <w:rsid w:val="002404A4"/>
    <w:pPr>
      <w:ind w:left="1800" w:hanging="360"/>
    </w:pPr>
  </w:style>
  <w:style w:type="paragraph" w:styleId="GPSDefinitionL4" w:customStyle="1">
    <w:name w:val="GPS Definition L4"/>
    <w:basedOn w:val="GPSDefinitionL3"/>
    <w:qFormat w:val="1"/>
    <w:rsid w:val="002404A4"/>
    <w:pPr>
      <w:ind w:left="2160"/>
    </w:pPr>
  </w:style>
  <w:style w:type="character" w:styleId="ListParagraphChar" w:customStyle="1">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val="1"/>
    <w:rsid w:val="002404A4"/>
    <w:rPr>
      <w:rFonts w:ascii="Calibri" w:cs="Times New Roman" w:eastAsia="Calibri" w:hAnsi="Calibri"/>
    </w:rPr>
  </w:style>
  <w:style w:type="paragraph" w:styleId="ABackground" w:customStyle="1">
    <w:name w:val="(A) Background"/>
    <w:basedOn w:val="Normal"/>
    <w:rsid w:val="002404A4"/>
    <w:pPr>
      <w:numPr>
        <w:numId w:val="29"/>
      </w:numPr>
      <w:spacing w:after="120" w:before="120" w:line="300" w:lineRule="atLeast"/>
      <w:jc w:val="both"/>
    </w:pPr>
    <w:rPr>
      <w:rFonts w:ascii="Times New Roman" w:cs="Times New Roman" w:hAnsi="Times New Roman"/>
    </w:rPr>
  </w:style>
  <w:style w:type="paragraph" w:styleId="BackSubClause" w:customStyle="1">
    <w:name w:val="BackSubClause"/>
    <w:basedOn w:val="Normal"/>
    <w:rsid w:val="002404A4"/>
    <w:pPr>
      <w:numPr>
        <w:ilvl w:val="1"/>
        <w:numId w:val="29"/>
      </w:numPr>
      <w:spacing w:after="0" w:line="300" w:lineRule="atLeast"/>
      <w:jc w:val="both"/>
    </w:pPr>
    <w:rPr>
      <w:rFonts w:ascii="Times New Roman" w:cs="Times New Roman" w:hAnsi="Times New Roman"/>
    </w:rPr>
  </w:style>
  <w:style w:type="paragraph" w:styleId="TLTLevel1" w:customStyle="1">
    <w:name w:val="TLT Level 1"/>
    <w:basedOn w:val="Normal"/>
    <w:rsid w:val="002404A4"/>
    <w:pPr>
      <w:tabs>
        <w:tab w:val="num" w:pos="720"/>
      </w:tabs>
      <w:spacing w:before="100" w:line="240" w:lineRule="auto"/>
      <w:ind w:left="720" w:hanging="720"/>
    </w:pPr>
    <w:rPr>
      <w:rFonts w:ascii="Arial" w:cs="Arial" w:hAnsi="Arial"/>
      <w:sz w:val="20"/>
      <w:szCs w:val="20"/>
    </w:rPr>
  </w:style>
  <w:style w:type="character" w:styleId="TLTLevel2Char" w:customStyle="1">
    <w:name w:val="TLT Level 2 Char"/>
    <w:basedOn w:val="DefaultParagraphFont"/>
    <w:link w:val="TLTLevel2"/>
    <w:locked w:val="1"/>
    <w:rsid w:val="002404A4"/>
  </w:style>
  <w:style w:type="paragraph" w:styleId="TLTLevel2" w:customStyle="1">
    <w:name w:val="TLT Level 2"/>
    <w:basedOn w:val="Normal"/>
    <w:link w:val="TLTLevel2Char"/>
    <w:rsid w:val="002404A4"/>
    <w:pPr>
      <w:tabs>
        <w:tab w:val="num" w:pos="1440"/>
      </w:tabs>
      <w:spacing w:before="100" w:line="240" w:lineRule="auto"/>
      <w:ind w:left="1440" w:hanging="720"/>
    </w:pPr>
  </w:style>
  <w:style w:type="paragraph" w:styleId="TLTLevel3" w:customStyle="1">
    <w:name w:val="TLT Level 3"/>
    <w:basedOn w:val="Normal"/>
    <w:rsid w:val="002404A4"/>
    <w:pPr>
      <w:numPr>
        <w:ilvl w:val="2"/>
        <w:numId w:val="30"/>
      </w:numPr>
      <w:spacing w:before="100" w:line="240" w:lineRule="auto"/>
      <w:ind w:hanging="180"/>
    </w:pPr>
    <w:rPr>
      <w:rFonts w:ascii="Times New Roman" w:cs="Times New Roman" w:hAnsi="Times New Roman"/>
    </w:rPr>
  </w:style>
  <w:style w:type="paragraph" w:styleId="TLTLevel4" w:customStyle="1">
    <w:name w:val="TLT Level 4"/>
    <w:basedOn w:val="Normal"/>
    <w:rsid w:val="002404A4"/>
    <w:pPr>
      <w:numPr>
        <w:ilvl w:val="3"/>
        <w:numId w:val="30"/>
      </w:numPr>
      <w:spacing w:before="100" w:line="240" w:lineRule="auto"/>
      <w:ind w:hanging="360"/>
    </w:pPr>
    <w:rPr>
      <w:rFonts w:ascii="Times New Roman" w:cs="Times New Roman" w:hAnsi="Times New Roman"/>
    </w:rPr>
  </w:style>
  <w:style w:type="paragraph" w:styleId="TLTLevel5" w:customStyle="1">
    <w:name w:val="TLT Level 5"/>
    <w:basedOn w:val="Normal"/>
    <w:rsid w:val="002404A4"/>
    <w:pPr>
      <w:numPr>
        <w:ilvl w:val="4"/>
        <w:numId w:val="30"/>
      </w:numPr>
      <w:spacing w:before="100" w:line="240" w:lineRule="auto"/>
      <w:ind w:hanging="360"/>
    </w:pPr>
    <w:rPr>
      <w:rFonts w:ascii="Times New Roman" w:cs="Times New Roman" w:hAnsi="Times New Roman"/>
    </w:rPr>
  </w:style>
  <w:style w:type="numbering" w:styleId="Level" w:customStyle="1">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cs="Times New Roman" w:eastAsia="Times New Roman" w:hAnsi="Trebuchet MS"/>
      <w:sz w:val="20"/>
      <w:szCs w:val="20"/>
    </w:rPr>
  </w:style>
  <w:style w:type="character" w:styleId="BodyTextChar" w:customStyle="1">
    <w:name w:val="Body Text Char"/>
    <w:basedOn w:val="DefaultParagraphFont"/>
    <w:link w:val="BodyText"/>
    <w:uiPriority w:val="99"/>
    <w:rsid w:val="006D1BF4"/>
    <w:rPr>
      <w:rFonts w:ascii="Trebuchet MS" w:cs="Times New Roman" w:eastAsia="Times New Roman" w:hAnsi="Trebuchet MS"/>
      <w:sz w:val="20"/>
      <w:szCs w:val="20"/>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sz w:val="20"/>
      <w:szCs w:val="20"/>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table" w:styleId="a3"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oAr1hMJfKoDVkUi4CkNS7nsmqw==">AMUW2mXtw4il8FbAH/JUeizND+Rklg4sFHLRvjTPXXVKpDzSY+IT/qi20RO5tPeIoGufptzdlj2s3QjZajndgRDHHVHmJLXVXWzo1mfFw+3ktyNP/+c1CCcJcqd7xSVb33uZryHs/dzOW+z/G36c5VuOpcbCBU5hzYOlNJ+J5ebbVT1njKt/l2Q/bqflUAftqOmhoCIeq7kf73K/1awXATwRhfK3YVEWy7YB6L1dmB25TTZYkX3J0Iro8oNqVCavKL4HPHRLthQlIwuLlonrSflVEcAGf0zbqQUOPLbdV7bBEiB9UfAYZh+htZSwwCozTNavBzSlxatDMN1SU9jPE15nMkwmuSE7mRCctjmd02davFZ4VXWRPY+AvBPphtcPsNaGesE15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2020-12-15T16:39:00Z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