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Rule="auto"/>
              <w:jc w:val="left"/>
              <w:rPr>
                <w:rFonts w:ascii="Arial" w:cs="Arial" w:eastAsia="Arial" w:hAnsi="Arial"/>
                <w:b w:val="1"/>
                <w:highlight w:val="yellow"/>
              </w:rPr>
            </w:pPr>
            <w:bookmarkStart w:colFirst="0" w:colLast="0" w:name="_heading=h.3dy6vkm" w:id="0"/>
            <w:bookmarkEnd w:id="0"/>
            <w:r w:rsidDel="00000000" w:rsidR="00000000" w:rsidRPr="00000000">
              <w:rPr>
                <w:rFonts w:ascii="Arial" w:cs="Arial" w:eastAsia="Arial" w:hAnsi="Arial"/>
                <w:b w:val="1"/>
                <w:highlight w:val="yellow"/>
                <w:rtl w:val="0"/>
              </w:rPr>
              <w:t xml:space="preserve">PLEASE RETAIN A COPY OF THIS SCHEDULE AS THIS FORMS PART OF YOUR CALL-OFF CONTRACT</w:t>
            </w:r>
          </w:p>
        </w:tc>
      </w:tr>
    </w:tbl>
    <w:p w:rsidR="00000000" w:rsidDel="00000000" w:rsidP="00000000" w:rsidRDefault="00000000" w:rsidRPr="00000000" w14:paraId="00000003">
      <w:pP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513"/>
          <w:tab w:val="right" w:pos="9026"/>
        </w:tabs>
        <w:spacing w:after="0" w:lineRule="auto"/>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7 (Financial Difficulties)</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w:t>
      </w:r>
    </w:p>
    <w:p w:rsidR="00000000" w:rsidDel="00000000" w:rsidP="00000000" w:rsidRDefault="00000000" w:rsidRPr="00000000" w14:paraId="00000006">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p>
    <w:tbl>
      <w:tblPr>
        <w:tblStyle w:val="Table2"/>
        <w:tblW w:w="7560.0" w:type="dxa"/>
        <w:jc w:val="left"/>
        <w:tblInd w:w="1008.0" w:type="dxa"/>
        <w:tblLayout w:type="fixed"/>
        <w:tblLook w:val="0000"/>
      </w:tblPr>
      <w:tblGrid>
        <w:gridCol w:w="2462"/>
        <w:gridCol w:w="5098"/>
        <w:tblGridChange w:id="0">
          <w:tblGrid>
            <w:gridCol w:w="2462"/>
            <w:gridCol w:w="5098"/>
          </w:tblGrid>
        </w:tblGridChange>
      </w:tblGrid>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"Credit Rating Threshold"</w:t>
            </w:r>
          </w:p>
        </w:tc>
        <w:tc>
          <w:tcPr/>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minimum credit rating level for the Monitored Company as set out in Annex 2 and</w:t>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bookmarkStart w:colFirst="0" w:colLast="0" w:name="_heading=h.gjdgxs" w:id="1"/>
            <w:bookmarkEnd w:id="1"/>
            <w:r w:rsidDel="00000000" w:rsidR="00000000" w:rsidRPr="00000000">
              <w:rPr>
                <w:rFonts w:ascii="Arial" w:cs="Arial" w:eastAsia="Arial" w:hAnsi="Arial"/>
                <w:b w:val="1"/>
                <w:color w:val="000000"/>
                <w:sz w:val="24"/>
                <w:szCs w:val="24"/>
                <w:rtl w:val="0"/>
              </w:rPr>
              <w:t xml:space="preserve">"Financial Distress Event"</w:t>
            </w:r>
          </w:p>
        </w:tc>
        <w:tc>
          <w:tcPr/>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occurrence or one or more of the following events:</w:t>
            </w:r>
          </w:p>
          <w:p w:rsidR="00000000" w:rsidDel="00000000" w:rsidP="00000000" w:rsidRDefault="00000000" w:rsidRPr="00000000" w14:paraId="0000000B">
            <w:pPr>
              <w:numPr>
                <w:ilvl w:val="1"/>
                <w:numId w:val="2"/>
              </w:numPr>
              <w:pBdr>
                <w:top w:space="0" w:sz="0" w:val="nil"/>
                <w:left w:space="0" w:sz="0" w:val="nil"/>
                <w:bottom w:space="0" w:sz="0" w:val="nil"/>
                <w:right w:space="0" w:sz="0" w:val="nil"/>
                <w:between w:space="0" w:sz="0" w:val="nil"/>
              </w:pBdr>
              <w:tabs>
                <w:tab w:val="left" w:pos="175"/>
              </w:tabs>
              <w:spacing w:after="120" w:lineRule="auto"/>
              <w:ind w:left="720" w:hanging="544"/>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credit rating of the Monitored Company dropping below the applicable Credit Rating Threshold;</w:t>
            </w:r>
          </w:p>
          <w:p w:rsidR="00000000" w:rsidDel="00000000" w:rsidP="00000000" w:rsidRDefault="00000000" w:rsidRPr="00000000" w14:paraId="0000000C">
            <w:pPr>
              <w:numPr>
                <w:ilvl w:val="1"/>
                <w:numId w:val="2"/>
              </w:numPr>
              <w:pBdr>
                <w:top w:space="0" w:sz="0" w:val="nil"/>
                <w:left w:space="0" w:sz="0" w:val="nil"/>
                <w:bottom w:space="0" w:sz="0" w:val="nil"/>
                <w:right w:space="0" w:sz="0" w:val="nil"/>
                <w:between w:space="0" w:sz="0" w:val="nil"/>
              </w:pBdr>
              <w:tabs>
                <w:tab w:val="left" w:pos="175"/>
              </w:tabs>
              <w:spacing w:after="120" w:lineRule="auto"/>
              <w:ind w:left="720" w:hanging="544"/>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Monitored Company issuing a profits warning to a stock exchange or making any other public announcement about a material deterioration in its financial position or prospects;</w:t>
            </w:r>
          </w:p>
          <w:p w:rsidR="00000000" w:rsidDel="00000000" w:rsidP="00000000" w:rsidRDefault="00000000" w:rsidRPr="00000000" w14:paraId="0000000D">
            <w:pPr>
              <w:numPr>
                <w:ilvl w:val="1"/>
                <w:numId w:val="2"/>
              </w:numPr>
              <w:pBdr>
                <w:top w:space="0" w:sz="0" w:val="nil"/>
                <w:left w:space="0" w:sz="0" w:val="nil"/>
                <w:bottom w:space="0" w:sz="0" w:val="nil"/>
                <w:right w:space="0" w:sz="0" w:val="nil"/>
                <w:between w:space="0" w:sz="0" w:val="nil"/>
              </w:pBdr>
              <w:tabs>
                <w:tab w:val="left" w:pos="175"/>
              </w:tabs>
              <w:spacing w:after="120" w:lineRule="auto"/>
              <w:ind w:left="720" w:hanging="544"/>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there being a public investigation into improper financial accounting and reporting, suspected fraud or any other impropriety of the Monitored Party; </w:t>
            </w:r>
          </w:p>
          <w:p w:rsidR="00000000" w:rsidDel="00000000" w:rsidP="00000000" w:rsidRDefault="00000000" w:rsidRPr="00000000" w14:paraId="0000000E">
            <w:pPr>
              <w:numPr>
                <w:ilvl w:val="1"/>
                <w:numId w:val="2"/>
              </w:numPr>
              <w:pBdr>
                <w:top w:space="0" w:sz="0" w:val="nil"/>
                <w:left w:space="0" w:sz="0" w:val="nil"/>
                <w:bottom w:space="0" w:sz="0" w:val="nil"/>
                <w:right w:space="0" w:sz="0" w:val="nil"/>
                <w:between w:space="0" w:sz="0" w:val="nil"/>
              </w:pBdr>
              <w:tabs>
                <w:tab w:val="left" w:pos="175"/>
              </w:tabs>
              <w:spacing w:after="120" w:lineRule="auto"/>
              <w:ind w:left="720" w:hanging="544"/>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Monitored Company committing a material breach of covenant to its lenders; </w:t>
            </w:r>
          </w:p>
          <w:p w:rsidR="00000000" w:rsidDel="00000000" w:rsidP="00000000" w:rsidRDefault="00000000" w:rsidRPr="00000000" w14:paraId="0000000F">
            <w:pPr>
              <w:numPr>
                <w:ilvl w:val="1"/>
                <w:numId w:val="2"/>
              </w:numPr>
              <w:pBdr>
                <w:top w:space="0" w:sz="0" w:val="nil"/>
                <w:left w:space="0" w:sz="0" w:val="nil"/>
                <w:bottom w:space="0" w:sz="0" w:val="nil"/>
                <w:right w:space="0" w:sz="0" w:val="nil"/>
                <w:between w:space="0" w:sz="0" w:val="nil"/>
              </w:pBdr>
              <w:tabs>
                <w:tab w:val="left" w:pos="175"/>
              </w:tabs>
              <w:spacing w:after="120" w:lineRule="auto"/>
              <w:ind w:left="720" w:hanging="544"/>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Key Subcontractor (where applicable) notifying CCS that the Supplier has not satisfied any sums properly due under a specified invoice and not subject to a genuine dispute; or</w:t>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tabs>
                <w:tab w:val="left" w:pos="175"/>
              </w:tabs>
              <w:spacing w:after="120" w:lineRule="auto"/>
              <w:ind w:left="720" w:hanging="544"/>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of the following:</w:t>
            </w:r>
          </w:p>
          <w:p w:rsidR="00000000" w:rsidDel="00000000" w:rsidP="00000000" w:rsidRDefault="00000000" w:rsidRPr="00000000" w14:paraId="00000011">
            <w:pPr>
              <w:numPr>
                <w:ilvl w:val="2"/>
                <w:numId w:val="2"/>
              </w:numPr>
              <w:pBdr>
                <w:top w:space="0" w:sz="0" w:val="nil"/>
                <w:left w:space="0" w:sz="0" w:val="nil"/>
                <w:bottom w:space="0" w:sz="0" w:val="nil"/>
                <w:right w:space="0" w:sz="0" w:val="nil"/>
                <w:between w:space="0" w:sz="0" w:val="nil"/>
              </w:pBdr>
              <w:tabs>
                <w:tab w:val="left" w:pos="175"/>
              </w:tabs>
              <w:spacing w:after="120" w:lineRule="auto"/>
              <w:ind w:left="108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commencement of any litigation against the Monitored Company with respect to financial indebtedness or obligations under a contract; </w:t>
            </w:r>
          </w:p>
          <w:p w:rsidR="00000000" w:rsidDel="00000000" w:rsidP="00000000" w:rsidRDefault="00000000" w:rsidRPr="00000000" w14:paraId="00000012">
            <w:pPr>
              <w:numPr>
                <w:ilvl w:val="2"/>
                <w:numId w:val="2"/>
              </w:numPr>
              <w:pBdr>
                <w:top w:space="0" w:sz="0" w:val="nil"/>
                <w:left w:space="0" w:sz="0" w:val="nil"/>
                <w:bottom w:space="0" w:sz="0" w:val="nil"/>
                <w:right w:space="0" w:sz="0" w:val="nil"/>
                <w:between w:space="0" w:sz="0" w:val="nil"/>
              </w:pBdr>
              <w:tabs>
                <w:tab w:val="left" w:pos="175"/>
              </w:tabs>
              <w:spacing w:after="120" w:lineRule="auto"/>
              <w:ind w:left="108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non-payment by the Monitored Company of any financial indebtedness;</w:t>
            </w:r>
          </w:p>
          <w:p w:rsidR="00000000" w:rsidDel="00000000" w:rsidP="00000000" w:rsidRDefault="00000000" w:rsidRPr="00000000" w14:paraId="00000013">
            <w:pPr>
              <w:numPr>
                <w:ilvl w:val="2"/>
                <w:numId w:val="2"/>
              </w:numPr>
              <w:pBdr>
                <w:top w:space="0" w:sz="0" w:val="nil"/>
                <w:left w:space="0" w:sz="0" w:val="nil"/>
                <w:bottom w:space="0" w:sz="0" w:val="nil"/>
                <w:right w:space="0" w:sz="0" w:val="nil"/>
                <w:between w:space="0" w:sz="0" w:val="nil"/>
              </w:pBdr>
              <w:tabs>
                <w:tab w:val="left" w:pos="175"/>
              </w:tabs>
              <w:spacing w:after="120" w:lineRule="auto"/>
              <w:ind w:left="108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financial indebtedness of the Monitored Company becoming due as a result of an event of default; or</w:t>
            </w:r>
          </w:p>
          <w:p w:rsidR="00000000" w:rsidDel="00000000" w:rsidP="00000000" w:rsidRDefault="00000000" w:rsidRPr="00000000" w14:paraId="00000014">
            <w:pPr>
              <w:numPr>
                <w:ilvl w:val="2"/>
                <w:numId w:val="2"/>
              </w:numPr>
              <w:pBdr>
                <w:top w:space="0" w:sz="0" w:val="nil"/>
                <w:left w:space="0" w:sz="0" w:val="nil"/>
                <w:bottom w:space="0" w:sz="0" w:val="nil"/>
                <w:right w:space="0" w:sz="0" w:val="nil"/>
                <w:between w:space="0" w:sz="0" w:val="nil"/>
              </w:pBdr>
              <w:tabs>
                <w:tab w:val="left" w:pos="175"/>
              </w:tabs>
              <w:spacing w:after="120" w:lineRule="auto"/>
              <w:ind w:left="1080"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cancellation or suspension of any financial indebtedness in respect of the Monitored Company</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case which CCS reasonably believes (or would be likely reasonably to believe) could directly impact on the continued performance of any Contract and delivery of the Deliverables in accordance with any Call-Off Contract;</w:t>
            </w:r>
          </w:p>
        </w:tc>
      </w:tr>
      <w:tr>
        <w:trPr>
          <w:cantSplit w:val="0"/>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"Financial Distress Service Continuity Plan"</w:t>
            </w:r>
          </w:p>
        </w:tc>
        <w:tc>
          <w:tcPr/>
          <w:p w:rsidR="00000000" w:rsidDel="00000000" w:rsidP="00000000" w:rsidRDefault="00000000" w:rsidRPr="00000000" w14:paraId="00000017">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plan setting out how the Supplier will ensure the continued performance and delivery of the Deliverables in accordance with [each Call-Off] Contract in the event that a Financial Distress Event occurs;</w:t>
            </w:r>
          </w:p>
        </w:tc>
      </w:tr>
      <w:tr>
        <w:trPr>
          <w:cantSplit w:val="0"/>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“Monitored Company”</w:t>
            </w:r>
          </w:p>
        </w:tc>
        <w:tc>
          <w:tcPr/>
          <w:p w:rsidR="00000000" w:rsidDel="00000000" w:rsidP="00000000" w:rsidRDefault="00000000" w:rsidRPr="00000000" w14:paraId="00000019">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Supplier </w:t>
            </w:r>
            <w:r w:rsidDel="00000000" w:rsidR="00000000" w:rsidRPr="00000000">
              <w:rPr>
                <w:rFonts w:ascii="Arial" w:cs="Arial" w:eastAsia="Arial" w:hAnsi="Arial"/>
                <w:color w:val="000000"/>
                <w:sz w:val="24"/>
                <w:szCs w:val="24"/>
                <w:highlight w:val="yellow"/>
                <w:rtl w:val="0"/>
              </w:rPr>
              <w:t xml:space="preserve">[the Guarantor] or any Key Subcontractor]</w:t>
            </w:r>
            <w:r w:rsidDel="00000000" w:rsidR="00000000" w:rsidRPr="00000000">
              <w:rPr>
                <w:rtl w:val="0"/>
              </w:rPr>
            </w:r>
          </w:p>
        </w:tc>
      </w:tr>
      <w:tr>
        <w:trPr>
          <w:cantSplit w:val="0"/>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"Rating Agencies"</w:t>
            </w:r>
          </w:p>
        </w:tc>
        <w:tc>
          <w:tcPr/>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rating agencies listed in Annex 1.</w:t>
            </w:r>
          </w:p>
        </w:tc>
      </w:tr>
    </w:tbl>
    <w:p w:rsidR="00000000" w:rsidDel="00000000" w:rsidP="00000000" w:rsidRDefault="00000000" w:rsidRPr="00000000" w14:paraId="0000001C">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smallCaps w:val="1"/>
          <w:color w:val="000000"/>
          <w:sz w:val="24"/>
          <w:szCs w:val="24"/>
        </w:rPr>
      </w:pPr>
      <w:bookmarkStart w:colFirst="0" w:colLast="0" w:name="_heading=h.30j0zll" w:id="2"/>
      <w:bookmarkEnd w:id="2"/>
      <w:r w:rsidDel="00000000" w:rsidR="00000000" w:rsidRPr="00000000">
        <w:rPr>
          <w:rFonts w:ascii="Arial Bold" w:cs="Arial Bold" w:eastAsia="Arial Bold" w:hAnsi="Arial Bold"/>
          <w:b w:val="1"/>
          <w:color w:val="000000"/>
          <w:sz w:val="24"/>
          <w:szCs w:val="24"/>
          <w:rtl w:val="0"/>
        </w:rPr>
        <w:t xml:space="preserve">When this Schedule applies</w:t>
      </w:r>
      <w:r w:rsidDel="00000000" w:rsidR="00000000" w:rsidRPr="00000000">
        <w:rPr>
          <w:rtl w:val="0"/>
        </w:rPr>
      </w:r>
    </w:p>
    <w:p w:rsidR="00000000" w:rsidDel="00000000" w:rsidP="00000000" w:rsidRDefault="00000000" w:rsidRPr="00000000" w14:paraId="0000001D">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shall comply with the provisions of this Schedule in relation to the assessment of the financial standing of the Monitored Companies and the consequences of a change to that financial standing.</w:t>
      </w:r>
    </w:p>
    <w:p w:rsidR="00000000" w:rsidDel="00000000" w:rsidP="00000000" w:rsidRDefault="00000000" w:rsidRPr="00000000" w14:paraId="0000001E">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The terms of this Schedule shall survive: </w:t>
      </w:r>
    </w:p>
    <w:p w:rsidR="00000000" w:rsidDel="00000000" w:rsidP="00000000" w:rsidRDefault="00000000" w:rsidRPr="00000000" w14:paraId="0000001F">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under the Framework Contract until the later of (a) the termination or expiry of the Framework Contract or (b) the latest date of termination or expiry of any call-off contract entered into under the Framework Contract (which might be after the date of termination or expiry of the Framework Contract); and</w:t>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under the Call-Off Contract until the termination or expiry of the Call-Off Contract.</w:t>
      </w:r>
    </w:p>
    <w:p w:rsidR="00000000" w:rsidDel="00000000" w:rsidP="00000000" w:rsidRDefault="00000000" w:rsidRPr="00000000" w14:paraId="00000021">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W</w:t>
      </w:r>
      <w:r w:rsidDel="00000000" w:rsidR="00000000" w:rsidRPr="00000000">
        <w:rPr>
          <w:rFonts w:ascii="Arial Bold" w:cs="Arial Bold" w:eastAsia="Arial Bold" w:hAnsi="Arial Bold"/>
          <w:b w:val="1"/>
          <w:color w:val="000000"/>
          <w:sz w:val="24"/>
          <w:szCs w:val="24"/>
          <w:rtl w:val="0"/>
        </w:rPr>
        <w:t xml:space="preserve">hat happens when your credit rating changes</w:t>
      </w:r>
      <w:r w:rsidDel="00000000" w:rsidR="00000000" w:rsidRPr="00000000">
        <w:rPr>
          <w:rtl w:val="0"/>
        </w:rPr>
      </w:r>
    </w:p>
    <w:p w:rsidR="00000000" w:rsidDel="00000000" w:rsidP="00000000" w:rsidRDefault="00000000" w:rsidRPr="00000000" w14:paraId="00000022">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1fob9te" w:id="3"/>
      <w:bookmarkEnd w:id="3"/>
      <w:r w:rsidDel="00000000" w:rsidR="00000000" w:rsidRPr="00000000">
        <w:rPr>
          <w:rFonts w:ascii="Arial" w:cs="Arial" w:eastAsia="Arial" w:hAnsi="Arial"/>
          <w:color w:val="000000"/>
          <w:sz w:val="24"/>
          <w:szCs w:val="24"/>
          <w:rtl w:val="0"/>
        </w:rPr>
        <w:t xml:space="preserve">The Supplier warrants and represents to CCS that as at the Start Date the long term credit ratings issued for the Monitored Companies by each of the Rating Agencies are as set out in Annex 2. </w:t>
      </w:r>
    </w:p>
    <w:p w:rsidR="00000000" w:rsidDel="00000000" w:rsidP="00000000" w:rsidRDefault="00000000" w:rsidRPr="00000000" w14:paraId="00000023">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promptly (and in any event within five (5) Working Days) notify CCS in writing if there is any downgrade in the credit rating issued by any Rating Agency for a Monitored Company.</w:t>
      </w:r>
    </w:p>
    <w:p w:rsidR="00000000" w:rsidDel="00000000" w:rsidP="00000000" w:rsidRDefault="00000000" w:rsidRPr="00000000" w14:paraId="00000024">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there is any downgrade credit rating issued by any Rating Agency for the Monitored Company the Supplier shall ensure that the Monitored Company’s auditors thereafter provide CCS within 10 Working Days of the end of each Contract Year and within 10 Working Days of written request by CCS (such requests not to exceed 4 in any Contract Year) with written calculations of the quick ratio for the Monitored Company as at the end of each Contract Year or such other date as may be requested by CCS.  For these purposes the "quick ratio" on any date means:</w:t>
      </w:r>
    </w:p>
    <w:p w:rsidR="00000000" w:rsidDel="00000000" w:rsidP="00000000" w:rsidRDefault="00000000" w:rsidRPr="00000000" w14:paraId="00000025">
      <w:pPr>
        <w:ind w:firstLine="1134"/>
        <w:jc w:val="left"/>
        <w:rPr>
          <w:rFonts w:ascii="Arial" w:cs="Arial" w:eastAsia="Arial" w:hAnsi="Arial"/>
          <w:sz w:val="24"/>
          <w:szCs w:val="24"/>
        </w:rPr>
      </w:pPr>
      <w:r w:rsidDel="00000000" w:rsidR="00000000" w:rsidRPr="00000000">
        <w:rPr>
          <w:rFonts w:ascii="Arial" w:cs="Arial" w:eastAsia="Arial" w:hAnsi="Arial"/>
          <w:sz w:val="24"/>
          <w:szCs w:val="24"/>
        </w:rPr>
        <w:drawing>
          <wp:inline distB="0" distT="0" distL="0" distR="0">
            <wp:extent cx="609600" cy="163195"/>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09600" cy="163195"/>
                    </a:xfrm>
                    <a:prstGeom prst="rect"/>
                    <a:ln/>
                  </pic:spPr>
                </pic:pic>
              </a:graphicData>
            </a:graphic>
          </wp:inline>
        </w:drawing>
      </w:r>
      <w:r w:rsidDel="00000000" w:rsidR="00000000" w:rsidRPr="00000000">
        <w:rPr>
          <w:rFonts w:ascii="Arial" w:cs="Arial" w:eastAsia="Arial" w:hAnsi="Arial"/>
          <w:sz w:val="24"/>
          <w:szCs w:val="24"/>
        </w:rPr>
        <w:drawing>
          <wp:inline distB="0" distT="0" distL="0" distR="0">
            <wp:extent cx="609600" cy="315595"/>
            <wp:effectExtent b="0" l="0" r="0" t="0"/>
            <wp:docPr id="7"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609600" cy="315595"/>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pos="3402"/>
        </w:tabs>
        <w:spacing w:after="220" w:lineRule="auto"/>
        <w:ind w:left="72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w:t>
      </w:r>
    </w:p>
    <w:tbl>
      <w:tblPr>
        <w:tblStyle w:val="Table3"/>
        <w:tblW w:w="8317.0" w:type="dxa"/>
        <w:jc w:val="left"/>
        <w:tblInd w:w="709.0" w:type="dxa"/>
        <w:tblLayout w:type="fixed"/>
        <w:tblLook w:val="0400"/>
      </w:tblPr>
      <w:tblGrid>
        <w:gridCol w:w="1524"/>
        <w:gridCol w:w="6793"/>
        <w:tblGridChange w:id="0">
          <w:tblGrid>
            <w:gridCol w:w="1524"/>
            <w:gridCol w:w="6793"/>
          </w:tblGrid>
        </w:tblGridChange>
      </w:tblGrid>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pos="3402"/>
              </w:tabs>
              <w:spacing w:after="220" w:lineRule="auto"/>
              <w:ind w:left="1134"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pos="3402"/>
              </w:tabs>
              <w:spacing w:after="220" w:lineRule="auto"/>
              <w:ind w:left="1134" w:firstLine="0"/>
              <w:jc w:val="left"/>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is the value at the relevant date of all cash in hand and at the bank of the Monitored Company];</w:t>
            </w:r>
            <w:r w:rsidDel="00000000" w:rsidR="00000000" w:rsidRPr="00000000">
              <w:rPr>
                <w:rtl w:val="0"/>
              </w:rPr>
            </w:r>
          </w:p>
        </w:tc>
      </w:tr>
      <w:tr>
        <w:trPr>
          <w:cantSplit w:val="0"/>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pos="3402"/>
              </w:tabs>
              <w:spacing w:after="220" w:lineRule="auto"/>
              <w:ind w:left="1134"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w:t>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pos="3402"/>
              </w:tabs>
              <w:spacing w:after="220" w:lineRule="auto"/>
              <w:ind w:left="1134"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the value of all marketable securities held by the Supplier the Monitored Company determined using closing prices on the Working Day preceding the relevant date; </w:t>
            </w:r>
          </w:p>
        </w:tc>
      </w:tr>
      <w:tr>
        <w:trPr>
          <w:cantSplit w:val="0"/>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pos="3402"/>
              </w:tabs>
              <w:spacing w:after="220" w:lineRule="auto"/>
              <w:ind w:left="1134"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w:t>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pos="3402"/>
              </w:tabs>
              <w:spacing w:after="220" w:lineRule="auto"/>
              <w:ind w:left="1134"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the value at the relevant date of all account receivables of the Monitored]; and</w:t>
            </w:r>
          </w:p>
        </w:tc>
      </w:tr>
      <w:tr>
        <w:trPr>
          <w:cantSplit w:val="0"/>
          <w:tblHeader w:val="0"/>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pos="3402"/>
              </w:tabs>
              <w:spacing w:after="220" w:lineRule="auto"/>
              <w:ind w:left="1134"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pos="3402"/>
              </w:tabs>
              <w:spacing w:after="220" w:lineRule="auto"/>
              <w:ind w:left="1134"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the value at the relevant date of the current liabilities of the Monitored Company].</w:t>
            </w:r>
          </w:p>
        </w:tc>
      </w:tr>
    </w:tbl>
    <w:p w:rsidR="00000000" w:rsidDel="00000000" w:rsidP="00000000" w:rsidRDefault="00000000" w:rsidRPr="00000000" w14:paraId="0000002F">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3znysh7" w:id="4"/>
      <w:bookmarkEnd w:id="4"/>
      <w:r w:rsidDel="00000000" w:rsidR="00000000" w:rsidRPr="00000000">
        <w:rPr>
          <w:rFonts w:ascii="Arial" w:cs="Arial" w:eastAsia="Arial" w:hAnsi="Arial"/>
          <w:color w:val="000000"/>
          <w:sz w:val="24"/>
          <w:szCs w:val="24"/>
          <w:rtl w:val="0"/>
        </w:rPr>
        <w:t xml:space="preserve">The Supplier shall: </w:t>
      </w:r>
    </w:p>
    <w:p w:rsidR="00000000" w:rsidDel="00000000" w:rsidP="00000000" w:rsidRDefault="00000000" w:rsidRPr="00000000" w14:paraId="00000030">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regularly monitor the credit ratings of each Monitored Company with the Rating Agencies; and </w:t>
      </w:r>
    </w:p>
    <w:p w:rsidR="00000000" w:rsidDel="00000000" w:rsidP="00000000" w:rsidRDefault="00000000" w:rsidRPr="00000000" w14:paraId="00000031">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promptly notify (or shall procure that its auditors promptly notify) CCS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p>
    <w:p w:rsidR="00000000" w:rsidDel="00000000" w:rsidP="00000000" w:rsidRDefault="00000000" w:rsidRPr="00000000" w14:paraId="00000032">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purposes of determining whether a Financial Distress Event has occurred the credit rating of the Monitored Company shall be deemed to have dropped below the applicable Credit Rating Threshold if any of the Rating Agencies have rated the Monitored Company at or below the applicable Credit Rating Threshold.</w:t>
      </w:r>
    </w:p>
    <w:p w:rsidR="00000000" w:rsidDel="00000000" w:rsidP="00000000" w:rsidRDefault="00000000" w:rsidRPr="00000000" w14:paraId="00000033">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happens if there is a financial distress event</w:t>
      </w:r>
      <w:r w:rsidDel="00000000" w:rsidR="00000000" w:rsidRPr="00000000">
        <w:rPr>
          <w:rtl w:val="0"/>
        </w:rPr>
      </w:r>
    </w:p>
    <w:p w:rsidR="00000000" w:rsidDel="00000000" w:rsidP="00000000" w:rsidRDefault="00000000" w:rsidRPr="00000000" w14:paraId="00000034">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2et92p0" w:id="5"/>
      <w:bookmarkEnd w:id="5"/>
      <w:r w:rsidDel="00000000" w:rsidR="00000000" w:rsidRPr="00000000">
        <w:rPr>
          <w:rFonts w:ascii="Arial" w:cs="Arial" w:eastAsia="Arial" w:hAnsi="Arial"/>
          <w:color w:val="000000"/>
          <w:sz w:val="24"/>
          <w:szCs w:val="24"/>
          <w:rtl w:val="0"/>
        </w:rPr>
        <w:t xml:space="preserve">In the event of a Financial Distress Event then, immediately upon notification of the Financial Distress Event (or if CCS becomes aware of the Financial Distress Event without notification and brings the event to the attention of the Supplier), the Supplier shall have the obligations and CCS shall have the rights and remedies as set out in Paragraphs 4.3 to 4.6.</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pos="1134"/>
        </w:tabs>
        <w:spacing w:after="120" w:before="120" w:lineRule="auto"/>
        <w:ind w:left="359" w:firstLine="0"/>
        <w:jc w:val="left"/>
        <w:rPr>
          <w:rFonts w:ascii="Arial" w:cs="Arial" w:eastAsia="Arial" w:hAnsi="Arial"/>
          <w:color w:val="000000"/>
          <w:sz w:val="24"/>
          <w:szCs w:val="24"/>
        </w:rPr>
      </w:pPr>
      <w:bookmarkStart w:colFirst="0" w:colLast="0" w:name="_heading=h.tyjcwt" w:id="6"/>
      <w:bookmarkEnd w:id="6"/>
      <w:r w:rsidDel="00000000" w:rsidR="00000000" w:rsidRPr="00000000">
        <w:rPr>
          <w:rtl w:val="0"/>
        </w:rPr>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event that a Financial Distress Event arises due to a Key Subcontractor notifying CCS that the Supplier has not satisfied any sums properly due under a specified invoice and not subject to a genuine dispute then, CCS shall not exercise any of its rights or remedies under Paragraph 4.3 without first giving the Supplier ten (10) Working Days to:</w:t>
      </w:r>
    </w:p>
    <w:p w:rsidR="00000000" w:rsidDel="00000000" w:rsidP="00000000" w:rsidRDefault="00000000" w:rsidRPr="00000000" w14:paraId="00000037">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rectify such late or non-payment; or </w:t>
      </w:r>
    </w:p>
    <w:p w:rsidR="00000000" w:rsidDel="00000000" w:rsidP="00000000" w:rsidRDefault="00000000" w:rsidRPr="00000000" w14:paraId="00000038">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demonstrate to CCS's reasonable satisfaction that there is a valid reason for late or non-payment.</w:t>
      </w:r>
    </w:p>
    <w:p w:rsidR="00000000" w:rsidDel="00000000" w:rsidP="00000000" w:rsidRDefault="00000000" w:rsidRPr="00000000" w14:paraId="00000039">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1t3h5sf" w:id="7"/>
      <w:bookmarkEnd w:id="7"/>
      <w:r w:rsidDel="00000000" w:rsidR="00000000" w:rsidRPr="00000000">
        <w:rPr>
          <w:rFonts w:ascii="Arial" w:cs="Arial" w:eastAsia="Arial" w:hAnsi="Arial"/>
          <w:color w:val="000000"/>
          <w:sz w:val="24"/>
          <w:szCs w:val="24"/>
          <w:rtl w:val="0"/>
        </w:rPr>
        <w:t xml:space="preserve">The Supplier shall and shall procure that the other Monitored Companies shall:</w:t>
      </w:r>
    </w:p>
    <w:p w:rsidR="00000000" w:rsidDel="00000000" w:rsidP="00000000" w:rsidRDefault="00000000" w:rsidRPr="00000000" w14:paraId="0000003A">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at the request of CCS meet CCS as soon as reasonably practicable (and in any event within three (3) Working Days of the initial notification (or awareness) of the Financial Distress Event) to review the effect of the Financial Distress Event on the continued performance of each Contract and delivery of the Deliverables in accordance each Call-Off Contract; and</w:t>
      </w:r>
    </w:p>
    <w:p w:rsidR="00000000" w:rsidDel="00000000" w:rsidP="00000000" w:rsidRDefault="00000000" w:rsidRPr="00000000" w14:paraId="0000003B">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bookmarkStart w:colFirst="0" w:colLast="0" w:name="_heading=h.2s8eyo1" w:id="9"/>
      <w:bookmarkEnd w:id="9"/>
      <w:r w:rsidDel="00000000" w:rsidR="00000000" w:rsidRPr="00000000">
        <w:rPr>
          <w:rFonts w:ascii="Arial" w:cs="Arial" w:eastAsia="Arial" w:hAnsi="Arial"/>
          <w:color w:val="000000"/>
          <w:sz w:val="24"/>
          <w:szCs w:val="24"/>
          <w:rtl w:val="0"/>
        </w:rPr>
        <w:t xml:space="preserve">where CCS reasonably believes (taking into account the discussions and any representations made under Paragraph 4.3.1) that the Financial Distress Event could impact on the continued performance of each Contract and delivery of the Deliverables in accordance with each Call-Off Contract: </w:t>
      </w:r>
    </w:p>
    <w:p w:rsidR="00000000" w:rsidDel="00000000" w:rsidP="00000000" w:rsidRDefault="00000000" w:rsidRPr="00000000" w14:paraId="0000003C">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847"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submit to CCS for its Approval, a draft Financial Distress Service Continuity Plan as soon as reasonably practicable (and in any event, within ten (10) Working Days of the initial notification (or awareness) of the Financial Distress Event); and</w:t>
      </w:r>
    </w:p>
    <w:p w:rsidR="00000000" w:rsidDel="00000000" w:rsidP="00000000" w:rsidRDefault="00000000" w:rsidRPr="00000000" w14:paraId="0000003D">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847" w:hanging="720"/>
        <w:jc w:val="left"/>
        <w:rPr>
          <w:rFonts w:ascii="Arial" w:cs="Arial" w:eastAsia="Arial" w:hAnsi="Arial"/>
          <w:color w:val="000000"/>
          <w:sz w:val="24"/>
          <w:szCs w:val="24"/>
        </w:rPr>
      </w:pPr>
      <w:bookmarkStart w:colFirst="0" w:colLast="0" w:name="_heading=h.17dp8vu" w:id="10"/>
      <w:bookmarkEnd w:id="10"/>
      <w:r w:rsidDel="00000000" w:rsidR="00000000" w:rsidRPr="00000000">
        <w:rPr>
          <w:rFonts w:ascii="Arial" w:cs="Arial" w:eastAsia="Arial" w:hAnsi="Arial"/>
          <w:color w:val="000000"/>
          <w:sz w:val="24"/>
          <w:szCs w:val="24"/>
          <w:rtl w:val="0"/>
        </w:rPr>
        <w:t xml:space="preserve">provide such financial information relating to the Monitored Company as CCS may reasonably require.</w:t>
      </w:r>
    </w:p>
    <w:p w:rsidR="00000000" w:rsidDel="00000000" w:rsidP="00000000" w:rsidRDefault="00000000" w:rsidRPr="00000000" w14:paraId="0000003E">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3rdcrjn" w:id="11"/>
      <w:bookmarkEnd w:id="11"/>
      <w:r w:rsidDel="00000000" w:rsidR="00000000" w:rsidRPr="00000000">
        <w:rPr>
          <w:rFonts w:ascii="Arial" w:cs="Arial" w:eastAsia="Arial" w:hAnsi="Arial"/>
          <w:color w:val="000000"/>
          <w:sz w:val="24"/>
          <w:szCs w:val="24"/>
          <w:rtl w:val="0"/>
        </w:rPr>
        <w:t xml:space="preserve">If CCS does not (acting reasonably) approve the draft Financial Distress Service Continuity Plan, it shall inform the Supplier of its reasons and the Supplier shall take those reasons into account in the preparation of a further draft Financial Distress Service Continuity Plan, which shall be resubmitted to CCS within five (5) Working Days of the rejection of the first or subsequent (as the case may be) drafts. This process shall be repeated until the Financial Distress Service Continuity Plan is Approved by CCS or referred to the Dispute Resolution Procedure.</w:t>
      </w:r>
    </w:p>
    <w:p w:rsidR="00000000" w:rsidDel="00000000" w:rsidP="00000000" w:rsidRDefault="00000000" w:rsidRPr="00000000" w14:paraId="0000003F">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26in1rg" w:id="12"/>
      <w:bookmarkEnd w:id="12"/>
      <w:r w:rsidDel="00000000" w:rsidR="00000000" w:rsidRPr="00000000">
        <w:rPr>
          <w:rFonts w:ascii="Arial" w:cs="Arial" w:eastAsia="Arial" w:hAnsi="Arial"/>
          <w:color w:val="000000"/>
          <w:sz w:val="24"/>
          <w:szCs w:val="24"/>
          <w:rtl w:val="0"/>
        </w:rPr>
        <w:t xml:space="preserve">If CCS considers that the draft Financial Distress Service Continuity Plan is insufficiently detailed to be properly evaluated, will take too long to complete or will not remedy the relevant Financial Distress Event, then it may either agree a further time period for the development and agreement of the Financial Distress Service Continuity Plan or escalate any issues with the draft Financial Distress Service Continuity Plan using the Dispute Resolution Procedure. </w:t>
      </w:r>
    </w:p>
    <w:p w:rsidR="00000000" w:rsidDel="00000000" w:rsidP="00000000" w:rsidRDefault="00000000" w:rsidRPr="00000000" w14:paraId="00000040">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lnxbz9" w:id="13"/>
      <w:bookmarkEnd w:id="13"/>
      <w:r w:rsidDel="00000000" w:rsidR="00000000" w:rsidRPr="00000000">
        <w:rPr>
          <w:rFonts w:ascii="Arial" w:cs="Arial" w:eastAsia="Arial" w:hAnsi="Arial"/>
          <w:color w:val="000000"/>
          <w:sz w:val="24"/>
          <w:szCs w:val="24"/>
          <w:rtl w:val="0"/>
        </w:rPr>
        <w:t xml:space="preserve">Following Approval of the Financial Distress Service Continuity Plan by CCS, the Supplier shall:</w:t>
      </w:r>
    </w:p>
    <w:p w:rsidR="00000000" w:rsidDel="00000000" w:rsidP="00000000" w:rsidRDefault="00000000" w:rsidRPr="00000000" w14:paraId="00000041">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bookmarkStart w:colFirst="0" w:colLast="0" w:name="_heading=h.35nkun2" w:id="14"/>
      <w:bookmarkEnd w:id="14"/>
      <w:r w:rsidDel="00000000" w:rsidR="00000000" w:rsidRPr="00000000">
        <w:rPr>
          <w:rFonts w:ascii="Arial" w:cs="Arial" w:eastAsia="Arial" w:hAnsi="Arial"/>
          <w:color w:val="000000"/>
          <w:sz w:val="24"/>
          <w:szCs w:val="24"/>
          <w:rtl w:val="0"/>
        </w:rPr>
        <w:t xml:space="preserve">on a regular basis (which shall not be less than Monthly), review the Financial Distress Service Continuity Plan and assess whether it remains adequate and up to date to ensure the continued performance each Contract and delivery of the Deliverables in accordance with each Call-Off Contract;</w:t>
      </w:r>
    </w:p>
    <w:p w:rsidR="00000000" w:rsidDel="00000000" w:rsidP="00000000" w:rsidRDefault="00000000" w:rsidRPr="00000000" w14:paraId="00000042">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bookmarkStart w:colFirst="0" w:colLast="0" w:name="_heading=h.1ksv4uv" w:id="15"/>
      <w:bookmarkEnd w:id="15"/>
      <w:r w:rsidDel="00000000" w:rsidR="00000000" w:rsidRPr="00000000">
        <w:rPr>
          <w:rFonts w:ascii="Arial" w:cs="Arial" w:eastAsia="Arial" w:hAnsi="Arial"/>
          <w:color w:val="000000"/>
          <w:sz w:val="24"/>
          <w:szCs w:val="24"/>
          <w:rtl w:val="0"/>
        </w:rPr>
        <w:t xml:space="preserve">where the Financial Distress Service Continuity Plan is not adequate or up to date in accordance with Paragraph 4.6.1, submit an updated Financial Distress Service Continuity Plan to CCS for its Approval, and the provisions of Paragraphs 4.5 and 4.6 shall apply to the review and Approval process for the updated Financial Distress Service Continuity Plan; and </w:t>
      </w:r>
    </w:p>
    <w:p w:rsidR="00000000" w:rsidDel="00000000" w:rsidP="00000000" w:rsidRDefault="00000000" w:rsidRPr="00000000" w14:paraId="00000043">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bookmarkStart w:colFirst="0" w:colLast="0" w:name="_heading=h.44sinio" w:id="16"/>
      <w:bookmarkEnd w:id="16"/>
      <w:r w:rsidDel="00000000" w:rsidR="00000000" w:rsidRPr="00000000">
        <w:rPr>
          <w:rFonts w:ascii="Arial" w:cs="Arial" w:eastAsia="Arial" w:hAnsi="Arial"/>
          <w:color w:val="000000"/>
          <w:sz w:val="24"/>
          <w:szCs w:val="24"/>
          <w:rtl w:val="0"/>
        </w:rPr>
        <w:t xml:space="preserve">comply with the Financial Distress Service Continuity Plan (including any updated Financial Distress Service Continuity Plan).</w:t>
      </w:r>
    </w:p>
    <w:p w:rsidR="00000000" w:rsidDel="00000000" w:rsidP="00000000" w:rsidRDefault="00000000" w:rsidRPr="00000000" w14:paraId="00000044">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2jxsxqh" w:id="17"/>
      <w:bookmarkEnd w:id="17"/>
      <w:r w:rsidDel="00000000" w:rsidR="00000000" w:rsidRPr="00000000">
        <w:rPr>
          <w:rFonts w:ascii="Arial" w:cs="Arial" w:eastAsia="Arial" w:hAnsi="Arial"/>
          <w:color w:val="000000"/>
          <w:sz w:val="24"/>
          <w:szCs w:val="24"/>
          <w:rtl w:val="0"/>
        </w:rPr>
        <w:t xml:space="preserve">Where the Supplier reasonably believes that the relevant Financial Distress Event (or the circumstance or matter which has caused or otherwise led to it) no longer exists, it shall notify CCS and subject to the agreement of the Parties, the Supplier may be relieved of its obligations under Paragraph 4.64.6. </w:t>
      </w:r>
    </w:p>
    <w:p w:rsidR="00000000" w:rsidDel="00000000" w:rsidP="00000000" w:rsidRDefault="00000000" w:rsidRPr="00000000" w14:paraId="00000045">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shall be able to share any information it receives from the Buyer in accordance with this Paragraph with any Buyer who has entered into a Call-Off Contract with the Supplier.</w:t>
      </w:r>
    </w:p>
    <w:p w:rsidR="00000000" w:rsidDel="00000000" w:rsidP="00000000" w:rsidRDefault="00000000" w:rsidRPr="00000000" w14:paraId="00000046">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When CCS or the Buyer can terminate for financial distress </w:t>
      </w:r>
      <w:r w:rsidDel="00000000" w:rsidR="00000000" w:rsidRPr="00000000">
        <w:rPr>
          <w:rtl w:val="0"/>
        </w:rPr>
      </w:r>
    </w:p>
    <w:p w:rsidR="00000000" w:rsidDel="00000000" w:rsidP="00000000" w:rsidRDefault="00000000" w:rsidRPr="00000000" w14:paraId="00000047">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bookmarkStart w:colFirst="0" w:colLast="0" w:name="_heading=h.z337ya" w:id="18"/>
      <w:bookmarkEnd w:id="18"/>
      <w:r w:rsidDel="00000000" w:rsidR="00000000" w:rsidRPr="00000000">
        <w:rPr>
          <w:rFonts w:ascii="Arial" w:cs="Arial" w:eastAsia="Arial" w:hAnsi="Arial"/>
          <w:color w:val="000000"/>
          <w:sz w:val="24"/>
          <w:szCs w:val="24"/>
          <w:rtl w:val="0"/>
        </w:rPr>
        <w:t xml:space="preserve">CCS shall be entitled to terminate this Contract and Buyers shall be entitled to terminate their Call-Off Contracts for material Default if: </w:t>
      </w:r>
    </w:p>
    <w:p w:rsidR="00000000" w:rsidDel="00000000" w:rsidP="00000000" w:rsidRDefault="00000000" w:rsidRPr="00000000" w14:paraId="00000048">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fails to notify CCS of a Financial Distress Event in accordance with Paragraph 3.4; </w:t>
      </w:r>
    </w:p>
    <w:p w:rsidR="00000000" w:rsidDel="00000000" w:rsidP="00000000" w:rsidRDefault="00000000" w:rsidRPr="00000000" w14:paraId="00000049">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and the Supplier fail to agree a Financial Distress Service Continuity Plan (or any updated Financial Distress Service Continuity Plan) in accordance with Paragraphs 4.3 to 4.5; and/or</w:t>
      </w:r>
    </w:p>
    <w:p w:rsidR="00000000" w:rsidDel="00000000" w:rsidP="00000000" w:rsidRDefault="00000000" w:rsidRPr="00000000" w14:paraId="0000004A">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fails to comply with the terms of the Financial Distress Service Continuity Plan (or any updated Financial Distress Service Continuity Plan) in accordance with Paragraph 4.6.3.</w:t>
      </w:r>
    </w:p>
    <w:p w:rsidR="00000000" w:rsidDel="00000000" w:rsidP="00000000" w:rsidRDefault="00000000" w:rsidRPr="00000000" w14:paraId="0000004B">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Contract is terminated in accordance with Paragraph 5.1, Clauses 10.6.1 and 10.6.2 of the Core Terms shall apply as if the Contract had been terminated under Clause 10.4.1.</w:t>
      </w:r>
    </w:p>
    <w:p w:rsidR="00000000" w:rsidDel="00000000" w:rsidP="00000000" w:rsidRDefault="00000000" w:rsidRPr="00000000" w14:paraId="0000004C">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smallCaps w:val="1"/>
          <w:color w:val="000000"/>
          <w:sz w:val="24"/>
          <w:szCs w:val="24"/>
        </w:rPr>
      </w:pPr>
      <w:bookmarkStart w:colFirst="0" w:colLast="0" w:name="_heading=h.3j2qqm3" w:id="19"/>
      <w:bookmarkEnd w:id="19"/>
      <w:r w:rsidDel="00000000" w:rsidR="00000000" w:rsidRPr="00000000">
        <w:rPr>
          <w:rFonts w:ascii="Arial Bold" w:cs="Arial Bold" w:eastAsia="Arial Bold" w:hAnsi="Arial Bold"/>
          <w:b w:val="1"/>
          <w:color w:val="000000"/>
          <w:sz w:val="24"/>
          <w:szCs w:val="24"/>
          <w:rtl w:val="0"/>
        </w:rPr>
        <w:t xml:space="preserve">What happens If your credit rating is still good</w:t>
      </w:r>
      <w:r w:rsidDel="00000000" w:rsidR="00000000" w:rsidRPr="00000000">
        <w:rPr>
          <w:rtl w:val="0"/>
        </w:rPr>
      </w:r>
    </w:p>
    <w:p w:rsidR="00000000" w:rsidDel="00000000" w:rsidP="00000000" w:rsidRDefault="00000000" w:rsidRPr="00000000" w14:paraId="0000004D">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Without prejudice to the Supplier’s obligations and CCS’ and the Buyer’s rights and remedies under Paragraph 5, if, following the occurrence of a Financial Distress Event, the Rating Agencies review and report subsequently that the credit ratings do not drop below the relevant Credit Rating Threshold, then:</w:t>
      </w:r>
    </w:p>
    <w:p w:rsidR="00000000" w:rsidDel="00000000" w:rsidP="00000000" w:rsidRDefault="00000000" w:rsidRPr="00000000" w14:paraId="0000004E">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be relieved automatically of its obligations under Paragraphs 4.3 to 4.6; and</w:t>
      </w:r>
    </w:p>
    <w:p w:rsidR="00000000" w:rsidDel="00000000" w:rsidP="00000000" w:rsidRDefault="00000000" w:rsidRPr="00000000" w14:paraId="0000004F">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shall not be entitled to require the Supplier to provide financial information in accordance with Paragraph 4.3.2(b). </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Rule="auto"/>
        <w:jc w:val="left"/>
        <w:rPr>
          <w:rFonts w:ascii="Arial" w:cs="Arial" w:eastAsia="Arial" w:hAnsi="Arial"/>
          <w:color w:val="ffffff"/>
          <w:sz w:val="24"/>
          <w:szCs w:val="24"/>
        </w:rPr>
      </w:pPr>
      <w:r w:rsidDel="00000000" w:rsidR="00000000" w:rsidRPr="00000000">
        <w:rPr>
          <w:rtl w:val="0"/>
        </w:rPr>
      </w:r>
    </w:p>
    <w:p w:rsidR="00000000" w:rsidDel="00000000" w:rsidP="00000000" w:rsidRDefault="00000000" w:rsidRPr="00000000" w14:paraId="00000051">
      <w:pPr>
        <w:keepNext w:val="1"/>
        <w:pBdr>
          <w:top w:space="0" w:sz="0" w:val="nil"/>
          <w:left w:space="0" w:sz="0" w:val="nil"/>
          <w:bottom w:space="0" w:sz="0" w:val="nil"/>
          <w:right w:space="0" w:sz="0" w:val="nil"/>
          <w:between w:space="0" w:sz="0" w:val="nil"/>
        </w:pBdr>
        <w:ind w:firstLine="426"/>
        <w:jc w:val="left"/>
        <w:rPr>
          <w:rFonts w:ascii="Arial" w:cs="Arial" w:eastAsia="Arial" w:hAnsi="Arial"/>
          <w:b w:val="1"/>
          <w:smallCaps w:val="1"/>
          <w:color w:val="000000"/>
          <w:sz w:val="24"/>
          <w:szCs w:val="24"/>
        </w:rPr>
      </w:pPr>
      <w:bookmarkStart w:colFirst="0" w:colLast="0" w:name="_heading=h.1y810tw" w:id="20"/>
      <w:bookmarkEnd w:id="20"/>
      <w:r w:rsidDel="00000000" w:rsidR="00000000" w:rsidRPr="00000000">
        <w:br w:type="page"/>
      </w:r>
      <w:r w:rsidDel="00000000" w:rsidR="00000000" w:rsidRPr="00000000">
        <w:rPr>
          <w:rtl w:val="0"/>
        </w:rPr>
      </w:r>
    </w:p>
    <w:p w:rsidR="00000000" w:rsidDel="00000000" w:rsidP="00000000" w:rsidRDefault="00000000" w:rsidRPr="00000000" w14:paraId="00000052">
      <w:pPr>
        <w:keepNext w:val="1"/>
        <w:pBdr>
          <w:top w:space="0" w:sz="0" w:val="nil"/>
          <w:left w:space="0" w:sz="0" w:val="nil"/>
          <w:bottom w:space="0" w:sz="0" w:val="nil"/>
          <w:right w:space="0" w:sz="0" w:val="nil"/>
          <w:between w:space="0" w:sz="0" w:val="nil"/>
        </w:pBdr>
        <w:ind w:firstLine="426"/>
        <w:jc w:val="left"/>
        <w:rPr>
          <w:rFonts w:ascii="Arial" w:cs="Arial" w:eastAsia="Arial" w:hAnsi="Arial"/>
          <w:b w:val="1"/>
          <w:smallCaps w:val="1"/>
          <w:color w:val="000000"/>
          <w:sz w:val="36"/>
          <w:szCs w:val="36"/>
        </w:rPr>
      </w:pPr>
      <w:bookmarkStart w:colFirst="0" w:colLast="0" w:name="_heading=h.4i7ojhp" w:id="21"/>
      <w:bookmarkEnd w:id="21"/>
      <w:r w:rsidDel="00000000" w:rsidR="00000000" w:rsidRPr="00000000">
        <w:rPr>
          <w:rFonts w:ascii="Arial" w:cs="Arial" w:eastAsia="Arial" w:hAnsi="Arial"/>
          <w:b w:val="1"/>
          <w:smallCaps w:val="1"/>
          <w:color w:val="000000"/>
          <w:sz w:val="36"/>
          <w:szCs w:val="36"/>
          <w:rtl w:val="0"/>
        </w:rPr>
        <w:t xml:space="preserve">ANNEX 1: RATING AGENCIES</w:t>
      </w:r>
    </w:p>
    <w:p w:rsidR="00000000" w:rsidDel="00000000" w:rsidP="00000000" w:rsidRDefault="00000000" w:rsidRPr="00000000" w14:paraId="00000053">
      <w:pPr>
        <w:keepNext w:val="1"/>
        <w:pBdr>
          <w:top w:space="0" w:sz="0" w:val="nil"/>
          <w:left w:space="0" w:sz="0" w:val="nil"/>
          <w:bottom w:space="0" w:sz="0" w:val="nil"/>
          <w:right w:space="0" w:sz="0" w:val="nil"/>
          <w:between w:space="0" w:sz="0" w:val="nil"/>
        </w:pBdr>
        <w:spacing w:after="120" w:before="240" w:lineRule="auto"/>
        <w:ind w:left="142"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[Rating Agency 1]</w:t>
      </w:r>
    </w:p>
    <w:p w:rsidR="00000000" w:rsidDel="00000000" w:rsidP="00000000" w:rsidRDefault="00000000" w:rsidRPr="00000000" w14:paraId="00000054">
      <w:pPr>
        <w:keepNext w:val="1"/>
        <w:pBdr>
          <w:top w:space="0" w:sz="0" w:val="nil"/>
          <w:left w:space="0" w:sz="0" w:val="nil"/>
          <w:bottom w:space="0" w:sz="0" w:val="nil"/>
          <w:right w:space="0" w:sz="0" w:val="nil"/>
          <w:between w:space="0" w:sz="0" w:val="nil"/>
        </w:pBdr>
        <w:spacing w:after="120" w:before="240" w:lineRule="auto"/>
        <w:ind w:left="142"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[Rating Agency 2]</w:t>
      </w:r>
    </w:p>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ind w:firstLine="426"/>
        <w:jc w:val="left"/>
        <w:rPr>
          <w:rFonts w:ascii="Arial" w:cs="Arial" w:eastAsia="Arial" w:hAnsi="Arial"/>
          <w:b w:val="1"/>
          <w:smallCaps w:val="1"/>
          <w:color w:val="000000"/>
          <w:sz w:val="24"/>
          <w:szCs w:val="24"/>
        </w:rPr>
      </w:pPr>
      <w:bookmarkStart w:colFirst="0" w:colLast="0" w:name="_heading=h.2xcytpi" w:id="22"/>
      <w:bookmarkEnd w:id="22"/>
      <w:r w:rsidDel="00000000" w:rsidR="00000000" w:rsidRPr="00000000">
        <w:br w:type="page"/>
      </w:r>
      <w:r w:rsidDel="00000000" w:rsidR="00000000" w:rsidRPr="00000000">
        <w:rPr>
          <w:rFonts w:ascii="Arial" w:cs="Arial" w:eastAsia="Arial" w:hAnsi="Arial"/>
          <w:b w:val="1"/>
          <w:smallCaps w:val="1"/>
          <w:color w:val="000000"/>
          <w:sz w:val="36"/>
          <w:szCs w:val="36"/>
          <w:rtl w:val="0"/>
        </w:rPr>
        <w:t xml:space="preserve">ANNEX 2: CREDIT RATINGS &amp; CREDIT RATING THRESHOLDS</w:t>
      </w:r>
      <w:r w:rsidDel="00000000" w:rsidR="00000000" w:rsidRPr="00000000">
        <w:rPr>
          <w:rtl w:val="0"/>
        </w:rPr>
      </w:r>
    </w:p>
    <w:p w:rsidR="00000000" w:rsidDel="00000000" w:rsidP="00000000" w:rsidRDefault="00000000" w:rsidRPr="00000000" w14:paraId="00000056">
      <w:pPr>
        <w:keepNext w:val="1"/>
        <w:pBdr>
          <w:top w:space="0" w:sz="0" w:val="nil"/>
          <w:left w:space="0" w:sz="0" w:val="nil"/>
          <w:bottom w:space="0" w:sz="0" w:val="nil"/>
          <w:right w:space="0" w:sz="0" w:val="nil"/>
          <w:between w:space="0" w:sz="0" w:val="nil"/>
        </w:pBdr>
        <w:ind w:firstLine="426"/>
        <w:jc w:val="left"/>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Part 1: Current Rating</w:t>
      </w:r>
      <w:r w:rsidDel="00000000" w:rsidR="00000000" w:rsidRPr="00000000">
        <w:rPr>
          <w:rtl w:val="0"/>
        </w:rPr>
      </w:r>
    </w:p>
    <w:tbl>
      <w:tblPr>
        <w:tblStyle w:val="Table4"/>
        <w:tblW w:w="6161.0" w:type="dxa"/>
        <w:jc w:val="left"/>
        <w:tblInd w:w="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400"/>
      </w:tblPr>
      <w:tblGrid>
        <w:gridCol w:w="3080"/>
        <w:gridCol w:w="3081"/>
        <w:tblGridChange w:id="0">
          <w:tblGrid>
            <w:gridCol w:w="3080"/>
            <w:gridCol w:w="3081"/>
          </w:tblGrid>
        </w:tblGridChange>
      </w:tblGrid>
      <w:tr>
        <w:trPr>
          <w:cantSplit w:val="0"/>
          <w:tblHeader w:val="0"/>
        </w:trPr>
        <w:tc>
          <w:tcPr>
            <w:tcBorders>
              <w:top w:color="000000" w:space="0" w:sz="4" w:val="single"/>
            </w:tcBorders>
            <w:shd w:fill="ffffff" w:val="clear"/>
          </w:tcPr>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spacing w:after="120" w:before="240" w:lineRule="auto"/>
              <w:ind w:left="142"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Entity</w:t>
            </w:r>
          </w:p>
        </w:tc>
        <w:tc>
          <w:tcPr>
            <w:tcBorders>
              <w:top w:color="000000" w:space="0" w:sz="4" w:val="single"/>
            </w:tcBorders>
            <w:shd w:fill="ffffff" w:val="clear"/>
          </w:tcPr>
          <w:p w:rsidR="00000000" w:rsidDel="00000000" w:rsidP="00000000" w:rsidRDefault="00000000" w:rsidRPr="00000000" w14:paraId="00000058">
            <w:pPr>
              <w:keepNext w:val="1"/>
              <w:pBdr>
                <w:top w:space="0" w:sz="0" w:val="nil"/>
                <w:left w:space="0" w:sz="0" w:val="nil"/>
                <w:bottom w:space="0" w:sz="0" w:val="nil"/>
                <w:right w:space="0" w:sz="0" w:val="nil"/>
                <w:between w:space="0" w:sz="0" w:val="nil"/>
              </w:pBdr>
              <w:spacing w:after="120" w:before="240" w:lineRule="auto"/>
              <w:ind w:left="142"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Credit rating (long term)</w:t>
            </w:r>
          </w:p>
        </w:tc>
      </w:tr>
      <w:tr>
        <w:trPr>
          <w:cantSplit w:val="0"/>
          <w:tblHeader w:val="0"/>
        </w:trPr>
        <w:tc>
          <w:tcPr>
            <w:shd w:fill="ffffff" w:val="clear"/>
          </w:tcPr>
          <w:p w:rsidR="00000000" w:rsidDel="00000000" w:rsidP="00000000" w:rsidRDefault="00000000" w:rsidRPr="00000000" w14:paraId="00000059">
            <w:pPr>
              <w:keepNext w:val="1"/>
              <w:pBdr>
                <w:top w:space="0" w:sz="0" w:val="nil"/>
                <w:left w:space="0" w:sz="0" w:val="nil"/>
                <w:bottom w:space="0" w:sz="0" w:val="nil"/>
                <w:right w:space="0" w:sz="0" w:val="nil"/>
                <w:between w:space="0" w:sz="0" w:val="nil"/>
              </w:pBdr>
              <w:spacing w:after="120" w:before="240" w:lineRule="auto"/>
              <w:ind w:left="142"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Supplier</w:t>
            </w:r>
          </w:p>
        </w:tc>
        <w:tc>
          <w:tcPr>
            <w:shd w:fill="ffffff" w:val="clear"/>
          </w:tcPr>
          <w:p w:rsidR="00000000" w:rsidDel="00000000" w:rsidP="00000000" w:rsidRDefault="00000000" w:rsidRPr="00000000" w14:paraId="0000005A">
            <w:pPr>
              <w:keepNext w:val="1"/>
              <w:pBdr>
                <w:top w:space="0" w:sz="0" w:val="nil"/>
                <w:left w:space="0" w:sz="0" w:val="nil"/>
                <w:bottom w:space="0" w:sz="0" w:val="nil"/>
                <w:right w:space="0" w:sz="0" w:val="nil"/>
                <w:between w:space="0" w:sz="0" w:val="nil"/>
              </w:pBdr>
              <w:spacing w:after="120" w:before="240" w:lineRule="auto"/>
              <w:ind w:left="142"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[D&amp;B Threshold]</w:t>
            </w:r>
          </w:p>
        </w:tc>
      </w:tr>
      <w:tr>
        <w:trPr>
          <w:cantSplit w:val="0"/>
          <w:tblHeader w:val="0"/>
        </w:trPr>
        <w:tc>
          <w:tcPr>
            <w:shd w:fill="ffffff" w:val="clear"/>
          </w:tcPr>
          <w:p w:rsidR="00000000" w:rsidDel="00000000" w:rsidP="00000000" w:rsidRDefault="00000000" w:rsidRPr="00000000" w14:paraId="0000005B">
            <w:pPr>
              <w:keepNext w:val="1"/>
              <w:pBdr>
                <w:top w:space="0" w:sz="0" w:val="nil"/>
                <w:left w:space="0" w:sz="0" w:val="nil"/>
                <w:bottom w:space="0" w:sz="0" w:val="nil"/>
                <w:right w:space="0" w:sz="0" w:val="nil"/>
                <w:between w:space="0" w:sz="0" w:val="nil"/>
              </w:pBdr>
              <w:spacing w:after="120" w:before="240" w:lineRule="auto"/>
              <w:ind w:left="142"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[Guarantor]</w:t>
            </w:r>
            <w:r w:rsidDel="00000000" w:rsidR="00000000" w:rsidRPr="00000000">
              <w:rPr>
                <w:rtl w:val="0"/>
              </w:rPr>
            </w:r>
          </w:p>
        </w:tc>
        <w:tc>
          <w:tcPr>
            <w:shd w:fill="ffffff" w:val="clear"/>
          </w:tcPr>
          <w:p w:rsidR="00000000" w:rsidDel="00000000" w:rsidP="00000000" w:rsidRDefault="00000000" w:rsidRPr="00000000" w14:paraId="0000005C">
            <w:pPr>
              <w:keepNext w:val="1"/>
              <w:pBdr>
                <w:top w:space="0" w:sz="0" w:val="nil"/>
                <w:left w:space="0" w:sz="0" w:val="nil"/>
                <w:bottom w:space="0" w:sz="0" w:val="nil"/>
                <w:right w:space="0" w:sz="0" w:val="nil"/>
                <w:between w:space="0" w:sz="0" w:val="nil"/>
              </w:pBdr>
              <w:spacing w:after="120" w:before="240" w:lineRule="auto"/>
              <w:ind w:left="142" w:firstLine="0"/>
              <w:jc w:val="left"/>
              <w:rPr>
                <w:rFonts w:ascii="Arial" w:cs="Arial" w:eastAsia="Arial" w:hAnsi="Arial"/>
                <w:color w:val="000000"/>
                <w:sz w:val="24"/>
                <w:szCs w:val="24"/>
              </w:rPr>
            </w:pPr>
            <w:r w:rsidDel="00000000" w:rsidR="00000000" w:rsidRPr="00000000">
              <w:rPr>
                <w:rtl w:val="0"/>
              </w:rPr>
            </w:r>
          </w:p>
        </w:tc>
      </w:tr>
      <w:tr>
        <w:trPr>
          <w:cantSplit w:val="0"/>
          <w:tblHeader w:val="0"/>
        </w:trPr>
        <w:tc>
          <w:tcPr>
            <w:tcBorders>
              <w:bottom w:color="000000" w:space="0" w:sz="4" w:val="single"/>
            </w:tcBorders>
            <w:shd w:fill="ffffff" w:val="clear"/>
          </w:tcPr>
          <w:p w:rsidR="00000000" w:rsidDel="00000000" w:rsidP="00000000" w:rsidRDefault="00000000" w:rsidRPr="00000000" w14:paraId="0000005D">
            <w:pPr>
              <w:keepNext w:val="1"/>
              <w:pBdr>
                <w:top w:space="0" w:sz="0" w:val="nil"/>
                <w:left w:space="0" w:sz="0" w:val="nil"/>
                <w:bottom w:space="0" w:sz="0" w:val="nil"/>
                <w:right w:space="0" w:sz="0" w:val="nil"/>
                <w:between w:space="0" w:sz="0" w:val="nil"/>
              </w:pBdr>
              <w:spacing w:after="120" w:before="240" w:lineRule="auto"/>
              <w:ind w:left="142" w:firstLine="0"/>
              <w:jc w:val="left"/>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[Key Subcontractor]</w:t>
            </w:r>
          </w:p>
        </w:tc>
        <w:tc>
          <w:tcPr>
            <w:tcBorders>
              <w:bottom w:color="000000" w:space="0" w:sz="4" w:val="single"/>
            </w:tcBorders>
            <w:shd w:fill="ffffff" w:val="clear"/>
          </w:tcPr>
          <w:p w:rsidR="00000000" w:rsidDel="00000000" w:rsidP="00000000" w:rsidRDefault="00000000" w:rsidRPr="00000000" w14:paraId="0000005E">
            <w:pPr>
              <w:keepNext w:val="1"/>
              <w:pBdr>
                <w:top w:space="0" w:sz="0" w:val="nil"/>
                <w:left w:space="0" w:sz="0" w:val="nil"/>
                <w:bottom w:space="0" w:sz="0" w:val="nil"/>
                <w:right w:space="0" w:sz="0" w:val="nil"/>
                <w:between w:space="0" w:sz="0" w:val="nil"/>
              </w:pBdr>
              <w:spacing w:after="120" w:before="240" w:lineRule="auto"/>
              <w:ind w:left="142" w:firstLine="0"/>
              <w:jc w:val="left"/>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5F">
      <w:pPr>
        <w:spacing w:after="0" w:lineRule="auto"/>
        <w:rPr>
          <w:rFonts w:ascii="Arial" w:cs="Arial" w:eastAsia="Arial" w:hAnsi="Arial"/>
          <w:sz w:val="24"/>
          <w:szCs w:val="24"/>
        </w:rPr>
      </w:pPr>
      <w:r w:rsidDel="00000000" w:rsidR="00000000" w:rsidRPr="00000000">
        <w:rPr>
          <w:rtl w:val="0"/>
        </w:rPr>
      </w:r>
    </w:p>
    <w:sectPr>
      <w:headerReference r:id="rId9" w:type="defaul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4">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v3.4</w:t>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tabs>
        <w:tab w:val="center" w:pos="4513"/>
        <w:tab w:val="right"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pos="4513"/>
        <w:tab w:val="right" w:pos="9026"/>
      </w:tabs>
      <w:spacing w:after="0" w:lineRule="auto"/>
      <w:rPr>
        <w:color w:val="bfbfbf"/>
      </w:rPr>
    </w:pPr>
    <w:r w:rsidDel="00000000" w:rsidR="00000000" w:rsidRPr="00000000">
      <w:rPr>
        <w:color w:val="bfbfbf"/>
        <w:rtl w:val="0"/>
      </w:rPr>
      <w:t xml:space="preserve">Project Version: v1.0</w:t>
      <w:tab/>
      <w:tab/>
      <w:tab/>
      <w:t xml:space="preserve"> </w:t>
    </w:r>
    <w:r w:rsidDel="00000000" w:rsidR="00000000" w:rsidRPr="00000000">
      <w:rPr>
        <w:color w:val="bfbfb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7">
    <w:pPr>
      <w:spacing w:after="0" w:lineRule="auto"/>
      <w:rPr>
        <w:rFonts w:ascii="Arial" w:cs="Arial" w:eastAsia="Arial" w:hAnsi="Arial"/>
        <w:color w:val="bfbfbf"/>
        <w:sz w:val="20"/>
        <w:szCs w:val="20"/>
      </w:rPr>
    </w:pPr>
    <w:r w:rsidDel="00000000" w:rsidR="00000000" w:rsidRPr="00000000">
      <w:rPr>
        <w:color w:val="bfbfbf"/>
        <w:rtl w:val="0"/>
      </w:rPr>
      <w:t xml:space="preserve">Model Version : v3.0</w:t>
      <w:tab/>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Joint Schedule 7 (Financial Difficulties)</w:t>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w:t>
    </w:r>
    <w:r w:rsidDel="00000000" w:rsidR="00000000" w:rsidRPr="00000000">
      <w:rPr>
        <w:rFonts w:ascii="Arial" w:cs="Arial" w:eastAsia="Arial" w:hAnsi="Arial"/>
        <w:sz w:val="20"/>
        <w:szCs w:val="20"/>
        <w:rtl w:val="0"/>
      </w:rPr>
      <w:t xml:space="preserve">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8.99999999999994"/>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i w:val="0"/>
        <w:smallCaps w:val="0"/>
        <w:strike w:val="0"/>
        <w:color w:val="000000"/>
        <w:u w:val="none"/>
        <w:vertAlign w:val="baseline"/>
      </w:rPr>
    </w:lvl>
    <w:lvl w:ilvl="5">
      <w:start w:val="1"/>
      <w:numFmt w:val="upperLetter"/>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cs="Arial" w:eastAsia="Times New Roman"/>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numPr>
        <w:numId w:val="4"/>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4"/>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clear" w:pos="1985"/>
      </w:tabs>
      <w:ind w:left="2592" w:hanging="936"/>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4"/>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cs="Arial" w:eastAsia="Times New Roman"/>
      <w:lang w:eastAsia="zh-CN"/>
    </w:rPr>
  </w:style>
  <w:style w:type="paragraph" w:styleId="GPsDefinition" w:customStyle="1">
    <w:name w:val="GPs Definition"/>
    <w:basedOn w:val="Normal"/>
    <w:qFormat w:val="1"/>
    <w:pPr>
      <w:numPr>
        <w:numId w:val="3"/>
      </w:numPr>
      <w:tabs>
        <w:tab w:val="left" w:pos="175"/>
      </w:tabs>
      <w:spacing w:after="120"/>
    </w:pPr>
  </w:style>
  <w:style w:type="paragraph" w:styleId="GPSDefinitionL2" w:customStyle="1">
    <w:name w:val="GPS Definition L2"/>
    <w:basedOn w:val="GPsDefinition"/>
    <w:qFormat w:val="1"/>
    <w:pPr>
      <w:numPr>
        <w:ilvl w:val="1"/>
      </w:numPr>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SCHEDULEHeading" w:customStyle="1">
    <w:name w:val="GPS L1 SCHEDULE Heading"/>
    <w:basedOn w:val="GPSL1CLAUSEHEADING"/>
    <w:link w:val="GPSL1SCHEDULEHeadingChar"/>
    <w:qFormat w:val="1"/>
    <w:pPr>
      <w:outlineLvl w:val="9"/>
    </w:pPr>
  </w:style>
  <w:style w:type="paragraph" w:styleId="GPSL2Indent" w:customStyle="1">
    <w:name w:val="GPS L2 Indent"/>
    <w:basedOn w:val="Normal"/>
    <w:link w:val="GPSL2IndentChar"/>
    <w:qFormat w:val="1"/>
    <w:pPr>
      <w:tabs>
        <w:tab w:val="left" w:pos="3402"/>
      </w:tabs>
      <w:spacing w:after="220"/>
      <w:ind w:left="1134"/>
    </w:pPr>
    <w:rPr>
      <w:szCs w:val="24"/>
    </w:rPr>
  </w:style>
  <w:style w:type="paragraph" w:styleId="GPSL3Indent" w:customStyle="1">
    <w:name w:val="GPS L3 Indent"/>
    <w:basedOn w:val="Normal"/>
    <w:link w:val="GPSL3IndentChar"/>
    <w:pPr>
      <w:overflowPunct w:val="1"/>
      <w:autoSpaceDE w:val="1"/>
      <w:autoSpaceDN w:val="1"/>
      <w:spacing w:after="120" w:before="120"/>
      <w:ind w:left="1985"/>
      <w:textAlignment w:val="auto"/>
    </w:pPr>
    <w:rPr>
      <w:lang w:eastAsia="zh-CN" w:val="en-US"/>
    </w:rPr>
  </w:style>
  <w:style w:type="paragraph" w:styleId="GPSmacrorestart" w:customStyle="1">
    <w:name w:val="GPS macro restart"/>
    <w:basedOn w:val="Normal"/>
    <w:qFormat w:val="1"/>
    <w:pPr>
      <w:spacing w:after="0"/>
    </w:pPr>
    <w:rPr>
      <w:color w:val="ffffff"/>
      <w:sz w:val="16"/>
      <w:szCs w:val="16"/>
    </w:rPr>
  </w:style>
  <w:style w:type="paragraph" w:styleId="GPSSchAnnexname" w:customStyle="1">
    <w:name w:val="GPS Sch Annex name"/>
    <w:basedOn w:val="Normal"/>
    <w:link w:val="GPSSchAnnexnameChar"/>
    <w:qFormat w:val="1"/>
    <w:pPr>
      <w:keepNext w:val="1"/>
      <w:overflowPunct w:val="1"/>
      <w:autoSpaceDE w:val="1"/>
      <w:autoSpaceDN w:val="1"/>
      <w:ind w:firstLine="426"/>
      <w:jc w:val="center"/>
      <w:textAlignment w:val="auto"/>
      <w:outlineLvl w:val="1"/>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3IndentChar" w:customStyle="1">
    <w:name w:val="GPS L3 Indent Char"/>
    <w:link w:val="GPSL3Indent"/>
    <w:locked w:val="1"/>
    <w:rPr>
      <w:rFonts w:ascii="Calibri" w:cs="Arial" w:eastAsia="Times New Roman" w:hAnsi="Calibri"/>
      <w:lang w:eastAsia="zh-CN" w:val="en-US"/>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2IndentChar" w:customStyle="1">
    <w:name w:val="GPS L2 Indent Char"/>
    <w:link w:val="GPSL2Indent"/>
    <w:rPr>
      <w:rFonts w:ascii="Calibri" w:cs="Arial" w:eastAsia="Times New Roman" w:hAnsi="Calibri"/>
      <w:szCs w:val="24"/>
    </w:rPr>
  </w:style>
  <w:style w:type="character" w:styleId="GPSSchAnnexnameChar" w:customStyle="1">
    <w:name w:val="GPS Sch Annex name Char"/>
    <w:link w:val="GPSSchAnnexname"/>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GPSL2NumberedBoldHeadingChar" w:customStyle="1">
    <w:name w:val="GPS L2 Numbered Bold Heading Char"/>
    <w:link w:val="GPSL2NumberedBoldHeading"/>
    <w:locked w:val="1"/>
    <w:rPr>
      <w:rFonts w:cs="Arial" w:eastAsia="Times New Roman"/>
      <w:b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character" w:styleId="Hyperlink">
    <w:name w:val="Hyperlink"/>
    <w:basedOn w:val="DefaultParagraphFont"/>
    <w:uiPriority w:val="99"/>
    <w:semiHidden w:val="1"/>
    <w:unhideWhenUsed w:val="1"/>
    <w:rPr>
      <w:color w:val="0000ff"/>
      <w:u w:val="single"/>
    </w:rPr>
  </w:style>
  <w:style w:type="table" w:styleId="TableGrid">
    <w:name w:val="Table Grid"/>
    <w:basedOn w:val="TableNormal"/>
    <w:uiPriority w:val="59"/>
    <w:pPr>
      <w:spacing w:after="0"/>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pPr>
    <w:rPr>
      <w:rFonts w:cs="Arial" w:eastAsia="Times New Roman"/>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wL37RyBSTbpwLh1WvVitHaZjlg==">AMUW2mXM/02ar+z43KsK/+NDmQZV9GK60yJHfkHx14vZHn8YHEWrGg924J38Cs3goioQW8HTJpPzz0qWlLyzUPjfJHsT81zIncKtIgxJWgEAgYltZh/NEntTRcKXcpvoDsNrk2+pS3Eggt4Db60BUNDHwPK1yoYeKCkzItn6in//EyrBR7UOyOVLhxA1fRH2P9b1N9IaB3OWJQfB9a3NnbggYal9997ZZrttWbbfWTACk89UaPJCHgp3DDWlyROD5G3Vogjw7vGqZ5xcsSn6vYpBIM+3iJ5+z6rZkxx0G7MEh21b1w9NO0o5kYWZTt7cd2iLYvt0J8LneIOVBdTopBwoffV2tit7i8He1rC33aB9GXAun0tHq03zVJJwqOvz9WpsSgf2Gz+WxkGTWIbA8NMNatTLuCb6ujWhUlbhdN4kihLchCxJiE0fp4r9PDk7qCmsaA8gb1h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2020-09-02T11:56:00Z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