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E4E" w:rsidRDefault="001C5E4E">
      <w:pPr>
        <w:pStyle w:val="BodyText"/>
        <w:rPr>
          <w:rFonts w:ascii="Times New Roman"/>
          <w:sz w:val="28"/>
        </w:rPr>
      </w:pPr>
    </w:p>
    <w:p w:rsidR="001C5E4E" w:rsidRDefault="003E09C0">
      <w:pPr>
        <w:pStyle w:val="Heading1"/>
        <w:spacing w:before="57"/>
        <w:ind w:left="1030" w:right="1347"/>
        <w:jc w:val="center"/>
      </w:pPr>
      <w:r>
        <w:t>Crown Commercial Service</w:t>
      </w:r>
    </w:p>
    <w:p w:rsidR="001C5E4E" w:rsidRDefault="001C5E4E">
      <w:pPr>
        <w:pStyle w:val="BodyText"/>
        <w:rPr>
          <w:b/>
          <w:sz w:val="20"/>
        </w:rPr>
      </w:pPr>
    </w:p>
    <w:p w:rsidR="001C5E4E" w:rsidRDefault="001D3DDF">
      <w:pPr>
        <w:pStyle w:val="BodyText"/>
        <w:spacing w:before="1"/>
        <w:rPr>
          <w:b/>
          <w:sz w:val="15"/>
        </w:rPr>
      </w:pPr>
      <w:r>
        <w:pict>
          <v:shape id="_x0000_s1035" style="position:absolute;margin-left:92.3pt;margin-top:11.75pt;width:410.6pt;height:.1pt;z-index:-15728640;mso-wrap-distance-left:0;mso-wrap-distance-right:0;mso-position-horizontal-relative:page" coordorigin="1846,235" coordsize="8212,0" path="m1846,235r8212,e" filled="f" strokeweight=".35369mm">
            <v:path arrowok="t"/>
            <w10:wrap type="topAndBottom" anchorx="page"/>
          </v:shape>
        </w:pict>
      </w:r>
      <w:r>
        <w:pict>
          <v:shape id="_x0000_s1034" style="position:absolute;margin-left:278.45pt;margin-top:25.2pt;width:38.5pt;height:.1pt;z-index:-15728128;mso-wrap-distance-left:0;mso-wrap-distance-right:0;mso-position-horizontal-relative:page" coordorigin="5569,504" coordsize="770,0" path="m5569,504r769,e" filled="f" strokeweight=".35369mm">
            <v:path arrowok="t"/>
            <w10:wrap type="topAndBottom" anchorx="page"/>
          </v:shape>
        </w:pict>
      </w:r>
    </w:p>
    <w:p w:rsidR="001C5E4E" w:rsidRDefault="001C5E4E">
      <w:pPr>
        <w:pStyle w:val="BodyText"/>
        <w:spacing w:before="7"/>
        <w:rPr>
          <w:b/>
          <w:sz w:val="14"/>
        </w:rPr>
      </w:pPr>
    </w:p>
    <w:p w:rsidR="001C5E4E" w:rsidRDefault="001C5E4E">
      <w:pPr>
        <w:pStyle w:val="BodyText"/>
        <w:rPr>
          <w:b/>
          <w:sz w:val="14"/>
        </w:rPr>
      </w:pPr>
    </w:p>
    <w:p w:rsidR="001C5E4E" w:rsidRDefault="003E09C0">
      <w:pPr>
        <w:spacing w:before="56"/>
        <w:ind w:left="1027" w:right="1347"/>
        <w:jc w:val="center"/>
        <w:rPr>
          <w:b/>
        </w:rPr>
      </w:pPr>
      <w:r>
        <w:rPr>
          <w:b/>
        </w:rPr>
        <w:t>CONTRACT FOR RAIDS WORK PACKAGE 4 - AUTOMATED VEHICLE COLLISION SUPPORT</w:t>
      </w:r>
    </w:p>
    <w:p w:rsidR="001C5E4E" w:rsidRDefault="001C5E4E">
      <w:pPr>
        <w:pStyle w:val="BodyText"/>
        <w:rPr>
          <w:b/>
        </w:rPr>
      </w:pPr>
    </w:p>
    <w:p w:rsidR="001C5E4E" w:rsidRDefault="001C5E4E">
      <w:pPr>
        <w:pStyle w:val="BodyText"/>
        <w:spacing w:before="7"/>
        <w:rPr>
          <w:b/>
          <w:sz w:val="29"/>
        </w:rPr>
      </w:pPr>
    </w:p>
    <w:p w:rsidR="001C5E4E" w:rsidRDefault="003E09C0">
      <w:pPr>
        <w:ind w:left="1030" w:right="1347"/>
        <w:jc w:val="center"/>
        <w:rPr>
          <w:b/>
        </w:rPr>
      </w:pPr>
      <w:r>
        <w:rPr>
          <w:b/>
        </w:rPr>
        <w:t>Based on</w:t>
      </w:r>
    </w:p>
    <w:p w:rsidR="001C5E4E" w:rsidRDefault="001C5E4E">
      <w:pPr>
        <w:pStyle w:val="BodyText"/>
        <w:spacing w:before="9"/>
        <w:rPr>
          <w:b/>
          <w:sz w:val="19"/>
        </w:rPr>
      </w:pPr>
    </w:p>
    <w:p w:rsidR="001C5E4E" w:rsidRDefault="003E09C0">
      <w:pPr>
        <w:pStyle w:val="BodyText"/>
        <w:ind w:left="990" w:right="1313" w:firstLine="7"/>
        <w:jc w:val="center"/>
        <w:rPr>
          <w:rFonts w:ascii="Arial" w:hAnsi="Arial"/>
        </w:rPr>
      </w:pPr>
      <w:r>
        <w:rPr>
          <w:rFonts w:ascii="Arial" w:hAnsi="Arial"/>
        </w:rPr>
        <w:t>TRAFFIC MANAGEMENT TECHNOLOGY FRAMEWORK SCHEDULE 4C – TEMPLATE CALL OFF AGREEMENT (INCORPORATING THE NEC3 PROFESSIONAL SERVICES CONTRACT), CONTRACT DATA AND Z CLAUSES</w:t>
      </w:r>
    </w:p>
    <w:p w:rsidR="001C5E4E" w:rsidRDefault="001C5E4E">
      <w:pPr>
        <w:pStyle w:val="BodyText"/>
        <w:rPr>
          <w:rFonts w:ascii="Arial"/>
          <w:sz w:val="20"/>
        </w:rPr>
      </w:pPr>
    </w:p>
    <w:p w:rsidR="001C5E4E" w:rsidRDefault="001D3DDF">
      <w:pPr>
        <w:pStyle w:val="BodyText"/>
        <w:spacing w:before="2"/>
        <w:rPr>
          <w:rFonts w:ascii="Arial"/>
          <w:sz w:val="17"/>
        </w:rPr>
      </w:pPr>
      <w:r>
        <w:pict>
          <v:shape id="_x0000_s1033" style="position:absolute;margin-left:92.3pt;margin-top:12.4pt;width:410.6pt;height:.1pt;z-index:-15727616;mso-wrap-distance-left:0;mso-wrap-distance-right:0;mso-position-horizontal-relative:page" coordorigin="1846,248" coordsize="8212,0" path="m1846,248r8212,e" filled="f" strokeweight=".35369mm">
            <v:path arrowok="t"/>
            <w10:wrap type="topAndBottom" anchorx="page"/>
          </v:shape>
        </w:pict>
      </w:r>
      <w:r>
        <w:pict>
          <v:shape id="_x0000_s1032" style="position:absolute;margin-left:278.45pt;margin-top:25.85pt;width:38.5pt;height:.1pt;z-index:-15727104;mso-wrap-distance-left:0;mso-wrap-distance-right:0;mso-position-horizontal-relative:page" coordorigin="5569,517" coordsize="770,0" path="m5569,517r769,e" filled="f" strokeweight=".35369mm">
            <v:path arrowok="t"/>
            <w10:wrap type="topAndBottom" anchorx="page"/>
          </v:shape>
        </w:pict>
      </w:r>
    </w:p>
    <w:p w:rsidR="001C5E4E" w:rsidRDefault="001C5E4E">
      <w:pPr>
        <w:pStyle w:val="BodyText"/>
        <w:spacing w:before="6"/>
        <w:rPr>
          <w:rFonts w:ascii="Arial"/>
          <w:sz w:val="15"/>
        </w:rPr>
      </w:pPr>
    </w:p>
    <w:p w:rsidR="001C5E4E" w:rsidRDefault="001C5E4E">
      <w:pPr>
        <w:rPr>
          <w:rFonts w:ascii="Arial"/>
          <w:sz w:val="15"/>
        </w:rPr>
        <w:sectPr w:rsidR="001C5E4E">
          <w:footerReference w:type="default" r:id="rId7"/>
          <w:type w:val="continuous"/>
          <w:pgSz w:w="11910" w:h="16840"/>
          <w:pgMar w:top="1580" w:right="620" w:bottom="1120" w:left="940" w:header="720" w:footer="938" w:gutter="0"/>
          <w:pgNumType w:start="1"/>
          <w:cols w:space="720"/>
        </w:sectPr>
      </w:pPr>
    </w:p>
    <w:p w:rsidR="001C5E4E" w:rsidRDefault="003E09C0">
      <w:pPr>
        <w:pStyle w:val="BodyText"/>
        <w:spacing w:before="41"/>
        <w:ind w:left="1030" w:right="1344"/>
        <w:jc w:val="center"/>
      </w:pPr>
      <w:r>
        <w:lastRenderedPageBreak/>
        <w:t>TABLE OF CONTENTS</w:t>
      </w:r>
    </w:p>
    <w:p w:rsidR="001C5E4E" w:rsidRDefault="001C5E4E">
      <w:pPr>
        <w:pStyle w:val="BodyText"/>
      </w:pPr>
    </w:p>
    <w:p w:rsidR="001C5E4E" w:rsidRDefault="001D3DDF">
      <w:pPr>
        <w:pStyle w:val="ListParagraph"/>
        <w:numPr>
          <w:ilvl w:val="0"/>
          <w:numId w:val="70"/>
        </w:numPr>
        <w:tabs>
          <w:tab w:val="left" w:pos="1709"/>
          <w:tab w:val="left" w:pos="1710"/>
        </w:tabs>
        <w:spacing w:before="1"/>
      </w:pPr>
      <w:hyperlink w:anchor="_bookmark0" w:history="1">
        <w:r w:rsidR="003E09C0">
          <w:t>PROFESSIONAL SERVICES CONTRACT ANNEX A - FORM OF AGREEMENT..</w:t>
        </w:r>
        <w:r w:rsidR="003E09C0">
          <w:rPr>
            <w:spacing w:val="-18"/>
          </w:rPr>
          <w:t xml:space="preserve"> </w:t>
        </w:r>
        <w:r w:rsidR="003E09C0">
          <w:t>4</w:t>
        </w:r>
      </w:hyperlink>
    </w:p>
    <w:sdt>
      <w:sdtPr>
        <w:id w:val="-1281573630"/>
        <w:docPartObj>
          <w:docPartGallery w:val="Table of Contents"/>
          <w:docPartUnique/>
        </w:docPartObj>
      </w:sdtPr>
      <w:sdtEndPr/>
      <w:sdtContent>
        <w:p w:rsidR="001C5E4E" w:rsidRDefault="001D3DDF">
          <w:pPr>
            <w:pStyle w:val="TOC1"/>
            <w:numPr>
              <w:ilvl w:val="0"/>
              <w:numId w:val="70"/>
            </w:numPr>
            <w:tabs>
              <w:tab w:val="left" w:pos="1709"/>
              <w:tab w:val="left" w:pos="1710"/>
              <w:tab w:val="left" w:leader="dot" w:pos="8210"/>
            </w:tabs>
            <w:spacing w:before="139" w:line="312" w:lineRule="auto"/>
            <w:ind w:right="2022"/>
          </w:pPr>
          <w:hyperlink w:anchor="_bookmark1" w:history="1">
            <w:r w:rsidR="003E09C0">
              <w:t>PROFESSIONAL SERVICES CONTRACT ANNEX B - CONDITIONS OF</w:t>
            </w:r>
          </w:hyperlink>
          <w:hyperlink w:anchor="_bookmark1" w:history="1">
            <w:r w:rsidR="003E09C0">
              <w:t xml:space="preserve"> CONTRACT</w:t>
            </w:r>
            <w:r w:rsidR="003E09C0">
              <w:tab/>
            </w:r>
            <w:r w:rsidR="003E09C0">
              <w:rPr>
                <w:spacing w:val="-18"/>
              </w:rPr>
              <w:t>7</w:t>
            </w:r>
          </w:hyperlink>
        </w:p>
        <w:p w:rsidR="001C5E4E" w:rsidRDefault="001D3DDF">
          <w:pPr>
            <w:pStyle w:val="TOC1"/>
            <w:numPr>
              <w:ilvl w:val="0"/>
              <w:numId w:val="70"/>
            </w:numPr>
            <w:tabs>
              <w:tab w:val="left" w:pos="1709"/>
              <w:tab w:val="left" w:pos="1710"/>
              <w:tab w:val="left" w:leader="dot" w:pos="8210"/>
            </w:tabs>
            <w:spacing w:line="312" w:lineRule="auto"/>
            <w:ind w:right="2022"/>
          </w:pPr>
          <w:hyperlink w:anchor="_bookmark2" w:history="1">
            <w:r w:rsidR="003E09C0">
              <w:t>PROFESSIONAL SERVICES CONTRACT ANNEX C - CONTRACT DATA PARTS</w:t>
            </w:r>
          </w:hyperlink>
          <w:hyperlink w:anchor="_bookmark2" w:history="1">
            <w:r w:rsidR="003E09C0">
              <w:t xml:space="preserve"> ONE</w:t>
            </w:r>
            <w:r w:rsidR="003E09C0">
              <w:rPr>
                <w:spacing w:val="-1"/>
              </w:rPr>
              <w:t xml:space="preserve"> </w:t>
            </w:r>
            <w:r w:rsidR="003E09C0">
              <w:t>AND</w:t>
            </w:r>
            <w:r w:rsidR="003E09C0">
              <w:rPr>
                <w:spacing w:val="-1"/>
              </w:rPr>
              <w:t xml:space="preserve"> </w:t>
            </w:r>
            <w:r w:rsidR="003E09C0">
              <w:t>TWO</w:t>
            </w:r>
            <w:r w:rsidR="003E09C0">
              <w:tab/>
            </w:r>
            <w:r w:rsidR="003E09C0">
              <w:rPr>
                <w:spacing w:val="-18"/>
              </w:rPr>
              <w:t>7</w:t>
            </w:r>
          </w:hyperlink>
        </w:p>
        <w:p w:rsidR="001C5E4E" w:rsidRDefault="001D3DDF">
          <w:pPr>
            <w:pStyle w:val="TOC1"/>
            <w:numPr>
              <w:ilvl w:val="0"/>
              <w:numId w:val="70"/>
            </w:numPr>
            <w:tabs>
              <w:tab w:val="left" w:pos="1709"/>
              <w:tab w:val="left" w:pos="1710"/>
            </w:tabs>
          </w:pPr>
          <w:hyperlink w:anchor="_bookmark3" w:history="1">
            <w:r w:rsidR="003E09C0">
              <w:t>PROFESSIONAL</w:t>
            </w:r>
            <w:r w:rsidR="003E09C0">
              <w:rPr>
                <w:spacing w:val="-3"/>
              </w:rPr>
              <w:t xml:space="preserve"> </w:t>
            </w:r>
            <w:r w:rsidR="003E09C0">
              <w:t>SERVICES</w:t>
            </w:r>
            <w:r w:rsidR="003E09C0">
              <w:rPr>
                <w:spacing w:val="-3"/>
              </w:rPr>
              <w:t xml:space="preserve"> </w:t>
            </w:r>
            <w:r w:rsidR="003E09C0">
              <w:t>CONTRACT</w:t>
            </w:r>
            <w:r w:rsidR="003E09C0">
              <w:rPr>
                <w:spacing w:val="-1"/>
              </w:rPr>
              <w:t xml:space="preserve"> </w:t>
            </w:r>
            <w:r w:rsidR="003E09C0">
              <w:t>ANNEX</w:t>
            </w:r>
            <w:r w:rsidR="003E09C0">
              <w:rPr>
                <w:spacing w:val="1"/>
              </w:rPr>
              <w:t xml:space="preserve"> </w:t>
            </w:r>
            <w:r w:rsidR="003E09C0">
              <w:t>D</w:t>
            </w:r>
            <w:r w:rsidR="003E09C0">
              <w:rPr>
                <w:spacing w:val="1"/>
              </w:rPr>
              <w:t xml:space="preserve"> </w:t>
            </w:r>
            <w:r w:rsidR="003E09C0">
              <w:t>–</w:t>
            </w:r>
            <w:r w:rsidR="003E09C0">
              <w:rPr>
                <w:spacing w:val="-3"/>
              </w:rPr>
              <w:t xml:space="preserve"> </w:t>
            </w:r>
            <w:r w:rsidR="003E09C0">
              <w:t>OPTIONAL Z CLAUSES</w:t>
            </w:r>
            <w:r w:rsidR="003E09C0">
              <w:rPr>
                <w:spacing w:val="-25"/>
              </w:rPr>
              <w:t xml:space="preserve"> </w:t>
            </w:r>
            <w:r w:rsidR="003E09C0">
              <w:t>.</w:t>
            </w:r>
            <w:r w:rsidR="003E09C0">
              <w:rPr>
                <w:spacing w:val="-12"/>
              </w:rPr>
              <w:t xml:space="preserve"> </w:t>
            </w:r>
            <w:r w:rsidR="003E09C0">
              <w:t>13</w:t>
            </w:r>
          </w:hyperlink>
        </w:p>
        <w:p w:rsidR="001C5E4E" w:rsidRDefault="001D3DDF">
          <w:pPr>
            <w:pStyle w:val="TOC1"/>
            <w:numPr>
              <w:ilvl w:val="0"/>
              <w:numId w:val="70"/>
            </w:numPr>
            <w:tabs>
              <w:tab w:val="left" w:pos="1709"/>
              <w:tab w:val="left" w:pos="1710"/>
              <w:tab w:val="left" w:leader="dot" w:pos="8097"/>
            </w:tabs>
            <w:spacing w:before="142"/>
          </w:pPr>
          <w:hyperlink w:anchor="_bookmark4" w:history="1">
            <w:r w:rsidR="003E09C0">
              <w:t>PROFESSIONAL SERVICES CONTRACT ANNEX E –</w:t>
            </w:r>
            <w:r w:rsidR="003E09C0">
              <w:rPr>
                <w:spacing w:val="-12"/>
              </w:rPr>
              <w:t xml:space="preserve"> </w:t>
            </w:r>
            <w:r w:rsidR="003E09C0">
              <w:t>THE</w:t>
            </w:r>
            <w:r w:rsidR="003E09C0">
              <w:rPr>
                <w:spacing w:val="-4"/>
              </w:rPr>
              <w:t xml:space="preserve"> </w:t>
            </w:r>
            <w:r w:rsidR="003E09C0">
              <w:t>SCOPE</w:t>
            </w:r>
            <w:r w:rsidR="003E09C0">
              <w:tab/>
              <w:t>45</w:t>
            </w:r>
          </w:hyperlink>
        </w:p>
        <w:p w:rsidR="001C5E4E" w:rsidRDefault="001D3DDF">
          <w:pPr>
            <w:pStyle w:val="TOC1"/>
            <w:numPr>
              <w:ilvl w:val="0"/>
              <w:numId w:val="70"/>
            </w:numPr>
            <w:tabs>
              <w:tab w:val="left" w:pos="1709"/>
              <w:tab w:val="left" w:pos="1710"/>
              <w:tab w:val="left" w:leader="dot" w:pos="8097"/>
            </w:tabs>
            <w:spacing w:before="140" w:line="312" w:lineRule="auto"/>
            <w:ind w:right="2021"/>
          </w:pPr>
          <w:hyperlink w:anchor="_bookmark5" w:history="1">
            <w:r w:rsidR="003E09C0">
              <w:t>PROFESSIONAL SERVICES CONTRACT ANNEX F – SCHEDULE OF WORKS &amp;</w:t>
            </w:r>
          </w:hyperlink>
          <w:hyperlink w:anchor="_bookmark5" w:history="1">
            <w:r w:rsidR="003E09C0">
              <w:t xml:space="preserve"> PRICING</w:t>
            </w:r>
            <w:r w:rsidR="003E09C0">
              <w:tab/>
            </w:r>
            <w:r w:rsidR="003E09C0">
              <w:rPr>
                <w:spacing w:val="-8"/>
              </w:rPr>
              <w:t>50</w:t>
            </w:r>
          </w:hyperlink>
        </w:p>
        <w:p w:rsidR="001C5E4E" w:rsidRDefault="001D3DDF">
          <w:pPr>
            <w:pStyle w:val="TOC1"/>
            <w:numPr>
              <w:ilvl w:val="0"/>
              <w:numId w:val="70"/>
            </w:numPr>
            <w:tabs>
              <w:tab w:val="left" w:pos="1709"/>
              <w:tab w:val="left" w:pos="1710"/>
              <w:tab w:val="left" w:leader="dot" w:pos="8097"/>
            </w:tabs>
            <w:spacing w:line="312" w:lineRule="auto"/>
            <w:ind w:right="2021"/>
          </w:pPr>
          <w:hyperlink w:anchor="_bookmark6" w:history="1">
            <w:r w:rsidR="003E09C0">
              <w:t>PROFESSIONAL SERVICES CONTRACT ANNEX G – STAFF TRANSFER – NOT</w:t>
            </w:r>
          </w:hyperlink>
          <w:hyperlink w:anchor="_bookmark6" w:history="1">
            <w:r w:rsidR="003E09C0">
              <w:t xml:space="preserve"> USED</w:t>
            </w:r>
            <w:r w:rsidR="003E09C0">
              <w:tab/>
            </w:r>
            <w:r w:rsidR="003E09C0">
              <w:rPr>
                <w:spacing w:val="-8"/>
              </w:rPr>
              <w:t>52</w:t>
            </w:r>
          </w:hyperlink>
        </w:p>
      </w:sdtContent>
    </w:sdt>
    <w:p w:rsidR="001C5E4E" w:rsidRDefault="001C5E4E">
      <w:pPr>
        <w:spacing w:line="312" w:lineRule="auto"/>
        <w:sectPr w:rsidR="001C5E4E">
          <w:pgSz w:w="11910" w:h="16840"/>
          <w:pgMar w:top="1380" w:right="620" w:bottom="1200" w:left="940" w:header="0" w:footer="938" w:gutter="0"/>
          <w:cols w:space="720"/>
        </w:sectPr>
      </w:pPr>
    </w:p>
    <w:p w:rsidR="001C5E4E" w:rsidRDefault="001C5E4E">
      <w:pPr>
        <w:pStyle w:val="BodyText"/>
      </w:pPr>
    </w:p>
    <w:p w:rsidR="001C5E4E" w:rsidRDefault="001C5E4E">
      <w:pPr>
        <w:pStyle w:val="BodyText"/>
      </w:pPr>
    </w:p>
    <w:p w:rsidR="001C5E4E" w:rsidRDefault="001C5E4E">
      <w:pPr>
        <w:pStyle w:val="BodyText"/>
        <w:spacing w:before="8"/>
        <w:rPr>
          <w:sz w:val="28"/>
        </w:rPr>
      </w:pPr>
    </w:p>
    <w:p w:rsidR="001C5E4E" w:rsidRDefault="003E09C0">
      <w:pPr>
        <w:pStyle w:val="Heading1"/>
        <w:spacing w:before="1"/>
        <w:ind w:left="1030" w:right="1347"/>
        <w:jc w:val="center"/>
      </w:pPr>
      <w:r>
        <w:t>Date 1 May 2021</w:t>
      </w:r>
    </w:p>
    <w:p w:rsidR="001C5E4E" w:rsidRDefault="001C5E4E">
      <w:pPr>
        <w:pStyle w:val="BodyText"/>
        <w:rPr>
          <w:b/>
        </w:rPr>
      </w:pPr>
    </w:p>
    <w:p w:rsidR="001C5E4E" w:rsidRDefault="001C5E4E">
      <w:pPr>
        <w:pStyle w:val="BodyText"/>
        <w:rPr>
          <w:b/>
        </w:rPr>
      </w:pPr>
    </w:p>
    <w:p w:rsidR="001C5E4E" w:rsidRDefault="001C5E4E">
      <w:pPr>
        <w:pStyle w:val="BodyText"/>
        <w:rPr>
          <w:b/>
        </w:rPr>
      </w:pPr>
    </w:p>
    <w:p w:rsidR="001C5E4E" w:rsidRDefault="001C5E4E">
      <w:pPr>
        <w:pStyle w:val="BodyText"/>
        <w:rPr>
          <w:b/>
        </w:rPr>
      </w:pPr>
    </w:p>
    <w:p w:rsidR="001C5E4E" w:rsidRDefault="003E09C0">
      <w:pPr>
        <w:spacing w:before="181"/>
        <w:ind w:left="1030" w:right="1345"/>
        <w:jc w:val="center"/>
        <w:rPr>
          <w:b/>
        </w:rPr>
      </w:pPr>
      <w:r>
        <w:rPr>
          <w:b/>
        </w:rPr>
        <w:t>FORM OF AGREEMENT</w:t>
      </w:r>
    </w:p>
    <w:p w:rsidR="001C5E4E" w:rsidRDefault="001C5E4E">
      <w:pPr>
        <w:pStyle w:val="BodyText"/>
        <w:spacing w:before="8"/>
        <w:rPr>
          <w:b/>
          <w:sz w:val="19"/>
        </w:rPr>
      </w:pPr>
    </w:p>
    <w:p w:rsidR="001C5E4E" w:rsidRDefault="003E09C0">
      <w:pPr>
        <w:ind w:left="1029" w:right="1347"/>
        <w:jc w:val="center"/>
        <w:rPr>
          <w:b/>
        </w:rPr>
      </w:pPr>
      <w:r>
        <w:rPr>
          <w:b/>
        </w:rPr>
        <w:t>Incorporating the NEC3 Professional Services Contract</w:t>
      </w:r>
    </w:p>
    <w:p w:rsidR="001C5E4E" w:rsidRDefault="001C5E4E">
      <w:pPr>
        <w:pStyle w:val="BodyText"/>
        <w:rPr>
          <w:b/>
        </w:rPr>
      </w:pPr>
    </w:p>
    <w:p w:rsidR="001C5E4E" w:rsidRDefault="001C5E4E">
      <w:pPr>
        <w:pStyle w:val="BodyText"/>
        <w:rPr>
          <w:b/>
        </w:rPr>
      </w:pPr>
    </w:p>
    <w:p w:rsidR="001C5E4E" w:rsidRDefault="001C5E4E">
      <w:pPr>
        <w:pStyle w:val="BodyText"/>
        <w:rPr>
          <w:b/>
        </w:rPr>
      </w:pPr>
    </w:p>
    <w:p w:rsidR="001C5E4E" w:rsidRDefault="001C5E4E">
      <w:pPr>
        <w:pStyle w:val="BodyText"/>
        <w:rPr>
          <w:b/>
        </w:rPr>
      </w:pPr>
    </w:p>
    <w:p w:rsidR="001C5E4E" w:rsidRDefault="003E09C0">
      <w:pPr>
        <w:spacing w:before="184"/>
        <w:ind w:left="1030" w:right="1345"/>
        <w:jc w:val="center"/>
        <w:rPr>
          <w:b/>
        </w:rPr>
      </w:pPr>
      <w:r>
        <w:rPr>
          <w:b/>
        </w:rPr>
        <w:t>Department for Transport</w:t>
      </w:r>
    </w:p>
    <w:p w:rsidR="001C5E4E" w:rsidRDefault="001C5E4E">
      <w:pPr>
        <w:pStyle w:val="BodyText"/>
        <w:spacing w:before="8"/>
        <w:rPr>
          <w:b/>
          <w:sz w:val="19"/>
        </w:rPr>
      </w:pPr>
    </w:p>
    <w:p w:rsidR="001C5E4E" w:rsidRDefault="003E09C0">
      <w:pPr>
        <w:spacing w:before="1"/>
        <w:ind w:left="1030" w:right="1347"/>
        <w:jc w:val="center"/>
        <w:rPr>
          <w:b/>
        </w:rPr>
      </w:pPr>
      <w:r>
        <w:rPr>
          <w:b/>
        </w:rPr>
        <w:t>.......................................................................................................................................</w:t>
      </w:r>
    </w:p>
    <w:p w:rsidR="001C5E4E" w:rsidRDefault="001C5E4E">
      <w:pPr>
        <w:pStyle w:val="BodyText"/>
        <w:spacing w:before="8"/>
        <w:rPr>
          <w:b/>
          <w:sz w:val="19"/>
        </w:rPr>
      </w:pPr>
    </w:p>
    <w:p w:rsidR="001C5E4E" w:rsidRDefault="003E09C0">
      <w:pPr>
        <w:spacing w:line="453" w:lineRule="auto"/>
        <w:ind w:left="4482" w:right="4798" w:firstLine="345"/>
        <w:rPr>
          <w:b/>
        </w:rPr>
      </w:pPr>
      <w:r>
        <w:rPr>
          <w:b/>
        </w:rPr>
        <w:t>And     TRL</w:t>
      </w:r>
      <w:r>
        <w:rPr>
          <w:b/>
          <w:spacing w:val="3"/>
        </w:rPr>
        <w:t xml:space="preserve"> </w:t>
      </w:r>
      <w:r>
        <w:rPr>
          <w:b/>
          <w:spacing w:val="-3"/>
        </w:rPr>
        <w:t>Limited</w:t>
      </w:r>
    </w:p>
    <w:p w:rsidR="001C5E4E" w:rsidRDefault="003E09C0">
      <w:pPr>
        <w:spacing w:before="2"/>
        <w:ind w:left="1030" w:right="1347"/>
        <w:jc w:val="center"/>
        <w:rPr>
          <w:b/>
        </w:rPr>
      </w:pPr>
      <w:r>
        <w:rPr>
          <w:b/>
        </w:rPr>
        <w:t>.......................................................................................................................................</w:t>
      </w:r>
    </w:p>
    <w:p w:rsidR="001C5E4E" w:rsidRDefault="001C5E4E">
      <w:pPr>
        <w:pStyle w:val="BodyText"/>
        <w:spacing w:before="6"/>
        <w:rPr>
          <w:b/>
          <w:sz w:val="19"/>
        </w:rPr>
      </w:pPr>
    </w:p>
    <w:p w:rsidR="001C5E4E" w:rsidRDefault="003E09C0">
      <w:pPr>
        <w:ind w:left="1030" w:right="1346"/>
        <w:jc w:val="center"/>
        <w:rPr>
          <w:b/>
        </w:rPr>
      </w:pPr>
      <w:r>
        <w:rPr>
          <w:b/>
        </w:rPr>
        <w:t>For the provision of</w:t>
      </w:r>
    </w:p>
    <w:p w:rsidR="001C5E4E" w:rsidRDefault="001C5E4E">
      <w:pPr>
        <w:pStyle w:val="BodyText"/>
        <w:spacing w:before="8"/>
        <w:rPr>
          <w:b/>
          <w:sz w:val="19"/>
        </w:rPr>
      </w:pPr>
    </w:p>
    <w:p w:rsidR="001C5E4E" w:rsidRDefault="003E09C0">
      <w:pPr>
        <w:spacing w:before="1"/>
        <w:ind w:left="1029" w:right="1347"/>
        <w:jc w:val="center"/>
        <w:rPr>
          <w:b/>
        </w:rPr>
      </w:pPr>
      <w:r>
        <w:rPr>
          <w:b/>
        </w:rPr>
        <w:t>RAIDS Work Package 4 – Automated Vehicle Collision Support</w:t>
      </w:r>
    </w:p>
    <w:p w:rsidR="001C5E4E" w:rsidRDefault="001C5E4E">
      <w:pPr>
        <w:pStyle w:val="BodyText"/>
        <w:rPr>
          <w:b/>
        </w:rPr>
      </w:pPr>
    </w:p>
    <w:p w:rsidR="001C5E4E" w:rsidRDefault="001C5E4E">
      <w:pPr>
        <w:pStyle w:val="BodyText"/>
        <w:rPr>
          <w:b/>
        </w:rPr>
      </w:pPr>
    </w:p>
    <w:p w:rsidR="001C5E4E" w:rsidRDefault="001C5E4E">
      <w:pPr>
        <w:pStyle w:val="BodyText"/>
        <w:spacing w:before="4"/>
        <w:rPr>
          <w:b/>
          <w:sz w:val="17"/>
        </w:rPr>
      </w:pPr>
    </w:p>
    <w:p w:rsidR="001C5E4E" w:rsidRDefault="003E09C0">
      <w:pPr>
        <w:ind w:left="1009"/>
        <w:rPr>
          <w:b/>
        </w:rPr>
      </w:pPr>
      <w:r>
        <w:rPr>
          <w:b/>
        </w:rPr>
        <w:t>……………………………………………………………………………………………………………………………………</w:t>
      </w:r>
    </w:p>
    <w:p w:rsidR="001C5E4E" w:rsidRDefault="001C5E4E">
      <w:pPr>
        <w:sectPr w:rsidR="001C5E4E">
          <w:pgSz w:w="11910" w:h="16840"/>
          <w:pgMar w:top="1580" w:right="620" w:bottom="1200" w:left="940" w:header="0" w:footer="938" w:gutter="0"/>
          <w:cols w:space="720"/>
        </w:sectPr>
      </w:pPr>
    </w:p>
    <w:p w:rsidR="001C5E4E" w:rsidRDefault="003E09C0">
      <w:pPr>
        <w:pStyle w:val="ListParagraph"/>
        <w:numPr>
          <w:ilvl w:val="1"/>
          <w:numId w:val="70"/>
        </w:numPr>
        <w:tabs>
          <w:tab w:val="left" w:pos="1938"/>
        </w:tabs>
        <w:spacing w:before="41"/>
        <w:jc w:val="left"/>
        <w:rPr>
          <w:b/>
        </w:rPr>
      </w:pPr>
      <w:bookmarkStart w:id="0" w:name="_bookmark0"/>
      <w:bookmarkEnd w:id="0"/>
      <w:r>
        <w:rPr>
          <w:b/>
          <w:color w:val="C00000"/>
          <w:u w:val="single" w:color="C00000"/>
        </w:rPr>
        <w:lastRenderedPageBreak/>
        <w:t>PROFESSIONAL SERVICES CONTRACT ANNEX A - FORM OF</w:t>
      </w:r>
      <w:r>
        <w:rPr>
          <w:b/>
          <w:color w:val="C00000"/>
          <w:spacing w:val="-6"/>
          <w:u w:val="single" w:color="C00000"/>
        </w:rPr>
        <w:t xml:space="preserve"> </w:t>
      </w:r>
      <w:r>
        <w:rPr>
          <w:b/>
          <w:color w:val="C00000"/>
          <w:u w:val="single" w:color="C00000"/>
        </w:rPr>
        <w:t>AGREEMENT</w:t>
      </w:r>
    </w:p>
    <w:p w:rsidR="001C5E4E" w:rsidRDefault="001C5E4E">
      <w:pPr>
        <w:pStyle w:val="BodyText"/>
        <w:spacing w:before="1"/>
        <w:rPr>
          <w:b/>
          <w:sz w:val="15"/>
        </w:rPr>
      </w:pPr>
    </w:p>
    <w:p w:rsidR="001C5E4E" w:rsidRDefault="003E09C0">
      <w:pPr>
        <w:spacing w:before="56" w:line="372" w:lineRule="auto"/>
        <w:ind w:left="858" w:right="4977"/>
        <w:rPr>
          <w:b/>
        </w:rPr>
      </w:pPr>
      <w:r>
        <w:rPr>
          <w:b/>
          <w:spacing w:val="-3"/>
        </w:rPr>
        <w:t xml:space="preserve">THIS </w:t>
      </w:r>
      <w:r>
        <w:rPr>
          <w:b/>
          <w:spacing w:val="-4"/>
        </w:rPr>
        <w:t xml:space="preserve">AGREEMENT </w:t>
      </w:r>
      <w:r>
        <w:rPr>
          <w:b/>
        </w:rPr>
        <w:t xml:space="preserve">is </w:t>
      </w:r>
      <w:r>
        <w:rPr>
          <w:b/>
          <w:spacing w:val="-3"/>
        </w:rPr>
        <w:t xml:space="preserve">made the 1st </w:t>
      </w:r>
      <w:r>
        <w:rPr>
          <w:b/>
          <w:spacing w:val="-4"/>
        </w:rPr>
        <w:t xml:space="preserve">day </w:t>
      </w:r>
      <w:r>
        <w:rPr>
          <w:b/>
        </w:rPr>
        <w:t xml:space="preserve">of </w:t>
      </w:r>
      <w:r>
        <w:rPr>
          <w:b/>
          <w:spacing w:val="-4"/>
        </w:rPr>
        <w:t xml:space="preserve">May </w:t>
      </w:r>
      <w:r>
        <w:rPr>
          <w:b/>
          <w:spacing w:val="-3"/>
        </w:rPr>
        <w:t xml:space="preserve">2021 </w:t>
      </w:r>
      <w:r>
        <w:rPr>
          <w:b/>
          <w:spacing w:val="-4"/>
        </w:rPr>
        <w:t>PARTIES:</w:t>
      </w:r>
    </w:p>
    <w:p w:rsidR="001C5E4E" w:rsidRDefault="003E09C0">
      <w:pPr>
        <w:pStyle w:val="ListParagraph"/>
        <w:numPr>
          <w:ilvl w:val="0"/>
          <w:numId w:val="69"/>
        </w:numPr>
        <w:tabs>
          <w:tab w:val="left" w:pos="1709"/>
          <w:tab w:val="left" w:pos="1710"/>
        </w:tabs>
        <w:spacing w:line="264" w:lineRule="auto"/>
        <w:ind w:right="1173"/>
        <w:jc w:val="both"/>
      </w:pPr>
      <w:r>
        <w:rPr>
          <w:b/>
        </w:rPr>
        <w:t xml:space="preserve">Department for Transport </w:t>
      </w:r>
      <w:r>
        <w:t>whose registered office is at Great Minster House, 76 Marsham Street, London, SW1P 4DR</w:t>
      </w:r>
      <w:r>
        <w:rPr>
          <w:b/>
        </w:rPr>
        <w:t xml:space="preserve">, </w:t>
      </w:r>
      <w:r>
        <w:t>the “</w:t>
      </w:r>
      <w:r>
        <w:rPr>
          <w:b/>
        </w:rPr>
        <w:t xml:space="preserve">Employer”, </w:t>
      </w:r>
      <w:r>
        <w:t>acting as part of the Crown]; and</w:t>
      </w:r>
    </w:p>
    <w:p w:rsidR="001C5E4E" w:rsidRDefault="003E09C0">
      <w:pPr>
        <w:pStyle w:val="ListParagraph"/>
        <w:numPr>
          <w:ilvl w:val="0"/>
          <w:numId w:val="69"/>
        </w:numPr>
        <w:tabs>
          <w:tab w:val="left" w:pos="1709"/>
          <w:tab w:val="left" w:pos="1710"/>
        </w:tabs>
        <w:spacing w:before="117" w:line="264" w:lineRule="auto"/>
        <w:ind w:right="1173"/>
        <w:jc w:val="both"/>
      </w:pPr>
      <w:r>
        <w:rPr>
          <w:b/>
        </w:rPr>
        <w:t xml:space="preserve">TRL Limited </w:t>
      </w:r>
      <w:r>
        <w:t>which is a company incorporated in and in accordance with the laws of England and Wales Company No. 03142272 whose registered office address is at Crowthorne House, Nine Mile Ride, Wokingham RG40 3GA (the</w:t>
      </w:r>
      <w:r>
        <w:rPr>
          <w:spacing w:val="-13"/>
        </w:rPr>
        <w:t xml:space="preserve"> </w:t>
      </w:r>
      <w:r>
        <w:t>"</w:t>
      </w:r>
      <w:r>
        <w:rPr>
          <w:b/>
        </w:rPr>
        <w:t>Consultant</w:t>
      </w:r>
      <w:r>
        <w:t>").</w:t>
      </w:r>
    </w:p>
    <w:p w:rsidR="001C5E4E" w:rsidRDefault="003E09C0">
      <w:pPr>
        <w:pStyle w:val="Heading1"/>
        <w:spacing w:before="122"/>
        <w:ind w:left="858"/>
      </w:pPr>
      <w:r>
        <w:t>BACKGROUND</w:t>
      </w:r>
    </w:p>
    <w:p w:rsidR="001C5E4E" w:rsidRDefault="003E09C0">
      <w:pPr>
        <w:pStyle w:val="ListParagraph"/>
        <w:numPr>
          <w:ilvl w:val="0"/>
          <w:numId w:val="68"/>
        </w:numPr>
        <w:tabs>
          <w:tab w:val="left" w:pos="1360"/>
        </w:tabs>
        <w:spacing w:before="147"/>
        <w:ind w:right="1171" w:hanging="567"/>
        <w:jc w:val="both"/>
      </w:pPr>
      <w:r>
        <w:t>The Minister for the Cabinet Office (the "</w:t>
      </w:r>
      <w:r>
        <w:rPr>
          <w:b/>
        </w:rPr>
        <w:t>Cabinet Office</w:t>
      </w:r>
      <w:r>
        <w:t>") as represented by Crown Commercial Service, a trading fund of the Cabinet Office, without separate legal personality (the "</w:t>
      </w:r>
      <w:r>
        <w:rPr>
          <w:b/>
        </w:rPr>
        <w:t>Authority</w:t>
      </w:r>
      <w:r>
        <w:t>"), established a framework for traffic management technology and associated services for the benefit of public sector</w:t>
      </w:r>
      <w:r>
        <w:rPr>
          <w:spacing w:val="-11"/>
        </w:rPr>
        <w:t xml:space="preserve"> </w:t>
      </w:r>
      <w:r>
        <w:t>bodies.</w:t>
      </w:r>
    </w:p>
    <w:p w:rsidR="001C5E4E" w:rsidRDefault="001C5E4E">
      <w:pPr>
        <w:pStyle w:val="BodyText"/>
        <w:spacing w:before="7"/>
        <w:rPr>
          <w:sz w:val="19"/>
        </w:rPr>
      </w:pPr>
    </w:p>
    <w:p w:rsidR="001C5E4E" w:rsidRDefault="003E09C0">
      <w:pPr>
        <w:pStyle w:val="ListParagraph"/>
        <w:numPr>
          <w:ilvl w:val="0"/>
          <w:numId w:val="68"/>
        </w:numPr>
        <w:tabs>
          <w:tab w:val="left" w:pos="1360"/>
        </w:tabs>
        <w:ind w:right="1169" w:hanging="567"/>
        <w:jc w:val="both"/>
      </w:pPr>
      <w:r>
        <w:t xml:space="preserve">The </w:t>
      </w:r>
      <w:r>
        <w:rPr>
          <w:i/>
        </w:rPr>
        <w:t xml:space="preserve">Consultant </w:t>
      </w:r>
      <w:r>
        <w:t xml:space="preserve">was appointed to the framework and executed the framework agreement (with reference number </w:t>
      </w:r>
      <w:r>
        <w:rPr>
          <w:b/>
        </w:rPr>
        <w:t>RM1089</w:t>
      </w:r>
      <w:r>
        <w:t>) which is dated 31</w:t>
      </w:r>
      <w:r>
        <w:rPr>
          <w:vertAlign w:val="superscript"/>
        </w:rPr>
        <w:t>st</w:t>
      </w:r>
      <w:r>
        <w:t xml:space="preserve"> October 2016 (the “</w:t>
      </w:r>
      <w:r>
        <w:rPr>
          <w:b/>
        </w:rPr>
        <w:t>Framework</w:t>
      </w:r>
      <w:r>
        <w:rPr>
          <w:b/>
          <w:spacing w:val="-4"/>
        </w:rPr>
        <w:t xml:space="preserve"> </w:t>
      </w:r>
      <w:r>
        <w:rPr>
          <w:b/>
        </w:rPr>
        <w:t>Agreement</w:t>
      </w:r>
      <w:r>
        <w:t>”).</w:t>
      </w:r>
    </w:p>
    <w:p w:rsidR="001C5E4E" w:rsidRDefault="001C5E4E">
      <w:pPr>
        <w:pStyle w:val="BodyText"/>
        <w:spacing w:before="9"/>
        <w:rPr>
          <w:sz w:val="19"/>
        </w:rPr>
      </w:pPr>
    </w:p>
    <w:p w:rsidR="001C5E4E" w:rsidRDefault="003E09C0">
      <w:pPr>
        <w:pStyle w:val="ListParagraph"/>
        <w:numPr>
          <w:ilvl w:val="0"/>
          <w:numId w:val="68"/>
        </w:numPr>
        <w:tabs>
          <w:tab w:val="left" w:pos="1360"/>
        </w:tabs>
        <w:ind w:right="1171" w:hanging="567"/>
        <w:jc w:val="both"/>
      </w:pPr>
      <w:r>
        <w:t>On the 16</w:t>
      </w:r>
      <w:r>
        <w:rPr>
          <w:vertAlign w:val="superscript"/>
        </w:rPr>
        <w:t>th</w:t>
      </w:r>
      <w:r>
        <w:t xml:space="preserve"> October 2020 [the </w:t>
      </w:r>
      <w:r>
        <w:rPr>
          <w:i/>
        </w:rPr>
        <w:t>Employer</w:t>
      </w:r>
      <w:r>
        <w:t xml:space="preserve">,] acting as part of the Crown, invited the </w:t>
      </w:r>
      <w:r>
        <w:rPr>
          <w:i/>
        </w:rPr>
        <w:t xml:space="preserve">Consultant </w:t>
      </w:r>
      <w:r>
        <w:t xml:space="preserve">along with other framework suppliers to tender for the </w:t>
      </w:r>
      <w:r>
        <w:rPr>
          <w:i/>
        </w:rPr>
        <w:t xml:space="preserve">Employer’s </w:t>
      </w:r>
      <w:r>
        <w:t>traffic management technology and associated services requirements in accordance with the Call Off Procedure (as defined in the Framework</w:t>
      </w:r>
      <w:r>
        <w:rPr>
          <w:spacing w:val="-8"/>
        </w:rPr>
        <w:t xml:space="preserve"> </w:t>
      </w:r>
      <w:r>
        <w:t>Agreement).</w:t>
      </w:r>
    </w:p>
    <w:p w:rsidR="001C5E4E" w:rsidRDefault="001C5E4E">
      <w:pPr>
        <w:pStyle w:val="BodyText"/>
        <w:spacing w:before="6"/>
        <w:rPr>
          <w:sz w:val="19"/>
        </w:rPr>
      </w:pPr>
    </w:p>
    <w:p w:rsidR="001C5E4E" w:rsidRDefault="003E09C0">
      <w:pPr>
        <w:pStyle w:val="ListParagraph"/>
        <w:numPr>
          <w:ilvl w:val="0"/>
          <w:numId w:val="68"/>
        </w:numPr>
        <w:tabs>
          <w:tab w:val="left" w:pos="1360"/>
        </w:tabs>
        <w:spacing w:before="1"/>
        <w:ind w:right="1173" w:hanging="567"/>
        <w:jc w:val="both"/>
      </w:pPr>
      <w:r>
        <w:t>On the 19</w:t>
      </w:r>
      <w:r>
        <w:rPr>
          <w:vertAlign w:val="superscript"/>
        </w:rPr>
        <w:t>th</w:t>
      </w:r>
      <w:r>
        <w:t xml:space="preserve"> November 2020 the </w:t>
      </w:r>
      <w:r>
        <w:rPr>
          <w:i/>
        </w:rPr>
        <w:t xml:space="preserve">Consultant </w:t>
      </w:r>
      <w:r>
        <w:t xml:space="preserve">submitted a tender response and was subsequently selected by the </w:t>
      </w:r>
      <w:r>
        <w:rPr>
          <w:i/>
        </w:rPr>
        <w:t xml:space="preserve">Employer </w:t>
      </w:r>
      <w:r>
        <w:t>to provide the</w:t>
      </w:r>
      <w:r>
        <w:rPr>
          <w:spacing w:val="-1"/>
        </w:rPr>
        <w:t xml:space="preserve"> </w:t>
      </w:r>
      <w:r>
        <w:rPr>
          <w:i/>
        </w:rPr>
        <w:t>services</w:t>
      </w:r>
      <w:r>
        <w:t>.</w:t>
      </w:r>
    </w:p>
    <w:p w:rsidR="001C5E4E" w:rsidRDefault="001C5E4E">
      <w:pPr>
        <w:pStyle w:val="BodyText"/>
        <w:spacing w:before="8"/>
        <w:rPr>
          <w:sz w:val="19"/>
        </w:rPr>
      </w:pPr>
    </w:p>
    <w:p w:rsidR="001C5E4E" w:rsidRDefault="003E09C0">
      <w:pPr>
        <w:pStyle w:val="ListParagraph"/>
        <w:numPr>
          <w:ilvl w:val="0"/>
          <w:numId w:val="68"/>
        </w:numPr>
        <w:tabs>
          <w:tab w:val="left" w:pos="1360"/>
        </w:tabs>
        <w:ind w:right="1172" w:hanging="567"/>
        <w:jc w:val="both"/>
      </w:pPr>
      <w:r>
        <w:t xml:space="preserve">The </w:t>
      </w:r>
      <w:r>
        <w:rPr>
          <w:i/>
        </w:rPr>
        <w:t xml:space="preserve">Consultant </w:t>
      </w:r>
      <w:r>
        <w:t xml:space="preserve">has agreed to carry out the </w:t>
      </w:r>
      <w:r>
        <w:rPr>
          <w:i/>
        </w:rPr>
        <w:t xml:space="preserve">services </w:t>
      </w:r>
      <w:r>
        <w:t>in accordance with this agreement and the Framework</w:t>
      </w:r>
      <w:r>
        <w:rPr>
          <w:spacing w:val="-4"/>
        </w:rPr>
        <w:t xml:space="preserve"> </w:t>
      </w:r>
      <w:r>
        <w:t>Agreement.</w:t>
      </w:r>
    </w:p>
    <w:p w:rsidR="001C5E4E" w:rsidRDefault="001C5E4E">
      <w:pPr>
        <w:pStyle w:val="BodyText"/>
        <w:spacing w:before="9"/>
        <w:rPr>
          <w:sz w:val="19"/>
        </w:rPr>
      </w:pPr>
    </w:p>
    <w:p w:rsidR="001C5E4E" w:rsidRDefault="003E09C0">
      <w:pPr>
        <w:pStyle w:val="Heading1"/>
        <w:ind w:left="858"/>
      </w:pPr>
      <w:r>
        <w:t>IT IS AGREED AS FOLLOWS:</w:t>
      </w:r>
    </w:p>
    <w:p w:rsidR="001C5E4E" w:rsidRDefault="001C5E4E">
      <w:pPr>
        <w:pStyle w:val="BodyText"/>
        <w:spacing w:before="8"/>
        <w:rPr>
          <w:b/>
          <w:sz w:val="19"/>
        </w:rPr>
      </w:pPr>
    </w:p>
    <w:p w:rsidR="001C5E4E" w:rsidRDefault="003E09C0">
      <w:pPr>
        <w:pStyle w:val="ListParagraph"/>
        <w:numPr>
          <w:ilvl w:val="0"/>
          <w:numId w:val="67"/>
        </w:numPr>
        <w:tabs>
          <w:tab w:val="left" w:pos="1577"/>
          <w:tab w:val="left" w:pos="1578"/>
        </w:tabs>
        <w:rPr>
          <w:b/>
        </w:rPr>
      </w:pPr>
      <w:r>
        <w:rPr>
          <w:b/>
          <w:spacing w:val="-4"/>
        </w:rPr>
        <w:t xml:space="preserve">Definitions </w:t>
      </w:r>
      <w:r>
        <w:rPr>
          <w:b/>
          <w:spacing w:val="-3"/>
        </w:rPr>
        <w:t>and</w:t>
      </w:r>
      <w:r>
        <w:rPr>
          <w:b/>
          <w:spacing w:val="-10"/>
        </w:rPr>
        <w:t xml:space="preserve"> </w:t>
      </w:r>
      <w:r>
        <w:rPr>
          <w:b/>
          <w:spacing w:val="-4"/>
        </w:rPr>
        <w:t>Interpretation</w:t>
      </w:r>
    </w:p>
    <w:p w:rsidR="001C5E4E" w:rsidRDefault="003E09C0">
      <w:pPr>
        <w:pStyle w:val="BodyText"/>
        <w:spacing w:before="147"/>
        <w:ind w:left="999"/>
      </w:pPr>
      <w:r>
        <w:t>This agreement (the “Call Off Contract”) incorporates the conditions set out below of:</w:t>
      </w:r>
    </w:p>
    <w:p w:rsidR="001C5E4E" w:rsidRDefault="001C5E4E">
      <w:pPr>
        <w:pStyle w:val="BodyText"/>
        <w:spacing w:before="8"/>
        <w:rPr>
          <w:sz w:val="19"/>
        </w:rPr>
      </w:pPr>
    </w:p>
    <w:p w:rsidR="001C5E4E" w:rsidRDefault="003E09C0">
      <w:pPr>
        <w:pStyle w:val="ListParagraph"/>
        <w:numPr>
          <w:ilvl w:val="1"/>
          <w:numId w:val="67"/>
        </w:numPr>
        <w:tabs>
          <w:tab w:val="left" w:pos="2297"/>
          <w:tab w:val="left" w:pos="2298"/>
        </w:tabs>
        <w:spacing w:before="1"/>
      </w:pPr>
      <w:r>
        <w:t>The core clauses of</w:t>
      </w:r>
      <w:r>
        <w:rPr>
          <w:spacing w:val="-6"/>
        </w:rPr>
        <w:t xml:space="preserve"> </w:t>
      </w:r>
      <w:r>
        <w:t>the:</w:t>
      </w:r>
    </w:p>
    <w:p w:rsidR="001C5E4E" w:rsidRDefault="003E09C0">
      <w:pPr>
        <w:pStyle w:val="BodyText"/>
        <w:spacing w:before="146" w:line="372" w:lineRule="auto"/>
        <w:ind w:left="2298" w:right="3715"/>
      </w:pPr>
      <w:r>
        <w:t>NEC3 Professional Services Contract (April 2013) the clauses for main Option G</w:t>
      </w:r>
    </w:p>
    <w:p w:rsidR="001C5E4E" w:rsidRDefault="003E09C0" w:rsidP="003E09C0">
      <w:pPr>
        <w:pStyle w:val="NoSpacing"/>
        <w:ind w:left="2160"/>
      </w:pPr>
      <w:r>
        <w:t>dispute resolution Option W1 Secondary options X1, X2, X18 and option Z (being the amendments identified in the Contract Data),</w:t>
      </w:r>
    </w:p>
    <w:p w:rsidR="001C5E4E" w:rsidRDefault="003E09C0" w:rsidP="003E09C0">
      <w:pPr>
        <w:pStyle w:val="BodyText"/>
        <w:spacing w:before="145" w:line="266" w:lineRule="auto"/>
        <w:ind w:left="2160" w:right="964"/>
      </w:pPr>
      <w:r>
        <w:t>which are supplemented and amended in accordance with such information and supplementary provisions as are provided in the Contract Schedules.</w:t>
      </w:r>
    </w:p>
    <w:p w:rsidR="001C5E4E" w:rsidRDefault="003E09C0" w:rsidP="003E09C0">
      <w:pPr>
        <w:pStyle w:val="BodyText"/>
        <w:spacing w:before="117"/>
        <w:ind w:left="1710" w:firstLine="450"/>
      </w:pPr>
      <w:r>
        <w:t>Together the “Conditions”</w:t>
      </w:r>
    </w:p>
    <w:p w:rsidR="001C5E4E" w:rsidRDefault="001C5E4E">
      <w:pPr>
        <w:sectPr w:rsidR="001C5E4E">
          <w:pgSz w:w="11910" w:h="16840"/>
          <w:pgMar w:top="1380" w:right="620" w:bottom="1200" w:left="940" w:header="0" w:footer="938" w:gutter="0"/>
          <w:cols w:space="720"/>
        </w:sectPr>
      </w:pPr>
    </w:p>
    <w:p w:rsidR="001C5E4E" w:rsidRDefault="003E09C0">
      <w:pPr>
        <w:pStyle w:val="BodyText"/>
        <w:spacing w:before="41" w:line="264" w:lineRule="auto"/>
        <w:ind w:left="1578" w:right="964" w:hanging="720"/>
      </w:pPr>
      <w:r>
        <w:lastRenderedPageBreak/>
        <w:t>The “Contract Schedules” means any one, or all, of the annexes appended to this Call Off Contract.</w:t>
      </w:r>
    </w:p>
    <w:p w:rsidR="001C5E4E" w:rsidRDefault="003E09C0">
      <w:pPr>
        <w:pStyle w:val="Heading1"/>
        <w:numPr>
          <w:ilvl w:val="0"/>
          <w:numId w:val="67"/>
        </w:numPr>
        <w:tabs>
          <w:tab w:val="left" w:pos="1577"/>
          <w:tab w:val="left" w:pos="1578"/>
        </w:tabs>
        <w:spacing w:before="120"/>
      </w:pPr>
      <w:r>
        <w:rPr>
          <w:spacing w:val="-4"/>
        </w:rPr>
        <w:t>Entire</w:t>
      </w:r>
      <w:r>
        <w:rPr>
          <w:spacing w:val="-8"/>
        </w:rPr>
        <w:t xml:space="preserve"> </w:t>
      </w:r>
      <w:r>
        <w:rPr>
          <w:spacing w:val="-4"/>
        </w:rPr>
        <w:t>Agreement</w:t>
      </w:r>
    </w:p>
    <w:p w:rsidR="001C5E4E" w:rsidRDefault="003E09C0">
      <w:pPr>
        <w:pStyle w:val="BodyText"/>
        <w:spacing w:before="146"/>
        <w:ind w:left="1566" w:right="1177" w:hanging="708"/>
        <w:jc w:val="both"/>
      </w:pPr>
      <w:r>
        <w:t xml:space="preserve">2.1. This Call Off Contract is the entire agreement between the parties in relation to the </w:t>
      </w:r>
      <w:r>
        <w:rPr>
          <w:i/>
        </w:rPr>
        <w:t xml:space="preserve">services </w:t>
      </w:r>
      <w:r>
        <w:t>and supersedes and extinguishes all prior arrangements, understandings, agreements, statements, representations or warranties (whether written or oral) relating thereto.</w:t>
      </w:r>
    </w:p>
    <w:p w:rsidR="001C5E4E" w:rsidRDefault="001C5E4E">
      <w:pPr>
        <w:pStyle w:val="BodyText"/>
        <w:spacing w:before="9"/>
        <w:rPr>
          <w:sz w:val="19"/>
        </w:rPr>
      </w:pPr>
    </w:p>
    <w:p w:rsidR="001C5E4E" w:rsidRDefault="003E09C0">
      <w:pPr>
        <w:pStyle w:val="ListParagraph"/>
        <w:numPr>
          <w:ilvl w:val="1"/>
          <w:numId w:val="66"/>
        </w:numPr>
        <w:tabs>
          <w:tab w:val="left" w:pos="1566"/>
        </w:tabs>
        <w:ind w:right="1170"/>
        <w:jc w:val="both"/>
      </w:pPr>
      <w:r>
        <w:t>Neither</w:t>
      </w:r>
      <w:r>
        <w:rPr>
          <w:spacing w:val="-6"/>
        </w:rPr>
        <w:t xml:space="preserve"> </w:t>
      </w:r>
      <w:r>
        <w:t>party</w:t>
      </w:r>
      <w:r>
        <w:rPr>
          <w:spacing w:val="-6"/>
        </w:rPr>
        <w:t xml:space="preserve"> </w:t>
      </w:r>
      <w:r>
        <w:t>has</w:t>
      </w:r>
      <w:r>
        <w:rPr>
          <w:spacing w:val="-7"/>
        </w:rPr>
        <w:t xml:space="preserve"> </w:t>
      </w:r>
      <w:r>
        <w:t>been</w:t>
      </w:r>
      <w:r>
        <w:rPr>
          <w:spacing w:val="-9"/>
        </w:rPr>
        <w:t xml:space="preserve"> </w:t>
      </w:r>
      <w:r>
        <w:t>given,</w:t>
      </w:r>
      <w:r>
        <w:rPr>
          <w:spacing w:val="-4"/>
        </w:rPr>
        <w:t xml:space="preserve"> </w:t>
      </w:r>
      <w:r>
        <w:t>nor</w:t>
      </w:r>
      <w:r>
        <w:rPr>
          <w:spacing w:val="-7"/>
        </w:rPr>
        <w:t xml:space="preserve"> </w:t>
      </w:r>
      <w:r>
        <w:t>entered</w:t>
      </w:r>
      <w:r>
        <w:rPr>
          <w:spacing w:val="-8"/>
        </w:rPr>
        <w:t xml:space="preserve"> </w:t>
      </w:r>
      <w:r>
        <w:t>into</w:t>
      </w:r>
      <w:r>
        <w:rPr>
          <w:spacing w:val="-5"/>
        </w:rPr>
        <w:t xml:space="preserve"> </w:t>
      </w:r>
      <w:r>
        <w:t>this</w:t>
      </w:r>
      <w:r>
        <w:rPr>
          <w:spacing w:val="-7"/>
        </w:rPr>
        <w:t xml:space="preserve"> </w:t>
      </w:r>
      <w:r>
        <w:t>Call</w:t>
      </w:r>
      <w:r>
        <w:rPr>
          <w:spacing w:val="-9"/>
        </w:rPr>
        <w:t xml:space="preserve"> </w:t>
      </w:r>
      <w:r>
        <w:t>Off</w:t>
      </w:r>
      <w:r>
        <w:rPr>
          <w:spacing w:val="-7"/>
        </w:rPr>
        <w:t xml:space="preserve"> </w:t>
      </w:r>
      <w:r>
        <w:t>Contract</w:t>
      </w:r>
      <w:r>
        <w:rPr>
          <w:spacing w:val="-6"/>
        </w:rPr>
        <w:t xml:space="preserve"> </w:t>
      </w:r>
      <w:r>
        <w:t>in</w:t>
      </w:r>
      <w:r>
        <w:rPr>
          <w:spacing w:val="-6"/>
        </w:rPr>
        <w:t xml:space="preserve"> </w:t>
      </w:r>
      <w:r>
        <w:t>reliance</w:t>
      </w:r>
      <w:r>
        <w:rPr>
          <w:spacing w:val="-10"/>
        </w:rPr>
        <w:t xml:space="preserve"> </w:t>
      </w:r>
      <w:r>
        <w:t>on</w:t>
      </w:r>
      <w:r>
        <w:rPr>
          <w:spacing w:val="-8"/>
        </w:rPr>
        <w:t xml:space="preserve"> </w:t>
      </w:r>
      <w:r>
        <w:t>any arrangements, understandings, agreements, statements, representations or warranties other than those expressly set out in this Call Off</w:t>
      </w:r>
      <w:r>
        <w:rPr>
          <w:spacing w:val="-11"/>
        </w:rPr>
        <w:t xml:space="preserve"> </w:t>
      </w:r>
      <w:r>
        <w:t>Contract.</w:t>
      </w:r>
    </w:p>
    <w:p w:rsidR="001C5E4E" w:rsidRDefault="001C5E4E">
      <w:pPr>
        <w:pStyle w:val="BodyText"/>
        <w:spacing w:before="7"/>
        <w:rPr>
          <w:sz w:val="19"/>
        </w:rPr>
      </w:pPr>
    </w:p>
    <w:p w:rsidR="001C5E4E" w:rsidRDefault="003E09C0">
      <w:pPr>
        <w:pStyle w:val="ListParagraph"/>
        <w:numPr>
          <w:ilvl w:val="1"/>
          <w:numId w:val="66"/>
        </w:numPr>
        <w:tabs>
          <w:tab w:val="left" w:pos="1566"/>
        </w:tabs>
        <w:ind w:right="1174"/>
        <w:jc w:val="both"/>
      </w:pPr>
      <w:r>
        <w:t>Nothing in this Clause 2 shall exclude liability in respect of misrepresentations made fraudulently.</w:t>
      </w:r>
    </w:p>
    <w:p w:rsidR="001C5E4E" w:rsidRDefault="001C5E4E">
      <w:pPr>
        <w:pStyle w:val="BodyText"/>
        <w:spacing w:before="9"/>
        <w:rPr>
          <w:sz w:val="19"/>
        </w:rPr>
      </w:pPr>
    </w:p>
    <w:p w:rsidR="001C5E4E" w:rsidRDefault="003E09C0">
      <w:pPr>
        <w:pStyle w:val="Heading1"/>
        <w:numPr>
          <w:ilvl w:val="0"/>
          <w:numId w:val="67"/>
        </w:numPr>
        <w:tabs>
          <w:tab w:val="left" w:pos="1577"/>
          <w:tab w:val="left" w:pos="1578"/>
        </w:tabs>
      </w:pPr>
      <w:r>
        <w:rPr>
          <w:spacing w:val="-4"/>
        </w:rPr>
        <w:t>Documents</w:t>
      </w:r>
    </w:p>
    <w:p w:rsidR="001C5E4E" w:rsidRDefault="003E09C0">
      <w:pPr>
        <w:pStyle w:val="ListParagraph"/>
        <w:numPr>
          <w:ilvl w:val="1"/>
          <w:numId w:val="65"/>
        </w:numPr>
        <w:tabs>
          <w:tab w:val="left" w:pos="1709"/>
          <w:tab w:val="left" w:pos="1710"/>
        </w:tabs>
        <w:spacing w:before="147"/>
      </w:pPr>
      <w:r>
        <w:rPr>
          <w:spacing w:val="-3"/>
        </w:rPr>
        <w:t xml:space="preserve">The </w:t>
      </w:r>
      <w:r>
        <w:rPr>
          <w:spacing w:val="-4"/>
        </w:rPr>
        <w:t xml:space="preserve">documents </w:t>
      </w:r>
      <w:r>
        <w:rPr>
          <w:spacing w:val="-3"/>
        </w:rPr>
        <w:t xml:space="preserve">forming </w:t>
      </w:r>
      <w:r>
        <w:rPr>
          <w:spacing w:val="-4"/>
        </w:rPr>
        <w:t xml:space="preserve">part </w:t>
      </w:r>
      <w:r>
        <w:t xml:space="preserve">of </w:t>
      </w:r>
      <w:r>
        <w:rPr>
          <w:spacing w:val="-3"/>
        </w:rPr>
        <w:t xml:space="preserve">this </w:t>
      </w:r>
      <w:r>
        <w:t>Call Off Contract</w:t>
      </w:r>
      <w:r>
        <w:rPr>
          <w:spacing w:val="-22"/>
        </w:rPr>
        <w:t xml:space="preserve"> </w:t>
      </w:r>
      <w:r>
        <w:t>are:</w:t>
      </w:r>
    </w:p>
    <w:p w:rsidR="001C5E4E" w:rsidRDefault="003E09C0">
      <w:pPr>
        <w:pStyle w:val="ListParagraph"/>
        <w:numPr>
          <w:ilvl w:val="2"/>
          <w:numId w:val="65"/>
        </w:numPr>
        <w:tabs>
          <w:tab w:val="left" w:pos="2134"/>
          <w:tab w:val="left" w:pos="2135"/>
        </w:tabs>
        <w:spacing w:before="149"/>
      </w:pPr>
      <w:r>
        <w:t>this form of agreement duly executed by the</w:t>
      </w:r>
      <w:r>
        <w:rPr>
          <w:spacing w:val="-7"/>
        </w:rPr>
        <w:t xml:space="preserve"> </w:t>
      </w:r>
      <w:r>
        <w:t>Parties</w:t>
      </w:r>
    </w:p>
    <w:p w:rsidR="001C5E4E" w:rsidRDefault="003E09C0">
      <w:pPr>
        <w:pStyle w:val="ListParagraph"/>
        <w:numPr>
          <w:ilvl w:val="2"/>
          <w:numId w:val="65"/>
        </w:numPr>
        <w:tabs>
          <w:tab w:val="left" w:pos="2134"/>
          <w:tab w:val="left" w:pos="2135"/>
        </w:tabs>
        <w:spacing w:before="146"/>
      </w:pPr>
      <w:r>
        <w:t>the Conditions</w:t>
      </w:r>
    </w:p>
    <w:p w:rsidR="001C5E4E" w:rsidRDefault="003E09C0">
      <w:pPr>
        <w:pStyle w:val="ListParagraph"/>
        <w:numPr>
          <w:ilvl w:val="2"/>
          <w:numId w:val="65"/>
        </w:numPr>
        <w:tabs>
          <w:tab w:val="left" w:pos="2134"/>
          <w:tab w:val="left" w:pos="2135"/>
        </w:tabs>
        <w:spacing w:before="147"/>
      </w:pPr>
      <w:r>
        <w:t>the Contract</w:t>
      </w:r>
      <w:r>
        <w:rPr>
          <w:spacing w:val="-2"/>
        </w:rPr>
        <w:t xml:space="preserve"> </w:t>
      </w:r>
      <w:r>
        <w:t>Data</w:t>
      </w:r>
    </w:p>
    <w:p w:rsidR="001C5E4E" w:rsidRDefault="003E09C0">
      <w:pPr>
        <w:pStyle w:val="ListParagraph"/>
        <w:numPr>
          <w:ilvl w:val="2"/>
          <w:numId w:val="65"/>
        </w:numPr>
        <w:tabs>
          <w:tab w:val="left" w:pos="2134"/>
          <w:tab w:val="left" w:pos="2135"/>
        </w:tabs>
        <w:spacing w:before="146"/>
      </w:pPr>
      <w:r>
        <w:t>the Scope (Annex E)</w:t>
      </w:r>
    </w:p>
    <w:p w:rsidR="001C5E4E" w:rsidRDefault="003E09C0">
      <w:pPr>
        <w:pStyle w:val="ListParagraph"/>
        <w:numPr>
          <w:ilvl w:val="2"/>
          <w:numId w:val="65"/>
        </w:numPr>
        <w:tabs>
          <w:tab w:val="left" w:pos="2134"/>
          <w:tab w:val="left" w:pos="2135"/>
        </w:tabs>
        <w:spacing w:before="147"/>
      </w:pPr>
      <w:r>
        <w:t>the Tender Response – attached as separate document (Annex</w:t>
      </w:r>
      <w:r>
        <w:rPr>
          <w:spacing w:val="-7"/>
        </w:rPr>
        <w:t xml:space="preserve"> </w:t>
      </w:r>
      <w:r>
        <w:t>1)</w:t>
      </w:r>
    </w:p>
    <w:p w:rsidR="001C5E4E" w:rsidRDefault="003E09C0">
      <w:pPr>
        <w:pStyle w:val="ListParagraph"/>
        <w:numPr>
          <w:ilvl w:val="2"/>
          <w:numId w:val="65"/>
        </w:numPr>
        <w:tabs>
          <w:tab w:val="left" w:pos="2134"/>
          <w:tab w:val="left" w:pos="2135"/>
        </w:tabs>
        <w:spacing w:before="147"/>
      </w:pPr>
      <w:r>
        <w:t>the Schedule of Work &amp; Pricing (Annex</w:t>
      </w:r>
      <w:r>
        <w:rPr>
          <w:spacing w:val="-7"/>
        </w:rPr>
        <w:t xml:space="preserve"> </w:t>
      </w:r>
      <w:r>
        <w:t>F)</w:t>
      </w:r>
    </w:p>
    <w:p w:rsidR="001C5E4E" w:rsidRDefault="001C5E4E">
      <w:pPr>
        <w:pStyle w:val="BodyText"/>
        <w:rPr>
          <w:sz w:val="26"/>
        </w:rPr>
      </w:pPr>
    </w:p>
    <w:p w:rsidR="001C5E4E" w:rsidRDefault="001C5E4E">
      <w:pPr>
        <w:pStyle w:val="BodyText"/>
        <w:rPr>
          <w:sz w:val="26"/>
        </w:rPr>
      </w:pPr>
    </w:p>
    <w:p w:rsidR="001C5E4E" w:rsidRDefault="003E09C0">
      <w:pPr>
        <w:pStyle w:val="BodyText"/>
        <w:spacing w:before="196"/>
        <w:ind w:left="858"/>
      </w:pPr>
      <w:r>
        <w:t>Delivered on the date of this document. – 1 May 2021</w:t>
      </w:r>
    </w:p>
    <w:p w:rsidR="001C5E4E" w:rsidRDefault="001C5E4E">
      <w:pPr>
        <w:sectPr w:rsidR="001C5E4E">
          <w:pgSz w:w="11910" w:h="16840"/>
          <w:pgMar w:top="1380" w:right="620" w:bottom="1200" w:left="940" w:header="0" w:footer="938" w:gutter="0"/>
          <w:cols w:space="720"/>
        </w:sectPr>
      </w:pPr>
    </w:p>
    <w:tbl>
      <w:tblPr>
        <w:tblW w:w="0" w:type="auto"/>
        <w:tblInd w:w="480" w:type="dxa"/>
        <w:tblLayout w:type="fixed"/>
        <w:tblCellMar>
          <w:left w:w="0" w:type="dxa"/>
          <w:right w:w="0" w:type="dxa"/>
        </w:tblCellMar>
        <w:tblLook w:val="01E0" w:firstRow="1" w:lastRow="1" w:firstColumn="1" w:lastColumn="1" w:noHBand="0" w:noVBand="0"/>
      </w:tblPr>
      <w:tblGrid>
        <w:gridCol w:w="2774"/>
        <w:gridCol w:w="5576"/>
      </w:tblGrid>
      <w:tr w:rsidR="001C5E4E">
        <w:trPr>
          <w:trHeight w:val="915"/>
        </w:trPr>
        <w:tc>
          <w:tcPr>
            <w:tcW w:w="8350" w:type="dxa"/>
            <w:gridSpan w:val="2"/>
          </w:tcPr>
          <w:tbl>
            <w:tblPr>
              <w:tblpPr w:leftFromText="180" w:rightFromText="180" w:vertAnchor="page" w:horzAnchor="margin" w:tblpY="217"/>
              <w:tblOverlap w:val="never"/>
              <w:tblW w:w="0" w:type="auto"/>
              <w:tblLayout w:type="fixed"/>
              <w:tblCellMar>
                <w:left w:w="0" w:type="dxa"/>
                <w:right w:w="0" w:type="dxa"/>
              </w:tblCellMar>
              <w:tblLook w:val="01E0" w:firstRow="1" w:lastRow="1" w:firstColumn="1" w:lastColumn="1" w:noHBand="0" w:noVBand="0"/>
            </w:tblPr>
            <w:tblGrid>
              <w:gridCol w:w="2774"/>
              <w:gridCol w:w="5576"/>
            </w:tblGrid>
            <w:tr w:rsidR="00607CD5" w:rsidRPr="003E09C0" w:rsidTr="00607CD5">
              <w:trPr>
                <w:trHeight w:val="915"/>
              </w:trPr>
              <w:tc>
                <w:tcPr>
                  <w:tcW w:w="8350" w:type="dxa"/>
                  <w:gridSpan w:val="2"/>
                </w:tcPr>
                <w:p w:rsidR="00607CD5" w:rsidRPr="003E09C0" w:rsidRDefault="00607CD5" w:rsidP="00607CD5">
                  <w:pPr>
                    <w:spacing w:line="225" w:lineRule="exact"/>
                    <w:ind w:left="200"/>
                  </w:pPr>
                  <w:r w:rsidRPr="003E09C0">
                    <w:lastRenderedPageBreak/>
                    <w:t>Signed on behalf of the Secretary of State for Transport</w:t>
                  </w:r>
                </w:p>
              </w:tc>
            </w:tr>
            <w:tr w:rsidR="00607CD5" w:rsidRPr="003E09C0" w:rsidTr="00607CD5">
              <w:trPr>
                <w:trHeight w:val="939"/>
              </w:trPr>
              <w:tc>
                <w:tcPr>
                  <w:tcW w:w="2774" w:type="dxa"/>
                </w:tcPr>
                <w:p w:rsidR="00607CD5" w:rsidRPr="003E09C0" w:rsidRDefault="00607CD5" w:rsidP="00607CD5"/>
                <w:p w:rsidR="00607CD5" w:rsidRPr="003E09C0" w:rsidRDefault="00607CD5" w:rsidP="00607CD5">
                  <w:pPr>
                    <w:spacing w:before="4"/>
                    <w:rPr>
                      <w:sz w:val="31"/>
                    </w:rPr>
                  </w:pPr>
                </w:p>
                <w:p w:rsidR="00607CD5" w:rsidRPr="003E09C0" w:rsidRDefault="00607CD5" w:rsidP="00607CD5">
                  <w:pPr>
                    <w:ind w:left="200"/>
                  </w:pPr>
                  <w:r w:rsidRPr="003E09C0">
                    <w:t>Signature:</w:t>
                  </w:r>
                </w:p>
              </w:tc>
              <w:tc>
                <w:tcPr>
                  <w:tcW w:w="5576" w:type="dxa"/>
                </w:tcPr>
                <w:p w:rsidR="00607CD5" w:rsidRPr="003E09C0" w:rsidRDefault="00607CD5" w:rsidP="00607CD5">
                  <w:pPr>
                    <w:rPr>
                      <w:rFonts w:ascii="Times New Roman"/>
                    </w:rPr>
                  </w:pPr>
                </w:p>
              </w:tc>
            </w:tr>
            <w:tr w:rsidR="00607CD5" w:rsidRPr="003E09C0" w:rsidTr="00607CD5">
              <w:trPr>
                <w:trHeight w:val="268"/>
              </w:trPr>
              <w:tc>
                <w:tcPr>
                  <w:tcW w:w="2774" w:type="dxa"/>
                </w:tcPr>
                <w:p w:rsidR="00607CD5" w:rsidRPr="003E09C0" w:rsidRDefault="00607CD5" w:rsidP="00607CD5">
                  <w:pPr>
                    <w:spacing w:line="249" w:lineRule="exact"/>
                    <w:ind w:left="200"/>
                  </w:pPr>
                  <w:r w:rsidRPr="003E09C0">
                    <w:rPr>
                      <w:color w:val="0D0D0D"/>
                    </w:rPr>
                    <w:t>Name:</w:t>
                  </w:r>
                </w:p>
              </w:tc>
              <w:tc>
                <w:tcPr>
                  <w:tcW w:w="5576" w:type="dxa"/>
                </w:tcPr>
                <w:p w:rsidR="00607CD5" w:rsidRPr="003E09C0" w:rsidRDefault="00607CD5" w:rsidP="00607CD5">
                  <w:pPr>
                    <w:spacing w:line="249" w:lineRule="exact"/>
                    <w:ind w:left="1981"/>
                  </w:pPr>
                  <w:r w:rsidRPr="003E09C0">
                    <w:rPr>
                      <w:color w:val="0D0D0D"/>
                    </w:rPr>
                    <w:t>REDACTED</w:t>
                  </w:r>
                </w:p>
              </w:tc>
            </w:tr>
            <w:tr w:rsidR="00607CD5" w:rsidRPr="003E09C0" w:rsidTr="00607CD5">
              <w:trPr>
                <w:trHeight w:val="537"/>
              </w:trPr>
              <w:tc>
                <w:tcPr>
                  <w:tcW w:w="2774" w:type="dxa"/>
                </w:tcPr>
                <w:p w:rsidR="00607CD5" w:rsidRPr="003E09C0" w:rsidRDefault="00607CD5" w:rsidP="00607CD5">
                  <w:pPr>
                    <w:spacing w:line="249" w:lineRule="exact"/>
                    <w:ind w:left="200"/>
                  </w:pPr>
                  <w:r w:rsidRPr="003E09C0">
                    <w:rPr>
                      <w:color w:val="0D0D0D"/>
                    </w:rPr>
                    <w:t>Role:</w:t>
                  </w:r>
                </w:p>
              </w:tc>
              <w:tc>
                <w:tcPr>
                  <w:tcW w:w="5576" w:type="dxa"/>
                </w:tcPr>
                <w:p w:rsidR="00607CD5" w:rsidRPr="003E09C0" w:rsidRDefault="00607CD5" w:rsidP="00607CD5">
                  <w:pPr>
                    <w:ind w:left="1981"/>
                  </w:pPr>
                  <w:r w:rsidRPr="003E09C0">
                    <w:rPr>
                      <w:color w:val="0D0D0D"/>
                    </w:rPr>
                    <w:t xml:space="preserve">REDACTED </w:t>
                  </w:r>
                </w:p>
              </w:tc>
            </w:tr>
            <w:tr w:rsidR="00607CD5" w:rsidRPr="003E09C0" w:rsidTr="00607CD5">
              <w:trPr>
                <w:trHeight w:val="403"/>
              </w:trPr>
              <w:tc>
                <w:tcPr>
                  <w:tcW w:w="2774" w:type="dxa"/>
                </w:tcPr>
                <w:p w:rsidR="00607CD5" w:rsidRPr="003E09C0" w:rsidRDefault="00607CD5" w:rsidP="00607CD5">
                  <w:pPr>
                    <w:spacing w:line="249" w:lineRule="exact"/>
                    <w:ind w:left="200"/>
                  </w:pPr>
                  <w:r w:rsidRPr="003E09C0">
                    <w:rPr>
                      <w:color w:val="0D0D0D"/>
                    </w:rPr>
                    <w:t>Date:</w:t>
                  </w:r>
                </w:p>
              </w:tc>
              <w:tc>
                <w:tcPr>
                  <w:tcW w:w="5576" w:type="dxa"/>
                </w:tcPr>
                <w:p w:rsidR="00607CD5" w:rsidRPr="003E09C0" w:rsidRDefault="00607CD5" w:rsidP="00607CD5">
                  <w:pPr>
                    <w:spacing w:line="249" w:lineRule="exact"/>
                    <w:ind w:left="1981"/>
                  </w:pPr>
                  <w:r w:rsidRPr="003E09C0">
                    <w:rPr>
                      <w:color w:val="0D0D0D"/>
                    </w:rPr>
                    <w:t>30/4/21</w:t>
                  </w:r>
                </w:p>
              </w:tc>
            </w:tr>
            <w:tr w:rsidR="00607CD5" w:rsidRPr="003E09C0" w:rsidTr="00607CD5">
              <w:trPr>
                <w:trHeight w:val="536"/>
              </w:trPr>
              <w:tc>
                <w:tcPr>
                  <w:tcW w:w="8350" w:type="dxa"/>
                  <w:gridSpan w:val="2"/>
                </w:tcPr>
                <w:p w:rsidR="00607CD5" w:rsidRPr="003E09C0" w:rsidRDefault="00607CD5" w:rsidP="00607CD5">
                  <w:pPr>
                    <w:spacing w:before="114"/>
                    <w:ind w:left="200"/>
                  </w:pPr>
                  <w:r w:rsidRPr="003E09C0">
                    <w:rPr>
                      <w:color w:val="0D0D0D"/>
                    </w:rPr>
                    <w:t>Executed TRL Limited acting by:</w:t>
                  </w:r>
                </w:p>
              </w:tc>
            </w:tr>
            <w:tr w:rsidR="00607CD5" w:rsidRPr="003E09C0" w:rsidTr="00607CD5">
              <w:trPr>
                <w:trHeight w:val="380"/>
              </w:trPr>
              <w:tc>
                <w:tcPr>
                  <w:tcW w:w="2774" w:type="dxa"/>
                </w:tcPr>
                <w:p w:rsidR="00607CD5" w:rsidRPr="003E09C0" w:rsidRDefault="00607CD5" w:rsidP="00607CD5">
                  <w:pPr>
                    <w:spacing w:before="113" w:line="247" w:lineRule="exact"/>
                    <w:ind w:left="200"/>
                  </w:pPr>
                  <w:r w:rsidRPr="003E09C0">
                    <w:rPr>
                      <w:color w:val="0D0D0D"/>
                    </w:rPr>
                    <w:t>Signature</w:t>
                  </w:r>
                </w:p>
              </w:tc>
              <w:tc>
                <w:tcPr>
                  <w:tcW w:w="5576" w:type="dxa"/>
                </w:tcPr>
                <w:p w:rsidR="00607CD5" w:rsidRPr="003E09C0" w:rsidRDefault="00607CD5" w:rsidP="00607CD5">
                  <w:pPr>
                    <w:rPr>
                      <w:rFonts w:ascii="Times New Roman"/>
                    </w:rPr>
                  </w:pPr>
                </w:p>
              </w:tc>
            </w:tr>
            <w:tr w:rsidR="00607CD5" w:rsidRPr="003E09C0" w:rsidTr="00607CD5">
              <w:trPr>
                <w:trHeight w:val="1444"/>
              </w:trPr>
              <w:tc>
                <w:tcPr>
                  <w:tcW w:w="2774" w:type="dxa"/>
                </w:tcPr>
                <w:p w:rsidR="00607CD5" w:rsidRPr="003E09C0" w:rsidRDefault="00607CD5" w:rsidP="00607CD5">
                  <w:pPr>
                    <w:rPr>
                      <w:rFonts w:ascii="Times New Roman"/>
                    </w:rPr>
                  </w:pPr>
                </w:p>
              </w:tc>
              <w:tc>
                <w:tcPr>
                  <w:tcW w:w="5576" w:type="dxa"/>
                </w:tcPr>
                <w:p w:rsidR="00607CD5" w:rsidRPr="003E09C0" w:rsidRDefault="00607CD5" w:rsidP="00607CD5">
                  <w:pPr>
                    <w:ind w:left="1980"/>
                    <w:rPr>
                      <w:sz w:val="20"/>
                    </w:rPr>
                  </w:pPr>
                  <w:r w:rsidRPr="003E09C0">
                    <w:rPr>
                      <w:noProof/>
                      <w:sz w:val="20"/>
                      <w:lang w:val="en-GB" w:eastAsia="en-GB"/>
                    </w:rPr>
                    <w:t>REDACTED</w:t>
                  </w:r>
                </w:p>
              </w:tc>
            </w:tr>
            <w:tr w:rsidR="00607CD5" w:rsidRPr="003E09C0" w:rsidTr="00607CD5">
              <w:trPr>
                <w:trHeight w:val="535"/>
              </w:trPr>
              <w:tc>
                <w:tcPr>
                  <w:tcW w:w="2774" w:type="dxa"/>
                </w:tcPr>
                <w:p w:rsidR="00607CD5" w:rsidRPr="003E09C0" w:rsidRDefault="00607CD5" w:rsidP="00607CD5">
                  <w:pPr>
                    <w:spacing w:before="3"/>
                    <w:rPr>
                      <w:sz w:val="20"/>
                    </w:rPr>
                  </w:pPr>
                </w:p>
                <w:p w:rsidR="00607CD5" w:rsidRPr="003E09C0" w:rsidRDefault="00607CD5" w:rsidP="00607CD5">
                  <w:pPr>
                    <w:spacing w:before="1" w:line="267" w:lineRule="exact"/>
                    <w:ind w:left="200"/>
                  </w:pPr>
                  <w:r w:rsidRPr="003E09C0">
                    <w:rPr>
                      <w:color w:val="0D0D0D"/>
                    </w:rPr>
                    <w:t>Name:</w:t>
                  </w:r>
                </w:p>
              </w:tc>
              <w:tc>
                <w:tcPr>
                  <w:tcW w:w="5576" w:type="dxa"/>
                </w:tcPr>
                <w:p w:rsidR="00607CD5" w:rsidRPr="003E09C0" w:rsidRDefault="00607CD5" w:rsidP="00607CD5">
                  <w:pPr>
                    <w:spacing w:before="3"/>
                    <w:rPr>
                      <w:sz w:val="20"/>
                    </w:rPr>
                  </w:pPr>
                </w:p>
                <w:p w:rsidR="00607CD5" w:rsidRPr="003E09C0" w:rsidRDefault="00607CD5" w:rsidP="00607CD5">
                  <w:pPr>
                    <w:spacing w:before="1" w:line="267" w:lineRule="exact"/>
                    <w:ind w:left="1981"/>
                  </w:pPr>
                  <w:r w:rsidRPr="003E09C0">
                    <w:rPr>
                      <w:color w:val="0D0D0D"/>
                    </w:rPr>
                    <w:t>REDACTED</w:t>
                  </w:r>
                </w:p>
              </w:tc>
            </w:tr>
            <w:tr w:rsidR="00607CD5" w:rsidRPr="003E09C0" w:rsidTr="00607CD5">
              <w:trPr>
                <w:trHeight w:val="512"/>
              </w:trPr>
              <w:tc>
                <w:tcPr>
                  <w:tcW w:w="2774" w:type="dxa"/>
                </w:tcPr>
                <w:p w:rsidR="00607CD5" w:rsidRPr="003E09C0" w:rsidRDefault="00607CD5" w:rsidP="00607CD5">
                  <w:pPr>
                    <w:spacing w:line="247" w:lineRule="exact"/>
                    <w:ind w:left="200"/>
                  </w:pPr>
                  <w:r w:rsidRPr="003E09C0">
                    <w:rPr>
                      <w:color w:val="0D0D0D"/>
                    </w:rPr>
                    <w:t>Role:</w:t>
                  </w:r>
                </w:p>
                <w:p w:rsidR="00607CD5" w:rsidRPr="003E09C0" w:rsidRDefault="00607CD5" w:rsidP="00607CD5">
                  <w:pPr>
                    <w:spacing w:line="245" w:lineRule="exact"/>
                    <w:ind w:left="200"/>
                  </w:pPr>
                  <w:r w:rsidRPr="003E09C0">
                    <w:rPr>
                      <w:color w:val="0D0D0D"/>
                    </w:rPr>
                    <w:t>Date:</w:t>
                  </w:r>
                </w:p>
              </w:tc>
              <w:tc>
                <w:tcPr>
                  <w:tcW w:w="5576" w:type="dxa"/>
                </w:tcPr>
                <w:p w:rsidR="00607CD5" w:rsidRPr="003E09C0" w:rsidRDefault="00607CD5" w:rsidP="00607CD5">
                  <w:pPr>
                    <w:spacing w:line="247" w:lineRule="exact"/>
                    <w:ind w:left="1981"/>
                  </w:pPr>
                  <w:r w:rsidRPr="003E09C0">
                    <w:rPr>
                      <w:color w:val="0D0D0D"/>
                    </w:rPr>
                    <w:t>REDACTED</w:t>
                  </w:r>
                </w:p>
                <w:p w:rsidR="00607CD5" w:rsidRPr="003E09C0" w:rsidRDefault="00607CD5" w:rsidP="00607CD5">
                  <w:pPr>
                    <w:spacing w:line="245" w:lineRule="exact"/>
                    <w:ind w:left="1981"/>
                  </w:pPr>
                  <w:r w:rsidRPr="003E09C0">
                    <w:rPr>
                      <w:color w:val="0D0D0D"/>
                    </w:rPr>
                    <w:t>30/4/2021</w:t>
                  </w:r>
                </w:p>
              </w:tc>
            </w:tr>
          </w:tbl>
          <w:p w:rsidR="001C5E4E" w:rsidRDefault="001C5E4E">
            <w:pPr>
              <w:pStyle w:val="TableParagraph"/>
              <w:spacing w:line="225" w:lineRule="exact"/>
              <w:ind w:left="200"/>
            </w:pPr>
          </w:p>
        </w:tc>
        <w:bookmarkStart w:id="1" w:name="_GoBack"/>
        <w:bookmarkEnd w:id="1"/>
      </w:tr>
      <w:tr w:rsidR="001C5E4E">
        <w:trPr>
          <w:trHeight w:val="939"/>
        </w:trPr>
        <w:tc>
          <w:tcPr>
            <w:tcW w:w="2774" w:type="dxa"/>
          </w:tcPr>
          <w:p w:rsidR="001C5E4E" w:rsidRDefault="001C5E4E">
            <w:pPr>
              <w:pStyle w:val="TableParagraph"/>
              <w:ind w:left="200"/>
            </w:pPr>
          </w:p>
        </w:tc>
        <w:tc>
          <w:tcPr>
            <w:tcW w:w="5576" w:type="dxa"/>
          </w:tcPr>
          <w:p w:rsidR="003E09C0" w:rsidRDefault="003E09C0" w:rsidP="003E09C0">
            <w:pPr>
              <w:pStyle w:val="NoSpacing"/>
            </w:pPr>
          </w:p>
        </w:tc>
      </w:tr>
      <w:tr w:rsidR="001C5E4E">
        <w:trPr>
          <w:trHeight w:val="268"/>
        </w:trPr>
        <w:tc>
          <w:tcPr>
            <w:tcW w:w="2774" w:type="dxa"/>
          </w:tcPr>
          <w:p w:rsidR="001C5E4E" w:rsidRDefault="001C5E4E">
            <w:pPr>
              <w:pStyle w:val="TableParagraph"/>
              <w:spacing w:line="249" w:lineRule="exact"/>
              <w:ind w:left="200"/>
            </w:pPr>
          </w:p>
        </w:tc>
        <w:tc>
          <w:tcPr>
            <w:tcW w:w="5576" w:type="dxa"/>
          </w:tcPr>
          <w:p w:rsidR="001C5E4E" w:rsidRDefault="001C5E4E">
            <w:pPr>
              <w:pStyle w:val="TableParagraph"/>
              <w:spacing w:line="249" w:lineRule="exact"/>
              <w:ind w:left="1981"/>
            </w:pPr>
          </w:p>
        </w:tc>
      </w:tr>
      <w:tr w:rsidR="001C5E4E">
        <w:trPr>
          <w:trHeight w:val="537"/>
        </w:trPr>
        <w:tc>
          <w:tcPr>
            <w:tcW w:w="2774" w:type="dxa"/>
          </w:tcPr>
          <w:p w:rsidR="001C5E4E" w:rsidRDefault="001C5E4E">
            <w:pPr>
              <w:pStyle w:val="TableParagraph"/>
              <w:spacing w:line="249" w:lineRule="exact"/>
              <w:ind w:left="200"/>
            </w:pPr>
          </w:p>
        </w:tc>
        <w:tc>
          <w:tcPr>
            <w:tcW w:w="5576" w:type="dxa"/>
          </w:tcPr>
          <w:p w:rsidR="001C5E4E" w:rsidRDefault="001C5E4E">
            <w:pPr>
              <w:pStyle w:val="TableParagraph"/>
              <w:ind w:left="1981"/>
            </w:pPr>
          </w:p>
        </w:tc>
      </w:tr>
      <w:tr w:rsidR="001C5E4E">
        <w:trPr>
          <w:trHeight w:val="403"/>
        </w:trPr>
        <w:tc>
          <w:tcPr>
            <w:tcW w:w="2774" w:type="dxa"/>
          </w:tcPr>
          <w:p w:rsidR="001C5E4E" w:rsidRDefault="001C5E4E">
            <w:pPr>
              <w:pStyle w:val="TableParagraph"/>
              <w:spacing w:line="249" w:lineRule="exact"/>
              <w:ind w:left="200"/>
            </w:pPr>
          </w:p>
        </w:tc>
        <w:tc>
          <w:tcPr>
            <w:tcW w:w="5576" w:type="dxa"/>
          </w:tcPr>
          <w:p w:rsidR="001C5E4E" w:rsidRDefault="001C5E4E">
            <w:pPr>
              <w:pStyle w:val="TableParagraph"/>
              <w:spacing w:line="249" w:lineRule="exact"/>
              <w:ind w:left="1981"/>
            </w:pPr>
          </w:p>
        </w:tc>
      </w:tr>
      <w:tr w:rsidR="001C5E4E">
        <w:trPr>
          <w:trHeight w:val="536"/>
        </w:trPr>
        <w:tc>
          <w:tcPr>
            <w:tcW w:w="8350" w:type="dxa"/>
            <w:gridSpan w:val="2"/>
          </w:tcPr>
          <w:p w:rsidR="001C5E4E" w:rsidRDefault="001C5E4E">
            <w:pPr>
              <w:pStyle w:val="TableParagraph"/>
              <w:spacing w:before="114"/>
              <w:ind w:left="200"/>
            </w:pPr>
          </w:p>
        </w:tc>
      </w:tr>
      <w:tr w:rsidR="001C5E4E">
        <w:trPr>
          <w:trHeight w:val="380"/>
        </w:trPr>
        <w:tc>
          <w:tcPr>
            <w:tcW w:w="2774" w:type="dxa"/>
          </w:tcPr>
          <w:p w:rsidR="001C5E4E" w:rsidRDefault="001C5E4E">
            <w:pPr>
              <w:pStyle w:val="TableParagraph"/>
              <w:spacing w:before="113" w:line="247" w:lineRule="exact"/>
              <w:ind w:left="200"/>
            </w:pPr>
          </w:p>
        </w:tc>
        <w:tc>
          <w:tcPr>
            <w:tcW w:w="5576" w:type="dxa"/>
          </w:tcPr>
          <w:p w:rsidR="001C5E4E" w:rsidRDefault="001C5E4E">
            <w:pPr>
              <w:pStyle w:val="TableParagraph"/>
              <w:rPr>
                <w:rFonts w:ascii="Times New Roman"/>
              </w:rPr>
            </w:pPr>
          </w:p>
        </w:tc>
      </w:tr>
      <w:tr w:rsidR="001C5E4E">
        <w:trPr>
          <w:trHeight w:val="1444"/>
        </w:trPr>
        <w:tc>
          <w:tcPr>
            <w:tcW w:w="2774" w:type="dxa"/>
          </w:tcPr>
          <w:p w:rsidR="001C5E4E" w:rsidRDefault="001C5E4E">
            <w:pPr>
              <w:pStyle w:val="TableParagraph"/>
              <w:rPr>
                <w:rFonts w:ascii="Times New Roman"/>
              </w:rPr>
            </w:pPr>
          </w:p>
        </w:tc>
        <w:tc>
          <w:tcPr>
            <w:tcW w:w="5576" w:type="dxa"/>
          </w:tcPr>
          <w:p w:rsidR="001C5E4E" w:rsidRDefault="001C5E4E">
            <w:pPr>
              <w:pStyle w:val="TableParagraph"/>
              <w:ind w:left="1980"/>
              <w:rPr>
                <w:sz w:val="20"/>
              </w:rPr>
            </w:pPr>
            <w:bookmarkStart w:id="2" w:name="_bookmark1"/>
            <w:bookmarkEnd w:id="2"/>
          </w:p>
        </w:tc>
      </w:tr>
      <w:tr w:rsidR="001C5E4E">
        <w:trPr>
          <w:trHeight w:val="535"/>
        </w:trPr>
        <w:tc>
          <w:tcPr>
            <w:tcW w:w="2774" w:type="dxa"/>
          </w:tcPr>
          <w:p w:rsidR="001C5E4E" w:rsidRDefault="001C5E4E">
            <w:pPr>
              <w:pStyle w:val="TableParagraph"/>
              <w:spacing w:before="1" w:line="267" w:lineRule="exact"/>
              <w:ind w:left="200"/>
            </w:pPr>
          </w:p>
        </w:tc>
        <w:tc>
          <w:tcPr>
            <w:tcW w:w="5576" w:type="dxa"/>
          </w:tcPr>
          <w:p w:rsidR="001C5E4E" w:rsidRDefault="001C5E4E">
            <w:pPr>
              <w:pStyle w:val="TableParagraph"/>
              <w:spacing w:before="1" w:line="267" w:lineRule="exact"/>
              <w:ind w:left="1981"/>
            </w:pPr>
          </w:p>
        </w:tc>
      </w:tr>
      <w:tr w:rsidR="001C5E4E">
        <w:trPr>
          <w:trHeight w:val="512"/>
        </w:trPr>
        <w:tc>
          <w:tcPr>
            <w:tcW w:w="2774" w:type="dxa"/>
          </w:tcPr>
          <w:p w:rsidR="001C5E4E" w:rsidRDefault="001C5E4E">
            <w:pPr>
              <w:pStyle w:val="TableParagraph"/>
              <w:spacing w:line="245" w:lineRule="exact"/>
              <w:ind w:left="200"/>
            </w:pPr>
          </w:p>
        </w:tc>
        <w:tc>
          <w:tcPr>
            <w:tcW w:w="5576" w:type="dxa"/>
          </w:tcPr>
          <w:p w:rsidR="001C5E4E" w:rsidRDefault="001C5E4E">
            <w:pPr>
              <w:pStyle w:val="TableParagraph"/>
              <w:spacing w:line="245" w:lineRule="exact"/>
              <w:ind w:left="1981"/>
            </w:pPr>
          </w:p>
        </w:tc>
      </w:tr>
    </w:tbl>
    <w:p w:rsidR="001C5E4E" w:rsidRDefault="001C5E4E">
      <w:pPr>
        <w:rPr>
          <w:sz w:val="2"/>
          <w:szCs w:val="2"/>
        </w:rPr>
      </w:pPr>
    </w:p>
    <w:p w:rsidR="001C5E4E" w:rsidRDefault="001C5E4E">
      <w:pPr>
        <w:rPr>
          <w:sz w:val="2"/>
          <w:szCs w:val="2"/>
        </w:rPr>
        <w:sectPr w:rsidR="001C5E4E">
          <w:pgSz w:w="11910" w:h="16840"/>
          <w:pgMar w:top="1460" w:right="620" w:bottom="1120" w:left="940" w:header="0" w:footer="938" w:gutter="0"/>
          <w:cols w:space="720"/>
        </w:sectPr>
      </w:pPr>
    </w:p>
    <w:p w:rsidR="001C5E4E" w:rsidRDefault="001C5E4E">
      <w:pPr>
        <w:pStyle w:val="BodyText"/>
        <w:spacing w:before="1"/>
        <w:rPr>
          <w:sz w:val="24"/>
        </w:rPr>
      </w:pPr>
    </w:p>
    <w:p w:rsidR="001C5E4E" w:rsidRDefault="003E09C0">
      <w:pPr>
        <w:pStyle w:val="Heading1"/>
        <w:numPr>
          <w:ilvl w:val="1"/>
          <w:numId w:val="70"/>
        </w:numPr>
        <w:tabs>
          <w:tab w:val="left" w:pos="1938"/>
        </w:tabs>
        <w:spacing w:before="56"/>
        <w:jc w:val="left"/>
      </w:pPr>
      <w:bookmarkStart w:id="3" w:name="_bookmark2"/>
      <w:bookmarkEnd w:id="3"/>
      <w:r>
        <w:rPr>
          <w:color w:val="C00000"/>
          <w:u w:val="single" w:color="C00000"/>
        </w:rPr>
        <w:t>PROFESSIONAL SERVICES CONTRACT ANNEX B - CONDITIONS OF</w:t>
      </w:r>
      <w:r>
        <w:rPr>
          <w:color w:val="C00000"/>
          <w:spacing w:val="-11"/>
          <w:u w:val="single" w:color="C00000"/>
        </w:rPr>
        <w:t xml:space="preserve"> </w:t>
      </w:r>
      <w:r>
        <w:rPr>
          <w:color w:val="C00000"/>
          <w:u w:val="single" w:color="C00000"/>
        </w:rPr>
        <w:t>CONTRACT</w:t>
      </w:r>
    </w:p>
    <w:p w:rsidR="001C5E4E" w:rsidRDefault="001C5E4E">
      <w:pPr>
        <w:pStyle w:val="BodyText"/>
        <w:spacing w:before="1"/>
        <w:rPr>
          <w:b/>
          <w:sz w:val="15"/>
        </w:rPr>
      </w:pPr>
    </w:p>
    <w:p w:rsidR="001C5E4E" w:rsidRDefault="003E09C0">
      <w:pPr>
        <w:spacing w:before="56"/>
        <w:ind w:left="858"/>
        <w:rPr>
          <w:b/>
        </w:rPr>
      </w:pPr>
      <w:r>
        <w:rPr>
          <w:b/>
        </w:rPr>
        <w:t>NEC3 PROFESSIONAL SERVICES CONTRACT (APRIL 2013) CORE CLAUSES</w:t>
      </w:r>
    </w:p>
    <w:p w:rsidR="001C5E4E" w:rsidRDefault="001C5E4E">
      <w:pPr>
        <w:pStyle w:val="BodyText"/>
        <w:spacing w:before="10"/>
        <w:rPr>
          <w:b/>
          <w:sz w:val="19"/>
        </w:rPr>
      </w:pPr>
    </w:p>
    <w:p w:rsidR="001C5E4E" w:rsidRDefault="003E09C0">
      <w:pPr>
        <w:spacing w:line="237" w:lineRule="auto"/>
        <w:ind w:left="858" w:right="1416"/>
        <w:rPr>
          <w:i/>
        </w:rPr>
      </w:pPr>
      <w:r>
        <w:rPr>
          <w:i/>
        </w:rPr>
        <w:t>The terms and conditions of contract applied to this call-off are the core clauses of the NEC Professional Services (PSC) contract, with optional Z clauses as listed.</w:t>
      </w:r>
    </w:p>
    <w:p w:rsidR="001C5E4E" w:rsidRDefault="001C5E4E">
      <w:pPr>
        <w:spacing w:line="237" w:lineRule="auto"/>
        <w:sectPr w:rsidR="001C5E4E">
          <w:pgSz w:w="11910" w:h="16840"/>
          <w:pgMar w:top="1580" w:right="620" w:bottom="1120" w:left="940" w:header="0" w:footer="938" w:gutter="0"/>
          <w:cols w:space="720"/>
        </w:sectPr>
      </w:pPr>
    </w:p>
    <w:p w:rsidR="001C5E4E" w:rsidRDefault="003E09C0">
      <w:pPr>
        <w:pStyle w:val="Heading1"/>
        <w:numPr>
          <w:ilvl w:val="1"/>
          <w:numId w:val="70"/>
        </w:numPr>
        <w:tabs>
          <w:tab w:val="left" w:pos="1938"/>
        </w:tabs>
        <w:spacing w:before="41"/>
        <w:ind w:right="1379"/>
        <w:jc w:val="left"/>
      </w:pPr>
      <w:r>
        <w:rPr>
          <w:color w:val="C00000"/>
          <w:u w:val="single" w:color="C00000"/>
        </w:rPr>
        <w:lastRenderedPageBreak/>
        <w:t>PROFESSIONAL SERVICES CONTRACT ANNEX C - CONTRACT DATA PARTS ONE AND</w:t>
      </w:r>
      <w:r>
        <w:rPr>
          <w:color w:val="C00000"/>
          <w:spacing w:val="-3"/>
          <w:u w:val="single" w:color="C00000"/>
        </w:rPr>
        <w:t xml:space="preserve"> </w:t>
      </w:r>
      <w:r>
        <w:rPr>
          <w:color w:val="C00000"/>
          <w:u w:val="single" w:color="C00000"/>
        </w:rPr>
        <w:t>TWO</w:t>
      </w:r>
    </w:p>
    <w:p w:rsidR="001C5E4E" w:rsidRDefault="001C5E4E">
      <w:pPr>
        <w:pStyle w:val="BodyText"/>
        <w:spacing w:before="1"/>
        <w:rPr>
          <w:b/>
          <w:sz w:val="15"/>
        </w:rPr>
      </w:pPr>
    </w:p>
    <w:p w:rsidR="001C5E4E" w:rsidRDefault="003E09C0">
      <w:pPr>
        <w:spacing w:before="56"/>
        <w:ind w:left="3637" w:right="3958"/>
        <w:jc w:val="center"/>
        <w:rPr>
          <w:b/>
        </w:rPr>
      </w:pPr>
      <w:r>
        <w:rPr>
          <w:b/>
        </w:rPr>
        <w:t>Professional Services Contract Contract Data</w:t>
      </w:r>
    </w:p>
    <w:p w:rsidR="001C5E4E" w:rsidRDefault="001C5E4E">
      <w:pPr>
        <w:pStyle w:val="BodyText"/>
        <w:rPr>
          <w:b/>
          <w:sz w:val="20"/>
        </w:rPr>
      </w:pPr>
    </w:p>
    <w:p w:rsidR="001C5E4E" w:rsidRDefault="001C5E4E">
      <w:pPr>
        <w:pStyle w:val="BodyText"/>
        <w:spacing w:before="4"/>
        <w:rPr>
          <w:b/>
          <w:sz w:val="15"/>
        </w:rPr>
      </w:pPr>
    </w:p>
    <w:tbl>
      <w:tblPr>
        <w:tblW w:w="0" w:type="auto"/>
        <w:tblInd w:w="595" w:type="dxa"/>
        <w:tblLayout w:type="fixed"/>
        <w:tblCellMar>
          <w:left w:w="0" w:type="dxa"/>
          <w:right w:w="0" w:type="dxa"/>
        </w:tblCellMar>
        <w:tblLook w:val="01E0" w:firstRow="1" w:lastRow="1" w:firstColumn="1" w:lastColumn="1" w:noHBand="0" w:noVBand="0"/>
      </w:tblPr>
      <w:tblGrid>
        <w:gridCol w:w="2221"/>
        <w:gridCol w:w="7307"/>
      </w:tblGrid>
      <w:tr w:rsidR="001C5E4E">
        <w:trPr>
          <w:trHeight w:val="342"/>
        </w:trPr>
        <w:tc>
          <w:tcPr>
            <w:tcW w:w="9528" w:type="dxa"/>
            <w:gridSpan w:val="2"/>
          </w:tcPr>
          <w:p w:rsidR="001C5E4E" w:rsidRDefault="003E09C0">
            <w:pPr>
              <w:pStyle w:val="TableParagraph"/>
              <w:spacing w:line="225" w:lineRule="exact"/>
              <w:ind w:left="200"/>
              <w:rPr>
                <w:b/>
                <w:i/>
              </w:rPr>
            </w:pPr>
            <w:r>
              <w:rPr>
                <w:b/>
              </w:rPr>
              <w:t xml:space="preserve">Part one – Data provided by the </w:t>
            </w:r>
            <w:r>
              <w:rPr>
                <w:b/>
                <w:i/>
              </w:rPr>
              <w:t>Employer</w:t>
            </w:r>
          </w:p>
        </w:tc>
      </w:tr>
      <w:tr w:rsidR="001C5E4E">
        <w:trPr>
          <w:trHeight w:val="1125"/>
        </w:trPr>
        <w:tc>
          <w:tcPr>
            <w:tcW w:w="2221" w:type="dxa"/>
          </w:tcPr>
          <w:p w:rsidR="001C5E4E" w:rsidRDefault="003E09C0">
            <w:pPr>
              <w:pStyle w:val="TableParagraph"/>
              <w:spacing w:before="122"/>
              <w:ind w:left="1255"/>
              <w:rPr>
                <w:b/>
              </w:rPr>
            </w:pPr>
            <w:r>
              <w:rPr>
                <w:b/>
              </w:rPr>
              <w:t>1 General</w:t>
            </w:r>
          </w:p>
        </w:tc>
        <w:tc>
          <w:tcPr>
            <w:tcW w:w="7307" w:type="dxa"/>
          </w:tcPr>
          <w:p w:rsidR="001C5E4E" w:rsidRDefault="003E09C0">
            <w:pPr>
              <w:pStyle w:val="TableParagraph"/>
              <w:numPr>
                <w:ilvl w:val="0"/>
                <w:numId w:val="64"/>
              </w:numPr>
              <w:tabs>
                <w:tab w:val="left" w:pos="392"/>
              </w:tabs>
              <w:spacing w:before="122" w:line="264" w:lineRule="auto"/>
              <w:ind w:right="197"/>
            </w:pPr>
            <w:r>
              <w:t xml:space="preserve">The </w:t>
            </w:r>
            <w:r>
              <w:rPr>
                <w:i/>
              </w:rPr>
              <w:t xml:space="preserve">conditions of contract </w:t>
            </w:r>
            <w:r>
              <w:t>are the core clauses and the clauses for main Option G, dispute resolution Option W1 and secondary Options X1, X2, X18 and Z of the NEC3 Professional Services Contract (April</w:t>
            </w:r>
            <w:r>
              <w:rPr>
                <w:spacing w:val="-10"/>
              </w:rPr>
              <w:t xml:space="preserve"> </w:t>
            </w:r>
            <w:r>
              <w:t>2013).</w:t>
            </w:r>
          </w:p>
        </w:tc>
      </w:tr>
      <w:tr w:rsidR="001C5E4E">
        <w:trPr>
          <w:trHeight w:val="719"/>
        </w:trPr>
        <w:tc>
          <w:tcPr>
            <w:tcW w:w="2221" w:type="dxa"/>
          </w:tcPr>
          <w:p w:rsidR="001C5E4E" w:rsidRDefault="001C5E4E">
            <w:pPr>
              <w:pStyle w:val="TableParagraph"/>
              <w:rPr>
                <w:rFonts w:ascii="Times New Roman"/>
              </w:rPr>
            </w:pPr>
          </w:p>
        </w:tc>
        <w:tc>
          <w:tcPr>
            <w:tcW w:w="7307" w:type="dxa"/>
          </w:tcPr>
          <w:p w:rsidR="001C5E4E" w:rsidRDefault="003E09C0">
            <w:pPr>
              <w:pStyle w:val="TableParagraph"/>
              <w:numPr>
                <w:ilvl w:val="0"/>
                <w:numId w:val="63"/>
              </w:numPr>
              <w:tabs>
                <w:tab w:val="left" w:pos="392"/>
              </w:tabs>
              <w:spacing w:before="137"/>
              <w:ind w:hanging="285"/>
            </w:pPr>
            <w:r>
              <w:t xml:space="preserve">The </w:t>
            </w:r>
            <w:r>
              <w:rPr>
                <w:i/>
              </w:rPr>
              <w:t xml:space="preserve">Employer </w:t>
            </w:r>
            <w:r>
              <w:t>is Department for</w:t>
            </w:r>
            <w:r>
              <w:rPr>
                <w:spacing w:val="-2"/>
              </w:rPr>
              <w:t xml:space="preserve"> </w:t>
            </w:r>
            <w:r>
              <w:t>Transport</w:t>
            </w:r>
          </w:p>
        </w:tc>
      </w:tr>
      <w:tr w:rsidR="001C5E4E">
        <w:trPr>
          <w:trHeight w:val="1013"/>
        </w:trPr>
        <w:tc>
          <w:tcPr>
            <w:tcW w:w="2221" w:type="dxa"/>
          </w:tcPr>
          <w:p w:rsidR="001C5E4E" w:rsidRDefault="001C5E4E">
            <w:pPr>
              <w:pStyle w:val="TableParagraph"/>
              <w:rPr>
                <w:rFonts w:ascii="Times New Roman"/>
              </w:rPr>
            </w:pPr>
          </w:p>
        </w:tc>
        <w:tc>
          <w:tcPr>
            <w:tcW w:w="7307" w:type="dxa"/>
          </w:tcPr>
          <w:p w:rsidR="001C5E4E" w:rsidRDefault="001C5E4E">
            <w:pPr>
              <w:pStyle w:val="TableParagraph"/>
              <w:spacing w:before="1"/>
              <w:rPr>
                <w:b/>
                <w:sz w:val="25"/>
              </w:rPr>
            </w:pPr>
          </w:p>
          <w:p w:rsidR="001C5E4E" w:rsidRDefault="003E09C0">
            <w:pPr>
              <w:pStyle w:val="TableParagraph"/>
              <w:numPr>
                <w:ilvl w:val="0"/>
                <w:numId w:val="62"/>
              </w:numPr>
              <w:tabs>
                <w:tab w:val="left" w:pos="392"/>
              </w:tabs>
              <w:ind w:hanging="285"/>
            </w:pPr>
            <w:r>
              <w:t xml:space="preserve">The </w:t>
            </w:r>
            <w:r>
              <w:rPr>
                <w:i/>
              </w:rPr>
              <w:t xml:space="preserve">Adjudicator </w:t>
            </w:r>
            <w:r>
              <w:t>is the person chosen by the Parties from the list</w:t>
            </w:r>
            <w:r>
              <w:rPr>
                <w:spacing w:val="-12"/>
              </w:rPr>
              <w:t xml:space="preserve"> </w:t>
            </w:r>
            <w:r>
              <w:t>of</w:t>
            </w:r>
          </w:p>
          <w:p w:rsidR="001C5E4E" w:rsidRDefault="003E09C0">
            <w:pPr>
              <w:pStyle w:val="TableParagraph"/>
              <w:spacing w:before="27"/>
              <w:ind w:left="391"/>
            </w:pPr>
            <w:r>
              <w:rPr>
                <w:i/>
              </w:rPr>
              <w:t>Adjudicator</w:t>
            </w:r>
            <w:r>
              <w:t>s published by the Chartered Institute of Arbitrators.</w:t>
            </w:r>
          </w:p>
        </w:tc>
      </w:tr>
      <w:tr w:rsidR="001C5E4E">
        <w:trPr>
          <w:trHeight w:val="842"/>
        </w:trPr>
        <w:tc>
          <w:tcPr>
            <w:tcW w:w="2221" w:type="dxa"/>
          </w:tcPr>
          <w:p w:rsidR="001C5E4E" w:rsidRDefault="001C5E4E">
            <w:pPr>
              <w:pStyle w:val="TableParagraph"/>
              <w:rPr>
                <w:rFonts w:ascii="Times New Roman"/>
              </w:rPr>
            </w:pPr>
          </w:p>
        </w:tc>
        <w:tc>
          <w:tcPr>
            <w:tcW w:w="7307" w:type="dxa"/>
          </w:tcPr>
          <w:p w:rsidR="001C5E4E" w:rsidRDefault="003E09C0">
            <w:pPr>
              <w:pStyle w:val="TableParagraph"/>
              <w:numPr>
                <w:ilvl w:val="0"/>
                <w:numId w:val="61"/>
              </w:numPr>
              <w:tabs>
                <w:tab w:val="left" w:pos="392"/>
              </w:tabs>
              <w:spacing w:before="136" w:line="264" w:lineRule="auto"/>
              <w:ind w:right="390"/>
            </w:pPr>
            <w:r>
              <w:t xml:space="preserve">The </w:t>
            </w:r>
            <w:r>
              <w:rPr>
                <w:i/>
              </w:rPr>
              <w:t xml:space="preserve">services </w:t>
            </w:r>
            <w:r>
              <w:t>are Provision of RAIDS Work Package 4 – Automated Vehicle Support</w:t>
            </w:r>
          </w:p>
        </w:tc>
      </w:tr>
      <w:tr w:rsidR="001C5E4E">
        <w:trPr>
          <w:trHeight w:val="547"/>
        </w:trPr>
        <w:tc>
          <w:tcPr>
            <w:tcW w:w="2221" w:type="dxa"/>
          </w:tcPr>
          <w:p w:rsidR="001C5E4E" w:rsidRDefault="001C5E4E">
            <w:pPr>
              <w:pStyle w:val="TableParagraph"/>
              <w:rPr>
                <w:rFonts w:ascii="Times New Roman"/>
              </w:rPr>
            </w:pPr>
          </w:p>
        </w:tc>
        <w:tc>
          <w:tcPr>
            <w:tcW w:w="7307" w:type="dxa"/>
          </w:tcPr>
          <w:p w:rsidR="001C5E4E" w:rsidRDefault="003E09C0">
            <w:pPr>
              <w:pStyle w:val="TableParagraph"/>
              <w:numPr>
                <w:ilvl w:val="0"/>
                <w:numId w:val="60"/>
              </w:numPr>
              <w:tabs>
                <w:tab w:val="left" w:pos="392"/>
              </w:tabs>
              <w:spacing w:before="136"/>
              <w:ind w:hanging="285"/>
            </w:pPr>
            <w:r>
              <w:t>The Scope is in Annex</w:t>
            </w:r>
            <w:r>
              <w:rPr>
                <w:spacing w:val="-3"/>
              </w:rPr>
              <w:t xml:space="preserve"> </w:t>
            </w:r>
            <w:r>
              <w:t>E</w:t>
            </w:r>
          </w:p>
        </w:tc>
      </w:tr>
      <w:tr w:rsidR="001C5E4E">
        <w:trPr>
          <w:trHeight w:val="2419"/>
        </w:trPr>
        <w:tc>
          <w:tcPr>
            <w:tcW w:w="2221" w:type="dxa"/>
          </w:tcPr>
          <w:p w:rsidR="001C5E4E" w:rsidRDefault="001C5E4E">
            <w:pPr>
              <w:pStyle w:val="TableParagraph"/>
              <w:rPr>
                <w:rFonts w:ascii="Times New Roman"/>
              </w:rPr>
            </w:pPr>
          </w:p>
        </w:tc>
        <w:tc>
          <w:tcPr>
            <w:tcW w:w="7307" w:type="dxa"/>
          </w:tcPr>
          <w:p w:rsidR="001C5E4E" w:rsidRDefault="003E09C0">
            <w:pPr>
              <w:pStyle w:val="TableParagraph"/>
              <w:numPr>
                <w:ilvl w:val="0"/>
                <w:numId w:val="59"/>
              </w:numPr>
              <w:tabs>
                <w:tab w:val="left" w:pos="392"/>
              </w:tabs>
              <w:spacing w:before="136"/>
              <w:ind w:hanging="285"/>
            </w:pPr>
            <w:r>
              <w:t xml:space="preserve">The </w:t>
            </w:r>
            <w:r>
              <w:rPr>
                <w:i/>
              </w:rPr>
              <w:t xml:space="preserve">language of this contract </w:t>
            </w:r>
            <w:r>
              <w:t>is</w:t>
            </w:r>
            <w:r>
              <w:rPr>
                <w:spacing w:val="1"/>
              </w:rPr>
              <w:t xml:space="preserve"> </w:t>
            </w:r>
            <w:r>
              <w:rPr>
                <w:spacing w:val="-4"/>
              </w:rPr>
              <w:t>English.</w:t>
            </w:r>
          </w:p>
          <w:p w:rsidR="001C5E4E" w:rsidRDefault="003E09C0">
            <w:pPr>
              <w:pStyle w:val="TableParagraph"/>
              <w:numPr>
                <w:ilvl w:val="0"/>
                <w:numId w:val="59"/>
              </w:numPr>
              <w:tabs>
                <w:tab w:val="left" w:pos="392"/>
              </w:tabs>
              <w:spacing w:before="146" w:line="264" w:lineRule="auto"/>
              <w:ind w:right="452"/>
            </w:pPr>
            <w:r>
              <w:rPr>
                <w:i/>
              </w:rPr>
              <w:t xml:space="preserve">The law of the contract </w:t>
            </w:r>
            <w:r>
              <w:t xml:space="preserve">is the law of </w:t>
            </w:r>
            <w:r>
              <w:rPr>
                <w:spacing w:val="-4"/>
              </w:rPr>
              <w:t xml:space="preserve">England, subject </w:t>
            </w:r>
            <w:r>
              <w:rPr>
                <w:spacing w:val="-3"/>
              </w:rPr>
              <w:t xml:space="preserve">to the </w:t>
            </w:r>
            <w:r>
              <w:rPr>
                <w:spacing w:val="-4"/>
              </w:rPr>
              <w:t xml:space="preserve">jurisdiction </w:t>
            </w:r>
            <w:r>
              <w:t xml:space="preserve">of </w:t>
            </w:r>
            <w:r>
              <w:rPr>
                <w:spacing w:val="-2"/>
              </w:rPr>
              <w:t xml:space="preserve">the </w:t>
            </w:r>
            <w:r>
              <w:rPr>
                <w:spacing w:val="-3"/>
              </w:rPr>
              <w:t xml:space="preserve">Courts </w:t>
            </w:r>
            <w:r>
              <w:t>of</w:t>
            </w:r>
            <w:r>
              <w:rPr>
                <w:spacing w:val="-18"/>
              </w:rPr>
              <w:t xml:space="preserve"> </w:t>
            </w:r>
            <w:r>
              <w:rPr>
                <w:spacing w:val="-4"/>
              </w:rPr>
              <w:t>England.</w:t>
            </w:r>
          </w:p>
          <w:p w:rsidR="001C5E4E" w:rsidRDefault="003E09C0">
            <w:pPr>
              <w:pStyle w:val="TableParagraph"/>
              <w:numPr>
                <w:ilvl w:val="0"/>
                <w:numId w:val="59"/>
              </w:numPr>
              <w:tabs>
                <w:tab w:val="left" w:pos="392"/>
              </w:tabs>
              <w:spacing w:before="120"/>
              <w:ind w:hanging="285"/>
            </w:pPr>
            <w:r>
              <w:t xml:space="preserve">The </w:t>
            </w:r>
            <w:r>
              <w:rPr>
                <w:i/>
              </w:rPr>
              <w:t xml:space="preserve">period for reply </w:t>
            </w:r>
            <w:r>
              <w:t>is two</w:t>
            </w:r>
            <w:r>
              <w:rPr>
                <w:spacing w:val="-8"/>
              </w:rPr>
              <w:t xml:space="preserve"> </w:t>
            </w:r>
            <w:r>
              <w:t>weeks.</w:t>
            </w:r>
          </w:p>
          <w:p w:rsidR="001C5E4E" w:rsidRDefault="003E09C0">
            <w:pPr>
              <w:pStyle w:val="TableParagraph"/>
              <w:numPr>
                <w:ilvl w:val="0"/>
                <w:numId w:val="59"/>
              </w:numPr>
              <w:tabs>
                <w:tab w:val="left" w:pos="392"/>
              </w:tabs>
              <w:spacing w:before="148" w:line="264" w:lineRule="auto"/>
              <w:ind w:right="1070"/>
            </w:pPr>
            <w:r>
              <w:t xml:space="preserve">The </w:t>
            </w:r>
            <w:r>
              <w:rPr>
                <w:i/>
              </w:rPr>
              <w:t xml:space="preserve">period for retention </w:t>
            </w:r>
            <w:r>
              <w:t>is 6 years following Completion or earlier termination.</w:t>
            </w:r>
          </w:p>
        </w:tc>
      </w:tr>
      <w:tr w:rsidR="001C5E4E">
        <w:trPr>
          <w:trHeight w:val="974"/>
        </w:trPr>
        <w:tc>
          <w:tcPr>
            <w:tcW w:w="2221" w:type="dxa"/>
          </w:tcPr>
          <w:p w:rsidR="001C5E4E" w:rsidRDefault="001C5E4E">
            <w:pPr>
              <w:pStyle w:val="TableParagraph"/>
              <w:rPr>
                <w:rFonts w:ascii="Times New Roman"/>
              </w:rPr>
            </w:pPr>
          </w:p>
        </w:tc>
        <w:tc>
          <w:tcPr>
            <w:tcW w:w="7307" w:type="dxa"/>
          </w:tcPr>
          <w:p w:rsidR="001C5E4E" w:rsidRDefault="003E09C0">
            <w:pPr>
              <w:pStyle w:val="TableParagraph"/>
              <w:numPr>
                <w:ilvl w:val="0"/>
                <w:numId w:val="58"/>
              </w:numPr>
              <w:tabs>
                <w:tab w:val="left" w:pos="392"/>
              </w:tabs>
              <w:spacing w:before="136"/>
              <w:ind w:hanging="285"/>
            </w:pPr>
            <w:r>
              <w:t xml:space="preserve">The </w:t>
            </w:r>
            <w:r>
              <w:rPr>
                <w:i/>
              </w:rPr>
              <w:t xml:space="preserve">Adjudicator nominating body </w:t>
            </w:r>
            <w:r>
              <w:t>is the Chartered Institute of</w:t>
            </w:r>
            <w:r>
              <w:rPr>
                <w:spacing w:val="-13"/>
              </w:rPr>
              <w:t xml:space="preserve"> </w:t>
            </w:r>
            <w:r>
              <w:t>Arbitrators</w:t>
            </w:r>
          </w:p>
          <w:p w:rsidR="001C5E4E" w:rsidRDefault="003E09C0">
            <w:pPr>
              <w:pStyle w:val="TableParagraph"/>
              <w:numPr>
                <w:ilvl w:val="0"/>
                <w:numId w:val="58"/>
              </w:numPr>
              <w:tabs>
                <w:tab w:val="left" w:pos="441"/>
                <w:tab w:val="left" w:pos="442"/>
              </w:tabs>
              <w:spacing w:before="146"/>
              <w:ind w:left="441" w:hanging="335"/>
            </w:pPr>
            <w:r>
              <w:t xml:space="preserve">The </w:t>
            </w:r>
            <w:r>
              <w:rPr>
                <w:i/>
              </w:rPr>
              <w:t xml:space="preserve">tribunal </w:t>
            </w:r>
            <w:r>
              <w:t>is</w:t>
            </w:r>
            <w:r>
              <w:rPr>
                <w:spacing w:val="-1"/>
              </w:rPr>
              <w:t xml:space="preserve"> </w:t>
            </w:r>
            <w:r>
              <w:t>arbitration</w:t>
            </w:r>
          </w:p>
        </w:tc>
      </w:tr>
      <w:tr w:rsidR="001C5E4E">
        <w:trPr>
          <w:trHeight w:val="547"/>
        </w:trPr>
        <w:tc>
          <w:tcPr>
            <w:tcW w:w="2221" w:type="dxa"/>
          </w:tcPr>
          <w:p w:rsidR="001C5E4E" w:rsidRDefault="001C5E4E">
            <w:pPr>
              <w:pStyle w:val="TableParagraph"/>
              <w:rPr>
                <w:rFonts w:ascii="Times New Roman"/>
              </w:rPr>
            </w:pPr>
          </w:p>
        </w:tc>
        <w:tc>
          <w:tcPr>
            <w:tcW w:w="7307" w:type="dxa"/>
          </w:tcPr>
          <w:p w:rsidR="001C5E4E" w:rsidRDefault="003E09C0">
            <w:pPr>
              <w:pStyle w:val="TableParagraph"/>
              <w:numPr>
                <w:ilvl w:val="0"/>
                <w:numId w:val="57"/>
              </w:numPr>
              <w:tabs>
                <w:tab w:val="left" w:pos="392"/>
              </w:tabs>
              <w:spacing w:before="136"/>
              <w:ind w:hanging="285"/>
            </w:pPr>
            <w:r>
              <w:t>The following matters will be included in the Risk Register – not</w:t>
            </w:r>
            <w:r>
              <w:rPr>
                <w:spacing w:val="-14"/>
              </w:rPr>
              <w:t xml:space="preserve"> </w:t>
            </w:r>
            <w:r>
              <w:t>applicable</w:t>
            </w:r>
          </w:p>
        </w:tc>
      </w:tr>
      <w:tr w:rsidR="001C5E4E">
        <w:trPr>
          <w:trHeight w:val="2152"/>
        </w:trPr>
        <w:tc>
          <w:tcPr>
            <w:tcW w:w="2221" w:type="dxa"/>
          </w:tcPr>
          <w:p w:rsidR="001C5E4E" w:rsidRDefault="003E09C0">
            <w:pPr>
              <w:pStyle w:val="TableParagraph"/>
              <w:spacing w:before="135"/>
              <w:ind w:left="775" w:right="36" w:hanging="353"/>
              <w:rPr>
                <w:b/>
              </w:rPr>
            </w:pPr>
            <w:r>
              <w:rPr>
                <w:b/>
              </w:rPr>
              <w:t>2 The Parties' main responsibilities</w:t>
            </w:r>
          </w:p>
        </w:tc>
        <w:tc>
          <w:tcPr>
            <w:tcW w:w="7307" w:type="dxa"/>
          </w:tcPr>
          <w:p w:rsidR="001C5E4E" w:rsidRDefault="003E09C0">
            <w:pPr>
              <w:pStyle w:val="TableParagraph"/>
              <w:numPr>
                <w:ilvl w:val="0"/>
                <w:numId w:val="56"/>
              </w:numPr>
              <w:tabs>
                <w:tab w:val="left" w:pos="392"/>
              </w:tabs>
              <w:spacing w:before="136"/>
              <w:ind w:hanging="285"/>
            </w:pPr>
            <w:r>
              <w:t xml:space="preserve">The </w:t>
            </w:r>
            <w:r>
              <w:rPr>
                <w:i/>
              </w:rPr>
              <w:t xml:space="preserve">Employer </w:t>
            </w:r>
            <w:r>
              <w:t>provides access to the following persons, places and</w:t>
            </w:r>
            <w:r>
              <w:rPr>
                <w:spacing w:val="-16"/>
              </w:rPr>
              <w:t xml:space="preserve"> </w:t>
            </w:r>
            <w:r>
              <w:t>things</w:t>
            </w:r>
          </w:p>
          <w:p w:rsidR="001C5E4E" w:rsidRDefault="003E09C0">
            <w:pPr>
              <w:pStyle w:val="TableParagraph"/>
              <w:numPr>
                <w:ilvl w:val="1"/>
                <w:numId w:val="56"/>
              </w:numPr>
              <w:tabs>
                <w:tab w:val="left" w:pos="703"/>
                <w:tab w:val="left" w:pos="704"/>
              </w:tabs>
              <w:spacing w:before="146" w:line="264" w:lineRule="auto"/>
              <w:ind w:right="307"/>
            </w:pPr>
            <w:r>
              <w:t xml:space="preserve">Access to the RAIDS database, on completion or termination of the contract the </w:t>
            </w:r>
            <w:r>
              <w:rPr>
                <w:i/>
              </w:rPr>
              <w:t xml:space="preserve">Employer </w:t>
            </w:r>
            <w:r>
              <w:t xml:space="preserve">will remove the </w:t>
            </w:r>
            <w:r>
              <w:rPr>
                <w:i/>
              </w:rPr>
              <w:t xml:space="preserve">Consultants </w:t>
            </w:r>
            <w:r>
              <w:t>access rights to the database.</w:t>
            </w:r>
          </w:p>
          <w:p w:rsidR="001C5E4E" w:rsidRDefault="003E09C0">
            <w:pPr>
              <w:pStyle w:val="TableParagraph"/>
              <w:numPr>
                <w:ilvl w:val="1"/>
                <w:numId w:val="56"/>
              </w:numPr>
              <w:tabs>
                <w:tab w:val="left" w:pos="703"/>
                <w:tab w:val="left" w:pos="704"/>
              </w:tabs>
              <w:spacing w:before="121"/>
              <w:ind w:hanging="313"/>
              <w:rPr>
                <w:i/>
              </w:rPr>
            </w:pPr>
            <w:r>
              <w:rPr>
                <w:spacing w:val="-3"/>
              </w:rPr>
              <w:t xml:space="preserve">The </w:t>
            </w:r>
            <w:r>
              <w:rPr>
                <w:i/>
                <w:spacing w:val="-3"/>
              </w:rPr>
              <w:t xml:space="preserve">Consultant </w:t>
            </w:r>
            <w:r>
              <w:t xml:space="preserve">will </w:t>
            </w:r>
            <w:r>
              <w:rPr>
                <w:spacing w:val="-3"/>
              </w:rPr>
              <w:t xml:space="preserve">draft </w:t>
            </w:r>
            <w:r>
              <w:t xml:space="preserve">and </w:t>
            </w:r>
            <w:r>
              <w:rPr>
                <w:spacing w:val="-3"/>
              </w:rPr>
              <w:t xml:space="preserve">agree </w:t>
            </w:r>
            <w:r>
              <w:t xml:space="preserve">an </w:t>
            </w:r>
            <w:r>
              <w:rPr>
                <w:spacing w:val="-3"/>
              </w:rPr>
              <w:t xml:space="preserve">Exit Strategy </w:t>
            </w:r>
            <w:r>
              <w:t xml:space="preserve">with </w:t>
            </w:r>
            <w:r>
              <w:rPr>
                <w:spacing w:val="-2"/>
              </w:rPr>
              <w:t>the</w:t>
            </w:r>
            <w:r>
              <w:rPr>
                <w:spacing w:val="-18"/>
              </w:rPr>
              <w:t xml:space="preserve"> </w:t>
            </w:r>
            <w:r>
              <w:rPr>
                <w:i/>
                <w:spacing w:val="-3"/>
              </w:rPr>
              <w:t>Employer</w:t>
            </w:r>
          </w:p>
          <w:p w:rsidR="001C5E4E" w:rsidRDefault="003E09C0">
            <w:pPr>
              <w:pStyle w:val="TableParagraph"/>
              <w:spacing w:before="26" w:line="245" w:lineRule="exact"/>
              <w:ind w:left="703"/>
            </w:pPr>
            <w:r>
              <w:t>within six (06) months of contract commencement.</w:t>
            </w:r>
          </w:p>
        </w:tc>
      </w:tr>
    </w:tbl>
    <w:p w:rsidR="001C5E4E" w:rsidRDefault="001C5E4E">
      <w:pPr>
        <w:spacing w:line="245" w:lineRule="exact"/>
        <w:sectPr w:rsidR="001C5E4E">
          <w:pgSz w:w="11910" w:h="16840"/>
          <w:pgMar w:top="1380" w:right="620" w:bottom="1200" w:left="940" w:header="0" w:footer="938" w:gutter="0"/>
          <w:cols w:space="720"/>
        </w:sectPr>
      </w:pPr>
    </w:p>
    <w:tbl>
      <w:tblPr>
        <w:tblW w:w="0" w:type="auto"/>
        <w:tblInd w:w="1263" w:type="dxa"/>
        <w:tblLayout w:type="fixed"/>
        <w:tblCellMar>
          <w:left w:w="0" w:type="dxa"/>
          <w:right w:w="0" w:type="dxa"/>
        </w:tblCellMar>
        <w:tblLook w:val="01E0" w:firstRow="1" w:lastRow="1" w:firstColumn="1" w:lastColumn="1" w:noHBand="0" w:noVBand="0"/>
      </w:tblPr>
      <w:tblGrid>
        <w:gridCol w:w="1555"/>
        <w:gridCol w:w="2217"/>
        <w:gridCol w:w="2868"/>
        <w:gridCol w:w="2185"/>
      </w:tblGrid>
      <w:tr w:rsidR="001C5E4E">
        <w:trPr>
          <w:trHeight w:val="1429"/>
        </w:trPr>
        <w:tc>
          <w:tcPr>
            <w:tcW w:w="1555" w:type="dxa"/>
          </w:tcPr>
          <w:p w:rsidR="001C5E4E" w:rsidRDefault="003E09C0">
            <w:pPr>
              <w:pStyle w:val="TableParagraph"/>
              <w:ind w:right="104"/>
              <w:jc w:val="right"/>
              <w:rPr>
                <w:b/>
              </w:rPr>
            </w:pPr>
            <w:r>
              <w:rPr>
                <w:b/>
              </w:rPr>
              <w:lastRenderedPageBreak/>
              <w:t>3 Time</w:t>
            </w:r>
          </w:p>
        </w:tc>
        <w:tc>
          <w:tcPr>
            <w:tcW w:w="7270" w:type="dxa"/>
            <w:gridSpan w:val="3"/>
          </w:tcPr>
          <w:p w:rsidR="001C5E4E" w:rsidRDefault="003E09C0">
            <w:pPr>
              <w:pStyle w:val="TableParagraph"/>
              <w:numPr>
                <w:ilvl w:val="0"/>
                <w:numId w:val="55"/>
              </w:numPr>
              <w:tabs>
                <w:tab w:val="left" w:pos="391"/>
              </w:tabs>
              <w:spacing w:before="1" w:line="264" w:lineRule="auto"/>
              <w:ind w:right="241"/>
            </w:pPr>
            <w:r>
              <w:rPr>
                <w:i/>
              </w:rPr>
              <w:t xml:space="preserve">The starting date </w:t>
            </w:r>
            <w:r>
              <w:t>is 1st May 2021. The contract will be for 3 years with the option to extend for two periods of twelve months</w:t>
            </w:r>
            <w:r>
              <w:rPr>
                <w:spacing w:val="-18"/>
              </w:rPr>
              <w:t xml:space="preserve"> </w:t>
            </w:r>
            <w:r>
              <w:t>(3+1+1).</w:t>
            </w:r>
          </w:p>
          <w:p w:rsidR="001C5E4E" w:rsidRDefault="003E09C0">
            <w:pPr>
              <w:pStyle w:val="TableParagraph"/>
              <w:numPr>
                <w:ilvl w:val="0"/>
                <w:numId w:val="55"/>
              </w:numPr>
              <w:tabs>
                <w:tab w:val="left" w:pos="391"/>
              </w:tabs>
              <w:spacing w:before="119" w:line="264" w:lineRule="auto"/>
              <w:ind w:right="479"/>
            </w:pPr>
            <w:r>
              <w:t xml:space="preserve">The </w:t>
            </w:r>
            <w:r>
              <w:rPr>
                <w:i/>
              </w:rPr>
              <w:t xml:space="preserve">Consultant </w:t>
            </w:r>
            <w:r>
              <w:t>submits revised programmes at intervals no longer than one</w:t>
            </w:r>
            <w:r>
              <w:rPr>
                <w:spacing w:val="-2"/>
              </w:rPr>
              <w:t xml:space="preserve"> </w:t>
            </w:r>
            <w:r>
              <w:t>month.</w:t>
            </w:r>
          </w:p>
        </w:tc>
      </w:tr>
      <w:tr w:rsidR="001C5E4E">
        <w:trPr>
          <w:trHeight w:val="1269"/>
        </w:trPr>
        <w:tc>
          <w:tcPr>
            <w:tcW w:w="1555" w:type="dxa"/>
          </w:tcPr>
          <w:p w:rsidR="001C5E4E" w:rsidRDefault="003E09C0">
            <w:pPr>
              <w:pStyle w:val="TableParagraph"/>
              <w:spacing w:before="135"/>
              <w:ind w:right="106"/>
              <w:jc w:val="right"/>
              <w:rPr>
                <w:b/>
              </w:rPr>
            </w:pPr>
            <w:r>
              <w:rPr>
                <w:b/>
              </w:rPr>
              <w:t>4 Quality</w:t>
            </w:r>
          </w:p>
        </w:tc>
        <w:tc>
          <w:tcPr>
            <w:tcW w:w="7270" w:type="dxa"/>
            <w:gridSpan w:val="3"/>
          </w:tcPr>
          <w:p w:rsidR="001C5E4E" w:rsidRDefault="003E09C0">
            <w:pPr>
              <w:pStyle w:val="TableParagraph"/>
              <w:numPr>
                <w:ilvl w:val="0"/>
                <w:numId w:val="54"/>
              </w:numPr>
              <w:tabs>
                <w:tab w:val="left" w:pos="391"/>
              </w:tabs>
              <w:spacing w:before="136" w:line="264" w:lineRule="auto"/>
              <w:ind w:right="437"/>
            </w:pPr>
            <w:r>
              <w:t>The quality policy statement and quality plan are not required as part of this call</w:t>
            </w:r>
            <w:r>
              <w:rPr>
                <w:spacing w:val="-3"/>
              </w:rPr>
              <w:t xml:space="preserve"> </w:t>
            </w:r>
            <w:r>
              <w:t>off.</w:t>
            </w:r>
          </w:p>
          <w:p w:rsidR="001C5E4E" w:rsidRDefault="003E09C0">
            <w:pPr>
              <w:pStyle w:val="TableParagraph"/>
              <w:numPr>
                <w:ilvl w:val="0"/>
                <w:numId w:val="54"/>
              </w:numPr>
              <w:tabs>
                <w:tab w:val="left" w:pos="391"/>
              </w:tabs>
              <w:spacing w:before="119"/>
              <w:ind w:hanging="285"/>
            </w:pPr>
            <w:r>
              <w:t xml:space="preserve">The </w:t>
            </w:r>
            <w:r>
              <w:rPr>
                <w:i/>
              </w:rPr>
              <w:t>d</w:t>
            </w:r>
            <w:r>
              <w:t>e</w:t>
            </w:r>
            <w:r>
              <w:rPr>
                <w:i/>
              </w:rPr>
              <w:t xml:space="preserve">fects date </w:t>
            </w:r>
            <w:r>
              <w:t>is not required as part of this call</w:t>
            </w:r>
            <w:r>
              <w:rPr>
                <w:spacing w:val="-9"/>
              </w:rPr>
              <w:t xml:space="preserve"> </w:t>
            </w:r>
            <w:r>
              <w:t>off.</w:t>
            </w:r>
          </w:p>
        </w:tc>
      </w:tr>
      <w:tr w:rsidR="001C5E4E">
        <w:trPr>
          <w:trHeight w:val="2200"/>
        </w:trPr>
        <w:tc>
          <w:tcPr>
            <w:tcW w:w="1555" w:type="dxa"/>
          </w:tcPr>
          <w:p w:rsidR="001C5E4E" w:rsidRDefault="003E09C0">
            <w:pPr>
              <w:pStyle w:val="TableParagraph"/>
              <w:spacing w:before="135"/>
              <w:ind w:right="105"/>
              <w:jc w:val="right"/>
              <w:rPr>
                <w:b/>
              </w:rPr>
            </w:pPr>
            <w:r>
              <w:rPr>
                <w:b/>
              </w:rPr>
              <w:t>5 Payment</w:t>
            </w:r>
          </w:p>
        </w:tc>
        <w:tc>
          <w:tcPr>
            <w:tcW w:w="7270" w:type="dxa"/>
            <w:gridSpan w:val="3"/>
          </w:tcPr>
          <w:p w:rsidR="001C5E4E" w:rsidRDefault="003E09C0">
            <w:pPr>
              <w:pStyle w:val="TableParagraph"/>
              <w:numPr>
                <w:ilvl w:val="0"/>
                <w:numId w:val="53"/>
              </w:numPr>
              <w:tabs>
                <w:tab w:val="left" w:pos="391"/>
              </w:tabs>
              <w:spacing w:before="136"/>
              <w:ind w:hanging="285"/>
            </w:pPr>
            <w:r>
              <w:t xml:space="preserve">The </w:t>
            </w:r>
            <w:r>
              <w:rPr>
                <w:i/>
              </w:rPr>
              <w:t xml:space="preserve">assessment interval </w:t>
            </w:r>
            <w:r>
              <w:t>is</w:t>
            </w:r>
            <w:r>
              <w:rPr>
                <w:spacing w:val="-2"/>
              </w:rPr>
              <w:t xml:space="preserve"> </w:t>
            </w:r>
            <w:r>
              <w:t>monthly</w:t>
            </w:r>
          </w:p>
          <w:p w:rsidR="001C5E4E" w:rsidRDefault="003E09C0">
            <w:pPr>
              <w:pStyle w:val="TableParagraph"/>
              <w:numPr>
                <w:ilvl w:val="0"/>
                <w:numId w:val="53"/>
              </w:numPr>
              <w:tabs>
                <w:tab w:val="left" w:pos="391"/>
              </w:tabs>
              <w:spacing w:before="146"/>
              <w:ind w:hanging="285"/>
            </w:pPr>
            <w:r>
              <w:t xml:space="preserve">The </w:t>
            </w:r>
            <w:r>
              <w:rPr>
                <w:i/>
              </w:rPr>
              <w:t xml:space="preserve">currency of this contract </w:t>
            </w:r>
            <w:r>
              <w:t>is the pound sterling</w:t>
            </w:r>
            <w:r>
              <w:rPr>
                <w:spacing w:val="-5"/>
              </w:rPr>
              <w:t xml:space="preserve"> </w:t>
            </w:r>
            <w:r>
              <w:t>(£).</w:t>
            </w:r>
          </w:p>
          <w:p w:rsidR="001C5E4E" w:rsidRDefault="003E09C0">
            <w:pPr>
              <w:pStyle w:val="TableParagraph"/>
              <w:numPr>
                <w:ilvl w:val="0"/>
                <w:numId w:val="53"/>
              </w:numPr>
              <w:tabs>
                <w:tab w:val="left" w:pos="391"/>
              </w:tabs>
              <w:spacing w:before="147" w:line="264" w:lineRule="auto"/>
              <w:ind w:right="461"/>
            </w:pPr>
            <w:r>
              <w:t xml:space="preserve">The </w:t>
            </w:r>
            <w:r>
              <w:rPr>
                <w:i/>
              </w:rPr>
              <w:t xml:space="preserve">interest rate </w:t>
            </w:r>
            <w:r>
              <w:t>is, unless the provisions of the Late Payment of Commercial Debts (Interest) Act 1998 otherwise require, 3% per annum above the Bank of England base rate in force from time to</w:t>
            </w:r>
            <w:r>
              <w:rPr>
                <w:spacing w:val="-10"/>
              </w:rPr>
              <w:t xml:space="preserve"> </w:t>
            </w:r>
            <w:r>
              <w:t>time.</w:t>
            </w:r>
          </w:p>
        </w:tc>
      </w:tr>
      <w:tr w:rsidR="001C5E4E">
        <w:trPr>
          <w:trHeight w:val="1289"/>
        </w:trPr>
        <w:tc>
          <w:tcPr>
            <w:tcW w:w="1555" w:type="dxa"/>
          </w:tcPr>
          <w:p w:rsidR="001C5E4E" w:rsidRDefault="001C5E4E">
            <w:pPr>
              <w:pStyle w:val="TableParagraph"/>
              <w:spacing w:before="1"/>
              <w:rPr>
                <w:b/>
                <w:sz w:val="28"/>
              </w:rPr>
            </w:pPr>
          </w:p>
          <w:p w:rsidR="001C5E4E" w:rsidRDefault="003E09C0">
            <w:pPr>
              <w:pStyle w:val="TableParagraph"/>
              <w:ind w:left="200" w:right="106" w:firstLine="122"/>
              <w:jc w:val="right"/>
              <w:rPr>
                <w:b/>
              </w:rPr>
            </w:pPr>
            <w:r>
              <w:rPr>
                <w:b/>
              </w:rPr>
              <w:t>8</w:t>
            </w:r>
            <w:r>
              <w:rPr>
                <w:b/>
                <w:spacing w:val="2"/>
              </w:rPr>
              <w:t xml:space="preserve"> </w:t>
            </w:r>
            <w:r>
              <w:rPr>
                <w:b/>
                <w:spacing w:val="-5"/>
              </w:rPr>
              <w:t>Indemnity,</w:t>
            </w:r>
            <w:r>
              <w:rPr>
                <w:b/>
              </w:rPr>
              <w:t xml:space="preserve"> </w:t>
            </w:r>
            <w:r>
              <w:rPr>
                <w:b/>
                <w:spacing w:val="-4"/>
              </w:rPr>
              <w:t>insurance</w:t>
            </w:r>
            <w:r>
              <w:rPr>
                <w:b/>
                <w:spacing w:val="5"/>
              </w:rPr>
              <w:t xml:space="preserve"> </w:t>
            </w:r>
            <w:r>
              <w:rPr>
                <w:b/>
                <w:spacing w:val="-7"/>
              </w:rPr>
              <w:t>and</w:t>
            </w:r>
          </w:p>
          <w:p w:rsidR="001C5E4E" w:rsidRDefault="003E09C0">
            <w:pPr>
              <w:pStyle w:val="TableParagraph"/>
              <w:spacing w:before="1"/>
              <w:ind w:right="106"/>
              <w:jc w:val="right"/>
              <w:rPr>
                <w:b/>
              </w:rPr>
            </w:pPr>
            <w:r>
              <w:rPr>
                <w:b/>
                <w:spacing w:val="-4"/>
              </w:rPr>
              <w:t>liability</w:t>
            </w:r>
          </w:p>
        </w:tc>
        <w:tc>
          <w:tcPr>
            <w:tcW w:w="7270" w:type="dxa"/>
            <w:gridSpan w:val="3"/>
          </w:tcPr>
          <w:p w:rsidR="001C5E4E" w:rsidRDefault="001C5E4E">
            <w:pPr>
              <w:pStyle w:val="TableParagraph"/>
              <w:spacing w:before="1"/>
              <w:rPr>
                <w:b/>
                <w:sz w:val="28"/>
              </w:rPr>
            </w:pPr>
          </w:p>
          <w:p w:rsidR="001C5E4E" w:rsidRDefault="003E09C0">
            <w:pPr>
              <w:pStyle w:val="TableParagraph"/>
              <w:numPr>
                <w:ilvl w:val="0"/>
                <w:numId w:val="52"/>
              </w:numPr>
              <w:tabs>
                <w:tab w:val="left" w:pos="391"/>
              </w:tabs>
              <w:ind w:hanging="285"/>
              <w:rPr>
                <w:i/>
              </w:rPr>
            </w:pPr>
            <w:r>
              <w:t xml:space="preserve">The </w:t>
            </w:r>
            <w:r>
              <w:rPr>
                <w:spacing w:val="-3"/>
              </w:rPr>
              <w:t xml:space="preserve">amounts </w:t>
            </w:r>
            <w:r>
              <w:t xml:space="preserve">of </w:t>
            </w:r>
            <w:r>
              <w:rPr>
                <w:spacing w:val="-3"/>
              </w:rPr>
              <w:t xml:space="preserve">insurance and </w:t>
            </w:r>
            <w:r>
              <w:rPr>
                <w:spacing w:val="-2"/>
              </w:rPr>
              <w:t xml:space="preserve">the </w:t>
            </w:r>
            <w:r>
              <w:rPr>
                <w:spacing w:val="-3"/>
              </w:rPr>
              <w:t xml:space="preserve">periods </w:t>
            </w:r>
            <w:r>
              <w:t xml:space="preserve">for </w:t>
            </w:r>
            <w:r>
              <w:rPr>
                <w:spacing w:val="-3"/>
              </w:rPr>
              <w:t xml:space="preserve">which </w:t>
            </w:r>
            <w:r>
              <w:t>the</w:t>
            </w:r>
            <w:r>
              <w:rPr>
                <w:spacing w:val="-22"/>
              </w:rPr>
              <w:t xml:space="preserve"> </w:t>
            </w:r>
            <w:r>
              <w:rPr>
                <w:i/>
                <w:spacing w:val="-3"/>
              </w:rPr>
              <w:t>Consultant</w:t>
            </w:r>
          </w:p>
          <w:p w:rsidR="001C5E4E" w:rsidRDefault="003E09C0">
            <w:pPr>
              <w:pStyle w:val="TableParagraph"/>
              <w:spacing w:before="27"/>
              <w:ind w:left="390"/>
            </w:pPr>
            <w:r>
              <w:t>maintains insurance are</w:t>
            </w:r>
          </w:p>
        </w:tc>
      </w:tr>
      <w:tr w:rsidR="001C5E4E">
        <w:trPr>
          <w:trHeight w:val="522"/>
        </w:trPr>
        <w:tc>
          <w:tcPr>
            <w:tcW w:w="1555" w:type="dxa"/>
          </w:tcPr>
          <w:p w:rsidR="001C5E4E" w:rsidRDefault="001C5E4E">
            <w:pPr>
              <w:pStyle w:val="TableParagraph"/>
              <w:rPr>
                <w:rFonts w:ascii="Times New Roman"/>
              </w:rPr>
            </w:pPr>
          </w:p>
        </w:tc>
        <w:tc>
          <w:tcPr>
            <w:tcW w:w="2217" w:type="dxa"/>
          </w:tcPr>
          <w:p w:rsidR="001C5E4E" w:rsidRDefault="003E09C0">
            <w:pPr>
              <w:pStyle w:val="TableParagraph"/>
              <w:spacing w:before="100"/>
              <w:ind w:left="106"/>
              <w:rPr>
                <w:b/>
              </w:rPr>
            </w:pPr>
            <w:r>
              <w:rPr>
                <w:b/>
              </w:rPr>
              <w:t>Event</w:t>
            </w:r>
          </w:p>
        </w:tc>
        <w:tc>
          <w:tcPr>
            <w:tcW w:w="2868" w:type="dxa"/>
          </w:tcPr>
          <w:p w:rsidR="001C5E4E" w:rsidRDefault="003E09C0">
            <w:pPr>
              <w:pStyle w:val="TableParagraph"/>
              <w:spacing w:before="100"/>
              <w:ind w:left="158"/>
              <w:rPr>
                <w:b/>
              </w:rPr>
            </w:pPr>
            <w:r>
              <w:rPr>
                <w:b/>
              </w:rPr>
              <w:t>cover</w:t>
            </w:r>
          </w:p>
        </w:tc>
        <w:tc>
          <w:tcPr>
            <w:tcW w:w="2185" w:type="dxa"/>
          </w:tcPr>
          <w:p w:rsidR="001C5E4E" w:rsidRDefault="003E09C0">
            <w:pPr>
              <w:pStyle w:val="TableParagraph"/>
              <w:spacing w:before="100"/>
              <w:ind w:left="125"/>
              <w:rPr>
                <w:b/>
              </w:rPr>
            </w:pPr>
            <w:r>
              <w:rPr>
                <w:b/>
              </w:rPr>
              <w:t>Period</w:t>
            </w:r>
          </w:p>
        </w:tc>
      </w:tr>
      <w:tr w:rsidR="001C5E4E">
        <w:trPr>
          <w:trHeight w:val="4513"/>
        </w:trPr>
        <w:tc>
          <w:tcPr>
            <w:tcW w:w="1555" w:type="dxa"/>
          </w:tcPr>
          <w:p w:rsidR="001C5E4E" w:rsidRDefault="001C5E4E">
            <w:pPr>
              <w:pStyle w:val="TableParagraph"/>
              <w:rPr>
                <w:rFonts w:ascii="Times New Roman"/>
              </w:rPr>
            </w:pPr>
          </w:p>
        </w:tc>
        <w:tc>
          <w:tcPr>
            <w:tcW w:w="2217" w:type="dxa"/>
          </w:tcPr>
          <w:p w:rsidR="001C5E4E" w:rsidRDefault="003E09C0">
            <w:pPr>
              <w:pStyle w:val="TableParagraph"/>
              <w:spacing w:before="113" w:line="264" w:lineRule="auto"/>
              <w:ind w:left="106" w:right="93"/>
              <w:rPr>
                <w:i/>
              </w:rPr>
            </w:pPr>
            <w:r>
              <w:t xml:space="preserve">failure of the </w:t>
            </w:r>
            <w:r>
              <w:rPr>
                <w:i/>
              </w:rPr>
              <w:t xml:space="preserve">Consultant </w:t>
            </w:r>
            <w:r>
              <w:t xml:space="preserve">to use the skill and care normally used by professionals providing services similar to the </w:t>
            </w:r>
            <w:r>
              <w:rPr>
                <w:i/>
              </w:rPr>
              <w:t>services</w:t>
            </w:r>
          </w:p>
        </w:tc>
        <w:tc>
          <w:tcPr>
            <w:tcW w:w="2868" w:type="dxa"/>
          </w:tcPr>
          <w:p w:rsidR="001C5E4E" w:rsidRDefault="003E09C0">
            <w:pPr>
              <w:pStyle w:val="TableParagraph"/>
              <w:spacing w:before="113" w:line="264" w:lineRule="auto"/>
              <w:ind w:left="158" w:right="124"/>
            </w:pPr>
            <w:r>
              <w:rPr>
                <w:spacing w:val="-3"/>
              </w:rPr>
              <w:t xml:space="preserve">£73,110.55 </w:t>
            </w:r>
            <w:r>
              <w:t xml:space="preserve">in </w:t>
            </w:r>
            <w:r>
              <w:rPr>
                <w:spacing w:val="-3"/>
              </w:rPr>
              <w:t xml:space="preserve">respect </w:t>
            </w:r>
            <w:r>
              <w:t xml:space="preserve">of </w:t>
            </w:r>
            <w:r>
              <w:rPr>
                <w:spacing w:val="-3"/>
              </w:rPr>
              <w:t xml:space="preserve">each claim, </w:t>
            </w:r>
            <w:r>
              <w:rPr>
                <w:spacing w:val="-2"/>
              </w:rPr>
              <w:t xml:space="preserve">the </w:t>
            </w:r>
            <w:r>
              <w:rPr>
                <w:spacing w:val="-3"/>
              </w:rPr>
              <w:t xml:space="preserve">number </w:t>
            </w:r>
            <w:r>
              <w:t xml:space="preserve">of </w:t>
            </w:r>
            <w:r>
              <w:rPr>
                <w:spacing w:val="-3"/>
              </w:rPr>
              <w:t xml:space="preserve">claims being unlimited, </w:t>
            </w:r>
            <w:r>
              <w:t xml:space="preserve">in </w:t>
            </w:r>
            <w:r>
              <w:rPr>
                <w:spacing w:val="-3"/>
              </w:rPr>
              <w:t xml:space="preserve">any annual period </w:t>
            </w:r>
            <w:r>
              <w:t xml:space="preserve">of </w:t>
            </w:r>
            <w:r>
              <w:rPr>
                <w:spacing w:val="-3"/>
              </w:rPr>
              <w:t xml:space="preserve">insurance, except </w:t>
            </w:r>
            <w:r>
              <w:t xml:space="preserve">for </w:t>
            </w:r>
            <w:r>
              <w:rPr>
                <w:spacing w:val="-3"/>
              </w:rPr>
              <w:t xml:space="preserve">claims arising </w:t>
            </w:r>
            <w:r>
              <w:rPr>
                <w:spacing w:val="-2"/>
              </w:rPr>
              <w:t xml:space="preserve">out </w:t>
            </w:r>
            <w:r>
              <w:t xml:space="preserve">of </w:t>
            </w:r>
            <w:r>
              <w:rPr>
                <w:spacing w:val="-3"/>
              </w:rPr>
              <w:t xml:space="preserve">pollution </w:t>
            </w:r>
            <w:r>
              <w:t xml:space="preserve">or </w:t>
            </w:r>
            <w:r>
              <w:rPr>
                <w:spacing w:val="-3"/>
              </w:rPr>
              <w:t xml:space="preserve">contamination, where </w:t>
            </w:r>
            <w:r>
              <w:rPr>
                <w:spacing w:val="-2"/>
              </w:rPr>
              <w:t xml:space="preserve">the </w:t>
            </w:r>
            <w:r>
              <w:rPr>
                <w:spacing w:val="-3"/>
              </w:rPr>
              <w:t xml:space="preserve">minimum amount </w:t>
            </w:r>
            <w:r>
              <w:t xml:space="preserve">of </w:t>
            </w:r>
            <w:r>
              <w:rPr>
                <w:spacing w:val="-3"/>
              </w:rPr>
              <w:t xml:space="preserve">indemnity applies </w:t>
            </w:r>
            <w:r>
              <w:t xml:space="preserve">in </w:t>
            </w:r>
            <w:r>
              <w:rPr>
                <w:spacing w:val="-2"/>
              </w:rPr>
              <w:t xml:space="preserve">the </w:t>
            </w:r>
            <w:r>
              <w:rPr>
                <w:spacing w:val="-3"/>
              </w:rPr>
              <w:t xml:space="preserve">aggregate </w:t>
            </w:r>
            <w:r>
              <w:t xml:space="preserve">in </w:t>
            </w:r>
            <w:r>
              <w:rPr>
                <w:spacing w:val="-3"/>
              </w:rPr>
              <w:t xml:space="preserve">any </w:t>
            </w:r>
            <w:r>
              <w:rPr>
                <w:spacing w:val="-2"/>
              </w:rPr>
              <w:t xml:space="preserve">one </w:t>
            </w:r>
            <w:r>
              <w:t xml:space="preserve">annual </w:t>
            </w:r>
            <w:r>
              <w:rPr>
                <w:spacing w:val="-3"/>
              </w:rPr>
              <w:t xml:space="preserve">period </w:t>
            </w:r>
            <w:r>
              <w:t xml:space="preserve">of </w:t>
            </w:r>
            <w:r>
              <w:rPr>
                <w:spacing w:val="-3"/>
              </w:rPr>
              <w:t xml:space="preserve">insurance and </w:t>
            </w:r>
            <w:r>
              <w:t xml:space="preserve">£1 </w:t>
            </w:r>
            <w:r>
              <w:rPr>
                <w:spacing w:val="-3"/>
              </w:rPr>
              <w:t xml:space="preserve">million </w:t>
            </w:r>
            <w:r>
              <w:t xml:space="preserve">in </w:t>
            </w:r>
            <w:r>
              <w:rPr>
                <w:spacing w:val="-2"/>
              </w:rPr>
              <w:t xml:space="preserve">the </w:t>
            </w:r>
            <w:r>
              <w:rPr>
                <w:spacing w:val="-3"/>
              </w:rPr>
              <w:t xml:space="preserve">aggregate </w:t>
            </w:r>
            <w:r>
              <w:t xml:space="preserve">in </w:t>
            </w:r>
            <w:r>
              <w:rPr>
                <w:spacing w:val="-3"/>
              </w:rPr>
              <w:t xml:space="preserve">any </w:t>
            </w:r>
            <w:r>
              <w:rPr>
                <w:spacing w:val="-2"/>
              </w:rPr>
              <w:t xml:space="preserve">one </w:t>
            </w:r>
            <w:r>
              <w:rPr>
                <w:spacing w:val="-3"/>
              </w:rPr>
              <w:t xml:space="preserve">annual period </w:t>
            </w:r>
            <w:r>
              <w:t xml:space="preserve">of </w:t>
            </w:r>
            <w:r>
              <w:rPr>
                <w:spacing w:val="-3"/>
              </w:rPr>
              <w:t xml:space="preserve">insurance </w:t>
            </w:r>
            <w:r>
              <w:t xml:space="preserve">for </w:t>
            </w:r>
            <w:r>
              <w:rPr>
                <w:spacing w:val="-3"/>
              </w:rPr>
              <w:t>claims</w:t>
            </w:r>
            <w:r>
              <w:rPr>
                <w:spacing w:val="-7"/>
              </w:rPr>
              <w:t xml:space="preserve"> </w:t>
            </w:r>
            <w:r>
              <w:rPr>
                <w:spacing w:val="-3"/>
              </w:rPr>
              <w:t>arising</w:t>
            </w:r>
          </w:p>
          <w:p w:rsidR="001C5E4E" w:rsidRDefault="003E09C0">
            <w:pPr>
              <w:pStyle w:val="TableParagraph"/>
              <w:spacing w:line="245" w:lineRule="exact"/>
              <w:ind w:left="158"/>
            </w:pPr>
            <w:r>
              <w:t>out of asbestos.</w:t>
            </w:r>
          </w:p>
        </w:tc>
        <w:tc>
          <w:tcPr>
            <w:tcW w:w="2185" w:type="dxa"/>
          </w:tcPr>
          <w:p w:rsidR="001C5E4E" w:rsidRDefault="003E09C0">
            <w:pPr>
              <w:pStyle w:val="TableParagraph"/>
              <w:spacing w:before="113" w:line="264" w:lineRule="auto"/>
              <w:ind w:left="125" w:right="147"/>
            </w:pPr>
            <w:r>
              <w:t xml:space="preserve">from the </w:t>
            </w:r>
            <w:r>
              <w:rPr>
                <w:i/>
              </w:rPr>
              <w:t xml:space="preserve">starting date </w:t>
            </w:r>
            <w:r>
              <w:t xml:space="preserve">until 6 years following completion of the whole of the </w:t>
            </w:r>
            <w:r>
              <w:rPr>
                <w:i/>
              </w:rPr>
              <w:t xml:space="preserve">services </w:t>
            </w:r>
            <w:r>
              <w:t>or earlier termination</w:t>
            </w:r>
          </w:p>
        </w:tc>
      </w:tr>
    </w:tbl>
    <w:p w:rsidR="001C5E4E" w:rsidRDefault="001C5E4E">
      <w:pPr>
        <w:spacing w:line="264" w:lineRule="auto"/>
        <w:sectPr w:rsidR="001C5E4E">
          <w:pgSz w:w="11910" w:h="16840"/>
          <w:pgMar w:top="1540" w:right="620" w:bottom="1120" w:left="940" w:header="0" w:footer="938" w:gutter="0"/>
          <w:cols w:space="720"/>
        </w:sectPr>
      </w:pPr>
    </w:p>
    <w:tbl>
      <w:tblPr>
        <w:tblW w:w="0" w:type="auto"/>
        <w:tblInd w:w="670" w:type="dxa"/>
        <w:tblLayout w:type="fixed"/>
        <w:tblCellMar>
          <w:left w:w="0" w:type="dxa"/>
          <w:right w:w="0" w:type="dxa"/>
        </w:tblCellMar>
        <w:tblLook w:val="01E0" w:firstRow="1" w:lastRow="1" w:firstColumn="1" w:lastColumn="1" w:noHBand="0" w:noVBand="0"/>
      </w:tblPr>
      <w:tblGrid>
        <w:gridCol w:w="4415"/>
        <w:gridCol w:w="2835"/>
        <w:gridCol w:w="2137"/>
      </w:tblGrid>
      <w:tr w:rsidR="001C5E4E">
        <w:trPr>
          <w:trHeight w:val="3775"/>
        </w:trPr>
        <w:tc>
          <w:tcPr>
            <w:tcW w:w="4415" w:type="dxa"/>
          </w:tcPr>
          <w:p w:rsidR="001C5E4E" w:rsidRDefault="003E09C0">
            <w:pPr>
              <w:pStyle w:val="TableParagraph"/>
              <w:spacing w:line="225" w:lineRule="exact"/>
              <w:ind w:left="2254"/>
            </w:pPr>
            <w:r>
              <w:lastRenderedPageBreak/>
              <w:t>death of or bodily</w:t>
            </w:r>
          </w:p>
          <w:p w:rsidR="001C5E4E" w:rsidRDefault="003E09C0">
            <w:pPr>
              <w:pStyle w:val="TableParagraph"/>
              <w:spacing w:before="26" w:line="264" w:lineRule="auto"/>
              <w:ind w:left="2254" w:right="105"/>
              <w:rPr>
                <w:i/>
              </w:rPr>
            </w:pPr>
            <w:r>
              <w:rPr>
                <w:spacing w:val="-3"/>
              </w:rPr>
              <w:t xml:space="preserve">injury </w:t>
            </w:r>
            <w:r>
              <w:t xml:space="preserve">to a </w:t>
            </w:r>
            <w:r>
              <w:rPr>
                <w:spacing w:val="-3"/>
              </w:rPr>
              <w:t xml:space="preserve">person (not </w:t>
            </w:r>
            <w:r>
              <w:t xml:space="preserve">an </w:t>
            </w:r>
            <w:r>
              <w:rPr>
                <w:spacing w:val="-3"/>
              </w:rPr>
              <w:t xml:space="preserve">employee </w:t>
            </w:r>
            <w:r>
              <w:t xml:space="preserve">of </w:t>
            </w:r>
            <w:r>
              <w:rPr>
                <w:spacing w:val="-2"/>
              </w:rPr>
              <w:t xml:space="preserve">the </w:t>
            </w:r>
            <w:r>
              <w:rPr>
                <w:i/>
                <w:spacing w:val="-3"/>
              </w:rPr>
              <w:t>Consultant</w:t>
            </w:r>
            <w:r>
              <w:rPr>
                <w:spacing w:val="-3"/>
              </w:rPr>
              <w:t xml:space="preserve">) </w:t>
            </w:r>
            <w:r>
              <w:t xml:space="preserve">or loss of or </w:t>
            </w:r>
            <w:r>
              <w:rPr>
                <w:spacing w:val="-3"/>
              </w:rPr>
              <w:t xml:space="preserve">damage </w:t>
            </w:r>
            <w:r>
              <w:t xml:space="preserve">to </w:t>
            </w:r>
            <w:r>
              <w:rPr>
                <w:spacing w:val="-3"/>
              </w:rPr>
              <w:t xml:space="preserve">property resulting </w:t>
            </w:r>
            <w:r>
              <w:t xml:space="preserve">from an </w:t>
            </w:r>
            <w:r>
              <w:rPr>
                <w:spacing w:val="-3"/>
              </w:rPr>
              <w:t xml:space="preserve">action </w:t>
            </w:r>
            <w:r>
              <w:t xml:space="preserve">or </w:t>
            </w:r>
            <w:r>
              <w:rPr>
                <w:spacing w:val="-3"/>
              </w:rPr>
              <w:t xml:space="preserve">failure </w:t>
            </w:r>
            <w:r>
              <w:t xml:space="preserve">to </w:t>
            </w:r>
            <w:r>
              <w:rPr>
                <w:spacing w:val="-5"/>
              </w:rPr>
              <w:t xml:space="preserve">take </w:t>
            </w:r>
            <w:r>
              <w:rPr>
                <w:spacing w:val="-3"/>
              </w:rPr>
              <w:t xml:space="preserve">action </w:t>
            </w:r>
            <w:r>
              <w:t xml:space="preserve">by </w:t>
            </w:r>
            <w:r>
              <w:rPr>
                <w:spacing w:val="-2"/>
              </w:rPr>
              <w:t xml:space="preserve">the </w:t>
            </w:r>
            <w:r>
              <w:rPr>
                <w:i/>
                <w:spacing w:val="-3"/>
              </w:rPr>
              <w:t>Consultant</w:t>
            </w:r>
          </w:p>
        </w:tc>
        <w:tc>
          <w:tcPr>
            <w:tcW w:w="2835" w:type="dxa"/>
          </w:tcPr>
          <w:p w:rsidR="001C5E4E" w:rsidRDefault="003E09C0">
            <w:pPr>
              <w:pStyle w:val="TableParagraph"/>
              <w:spacing w:line="225" w:lineRule="exact"/>
              <w:ind w:left="107"/>
            </w:pPr>
            <w:r>
              <w:t>£73,110.55 for each and</w:t>
            </w:r>
          </w:p>
          <w:p w:rsidR="001C5E4E" w:rsidRDefault="003E09C0">
            <w:pPr>
              <w:pStyle w:val="TableParagraph"/>
              <w:spacing w:before="26" w:line="264" w:lineRule="auto"/>
              <w:ind w:left="107" w:right="105"/>
            </w:pPr>
            <w:r>
              <w:t xml:space="preserve">every </w:t>
            </w:r>
            <w:r>
              <w:rPr>
                <w:spacing w:val="-3"/>
              </w:rPr>
              <w:t xml:space="preserve">occurrence without limit </w:t>
            </w:r>
            <w:r>
              <w:t xml:space="preserve">to </w:t>
            </w:r>
            <w:r>
              <w:rPr>
                <w:spacing w:val="-2"/>
              </w:rPr>
              <w:t xml:space="preserve">the </w:t>
            </w:r>
            <w:r>
              <w:rPr>
                <w:spacing w:val="-3"/>
              </w:rPr>
              <w:t xml:space="preserve">number </w:t>
            </w:r>
            <w:r>
              <w:t xml:space="preserve">of </w:t>
            </w:r>
            <w:r>
              <w:rPr>
                <w:spacing w:val="-3"/>
              </w:rPr>
              <w:t xml:space="preserve">occurrences </w:t>
            </w:r>
            <w:r>
              <w:t xml:space="preserve">in </w:t>
            </w:r>
            <w:r>
              <w:rPr>
                <w:spacing w:val="-3"/>
              </w:rPr>
              <w:t xml:space="preserve">any </w:t>
            </w:r>
            <w:r>
              <w:rPr>
                <w:spacing w:val="-2"/>
              </w:rPr>
              <w:t xml:space="preserve">one </w:t>
            </w:r>
            <w:r>
              <w:rPr>
                <w:spacing w:val="-3"/>
              </w:rPr>
              <w:t xml:space="preserve">annual period </w:t>
            </w:r>
            <w:r>
              <w:t xml:space="preserve">of </w:t>
            </w:r>
            <w:r>
              <w:rPr>
                <w:spacing w:val="-3"/>
              </w:rPr>
              <w:t xml:space="preserve">insurance except </w:t>
            </w:r>
            <w:r>
              <w:t xml:space="preserve">for </w:t>
            </w:r>
            <w:r>
              <w:rPr>
                <w:spacing w:val="-3"/>
              </w:rPr>
              <w:t xml:space="preserve">claims </w:t>
            </w:r>
            <w:r>
              <w:t xml:space="preserve">in </w:t>
            </w:r>
            <w:r>
              <w:rPr>
                <w:spacing w:val="-3"/>
              </w:rPr>
              <w:t xml:space="preserve">respect </w:t>
            </w:r>
            <w:r>
              <w:t xml:space="preserve">of </w:t>
            </w:r>
            <w:r>
              <w:rPr>
                <w:spacing w:val="-3"/>
              </w:rPr>
              <w:t xml:space="preserve">pollution, contamination and products liability where </w:t>
            </w:r>
            <w:r>
              <w:rPr>
                <w:spacing w:val="-2"/>
              </w:rPr>
              <w:t xml:space="preserve">the </w:t>
            </w:r>
            <w:r>
              <w:rPr>
                <w:spacing w:val="-3"/>
              </w:rPr>
              <w:t xml:space="preserve">minimum amount </w:t>
            </w:r>
            <w:r>
              <w:t xml:space="preserve">of </w:t>
            </w:r>
            <w:r>
              <w:rPr>
                <w:spacing w:val="-3"/>
              </w:rPr>
              <w:t xml:space="preserve">indemnity applies </w:t>
            </w:r>
            <w:r>
              <w:t xml:space="preserve">in </w:t>
            </w:r>
            <w:r>
              <w:rPr>
                <w:spacing w:val="-2"/>
              </w:rPr>
              <w:t xml:space="preserve">the </w:t>
            </w:r>
            <w:r>
              <w:rPr>
                <w:spacing w:val="-3"/>
              </w:rPr>
              <w:t xml:space="preserve">aggregate </w:t>
            </w:r>
            <w:r>
              <w:t xml:space="preserve">in </w:t>
            </w:r>
            <w:r>
              <w:rPr>
                <w:spacing w:val="-3"/>
              </w:rPr>
              <w:t xml:space="preserve">any </w:t>
            </w:r>
            <w:r>
              <w:rPr>
                <w:spacing w:val="-2"/>
              </w:rPr>
              <w:t xml:space="preserve">one </w:t>
            </w:r>
            <w:r>
              <w:t xml:space="preserve">annual </w:t>
            </w:r>
            <w:r>
              <w:rPr>
                <w:spacing w:val="-3"/>
              </w:rPr>
              <w:t xml:space="preserve">period </w:t>
            </w:r>
            <w:r>
              <w:t>of</w:t>
            </w:r>
            <w:r>
              <w:rPr>
                <w:spacing w:val="-7"/>
              </w:rPr>
              <w:t xml:space="preserve"> </w:t>
            </w:r>
            <w:r>
              <w:rPr>
                <w:spacing w:val="-3"/>
              </w:rPr>
              <w:t>insurance.</w:t>
            </w:r>
          </w:p>
        </w:tc>
        <w:tc>
          <w:tcPr>
            <w:tcW w:w="2137" w:type="dxa"/>
          </w:tcPr>
          <w:p w:rsidR="001C5E4E" w:rsidRDefault="003E09C0">
            <w:pPr>
              <w:pStyle w:val="TableParagraph"/>
              <w:spacing w:line="225" w:lineRule="exact"/>
              <w:ind w:left="107"/>
              <w:rPr>
                <w:i/>
              </w:rPr>
            </w:pPr>
            <w:r>
              <w:t xml:space="preserve">from the </w:t>
            </w:r>
            <w:r>
              <w:rPr>
                <w:i/>
              </w:rPr>
              <w:t>starting</w:t>
            </w:r>
          </w:p>
          <w:p w:rsidR="001C5E4E" w:rsidRDefault="003E09C0">
            <w:pPr>
              <w:pStyle w:val="TableParagraph"/>
              <w:spacing w:before="26" w:line="264" w:lineRule="auto"/>
              <w:ind w:left="107" w:right="145"/>
            </w:pPr>
            <w:r>
              <w:rPr>
                <w:i/>
              </w:rPr>
              <w:t xml:space="preserve">date </w:t>
            </w:r>
            <w:r>
              <w:t>until all notified Defects have been corrected or earlier termination</w:t>
            </w:r>
          </w:p>
        </w:tc>
      </w:tr>
      <w:tr w:rsidR="001C5E4E">
        <w:trPr>
          <w:trHeight w:val="1273"/>
        </w:trPr>
        <w:tc>
          <w:tcPr>
            <w:tcW w:w="4415" w:type="dxa"/>
          </w:tcPr>
          <w:p w:rsidR="001C5E4E" w:rsidRDefault="001C5E4E">
            <w:pPr>
              <w:pStyle w:val="TableParagraph"/>
              <w:rPr>
                <w:rFonts w:ascii="Times New Roman"/>
              </w:rPr>
            </w:pPr>
          </w:p>
        </w:tc>
        <w:tc>
          <w:tcPr>
            <w:tcW w:w="2835" w:type="dxa"/>
          </w:tcPr>
          <w:p w:rsidR="001C5E4E" w:rsidRDefault="001C5E4E">
            <w:pPr>
              <w:pStyle w:val="TableParagraph"/>
              <w:spacing w:before="4"/>
              <w:rPr>
                <w:b/>
                <w:sz w:val="21"/>
              </w:rPr>
            </w:pPr>
          </w:p>
          <w:p w:rsidR="001C5E4E" w:rsidRDefault="003E09C0">
            <w:pPr>
              <w:pStyle w:val="TableParagraph"/>
              <w:spacing w:before="1" w:line="264" w:lineRule="auto"/>
              <w:ind w:left="107" w:right="199"/>
            </w:pPr>
            <w:r>
              <w:t>In respect of use of motor vehicles a limit of indemnity as required by statute</w:t>
            </w:r>
            <w:r>
              <w:rPr>
                <w:color w:val="FF0000"/>
              </w:rPr>
              <w:t>.</w:t>
            </w:r>
          </w:p>
        </w:tc>
        <w:tc>
          <w:tcPr>
            <w:tcW w:w="2137" w:type="dxa"/>
          </w:tcPr>
          <w:p w:rsidR="001C5E4E" w:rsidRDefault="001C5E4E">
            <w:pPr>
              <w:pStyle w:val="TableParagraph"/>
              <w:rPr>
                <w:rFonts w:ascii="Times New Roman"/>
              </w:rPr>
            </w:pPr>
          </w:p>
        </w:tc>
      </w:tr>
      <w:tr w:rsidR="001C5E4E">
        <w:trPr>
          <w:trHeight w:val="415"/>
        </w:trPr>
        <w:tc>
          <w:tcPr>
            <w:tcW w:w="4415" w:type="dxa"/>
          </w:tcPr>
          <w:p w:rsidR="001C5E4E" w:rsidRDefault="003E09C0">
            <w:pPr>
              <w:pStyle w:val="TableParagraph"/>
              <w:spacing w:before="113"/>
              <w:ind w:left="2254"/>
            </w:pPr>
            <w:r>
              <w:t>death of or bodily</w:t>
            </w:r>
          </w:p>
        </w:tc>
        <w:tc>
          <w:tcPr>
            <w:tcW w:w="2835" w:type="dxa"/>
          </w:tcPr>
          <w:p w:rsidR="001C5E4E" w:rsidRDefault="003E09C0">
            <w:pPr>
              <w:pStyle w:val="TableParagraph"/>
              <w:spacing w:before="113"/>
              <w:ind w:left="107"/>
            </w:pPr>
            <w:r>
              <w:t>£73,110.55 or as required by</w:t>
            </w:r>
          </w:p>
        </w:tc>
        <w:tc>
          <w:tcPr>
            <w:tcW w:w="2137" w:type="dxa"/>
          </w:tcPr>
          <w:p w:rsidR="001C5E4E" w:rsidRDefault="003E09C0">
            <w:pPr>
              <w:pStyle w:val="TableParagraph"/>
              <w:spacing w:before="113"/>
              <w:ind w:left="107"/>
              <w:rPr>
                <w:i/>
              </w:rPr>
            </w:pPr>
            <w:r>
              <w:t xml:space="preserve">from the </w:t>
            </w:r>
            <w:r>
              <w:rPr>
                <w:i/>
              </w:rPr>
              <w:t>starting</w:t>
            </w:r>
          </w:p>
        </w:tc>
      </w:tr>
      <w:tr w:rsidR="001C5E4E">
        <w:trPr>
          <w:trHeight w:val="296"/>
        </w:trPr>
        <w:tc>
          <w:tcPr>
            <w:tcW w:w="4415" w:type="dxa"/>
          </w:tcPr>
          <w:p w:rsidR="001C5E4E" w:rsidRDefault="003E09C0">
            <w:pPr>
              <w:pStyle w:val="TableParagraph"/>
              <w:spacing w:line="262" w:lineRule="exact"/>
              <w:ind w:right="193"/>
              <w:jc w:val="right"/>
            </w:pPr>
            <w:r>
              <w:t>injury to employees of</w:t>
            </w:r>
          </w:p>
        </w:tc>
        <w:tc>
          <w:tcPr>
            <w:tcW w:w="2835" w:type="dxa"/>
          </w:tcPr>
          <w:p w:rsidR="001C5E4E" w:rsidRDefault="003E09C0">
            <w:pPr>
              <w:pStyle w:val="TableParagraph"/>
              <w:spacing w:line="262" w:lineRule="exact"/>
              <w:ind w:left="107"/>
            </w:pPr>
            <w:r>
              <w:t>statute whichever is the</w:t>
            </w:r>
          </w:p>
        </w:tc>
        <w:tc>
          <w:tcPr>
            <w:tcW w:w="2137" w:type="dxa"/>
          </w:tcPr>
          <w:p w:rsidR="001C5E4E" w:rsidRDefault="003E09C0">
            <w:pPr>
              <w:pStyle w:val="TableParagraph"/>
              <w:spacing w:line="262" w:lineRule="exact"/>
              <w:ind w:left="107"/>
            </w:pPr>
            <w:r>
              <w:rPr>
                <w:i/>
              </w:rPr>
              <w:t xml:space="preserve">date </w:t>
            </w:r>
            <w:r>
              <w:t>until all notified</w:t>
            </w:r>
          </w:p>
        </w:tc>
      </w:tr>
      <w:tr w:rsidR="001C5E4E">
        <w:trPr>
          <w:trHeight w:val="296"/>
        </w:trPr>
        <w:tc>
          <w:tcPr>
            <w:tcW w:w="4415" w:type="dxa"/>
          </w:tcPr>
          <w:p w:rsidR="001C5E4E" w:rsidRDefault="003E09C0">
            <w:pPr>
              <w:pStyle w:val="TableParagraph"/>
              <w:spacing w:line="263" w:lineRule="exact"/>
              <w:ind w:right="251"/>
              <w:jc w:val="right"/>
            </w:pPr>
            <w:r>
              <w:t xml:space="preserve">the </w:t>
            </w:r>
            <w:r>
              <w:rPr>
                <w:i/>
              </w:rPr>
              <w:t xml:space="preserve">Consultant </w:t>
            </w:r>
            <w:r>
              <w:t>arising</w:t>
            </w:r>
          </w:p>
        </w:tc>
        <w:tc>
          <w:tcPr>
            <w:tcW w:w="2835" w:type="dxa"/>
          </w:tcPr>
          <w:p w:rsidR="001C5E4E" w:rsidRDefault="003E09C0">
            <w:pPr>
              <w:pStyle w:val="TableParagraph"/>
              <w:spacing w:line="263" w:lineRule="exact"/>
              <w:ind w:left="107"/>
            </w:pPr>
            <w:r>
              <w:t>higher in respect of each</w:t>
            </w:r>
          </w:p>
        </w:tc>
        <w:tc>
          <w:tcPr>
            <w:tcW w:w="2137" w:type="dxa"/>
          </w:tcPr>
          <w:p w:rsidR="001C5E4E" w:rsidRDefault="003E09C0">
            <w:pPr>
              <w:pStyle w:val="TableParagraph"/>
              <w:spacing w:line="263" w:lineRule="exact"/>
              <w:ind w:left="107"/>
            </w:pPr>
            <w:r>
              <w:t>Defects have been</w:t>
            </w:r>
          </w:p>
        </w:tc>
      </w:tr>
      <w:tr w:rsidR="001C5E4E">
        <w:trPr>
          <w:trHeight w:val="295"/>
        </w:trPr>
        <w:tc>
          <w:tcPr>
            <w:tcW w:w="4415" w:type="dxa"/>
          </w:tcPr>
          <w:p w:rsidR="001C5E4E" w:rsidRDefault="003E09C0">
            <w:pPr>
              <w:pStyle w:val="TableParagraph"/>
              <w:spacing w:line="262" w:lineRule="exact"/>
              <w:ind w:left="2254"/>
            </w:pPr>
            <w:r>
              <w:t>out of and in the</w:t>
            </w:r>
          </w:p>
        </w:tc>
        <w:tc>
          <w:tcPr>
            <w:tcW w:w="2835" w:type="dxa"/>
          </w:tcPr>
          <w:p w:rsidR="001C5E4E" w:rsidRDefault="003E09C0">
            <w:pPr>
              <w:pStyle w:val="TableParagraph"/>
              <w:spacing w:line="262" w:lineRule="exact"/>
              <w:ind w:left="107"/>
            </w:pPr>
            <w:r>
              <w:t>occurrence, without limit to</w:t>
            </w:r>
          </w:p>
        </w:tc>
        <w:tc>
          <w:tcPr>
            <w:tcW w:w="2137" w:type="dxa"/>
          </w:tcPr>
          <w:p w:rsidR="001C5E4E" w:rsidRDefault="003E09C0">
            <w:pPr>
              <w:pStyle w:val="TableParagraph"/>
              <w:spacing w:line="262" w:lineRule="exact"/>
              <w:ind w:left="107"/>
            </w:pPr>
            <w:r>
              <w:t>corrected or earlier</w:t>
            </w:r>
          </w:p>
        </w:tc>
      </w:tr>
      <w:tr w:rsidR="001C5E4E">
        <w:trPr>
          <w:trHeight w:val="295"/>
        </w:trPr>
        <w:tc>
          <w:tcPr>
            <w:tcW w:w="4415" w:type="dxa"/>
          </w:tcPr>
          <w:p w:rsidR="001C5E4E" w:rsidRDefault="003E09C0">
            <w:pPr>
              <w:pStyle w:val="TableParagraph"/>
              <w:spacing w:line="262" w:lineRule="exact"/>
              <w:ind w:left="2254"/>
            </w:pPr>
            <w:r>
              <w:t>course of their</w:t>
            </w:r>
          </w:p>
        </w:tc>
        <w:tc>
          <w:tcPr>
            <w:tcW w:w="2835" w:type="dxa"/>
          </w:tcPr>
          <w:p w:rsidR="001C5E4E" w:rsidRDefault="003E09C0">
            <w:pPr>
              <w:pStyle w:val="TableParagraph"/>
              <w:spacing w:line="262" w:lineRule="exact"/>
              <w:ind w:left="107"/>
            </w:pPr>
            <w:r>
              <w:t>the number of occurrence in</w:t>
            </w:r>
          </w:p>
        </w:tc>
        <w:tc>
          <w:tcPr>
            <w:tcW w:w="2137" w:type="dxa"/>
          </w:tcPr>
          <w:p w:rsidR="001C5E4E" w:rsidRDefault="003E09C0">
            <w:pPr>
              <w:pStyle w:val="TableParagraph"/>
              <w:spacing w:line="262" w:lineRule="exact"/>
              <w:ind w:left="107"/>
            </w:pPr>
            <w:r>
              <w:t>termination</w:t>
            </w:r>
          </w:p>
        </w:tc>
      </w:tr>
      <w:tr w:rsidR="001C5E4E">
        <w:trPr>
          <w:trHeight w:val="295"/>
        </w:trPr>
        <w:tc>
          <w:tcPr>
            <w:tcW w:w="4415" w:type="dxa"/>
          </w:tcPr>
          <w:p w:rsidR="001C5E4E" w:rsidRDefault="003E09C0">
            <w:pPr>
              <w:pStyle w:val="TableParagraph"/>
              <w:spacing w:line="262" w:lineRule="exact"/>
              <w:ind w:left="2254"/>
            </w:pPr>
            <w:r>
              <w:t>employment in</w:t>
            </w:r>
          </w:p>
        </w:tc>
        <w:tc>
          <w:tcPr>
            <w:tcW w:w="2835" w:type="dxa"/>
          </w:tcPr>
          <w:p w:rsidR="001C5E4E" w:rsidRDefault="003E09C0">
            <w:pPr>
              <w:pStyle w:val="TableParagraph"/>
              <w:spacing w:line="262" w:lineRule="exact"/>
              <w:ind w:left="107"/>
            </w:pPr>
            <w:r>
              <w:t>any one annual period of</w:t>
            </w:r>
          </w:p>
        </w:tc>
        <w:tc>
          <w:tcPr>
            <w:tcW w:w="2137" w:type="dxa"/>
          </w:tcPr>
          <w:p w:rsidR="001C5E4E" w:rsidRDefault="001C5E4E">
            <w:pPr>
              <w:pStyle w:val="TableParagraph"/>
              <w:rPr>
                <w:rFonts w:ascii="Times New Roman"/>
              </w:rPr>
            </w:pPr>
          </w:p>
        </w:tc>
      </w:tr>
      <w:tr w:rsidR="001C5E4E">
        <w:trPr>
          <w:trHeight w:val="295"/>
        </w:trPr>
        <w:tc>
          <w:tcPr>
            <w:tcW w:w="4415" w:type="dxa"/>
          </w:tcPr>
          <w:p w:rsidR="001C5E4E" w:rsidRDefault="003E09C0">
            <w:pPr>
              <w:pStyle w:val="TableParagraph"/>
              <w:spacing w:line="262" w:lineRule="exact"/>
              <w:ind w:right="375"/>
              <w:jc w:val="right"/>
            </w:pPr>
            <w:r>
              <w:t>connection with this</w:t>
            </w:r>
          </w:p>
        </w:tc>
        <w:tc>
          <w:tcPr>
            <w:tcW w:w="2835" w:type="dxa"/>
          </w:tcPr>
          <w:p w:rsidR="001C5E4E" w:rsidRDefault="003E09C0">
            <w:pPr>
              <w:pStyle w:val="TableParagraph"/>
              <w:spacing w:line="262" w:lineRule="exact"/>
              <w:ind w:left="107"/>
            </w:pPr>
            <w:r>
              <w:t>insurance.</w:t>
            </w:r>
          </w:p>
        </w:tc>
        <w:tc>
          <w:tcPr>
            <w:tcW w:w="2137" w:type="dxa"/>
          </w:tcPr>
          <w:p w:rsidR="001C5E4E" w:rsidRDefault="001C5E4E">
            <w:pPr>
              <w:pStyle w:val="TableParagraph"/>
              <w:rPr>
                <w:rFonts w:ascii="Times New Roman"/>
              </w:rPr>
            </w:pPr>
          </w:p>
        </w:tc>
      </w:tr>
      <w:tr w:rsidR="001C5E4E">
        <w:trPr>
          <w:trHeight w:val="393"/>
        </w:trPr>
        <w:tc>
          <w:tcPr>
            <w:tcW w:w="4415" w:type="dxa"/>
          </w:tcPr>
          <w:p w:rsidR="001C5E4E" w:rsidRDefault="003E09C0">
            <w:pPr>
              <w:pStyle w:val="TableParagraph"/>
              <w:spacing w:line="262" w:lineRule="exact"/>
              <w:ind w:left="2254"/>
            </w:pPr>
            <w:r>
              <w:t>contract</w:t>
            </w:r>
          </w:p>
        </w:tc>
        <w:tc>
          <w:tcPr>
            <w:tcW w:w="2835" w:type="dxa"/>
          </w:tcPr>
          <w:p w:rsidR="001C5E4E" w:rsidRDefault="001C5E4E">
            <w:pPr>
              <w:pStyle w:val="TableParagraph"/>
              <w:rPr>
                <w:rFonts w:ascii="Times New Roman"/>
              </w:rPr>
            </w:pPr>
          </w:p>
        </w:tc>
        <w:tc>
          <w:tcPr>
            <w:tcW w:w="2137" w:type="dxa"/>
          </w:tcPr>
          <w:p w:rsidR="001C5E4E" w:rsidRDefault="001C5E4E">
            <w:pPr>
              <w:pStyle w:val="TableParagraph"/>
              <w:rPr>
                <w:rFonts w:ascii="Times New Roman"/>
              </w:rPr>
            </w:pPr>
          </w:p>
        </w:tc>
      </w:tr>
      <w:tr w:rsidR="001C5E4E">
        <w:trPr>
          <w:trHeight w:val="1427"/>
        </w:trPr>
        <w:tc>
          <w:tcPr>
            <w:tcW w:w="9387" w:type="dxa"/>
            <w:gridSpan w:val="3"/>
          </w:tcPr>
          <w:p w:rsidR="001C5E4E" w:rsidRDefault="003E09C0">
            <w:pPr>
              <w:pStyle w:val="TableParagraph"/>
              <w:numPr>
                <w:ilvl w:val="0"/>
                <w:numId w:val="51"/>
              </w:numPr>
              <w:tabs>
                <w:tab w:val="left" w:pos="2539"/>
              </w:tabs>
              <w:spacing w:before="136" w:line="264" w:lineRule="auto"/>
              <w:ind w:right="197"/>
            </w:pPr>
            <w:r>
              <w:rPr>
                <w:i/>
              </w:rPr>
              <w:t>The Consultant</w:t>
            </w:r>
            <w:r>
              <w:t xml:space="preserve">'s total liability to the </w:t>
            </w:r>
            <w:r>
              <w:rPr>
                <w:i/>
              </w:rPr>
              <w:t xml:space="preserve">Employer </w:t>
            </w:r>
            <w:r>
              <w:t>for all matters arising</w:t>
            </w:r>
            <w:r>
              <w:rPr>
                <w:spacing w:val="-29"/>
              </w:rPr>
              <w:t xml:space="preserve"> </w:t>
            </w:r>
            <w:r>
              <w:t>under or in connection with this contract, other than the excluded matters, is limited to</w:t>
            </w:r>
            <w:r>
              <w:rPr>
                <w:spacing w:val="-4"/>
              </w:rPr>
              <w:t xml:space="preserve"> </w:t>
            </w:r>
            <w:r>
              <w:t>£73,110.55</w:t>
            </w:r>
            <w:r>
              <w:rPr>
                <w:color w:val="FF0000"/>
              </w:rPr>
              <w:t>.</w:t>
            </w:r>
          </w:p>
        </w:tc>
      </w:tr>
      <w:tr w:rsidR="001C5E4E">
        <w:trPr>
          <w:trHeight w:val="802"/>
        </w:trPr>
        <w:tc>
          <w:tcPr>
            <w:tcW w:w="4415" w:type="dxa"/>
          </w:tcPr>
          <w:p w:rsidR="001C5E4E" w:rsidRDefault="001C5E4E">
            <w:pPr>
              <w:pStyle w:val="TableParagraph"/>
              <w:spacing w:before="2"/>
              <w:rPr>
                <w:b/>
                <w:sz w:val="31"/>
              </w:rPr>
            </w:pPr>
          </w:p>
          <w:p w:rsidR="001C5E4E" w:rsidRDefault="003E09C0">
            <w:pPr>
              <w:pStyle w:val="TableParagraph"/>
              <w:ind w:left="200"/>
              <w:rPr>
                <w:b/>
              </w:rPr>
            </w:pPr>
            <w:r>
              <w:rPr>
                <w:b/>
              </w:rPr>
              <w:t>Optional Statements</w:t>
            </w:r>
          </w:p>
        </w:tc>
        <w:tc>
          <w:tcPr>
            <w:tcW w:w="2835" w:type="dxa"/>
          </w:tcPr>
          <w:p w:rsidR="001C5E4E" w:rsidRDefault="001C5E4E">
            <w:pPr>
              <w:pStyle w:val="TableParagraph"/>
              <w:rPr>
                <w:rFonts w:ascii="Times New Roman"/>
              </w:rPr>
            </w:pPr>
          </w:p>
        </w:tc>
        <w:tc>
          <w:tcPr>
            <w:tcW w:w="2137" w:type="dxa"/>
          </w:tcPr>
          <w:p w:rsidR="001C5E4E" w:rsidRDefault="001C5E4E">
            <w:pPr>
              <w:pStyle w:val="TableParagraph"/>
              <w:rPr>
                <w:rFonts w:ascii="Times New Roman"/>
              </w:rPr>
            </w:pPr>
          </w:p>
        </w:tc>
      </w:tr>
      <w:tr w:rsidR="001C5E4E">
        <w:trPr>
          <w:trHeight w:val="3378"/>
        </w:trPr>
        <w:tc>
          <w:tcPr>
            <w:tcW w:w="9387" w:type="dxa"/>
            <w:gridSpan w:val="3"/>
          </w:tcPr>
          <w:p w:rsidR="001C5E4E" w:rsidRDefault="003E09C0">
            <w:pPr>
              <w:pStyle w:val="TableParagraph"/>
              <w:spacing w:before="113"/>
              <w:ind w:left="2254"/>
              <w:rPr>
                <w:b/>
              </w:rPr>
            </w:pPr>
            <w:r>
              <w:rPr>
                <w:b/>
              </w:rPr>
              <w:t xml:space="preserve">If the </w:t>
            </w:r>
            <w:r>
              <w:rPr>
                <w:b/>
                <w:i/>
              </w:rPr>
              <w:t xml:space="preserve">tribunal </w:t>
            </w:r>
            <w:r>
              <w:rPr>
                <w:b/>
              </w:rPr>
              <w:t>is arbitration</w:t>
            </w:r>
          </w:p>
          <w:p w:rsidR="001C5E4E" w:rsidRDefault="003E09C0">
            <w:pPr>
              <w:pStyle w:val="TableParagraph"/>
              <w:numPr>
                <w:ilvl w:val="0"/>
                <w:numId w:val="50"/>
              </w:numPr>
              <w:tabs>
                <w:tab w:val="left" w:pos="3034"/>
                <w:tab w:val="left" w:pos="3035"/>
              </w:tabs>
              <w:spacing w:before="149" w:line="261" w:lineRule="auto"/>
              <w:ind w:right="267"/>
            </w:pPr>
            <w:r>
              <w:t xml:space="preserve">The </w:t>
            </w:r>
            <w:r>
              <w:rPr>
                <w:i/>
              </w:rPr>
              <w:t xml:space="preserve">arbitration procedure </w:t>
            </w:r>
            <w:r>
              <w:t>is the Chartered Institution of Arbitrators’ Arbitration Rules</w:t>
            </w:r>
            <w:r>
              <w:rPr>
                <w:spacing w:val="-1"/>
              </w:rPr>
              <w:t xml:space="preserve"> </w:t>
            </w:r>
            <w:r>
              <w:t>(2000)]</w:t>
            </w:r>
          </w:p>
          <w:p w:rsidR="001C5E4E" w:rsidRDefault="003E09C0">
            <w:pPr>
              <w:pStyle w:val="TableParagraph"/>
              <w:numPr>
                <w:ilvl w:val="0"/>
                <w:numId w:val="50"/>
              </w:numPr>
              <w:tabs>
                <w:tab w:val="left" w:pos="3034"/>
                <w:tab w:val="left" w:pos="3035"/>
              </w:tabs>
              <w:spacing w:before="126" w:line="264" w:lineRule="auto"/>
              <w:ind w:right="501"/>
            </w:pPr>
            <w:r>
              <w:t>The place where arbitration is to be held is to be confirmed when applicable</w:t>
            </w:r>
          </w:p>
          <w:p w:rsidR="001C5E4E" w:rsidRDefault="003E09C0">
            <w:pPr>
              <w:pStyle w:val="TableParagraph"/>
              <w:numPr>
                <w:ilvl w:val="0"/>
                <w:numId w:val="50"/>
              </w:numPr>
              <w:tabs>
                <w:tab w:val="left" w:pos="3034"/>
                <w:tab w:val="left" w:pos="3035"/>
              </w:tabs>
              <w:spacing w:before="120"/>
              <w:ind w:hanging="361"/>
            </w:pPr>
            <w:r>
              <w:t>The person or organisation who will choose an</w:t>
            </w:r>
            <w:r>
              <w:rPr>
                <w:spacing w:val="-12"/>
              </w:rPr>
              <w:t xml:space="preserve"> </w:t>
            </w:r>
            <w:r>
              <w:t>arbitrator</w:t>
            </w:r>
          </w:p>
          <w:p w:rsidR="001C5E4E" w:rsidRDefault="003E09C0">
            <w:pPr>
              <w:pStyle w:val="TableParagraph"/>
              <w:numPr>
                <w:ilvl w:val="1"/>
                <w:numId w:val="50"/>
              </w:numPr>
              <w:tabs>
                <w:tab w:val="left" w:pos="3755"/>
              </w:tabs>
              <w:spacing w:before="147"/>
              <w:ind w:hanging="361"/>
            </w:pPr>
            <w:r>
              <w:t>if the Parties cannot agree a choice</w:t>
            </w:r>
            <w:r>
              <w:rPr>
                <w:spacing w:val="-7"/>
              </w:rPr>
              <w:t xml:space="preserve"> </w:t>
            </w:r>
            <w:r>
              <w:t>or</w:t>
            </w:r>
          </w:p>
          <w:p w:rsidR="001C5E4E" w:rsidRDefault="003E09C0">
            <w:pPr>
              <w:pStyle w:val="TableParagraph"/>
              <w:numPr>
                <w:ilvl w:val="1"/>
                <w:numId w:val="50"/>
              </w:numPr>
              <w:tabs>
                <w:tab w:val="left" w:pos="3755"/>
              </w:tabs>
              <w:spacing w:before="125" w:line="290" w:lineRule="atLeast"/>
              <w:ind w:right="495"/>
            </w:pPr>
            <w:r>
              <w:t xml:space="preserve">if the </w:t>
            </w:r>
            <w:r>
              <w:rPr>
                <w:i/>
              </w:rPr>
              <w:t xml:space="preserve">arbitration procedure </w:t>
            </w:r>
            <w:r>
              <w:t>does not state who selects an arbitrator is the Chartered Institute of</w:t>
            </w:r>
            <w:r>
              <w:rPr>
                <w:spacing w:val="-9"/>
              </w:rPr>
              <w:t xml:space="preserve"> </w:t>
            </w:r>
            <w:r>
              <w:t>Arbitrators</w:t>
            </w:r>
          </w:p>
        </w:tc>
      </w:tr>
    </w:tbl>
    <w:p w:rsidR="001C5E4E" w:rsidRDefault="001C5E4E">
      <w:pPr>
        <w:spacing w:line="290" w:lineRule="atLeast"/>
        <w:sectPr w:rsidR="001C5E4E">
          <w:pgSz w:w="11910" w:h="16840"/>
          <w:pgMar w:top="1580" w:right="620" w:bottom="1120" w:left="940" w:header="0" w:footer="938" w:gutter="0"/>
          <w:cols w:space="720"/>
        </w:sectPr>
      </w:pPr>
    </w:p>
    <w:tbl>
      <w:tblPr>
        <w:tblW w:w="0" w:type="auto"/>
        <w:tblInd w:w="1507" w:type="dxa"/>
        <w:tblLayout w:type="fixed"/>
        <w:tblCellMar>
          <w:left w:w="0" w:type="dxa"/>
          <w:right w:w="0" w:type="dxa"/>
        </w:tblCellMar>
        <w:tblLook w:val="01E0" w:firstRow="1" w:lastRow="1" w:firstColumn="1" w:lastColumn="1" w:noHBand="0" w:noVBand="0"/>
      </w:tblPr>
      <w:tblGrid>
        <w:gridCol w:w="1310"/>
        <w:gridCol w:w="7233"/>
      </w:tblGrid>
      <w:tr w:rsidR="001C5E4E">
        <w:trPr>
          <w:trHeight w:val="2631"/>
        </w:trPr>
        <w:tc>
          <w:tcPr>
            <w:tcW w:w="1310" w:type="dxa"/>
          </w:tcPr>
          <w:p w:rsidR="001C5E4E" w:rsidRDefault="001C5E4E">
            <w:pPr>
              <w:pStyle w:val="TableParagraph"/>
              <w:rPr>
                <w:rFonts w:ascii="Times New Roman"/>
              </w:rPr>
            </w:pPr>
          </w:p>
        </w:tc>
        <w:tc>
          <w:tcPr>
            <w:tcW w:w="7233" w:type="dxa"/>
          </w:tcPr>
          <w:p w:rsidR="001C5E4E" w:rsidRDefault="003E09C0">
            <w:pPr>
              <w:pStyle w:val="TableParagraph"/>
              <w:spacing w:line="225" w:lineRule="exact"/>
              <w:ind w:left="106"/>
              <w:rPr>
                <w:b/>
              </w:rPr>
            </w:pPr>
            <w:r>
              <w:rPr>
                <w:b/>
              </w:rPr>
              <w:t>Option G is used:</w:t>
            </w:r>
          </w:p>
          <w:p w:rsidR="001C5E4E" w:rsidRDefault="003E09C0">
            <w:pPr>
              <w:pStyle w:val="TableParagraph"/>
              <w:numPr>
                <w:ilvl w:val="0"/>
                <w:numId w:val="49"/>
              </w:numPr>
              <w:tabs>
                <w:tab w:val="left" w:pos="391"/>
              </w:tabs>
              <w:spacing w:before="147"/>
              <w:ind w:hanging="285"/>
              <w:rPr>
                <w:i/>
              </w:rPr>
            </w:pPr>
            <w:r>
              <w:t xml:space="preserve">The </w:t>
            </w:r>
            <w:r>
              <w:rPr>
                <w:i/>
              </w:rPr>
              <w:t xml:space="preserve">Consultant </w:t>
            </w:r>
            <w:r>
              <w:t>prepares forecasts of the total Time Charge and</w:t>
            </w:r>
            <w:r>
              <w:rPr>
                <w:spacing w:val="-16"/>
              </w:rPr>
              <w:t xml:space="preserve"> </w:t>
            </w:r>
            <w:r>
              <w:rPr>
                <w:i/>
              </w:rPr>
              <w:t>expenses</w:t>
            </w:r>
          </w:p>
          <w:p w:rsidR="001C5E4E" w:rsidRDefault="003E09C0">
            <w:pPr>
              <w:pStyle w:val="TableParagraph"/>
              <w:spacing w:before="26"/>
              <w:ind w:left="390"/>
            </w:pPr>
            <w:r>
              <w:t>at intervals no longer than four</w:t>
            </w:r>
            <w:r>
              <w:rPr>
                <w:spacing w:val="-10"/>
              </w:rPr>
              <w:t xml:space="preserve"> </w:t>
            </w:r>
            <w:r>
              <w:t>weeks.</w:t>
            </w:r>
          </w:p>
          <w:p w:rsidR="001C5E4E" w:rsidRDefault="003E09C0">
            <w:pPr>
              <w:pStyle w:val="TableParagraph"/>
              <w:numPr>
                <w:ilvl w:val="0"/>
                <w:numId w:val="49"/>
              </w:numPr>
              <w:tabs>
                <w:tab w:val="left" w:pos="391"/>
              </w:tabs>
              <w:spacing w:before="147" w:line="264" w:lineRule="auto"/>
              <w:ind w:right="587"/>
            </w:pPr>
            <w:r>
              <w:t xml:space="preserve">The </w:t>
            </w:r>
            <w:r>
              <w:rPr>
                <w:i/>
                <w:spacing w:val="-4"/>
              </w:rPr>
              <w:t xml:space="preserve">exchange </w:t>
            </w:r>
            <w:r>
              <w:rPr>
                <w:i/>
                <w:spacing w:val="-3"/>
              </w:rPr>
              <w:t xml:space="preserve">rates </w:t>
            </w:r>
            <w:r>
              <w:t xml:space="preserve">are those published in the Financial Times on the </w:t>
            </w:r>
            <w:r>
              <w:rPr>
                <w:i/>
              </w:rPr>
              <w:t xml:space="preserve">assessment date </w:t>
            </w:r>
            <w:r>
              <w:t>when payment in another currency is included in the Price for Services Provided to</w:t>
            </w:r>
            <w:r>
              <w:rPr>
                <w:spacing w:val="-10"/>
              </w:rPr>
              <w:t xml:space="preserve"> </w:t>
            </w:r>
            <w:r>
              <w:t>Date.</w:t>
            </w:r>
          </w:p>
        </w:tc>
      </w:tr>
      <w:tr w:rsidR="001C5E4E">
        <w:trPr>
          <w:trHeight w:val="1257"/>
        </w:trPr>
        <w:tc>
          <w:tcPr>
            <w:tcW w:w="1310" w:type="dxa"/>
          </w:tcPr>
          <w:p w:rsidR="001C5E4E" w:rsidRDefault="001C5E4E">
            <w:pPr>
              <w:pStyle w:val="TableParagraph"/>
              <w:rPr>
                <w:b/>
              </w:rPr>
            </w:pPr>
          </w:p>
          <w:p w:rsidR="001C5E4E" w:rsidRDefault="001C5E4E">
            <w:pPr>
              <w:pStyle w:val="TableParagraph"/>
              <w:spacing w:before="11"/>
              <w:rPr>
                <w:b/>
                <w:sz w:val="32"/>
              </w:rPr>
            </w:pPr>
          </w:p>
          <w:p w:rsidR="001C5E4E" w:rsidRDefault="003E09C0">
            <w:pPr>
              <w:pStyle w:val="TableParagraph"/>
              <w:ind w:right="105"/>
              <w:jc w:val="right"/>
              <w:rPr>
                <w:b/>
              </w:rPr>
            </w:pPr>
            <w:r>
              <w:rPr>
                <w:b/>
              </w:rPr>
              <w:t>Option X1</w:t>
            </w:r>
          </w:p>
        </w:tc>
        <w:tc>
          <w:tcPr>
            <w:tcW w:w="7233" w:type="dxa"/>
          </w:tcPr>
          <w:p w:rsidR="001C5E4E" w:rsidRDefault="001C5E4E">
            <w:pPr>
              <w:pStyle w:val="TableParagraph"/>
              <w:rPr>
                <w:b/>
                <w:sz w:val="28"/>
              </w:rPr>
            </w:pPr>
          </w:p>
          <w:p w:rsidR="001C5E4E" w:rsidRDefault="001C5E4E">
            <w:pPr>
              <w:pStyle w:val="TableParagraph"/>
              <w:spacing w:before="11"/>
              <w:rPr>
                <w:b/>
                <w:sz w:val="26"/>
              </w:rPr>
            </w:pPr>
          </w:p>
          <w:p w:rsidR="001C5E4E" w:rsidRDefault="003E09C0">
            <w:pPr>
              <w:pStyle w:val="TableParagraph"/>
              <w:numPr>
                <w:ilvl w:val="0"/>
                <w:numId w:val="48"/>
              </w:numPr>
              <w:tabs>
                <w:tab w:val="left" w:pos="391"/>
              </w:tabs>
              <w:spacing w:before="1"/>
              <w:ind w:hanging="285"/>
            </w:pPr>
            <w:r>
              <w:t xml:space="preserve">The </w:t>
            </w:r>
            <w:r>
              <w:rPr>
                <w:i/>
              </w:rPr>
              <w:t xml:space="preserve">index </w:t>
            </w:r>
            <w:r>
              <w:t>is =Retail Prices</w:t>
            </w:r>
            <w:r>
              <w:rPr>
                <w:spacing w:val="-6"/>
              </w:rPr>
              <w:t xml:space="preserve"> </w:t>
            </w:r>
            <w:r>
              <w:t>Index</w:t>
            </w:r>
          </w:p>
        </w:tc>
      </w:tr>
      <w:tr w:rsidR="001C5E4E">
        <w:trPr>
          <w:trHeight w:val="1219"/>
        </w:trPr>
        <w:tc>
          <w:tcPr>
            <w:tcW w:w="1310" w:type="dxa"/>
          </w:tcPr>
          <w:p w:rsidR="001C5E4E" w:rsidRDefault="001C5E4E">
            <w:pPr>
              <w:pStyle w:val="TableParagraph"/>
              <w:spacing w:before="5"/>
              <w:rPr>
                <w:b/>
                <w:sz w:val="25"/>
              </w:rPr>
            </w:pPr>
          </w:p>
          <w:p w:rsidR="001C5E4E" w:rsidRDefault="003E09C0">
            <w:pPr>
              <w:pStyle w:val="TableParagraph"/>
              <w:spacing w:before="1"/>
              <w:ind w:right="105"/>
              <w:jc w:val="right"/>
              <w:rPr>
                <w:b/>
              </w:rPr>
            </w:pPr>
            <w:r>
              <w:rPr>
                <w:b/>
              </w:rPr>
              <w:t>Option X2</w:t>
            </w:r>
          </w:p>
        </w:tc>
        <w:tc>
          <w:tcPr>
            <w:tcW w:w="7233" w:type="dxa"/>
          </w:tcPr>
          <w:p w:rsidR="001C5E4E" w:rsidRDefault="001C5E4E">
            <w:pPr>
              <w:pStyle w:val="TableParagraph"/>
              <w:spacing w:before="6"/>
              <w:rPr>
                <w:b/>
                <w:sz w:val="25"/>
              </w:rPr>
            </w:pPr>
          </w:p>
          <w:p w:rsidR="001C5E4E" w:rsidRDefault="003E09C0">
            <w:pPr>
              <w:pStyle w:val="TableParagraph"/>
              <w:numPr>
                <w:ilvl w:val="0"/>
                <w:numId w:val="47"/>
              </w:numPr>
              <w:tabs>
                <w:tab w:val="left" w:pos="391"/>
              </w:tabs>
              <w:spacing w:line="264" w:lineRule="auto"/>
              <w:ind w:right="680"/>
            </w:pPr>
            <w:r>
              <w:rPr>
                <w:i/>
              </w:rPr>
              <w:t xml:space="preserve">The law of the project </w:t>
            </w:r>
            <w:r>
              <w:t>is the law of England and Wales, subject to the jurisdiction of the Courts of England and</w:t>
            </w:r>
            <w:r>
              <w:rPr>
                <w:spacing w:val="-9"/>
              </w:rPr>
              <w:t xml:space="preserve"> </w:t>
            </w:r>
            <w:r>
              <w:t>Wales.</w:t>
            </w:r>
          </w:p>
        </w:tc>
      </w:tr>
      <w:tr w:rsidR="001C5E4E">
        <w:trPr>
          <w:trHeight w:val="2181"/>
        </w:trPr>
        <w:tc>
          <w:tcPr>
            <w:tcW w:w="1310" w:type="dxa"/>
          </w:tcPr>
          <w:p w:rsidR="001C5E4E" w:rsidRDefault="001C5E4E">
            <w:pPr>
              <w:pStyle w:val="TableParagraph"/>
              <w:spacing w:before="7"/>
              <w:rPr>
                <w:b/>
                <w:sz w:val="27"/>
              </w:rPr>
            </w:pPr>
          </w:p>
          <w:p w:rsidR="001C5E4E" w:rsidRDefault="003E09C0">
            <w:pPr>
              <w:pStyle w:val="TableParagraph"/>
              <w:ind w:right="105"/>
              <w:jc w:val="right"/>
              <w:rPr>
                <w:b/>
              </w:rPr>
            </w:pPr>
            <w:r>
              <w:rPr>
                <w:b/>
              </w:rPr>
              <w:t>Option X18</w:t>
            </w:r>
          </w:p>
        </w:tc>
        <w:tc>
          <w:tcPr>
            <w:tcW w:w="7233" w:type="dxa"/>
          </w:tcPr>
          <w:p w:rsidR="001C5E4E" w:rsidRDefault="001C5E4E">
            <w:pPr>
              <w:pStyle w:val="TableParagraph"/>
              <w:spacing w:before="7"/>
              <w:rPr>
                <w:b/>
                <w:sz w:val="27"/>
              </w:rPr>
            </w:pPr>
          </w:p>
          <w:p w:rsidR="001C5E4E" w:rsidRDefault="003E09C0">
            <w:pPr>
              <w:pStyle w:val="TableParagraph"/>
              <w:numPr>
                <w:ilvl w:val="0"/>
                <w:numId w:val="46"/>
              </w:numPr>
              <w:tabs>
                <w:tab w:val="left" w:pos="391"/>
              </w:tabs>
              <w:spacing w:before="1" w:line="264" w:lineRule="auto"/>
              <w:ind w:right="197"/>
            </w:pPr>
            <w:r>
              <w:t xml:space="preserve">The </w:t>
            </w:r>
            <w:r>
              <w:rPr>
                <w:i/>
              </w:rPr>
              <w:t xml:space="preserve">Consultant’s </w:t>
            </w:r>
            <w:r>
              <w:t xml:space="preserve">liability to the </w:t>
            </w:r>
            <w:r>
              <w:rPr>
                <w:i/>
              </w:rPr>
              <w:t xml:space="preserve">Employer </w:t>
            </w:r>
            <w:r>
              <w:t>for indirect or consequential loss is limited to</w:t>
            </w:r>
            <w:r>
              <w:rPr>
                <w:spacing w:val="-3"/>
              </w:rPr>
              <w:t xml:space="preserve"> </w:t>
            </w:r>
            <w:r>
              <w:t>£73,110.55.</w:t>
            </w:r>
          </w:p>
          <w:p w:rsidR="001C5E4E" w:rsidRDefault="001C5E4E">
            <w:pPr>
              <w:pStyle w:val="TableParagraph"/>
              <w:rPr>
                <w:b/>
              </w:rPr>
            </w:pPr>
          </w:p>
          <w:p w:rsidR="001C5E4E" w:rsidRDefault="001C5E4E">
            <w:pPr>
              <w:pStyle w:val="TableParagraph"/>
              <w:spacing w:before="9"/>
              <w:rPr>
                <w:b/>
                <w:sz w:val="21"/>
              </w:rPr>
            </w:pPr>
          </w:p>
          <w:p w:rsidR="001C5E4E" w:rsidRDefault="003E09C0">
            <w:pPr>
              <w:pStyle w:val="TableParagraph"/>
              <w:numPr>
                <w:ilvl w:val="0"/>
                <w:numId w:val="46"/>
              </w:numPr>
              <w:tabs>
                <w:tab w:val="left" w:pos="391"/>
              </w:tabs>
              <w:spacing w:before="1"/>
              <w:ind w:hanging="285"/>
            </w:pPr>
            <w:r>
              <w:t xml:space="preserve">The </w:t>
            </w:r>
            <w:r>
              <w:rPr>
                <w:i/>
              </w:rPr>
              <w:t xml:space="preserve">end of liability </w:t>
            </w:r>
            <w:r>
              <w:t>date is 6 years after Completion of the whole of</w:t>
            </w:r>
            <w:r>
              <w:rPr>
                <w:spacing w:val="-19"/>
              </w:rPr>
              <w:t xml:space="preserve"> </w:t>
            </w:r>
            <w:r>
              <w:t>the</w:t>
            </w:r>
          </w:p>
          <w:p w:rsidR="001C5E4E" w:rsidRDefault="003E09C0">
            <w:pPr>
              <w:pStyle w:val="TableParagraph"/>
              <w:spacing w:before="26"/>
              <w:ind w:left="390"/>
            </w:pPr>
            <w:r>
              <w:rPr>
                <w:i/>
              </w:rPr>
              <w:t>services</w:t>
            </w:r>
            <w:r>
              <w:t>.</w:t>
            </w:r>
          </w:p>
        </w:tc>
      </w:tr>
      <w:tr w:rsidR="001C5E4E">
        <w:trPr>
          <w:trHeight w:val="1134"/>
        </w:trPr>
        <w:tc>
          <w:tcPr>
            <w:tcW w:w="1310" w:type="dxa"/>
          </w:tcPr>
          <w:p w:rsidR="001C5E4E" w:rsidRDefault="003E09C0">
            <w:pPr>
              <w:pStyle w:val="TableParagraph"/>
              <w:spacing w:before="135"/>
              <w:ind w:right="104"/>
              <w:jc w:val="right"/>
              <w:rPr>
                <w:b/>
              </w:rPr>
            </w:pPr>
            <w:r>
              <w:rPr>
                <w:b/>
              </w:rPr>
              <w:t>Option Z</w:t>
            </w:r>
          </w:p>
        </w:tc>
        <w:tc>
          <w:tcPr>
            <w:tcW w:w="7233" w:type="dxa"/>
          </w:tcPr>
          <w:p w:rsidR="001C5E4E" w:rsidRDefault="003E09C0">
            <w:pPr>
              <w:pStyle w:val="TableParagraph"/>
              <w:numPr>
                <w:ilvl w:val="0"/>
                <w:numId w:val="45"/>
              </w:numPr>
              <w:tabs>
                <w:tab w:val="left" w:pos="391"/>
              </w:tabs>
              <w:spacing w:before="136"/>
              <w:ind w:hanging="285"/>
            </w:pPr>
            <w:r>
              <w:t xml:space="preserve">The </w:t>
            </w:r>
            <w:r>
              <w:rPr>
                <w:i/>
              </w:rPr>
              <w:t xml:space="preserve">additional conditions of contract </w:t>
            </w:r>
            <w:r>
              <w:t>are clauses Z1 to Z650 set out at</w:t>
            </w:r>
            <w:r>
              <w:rPr>
                <w:spacing w:val="-9"/>
              </w:rPr>
              <w:t xml:space="preserve"> </w:t>
            </w:r>
            <w:r>
              <w:t>[</w:t>
            </w:r>
          </w:p>
          <w:p w:rsidR="001C5E4E" w:rsidRDefault="003E09C0">
            <w:pPr>
              <w:pStyle w:val="TableParagraph"/>
              <w:spacing w:before="27"/>
              <w:ind w:left="390"/>
            </w:pPr>
            <w:r>
              <w:t>], save for:</w:t>
            </w:r>
          </w:p>
          <w:p w:rsidR="001C5E4E" w:rsidRDefault="003E09C0">
            <w:pPr>
              <w:pStyle w:val="TableParagraph"/>
              <w:numPr>
                <w:ilvl w:val="0"/>
                <w:numId w:val="45"/>
              </w:numPr>
              <w:tabs>
                <w:tab w:val="left" w:pos="391"/>
              </w:tabs>
              <w:spacing w:before="146" w:line="256" w:lineRule="exact"/>
              <w:ind w:hanging="285"/>
              <w:rPr>
                <w:b/>
              </w:rPr>
            </w:pPr>
            <w:r>
              <w:rPr>
                <w:b/>
              </w:rPr>
              <w:t>Z9,12,16,22,23,25,26,27,28,31,35,41,45,46,47</w:t>
            </w:r>
          </w:p>
        </w:tc>
      </w:tr>
    </w:tbl>
    <w:p w:rsidR="001C5E4E" w:rsidRDefault="001C5E4E">
      <w:pPr>
        <w:spacing w:line="256" w:lineRule="exact"/>
        <w:sectPr w:rsidR="001C5E4E">
          <w:pgSz w:w="11910" w:h="16840"/>
          <w:pgMar w:top="1580" w:right="620" w:bottom="1120" w:left="940" w:header="0" w:footer="938" w:gutter="0"/>
          <w:cols w:space="720"/>
        </w:sectPr>
      </w:pPr>
    </w:p>
    <w:p w:rsidR="001C5E4E" w:rsidRDefault="001C5E4E">
      <w:pPr>
        <w:pStyle w:val="BodyText"/>
        <w:rPr>
          <w:b/>
          <w:sz w:val="20"/>
        </w:rPr>
      </w:pPr>
    </w:p>
    <w:p w:rsidR="001C5E4E" w:rsidRDefault="001C5E4E">
      <w:pPr>
        <w:pStyle w:val="BodyText"/>
        <w:rPr>
          <w:b/>
          <w:sz w:val="20"/>
        </w:rPr>
      </w:pPr>
    </w:p>
    <w:p w:rsidR="001C5E4E" w:rsidRDefault="001C5E4E">
      <w:pPr>
        <w:pStyle w:val="BodyText"/>
        <w:spacing w:before="7"/>
        <w:rPr>
          <w:b/>
        </w:rPr>
      </w:pPr>
    </w:p>
    <w:tbl>
      <w:tblPr>
        <w:tblW w:w="0" w:type="auto"/>
        <w:tblInd w:w="110" w:type="dxa"/>
        <w:tblLayout w:type="fixed"/>
        <w:tblCellMar>
          <w:left w:w="0" w:type="dxa"/>
          <w:right w:w="0" w:type="dxa"/>
        </w:tblCellMar>
        <w:tblLook w:val="01E0" w:firstRow="1" w:lastRow="1" w:firstColumn="1" w:lastColumn="1" w:noHBand="0" w:noVBand="0"/>
      </w:tblPr>
      <w:tblGrid>
        <w:gridCol w:w="2470"/>
        <w:gridCol w:w="7403"/>
      </w:tblGrid>
      <w:tr w:rsidR="001C5E4E">
        <w:trPr>
          <w:trHeight w:val="341"/>
        </w:trPr>
        <w:tc>
          <w:tcPr>
            <w:tcW w:w="9873" w:type="dxa"/>
            <w:gridSpan w:val="2"/>
          </w:tcPr>
          <w:p w:rsidR="001C5E4E" w:rsidRDefault="003E09C0">
            <w:pPr>
              <w:pStyle w:val="TableParagraph"/>
              <w:spacing w:line="225" w:lineRule="exact"/>
              <w:ind w:left="200"/>
              <w:rPr>
                <w:b/>
                <w:i/>
              </w:rPr>
            </w:pPr>
            <w:r>
              <w:rPr>
                <w:b/>
              </w:rPr>
              <w:t xml:space="preserve">Part two – Data provided by the </w:t>
            </w:r>
            <w:r>
              <w:rPr>
                <w:b/>
                <w:i/>
              </w:rPr>
              <w:t>Consultant</w:t>
            </w:r>
          </w:p>
        </w:tc>
      </w:tr>
      <w:tr w:rsidR="001C5E4E">
        <w:trPr>
          <w:trHeight w:val="1364"/>
        </w:trPr>
        <w:tc>
          <w:tcPr>
            <w:tcW w:w="2470" w:type="dxa"/>
          </w:tcPr>
          <w:p w:rsidR="001C5E4E" w:rsidRDefault="003E09C0">
            <w:pPr>
              <w:pStyle w:val="TableParagraph"/>
              <w:spacing w:before="121"/>
              <w:ind w:left="548" w:right="24" w:hanging="245"/>
              <w:rPr>
                <w:b/>
              </w:rPr>
            </w:pPr>
            <w:r>
              <w:rPr>
                <w:b/>
              </w:rPr>
              <w:t>1 General – statements given in all contracts</w:t>
            </w:r>
          </w:p>
        </w:tc>
        <w:tc>
          <w:tcPr>
            <w:tcW w:w="7403" w:type="dxa"/>
          </w:tcPr>
          <w:p w:rsidR="001C5E4E" w:rsidRDefault="003E09C0">
            <w:pPr>
              <w:pStyle w:val="TableParagraph"/>
              <w:numPr>
                <w:ilvl w:val="0"/>
                <w:numId w:val="44"/>
              </w:numPr>
              <w:tabs>
                <w:tab w:val="left" w:pos="390"/>
              </w:tabs>
              <w:spacing w:before="121" w:line="364" w:lineRule="auto"/>
              <w:ind w:right="5188" w:hanging="426"/>
            </w:pPr>
            <w:r>
              <w:t xml:space="preserve">The </w:t>
            </w:r>
            <w:r>
              <w:rPr>
                <w:i/>
              </w:rPr>
              <w:t xml:space="preserve">Consultant </w:t>
            </w:r>
            <w:r>
              <w:rPr>
                <w:spacing w:val="-3"/>
              </w:rPr>
              <w:t xml:space="preserve">is </w:t>
            </w:r>
            <w:r>
              <w:t>Name: TRL</w:t>
            </w:r>
            <w:r>
              <w:rPr>
                <w:spacing w:val="5"/>
              </w:rPr>
              <w:t xml:space="preserve"> </w:t>
            </w:r>
            <w:r>
              <w:rPr>
                <w:spacing w:val="-3"/>
              </w:rPr>
              <w:t>Limited</w:t>
            </w:r>
          </w:p>
          <w:p w:rsidR="001C5E4E" w:rsidRDefault="003E09C0">
            <w:pPr>
              <w:pStyle w:val="TableParagraph"/>
              <w:spacing w:before="14"/>
              <w:ind w:left="531"/>
            </w:pPr>
            <w:r>
              <w:t>Crowthorne House, Nine Mile Ride, Wokingham, RG40 3GA</w:t>
            </w:r>
          </w:p>
        </w:tc>
      </w:tr>
      <w:tr w:rsidR="001C5E4E">
        <w:trPr>
          <w:trHeight w:val="5743"/>
        </w:trPr>
        <w:tc>
          <w:tcPr>
            <w:tcW w:w="2470" w:type="dxa"/>
          </w:tcPr>
          <w:p w:rsidR="001C5E4E" w:rsidRDefault="001C5E4E">
            <w:pPr>
              <w:pStyle w:val="TableParagraph"/>
              <w:rPr>
                <w:rFonts w:ascii="Times New Roman"/>
              </w:rPr>
            </w:pPr>
          </w:p>
        </w:tc>
        <w:tc>
          <w:tcPr>
            <w:tcW w:w="7403" w:type="dxa"/>
          </w:tcPr>
          <w:p w:rsidR="007A4639" w:rsidRDefault="003E09C0">
            <w:pPr>
              <w:pStyle w:val="TableParagraph"/>
              <w:numPr>
                <w:ilvl w:val="0"/>
                <w:numId w:val="43"/>
              </w:numPr>
              <w:tabs>
                <w:tab w:val="left" w:pos="390"/>
              </w:tabs>
              <w:spacing w:before="137"/>
              <w:ind w:left="389"/>
            </w:pPr>
            <w:r>
              <w:t xml:space="preserve">The </w:t>
            </w:r>
            <w:r>
              <w:rPr>
                <w:i/>
              </w:rPr>
              <w:t>key people</w:t>
            </w:r>
            <w:r>
              <w:rPr>
                <w:i/>
                <w:spacing w:val="-2"/>
              </w:rPr>
              <w:t xml:space="preserve"> </w:t>
            </w:r>
            <w:r>
              <w:t>are</w:t>
            </w:r>
            <w:r w:rsidR="007A4639">
              <w:t xml:space="preserve"> </w:t>
            </w:r>
          </w:p>
          <w:p w:rsidR="001C5E4E" w:rsidRDefault="007A4639" w:rsidP="00E81EB6">
            <w:pPr>
              <w:pStyle w:val="TableParagraph"/>
              <w:tabs>
                <w:tab w:val="left" w:pos="390"/>
              </w:tabs>
              <w:spacing w:before="137"/>
              <w:ind w:left="105"/>
            </w:pPr>
            <w:r>
              <w:t>REDACTED</w:t>
            </w:r>
          </w:p>
        </w:tc>
      </w:tr>
      <w:tr w:rsidR="001C5E4E">
        <w:trPr>
          <w:trHeight w:val="2489"/>
        </w:trPr>
        <w:tc>
          <w:tcPr>
            <w:tcW w:w="2470" w:type="dxa"/>
          </w:tcPr>
          <w:p w:rsidR="001C5E4E" w:rsidRDefault="001C5E4E">
            <w:pPr>
              <w:pStyle w:val="TableParagraph"/>
              <w:rPr>
                <w:rFonts w:ascii="Times New Roman"/>
              </w:rPr>
            </w:pPr>
          </w:p>
        </w:tc>
        <w:tc>
          <w:tcPr>
            <w:tcW w:w="7403" w:type="dxa"/>
          </w:tcPr>
          <w:p w:rsidR="001C5E4E" w:rsidRDefault="001C5E4E">
            <w:pPr>
              <w:pStyle w:val="TableParagraph"/>
              <w:rPr>
                <w:b/>
              </w:rPr>
            </w:pPr>
          </w:p>
          <w:p w:rsidR="001C5E4E" w:rsidRDefault="001C5E4E">
            <w:pPr>
              <w:pStyle w:val="TableParagraph"/>
              <w:rPr>
                <w:b/>
                <w:sz w:val="28"/>
              </w:rPr>
            </w:pPr>
          </w:p>
          <w:p w:rsidR="001C5E4E" w:rsidRDefault="003E09C0">
            <w:pPr>
              <w:pStyle w:val="TableParagraph"/>
              <w:numPr>
                <w:ilvl w:val="0"/>
                <w:numId w:val="42"/>
              </w:numPr>
              <w:tabs>
                <w:tab w:val="left" w:pos="390"/>
              </w:tabs>
              <w:spacing w:line="264" w:lineRule="auto"/>
              <w:ind w:right="669"/>
            </w:pPr>
            <w:r>
              <w:t>The following matters will be included in the Risk Register – See tender response</w:t>
            </w:r>
          </w:p>
          <w:p w:rsidR="001C5E4E" w:rsidRDefault="003E09C0">
            <w:pPr>
              <w:pStyle w:val="TableParagraph"/>
              <w:numPr>
                <w:ilvl w:val="0"/>
                <w:numId w:val="42"/>
              </w:numPr>
              <w:tabs>
                <w:tab w:val="left" w:pos="390"/>
              </w:tabs>
              <w:spacing w:before="120" w:line="264" w:lineRule="auto"/>
              <w:ind w:right="826"/>
            </w:pPr>
            <w:r>
              <w:t>The total contract value is £58,488.44 including referenced extension options (i.e. 3+1+1</w:t>
            </w:r>
            <w:r>
              <w:rPr>
                <w:spacing w:val="-6"/>
              </w:rPr>
              <w:t xml:space="preserve"> </w:t>
            </w:r>
            <w:r>
              <w:t>years)</w:t>
            </w:r>
          </w:p>
          <w:p w:rsidR="001C5E4E" w:rsidRDefault="003E09C0">
            <w:pPr>
              <w:pStyle w:val="TableParagraph"/>
              <w:numPr>
                <w:ilvl w:val="0"/>
                <w:numId w:val="42"/>
              </w:numPr>
              <w:tabs>
                <w:tab w:val="left" w:pos="390"/>
              </w:tabs>
              <w:spacing w:before="120"/>
            </w:pPr>
            <w:r>
              <w:t xml:space="preserve">The </w:t>
            </w:r>
            <w:r>
              <w:rPr>
                <w:i/>
              </w:rPr>
              <w:t xml:space="preserve">task schedule </w:t>
            </w:r>
            <w:r>
              <w:t>is in the Schedule of Work &amp; Pricing – Annex</w:t>
            </w:r>
            <w:r>
              <w:rPr>
                <w:spacing w:val="-16"/>
              </w:rPr>
              <w:t xml:space="preserve"> </w:t>
            </w:r>
            <w:r>
              <w:t>F</w:t>
            </w:r>
          </w:p>
        </w:tc>
      </w:tr>
      <w:tr w:rsidR="001C5E4E">
        <w:trPr>
          <w:trHeight w:val="791"/>
        </w:trPr>
        <w:tc>
          <w:tcPr>
            <w:tcW w:w="2470" w:type="dxa"/>
          </w:tcPr>
          <w:p w:rsidR="001C5E4E" w:rsidRDefault="003E09C0">
            <w:pPr>
              <w:pStyle w:val="TableParagraph"/>
              <w:spacing w:before="113"/>
              <w:ind w:right="106"/>
              <w:jc w:val="right"/>
              <w:rPr>
                <w:b/>
              </w:rPr>
            </w:pPr>
            <w:r>
              <w:rPr>
                <w:b/>
                <w:spacing w:val="-4"/>
              </w:rPr>
              <w:t xml:space="preserve">Contract </w:t>
            </w:r>
            <w:r>
              <w:rPr>
                <w:b/>
                <w:spacing w:val="-3"/>
              </w:rPr>
              <w:t>Data</w:t>
            </w:r>
            <w:r>
              <w:rPr>
                <w:b/>
                <w:spacing w:val="8"/>
              </w:rPr>
              <w:t xml:space="preserve"> </w:t>
            </w:r>
            <w:r>
              <w:rPr>
                <w:b/>
                <w:spacing w:val="-4"/>
              </w:rPr>
              <w:t>relating</w:t>
            </w:r>
          </w:p>
          <w:p w:rsidR="001C5E4E" w:rsidRDefault="003E09C0">
            <w:pPr>
              <w:pStyle w:val="TableParagraph"/>
              <w:spacing w:before="1"/>
              <w:ind w:right="103"/>
              <w:jc w:val="right"/>
              <w:rPr>
                <w:b/>
              </w:rPr>
            </w:pPr>
            <w:r>
              <w:rPr>
                <w:b/>
              </w:rPr>
              <w:t>to Z</w:t>
            </w:r>
            <w:r>
              <w:rPr>
                <w:b/>
                <w:spacing w:val="-9"/>
              </w:rPr>
              <w:t xml:space="preserve"> </w:t>
            </w:r>
            <w:r>
              <w:rPr>
                <w:b/>
                <w:spacing w:val="-4"/>
              </w:rPr>
              <w:t>clauses</w:t>
            </w:r>
          </w:p>
        </w:tc>
        <w:tc>
          <w:tcPr>
            <w:tcW w:w="7403" w:type="dxa"/>
          </w:tcPr>
          <w:p w:rsidR="001C5E4E" w:rsidRDefault="001C5E4E">
            <w:pPr>
              <w:pStyle w:val="TableParagraph"/>
              <w:rPr>
                <w:rFonts w:ascii="Times New Roman"/>
              </w:rPr>
            </w:pPr>
          </w:p>
        </w:tc>
      </w:tr>
      <w:tr w:rsidR="001C5E4E">
        <w:trPr>
          <w:trHeight w:val="949"/>
        </w:trPr>
        <w:tc>
          <w:tcPr>
            <w:tcW w:w="2470" w:type="dxa"/>
          </w:tcPr>
          <w:p w:rsidR="001C5E4E" w:rsidRDefault="001C5E4E">
            <w:pPr>
              <w:pStyle w:val="TableParagraph"/>
              <w:rPr>
                <w:rFonts w:ascii="Times New Roman"/>
              </w:rPr>
            </w:pPr>
          </w:p>
        </w:tc>
        <w:tc>
          <w:tcPr>
            <w:tcW w:w="7403" w:type="dxa"/>
          </w:tcPr>
          <w:p w:rsidR="001C5E4E" w:rsidRDefault="003E09C0">
            <w:pPr>
              <w:pStyle w:val="TableParagraph"/>
              <w:spacing w:before="100"/>
              <w:ind w:left="106"/>
              <w:rPr>
                <w:b/>
              </w:rPr>
            </w:pPr>
            <w:r>
              <w:rPr>
                <w:b/>
              </w:rPr>
              <w:t>If Clause Z33 applies</w:t>
            </w:r>
          </w:p>
          <w:p w:rsidR="001C5E4E" w:rsidRDefault="003E09C0">
            <w:pPr>
              <w:pStyle w:val="TableParagraph"/>
              <w:numPr>
                <w:ilvl w:val="0"/>
                <w:numId w:val="41"/>
              </w:numPr>
              <w:tabs>
                <w:tab w:val="left" w:pos="390"/>
              </w:tabs>
              <w:spacing w:before="147"/>
            </w:pPr>
            <w:r>
              <w:t xml:space="preserve">the required level of </w:t>
            </w:r>
            <w:r>
              <w:rPr>
                <w:i/>
              </w:rPr>
              <w:t xml:space="preserve">professional indemnity insurance </w:t>
            </w:r>
            <w:r>
              <w:t>is</w:t>
            </w:r>
            <w:r>
              <w:rPr>
                <w:spacing w:val="-13"/>
              </w:rPr>
              <w:t xml:space="preserve"> </w:t>
            </w:r>
            <w:r>
              <w:t>£73,110.55</w:t>
            </w:r>
          </w:p>
        </w:tc>
      </w:tr>
      <w:tr w:rsidR="001C5E4E">
        <w:trPr>
          <w:trHeight w:val="793"/>
        </w:trPr>
        <w:tc>
          <w:tcPr>
            <w:tcW w:w="2470" w:type="dxa"/>
          </w:tcPr>
          <w:p w:rsidR="001C5E4E" w:rsidRDefault="001C5E4E">
            <w:pPr>
              <w:pStyle w:val="TableParagraph"/>
              <w:rPr>
                <w:rFonts w:ascii="Times New Roman"/>
              </w:rPr>
            </w:pPr>
          </w:p>
        </w:tc>
        <w:tc>
          <w:tcPr>
            <w:tcW w:w="7403" w:type="dxa"/>
          </w:tcPr>
          <w:p w:rsidR="001C5E4E" w:rsidRDefault="003E09C0">
            <w:pPr>
              <w:pStyle w:val="TableParagraph"/>
              <w:spacing w:before="113"/>
              <w:ind w:left="106"/>
              <w:rPr>
                <w:b/>
              </w:rPr>
            </w:pPr>
            <w:r>
              <w:rPr>
                <w:b/>
              </w:rPr>
              <w:t>If clause Z49 applies</w:t>
            </w:r>
          </w:p>
          <w:p w:rsidR="001C5E4E" w:rsidRDefault="003E09C0">
            <w:pPr>
              <w:pStyle w:val="TableParagraph"/>
              <w:spacing w:before="147" w:line="245" w:lineRule="exact"/>
              <w:ind w:left="106"/>
            </w:pPr>
            <w:r>
              <w:t xml:space="preserve">The </w:t>
            </w:r>
            <w:r>
              <w:rPr>
                <w:i/>
              </w:rPr>
              <w:t xml:space="preserve">credit ratings </w:t>
            </w:r>
            <w:r>
              <w:t>at the Contract Date and the rating agencies issuing them are</w:t>
            </w:r>
          </w:p>
        </w:tc>
      </w:tr>
    </w:tbl>
    <w:p w:rsidR="001C5E4E" w:rsidRDefault="001C5E4E">
      <w:pPr>
        <w:pStyle w:val="BodyText"/>
        <w:rPr>
          <w:b/>
          <w:sz w:val="20"/>
        </w:rPr>
      </w:pPr>
    </w:p>
    <w:p w:rsidR="001C5E4E" w:rsidRDefault="001C5E4E">
      <w:pPr>
        <w:pStyle w:val="BodyText"/>
        <w:rPr>
          <w:b/>
          <w:sz w:val="20"/>
        </w:rPr>
      </w:pPr>
    </w:p>
    <w:p w:rsidR="001C5E4E" w:rsidRDefault="001D3DDF">
      <w:pPr>
        <w:pStyle w:val="BodyText"/>
        <w:spacing w:before="2"/>
        <w:rPr>
          <w:b/>
          <w:sz w:val="18"/>
        </w:rPr>
      </w:pPr>
      <w:r>
        <w:pict>
          <v:shape id="_x0000_s1031" style="position:absolute;margin-left:56.75pt;margin-top:13.5pt;width:495pt;height:.1pt;z-index:-15726080;mso-wrap-distance-left:0;mso-wrap-distance-right:0;mso-position-horizontal-relative:page" coordorigin="1135,270" coordsize="9900,0" path="m1135,270r9900,e" filled="f">
            <v:path arrowok="t"/>
            <w10:wrap type="topAndBottom" anchorx="page"/>
          </v:shape>
        </w:pict>
      </w:r>
    </w:p>
    <w:p w:rsidR="001C5E4E" w:rsidRDefault="001C5E4E">
      <w:pPr>
        <w:rPr>
          <w:sz w:val="18"/>
        </w:rPr>
        <w:sectPr w:rsidR="001C5E4E">
          <w:headerReference w:type="default" r:id="rId8"/>
          <w:footerReference w:type="default" r:id="rId9"/>
          <w:pgSz w:w="11910" w:h="16850"/>
          <w:pgMar w:top="1400" w:right="620" w:bottom="1080" w:left="940" w:header="1112" w:footer="892" w:gutter="0"/>
          <w:pgNumType w:start="12"/>
          <w:cols w:space="720"/>
        </w:sectPr>
      </w:pPr>
    </w:p>
    <w:p w:rsidR="001C5E4E" w:rsidRDefault="001C5E4E">
      <w:pPr>
        <w:pStyle w:val="BodyText"/>
        <w:spacing w:before="2" w:after="1"/>
        <w:rPr>
          <w:b/>
          <w:sz w:val="27"/>
        </w:rPr>
      </w:pPr>
      <w:bookmarkStart w:id="4" w:name="_bookmark3"/>
      <w:bookmarkEnd w:id="4"/>
    </w:p>
    <w:tbl>
      <w:tblPr>
        <w:tblW w:w="0" w:type="auto"/>
        <w:tblInd w:w="2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2"/>
        <w:gridCol w:w="2192"/>
        <w:gridCol w:w="2192"/>
      </w:tblGrid>
      <w:tr w:rsidR="001C5E4E">
        <w:trPr>
          <w:trHeight w:val="534"/>
        </w:trPr>
        <w:tc>
          <w:tcPr>
            <w:tcW w:w="2192" w:type="dxa"/>
          </w:tcPr>
          <w:p w:rsidR="001C5E4E" w:rsidRDefault="003E09C0">
            <w:pPr>
              <w:pStyle w:val="TableParagraph"/>
              <w:spacing w:before="119"/>
              <w:ind w:left="108"/>
            </w:pPr>
            <w:r>
              <w:t>party</w:t>
            </w:r>
          </w:p>
        </w:tc>
        <w:tc>
          <w:tcPr>
            <w:tcW w:w="2192" w:type="dxa"/>
          </w:tcPr>
          <w:p w:rsidR="001C5E4E" w:rsidRDefault="003E09C0">
            <w:pPr>
              <w:pStyle w:val="TableParagraph"/>
              <w:spacing w:before="119"/>
              <w:ind w:left="107"/>
            </w:pPr>
            <w:r>
              <w:t>rating agency</w:t>
            </w:r>
          </w:p>
        </w:tc>
        <w:tc>
          <w:tcPr>
            <w:tcW w:w="2192" w:type="dxa"/>
          </w:tcPr>
          <w:p w:rsidR="001C5E4E" w:rsidRDefault="003E09C0">
            <w:pPr>
              <w:pStyle w:val="TableParagraph"/>
              <w:spacing w:before="119"/>
              <w:ind w:left="107"/>
              <w:rPr>
                <w:i/>
              </w:rPr>
            </w:pPr>
            <w:r>
              <w:rPr>
                <w:i/>
              </w:rPr>
              <w:t>credit rating</w:t>
            </w:r>
          </w:p>
        </w:tc>
      </w:tr>
      <w:tr w:rsidR="001C5E4E">
        <w:trPr>
          <w:trHeight w:val="1878"/>
        </w:trPr>
        <w:tc>
          <w:tcPr>
            <w:tcW w:w="2192" w:type="dxa"/>
          </w:tcPr>
          <w:p w:rsidR="001C5E4E" w:rsidRDefault="003E09C0">
            <w:pPr>
              <w:pStyle w:val="TableParagraph"/>
              <w:spacing w:before="119"/>
              <w:ind w:left="108"/>
              <w:rPr>
                <w:i/>
              </w:rPr>
            </w:pPr>
            <w:r>
              <w:rPr>
                <w:i/>
              </w:rPr>
              <w:t>TRL Limited</w:t>
            </w:r>
          </w:p>
        </w:tc>
        <w:tc>
          <w:tcPr>
            <w:tcW w:w="2192" w:type="dxa"/>
          </w:tcPr>
          <w:p w:rsidR="001C5E4E" w:rsidRDefault="003E09C0">
            <w:pPr>
              <w:pStyle w:val="TableParagraph"/>
              <w:spacing w:before="119"/>
              <w:ind w:left="107"/>
            </w:pPr>
            <w:r>
              <w:t>Dun &amp; Bradstreet</w:t>
            </w:r>
          </w:p>
        </w:tc>
        <w:tc>
          <w:tcPr>
            <w:tcW w:w="2192" w:type="dxa"/>
          </w:tcPr>
          <w:p w:rsidR="001C5E4E" w:rsidRDefault="003E09C0">
            <w:pPr>
              <w:pStyle w:val="TableParagraph"/>
              <w:ind w:left="107" w:right="144"/>
            </w:pPr>
            <w:r>
              <w:t>Payment Behaviour – 69 Low-Moderate Risk</w:t>
            </w:r>
          </w:p>
          <w:p w:rsidR="001C5E4E" w:rsidRDefault="003E09C0">
            <w:pPr>
              <w:pStyle w:val="TableParagraph"/>
              <w:ind w:left="107" w:right="318"/>
            </w:pPr>
            <w:r>
              <w:t>Cash Flow Risk – 87 Low Risk</w:t>
            </w:r>
          </w:p>
        </w:tc>
      </w:tr>
    </w:tbl>
    <w:p w:rsidR="001C5E4E" w:rsidRDefault="001C5E4E">
      <w:pPr>
        <w:sectPr w:rsidR="001C5E4E">
          <w:headerReference w:type="default" r:id="rId10"/>
          <w:footerReference w:type="default" r:id="rId11"/>
          <w:pgSz w:w="11910" w:h="16850"/>
          <w:pgMar w:top="1400" w:right="620" w:bottom="1080" w:left="940" w:header="1112" w:footer="892" w:gutter="0"/>
          <w:pgNumType w:start="13"/>
          <w:cols w:space="720"/>
        </w:sectPr>
      </w:pPr>
    </w:p>
    <w:p w:rsidR="001C5E4E" w:rsidRDefault="001C5E4E">
      <w:pPr>
        <w:pStyle w:val="BodyText"/>
        <w:spacing w:before="7"/>
        <w:rPr>
          <w:b/>
        </w:rPr>
      </w:pPr>
    </w:p>
    <w:p w:rsidR="001C5E4E" w:rsidRDefault="003E09C0">
      <w:pPr>
        <w:pStyle w:val="ListParagraph"/>
        <w:numPr>
          <w:ilvl w:val="1"/>
          <w:numId w:val="70"/>
        </w:numPr>
        <w:tabs>
          <w:tab w:val="left" w:pos="1276"/>
        </w:tabs>
        <w:spacing w:before="56"/>
        <w:ind w:left="1275" w:hanging="361"/>
        <w:jc w:val="left"/>
        <w:rPr>
          <w:b/>
        </w:rPr>
      </w:pPr>
      <w:r>
        <w:rPr>
          <w:b/>
          <w:color w:val="C00000"/>
          <w:u w:val="single" w:color="C00000"/>
        </w:rPr>
        <w:t>PROFESSIONAL SERVICES CONTRACT ANNEX D – OPTIONAL Z</w:t>
      </w:r>
      <w:r>
        <w:rPr>
          <w:b/>
          <w:color w:val="C00000"/>
          <w:spacing w:val="-10"/>
          <w:u w:val="single" w:color="C00000"/>
        </w:rPr>
        <w:t xml:space="preserve"> </w:t>
      </w:r>
      <w:r>
        <w:rPr>
          <w:b/>
          <w:color w:val="C00000"/>
          <w:u w:val="single" w:color="C00000"/>
        </w:rPr>
        <w:t>CLAUSES</w:t>
      </w:r>
    </w:p>
    <w:p w:rsidR="001C5E4E" w:rsidRDefault="001C5E4E">
      <w:pPr>
        <w:pStyle w:val="BodyText"/>
        <w:rPr>
          <w:b/>
          <w:sz w:val="20"/>
        </w:rPr>
      </w:pPr>
    </w:p>
    <w:p w:rsidR="001C5E4E" w:rsidRDefault="001C5E4E">
      <w:pPr>
        <w:pStyle w:val="BodyText"/>
        <w:spacing w:before="1"/>
        <w:rPr>
          <w:b/>
          <w:sz w:val="25"/>
        </w:rPr>
      </w:pPr>
    </w:p>
    <w:tbl>
      <w:tblPr>
        <w:tblW w:w="0" w:type="auto"/>
        <w:tblInd w:w="1267" w:type="dxa"/>
        <w:tblLayout w:type="fixed"/>
        <w:tblCellMar>
          <w:left w:w="0" w:type="dxa"/>
          <w:right w:w="0" w:type="dxa"/>
        </w:tblCellMar>
        <w:tblLook w:val="01E0" w:firstRow="1" w:lastRow="1" w:firstColumn="1" w:lastColumn="1" w:noHBand="0" w:noVBand="0"/>
      </w:tblPr>
      <w:tblGrid>
        <w:gridCol w:w="1170"/>
        <w:gridCol w:w="7185"/>
      </w:tblGrid>
      <w:tr w:rsidR="001C5E4E">
        <w:trPr>
          <w:trHeight w:val="4367"/>
        </w:trPr>
        <w:tc>
          <w:tcPr>
            <w:tcW w:w="1170" w:type="dxa"/>
          </w:tcPr>
          <w:p w:rsidR="001C5E4E" w:rsidRDefault="003E09C0">
            <w:pPr>
              <w:pStyle w:val="TableParagraph"/>
              <w:spacing w:line="225" w:lineRule="exact"/>
              <w:ind w:right="105"/>
              <w:jc w:val="right"/>
              <w:rPr>
                <w:b/>
              </w:rPr>
            </w:pPr>
            <w:r>
              <w:rPr>
                <w:b/>
              </w:rPr>
              <w:t>Clause Z1</w:t>
            </w:r>
          </w:p>
        </w:tc>
        <w:tc>
          <w:tcPr>
            <w:tcW w:w="7185" w:type="dxa"/>
          </w:tcPr>
          <w:p w:rsidR="001C5E4E" w:rsidRDefault="003E09C0">
            <w:pPr>
              <w:pStyle w:val="TableParagraph"/>
              <w:spacing w:line="225" w:lineRule="exact"/>
              <w:ind w:left="107"/>
              <w:jc w:val="both"/>
              <w:rPr>
                <w:b/>
              </w:rPr>
            </w:pPr>
            <w:r>
              <w:rPr>
                <w:b/>
              </w:rPr>
              <w:t>Interpretation and the law</w:t>
            </w:r>
          </w:p>
          <w:p w:rsidR="001C5E4E" w:rsidRDefault="003E09C0">
            <w:pPr>
              <w:pStyle w:val="TableParagraph"/>
              <w:spacing w:before="120"/>
              <w:ind w:left="107"/>
              <w:jc w:val="both"/>
            </w:pPr>
            <w:r>
              <w:t>Z1.1 In this contract, except where the context shows otherwise:</w:t>
            </w:r>
          </w:p>
          <w:p w:rsidR="001C5E4E" w:rsidRDefault="003E09C0">
            <w:pPr>
              <w:pStyle w:val="TableParagraph"/>
              <w:numPr>
                <w:ilvl w:val="0"/>
                <w:numId w:val="40"/>
              </w:numPr>
              <w:tabs>
                <w:tab w:val="left" w:pos="829"/>
              </w:tabs>
              <w:spacing w:before="120"/>
              <w:ind w:right="201"/>
              <w:jc w:val="both"/>
            </w:pPr>
            <w:r>
              <w:t>references to a document include any revision made to it in accordance with this contract;</w:t>
            </w:r>
          </w:p>
          <w:p w:rsidR="001C5E4E" w:rsidRDefault="003E09C0">
            <w:pPr>
              <w:pStyle w:val="TableParagraph"/>
              <w:numPr>
                <w:ilvl w:val="0"/>
                <w:numId w:val="40"/>
              </w:numPr>
              <w:tabs>
                <w:tab w:val="left" w:pos="829"/>
              </w:tabs>
              <w:spacing w:before="121"/>
              <w:ind w:right="203"/>
              <w:jc w:val="both"/>
            </w:pPr>
            <w:r>
              <w:t>references to a statute or statutory instrument include any amendment or re-enactment of it from time to time and any subordinate legislation or code of practice made under</w:t>
            </w:r>
            <w:r>
              <w:rPr>
                <w:spacing w:val="-14"/>
              </w:rPr>
              <w:t xml:space="preserve"> </w:t>
            </w:r>
            <w:r>
              <w:t>it;</w:t>
            </w:r>
          </w:p>
          <w:p w:rsidR="001C5E4E" w:rsidRDefault="003E09C0">
            <w:pPr>
              <w:pStyle w:val="TableParagraph"/>
              <w:numPr>
                <w:ilvl w:val="0"/>
                <w:numId w:val="40"/>
              </w:numPr>
              <w:tabs>
                <w:tab w:val="left" w:pos="829"/>
              </w:tabs>
              <w:spacing w:before="119"/>
              <w:ind w:right="205"/>
              <w:jc w:val="both"/>
            </w:pPr>
            <w:r>
              <w:t>references to a British, European or International standard include any current relevant standard that replaces</w:t>
            </w:r>
            <w:r>
              <w:rPr>
                <w:spacing w:val="-6"/>
              </w:rPr>
              <w:t xml:space="preserve"> </w:t>
            </w:r>
            <w:r>
              <w:t>it;</w:t>
            </w:r>
          </w:p>
          <w:p w:rsidR="001C5E4E" w:rsidRDefault="003E09C0">
            <w:pPr>
              <w:pStyle w:val="TableParagraph"/>
              <w:numPr>
                <w:ilvl w:val="0"/>
                <w:numId w:val="40"/>
              </w:numPr>
              <w:tabs>
                <w:tab w:val="left" w:pos="829"/>
              </w:tabs>
              <w:spacing w:before="121"/>
              <w:ind w:right="200"/>
              <w:jc w:val="both"/>
            </w:pPr>
            <w:r>
              <w:t>references to persons or organisations will be construed so as to include bodies corporate, unincorporated associations, partnerships and any other legal entity;</w:t>
            </w:r>
            <w:r>
              <w:rPr>
                <w:spacing w:val="-7"/>
              </w:rPr>
              <w:t xml:space="preserve"> </w:t>
            </w:r>
            <w:r>
              <w:t>and</w:t>
            </w:r>
          </w:p>
          <w:p w:rsidR="001C5E4E" w:rsidRDefault="003E09C0">
            <w:pPr>
              <w:pStyle w:val="TableParagraph"/>
              <w:numPr>
                <w:ilvl w:val="0"/>
                <w:numId w:val="40"/>
              </w:numPr>
              <w:tabs>
                <w:tab w:val="left" w:pos="829"/>
              </w:tabs>
              <w:spacing w:before="121"/>
              <w:ind w:hanging="362"/>
              <w:jc w:val="both"/>
            </w:pPr>
            <w:r>
              <w:t>the words “includes” or “including” are construed without</w:t>
            </w:r>
            <w:r>
              <w:rPr>
                <w:spacing w:val="-26"/>
              </w:rPr>
              <w:t xml:space="preserve"> </w:t>
            </w:r>
            <w:r>
              <w:t>limitation.</w:t>
            </w:r>
          </w:p>
        </w:tc>
      </w:tr>
      <w:tr w:rsidR="001C5E4E">
        <w:trPr>
          <w:trHeight w:val="4235"/>
        </w:trPr>
        <w:tc>
          <w:tcPr>
            <w:tcW w:w="1170" w:type="dxa"/>
          </w:tcPr>
          <w:p w:rsidR="001C5E4E" w:rsidRDefault="003E09C0">
            <w:pPr>
              <w:pStyle w:val="TableParagraph"/>
              <w:spacing w:before="99"/>
              <w:ind w:right="105"/>
              <w:jc w:val="right"/>
              <w:rPr>
                <w:b/>
              </w:rPr>
            </w:pPr>
            <w:r>
              <w:rPr>
                <w:b/>
              </w:rPr>
              <w:t>Clause Z2</w:t>
            </w:r>
          </w:p>
        </w:tc>
        <w:tc>
          <w:tcPr>
            <w:tcW w:w="7185" w:type="dxa"/>
          </w:tcPr>
          <w:p w:rsidR="001C5E4E" w:rsidRDefault="003E09C0">
            <w:pPr>
              <w:pStyle w:val="TableParagraph"/>
              <w:spacing w:before="99"/>
              <w:ind w:left="107"/>
              <w:jc w:val="both"/>
              <w:rPr>
                <w:b/>
              </w:rPr>
            </w:pPr>
            <w:r>
              <w:rPr>
                <w:b/>
              </w:rPr>
              <w:t>Corrupt practices</w:t>
            </w:r>
          </w:p>
          <w:p w:rsidR="001C5E4E" w:rsidRDefault="003E09C0">
            <w:pPr>
              <w:pStyle w:val="TableParagraph"/>
              <w:spacing w:before="120"/>
              <w:ind w:left="107"/>
              <w:jc w:val="both"/>
            </w:pPr>
            <w:r>
              <w:t xml:space="preserve">Z2.1 The </w:t>
            </w:r>
            <w:r>
              <w:rPr>
                <w:i/>
              </w:rPr>
              <w:t xml:space="preserve">Consultant </w:t>
            </w:r>
            <w:r>
              <w:t>does not:</w:t>
            </w:r>
          </w:p>
          <w:p w:rsidR="001C5E4E" w:rsidRDefault="003E09C0">
            <w:pPr>
              <w:pStyle w:val="TableParagraph"/>
              <w:numPr>
                <w:ilvl w:val="0"/>
                <w:numId w:val="39"/>
              </w:numPr>
              <w:tabs>
                <w:tab w:val="left" w:pos="828"/>
                <w:tab w:val="left" w:pos="829"/>
              </w:tabs>
              <w:spacing w:before="120"/>
              <w:ind w:right="200"/>
              <w:jc w:val="both"/>
            </w:pPr>
            <w:r>
              <w:t xml:space="preserve">offer or give to any person in the service of the </w:t>
            </w:r>
            <w:r>
              <w:rPr>
                <w:i/>
              </w:rPr>
              <w:t xml:space="preserve">Employer </w:t>
            </w:r>
            <w:r>
              <w:t>any gift or consideration of any kind as an inducement or reward in relation to the obtaining or execution of this contract or any other contract</w:t>
            </w:r>
            <w:r>
              <w:rPr>
                <w:spacing w:val="-26"/>
              </w:rPr>
              <w:t xml:space="preserve"> </w:t>
            </w:r>
            <w:r>
              <w:t xml:space="preserve">with the </w:t>
            </w:r>
            <w:r>
              <w:rPr>
                <w:i/>
              </w:rPr>
              <w:t xml:space="preserve">Employer </w:t>
            </w:r>
            <w:r>
              <w:t xml:space="preserve">or for showing favour or disfavour to any person in relation to this contract or any other contract with the </w:t>
            </w:r>
            <w:r>
              <w:rPr>
                <w:i/>
              </w:rPr>
              <w:t>Employer</w:t>
            </w:r>
            <w:r>
              <w:t>;</w:t>
            </w:r>
            <w:r>
              <w:rPr>
                <w:spacing w:val="-11"/>
              </w:rPr>
              <w:t xml:space="preserve"> </w:t>
            </w:r>
            <w:r>
              <w:t>or</w:t>
            </w:r>
          </w:p>
          <w:p w:rsidR="001C5E4E" w:rsidRDefault="003E09C0">
            <w:pPr>
              <w:pStyle w:val="TableParagraph"/>
              <w:numPr>
                <w:ilvl w:val="0"/>
                <w:numId w:val="39"/>
              </w:numPr>
              <w:tabs>
                <w:tab w:val="left" w:pos="828"/>
                <w:tab w:val="left" w:pos="829"/>
              </w:tabs>
              <w:spacing w:before="120"/>
              <w:ind w:right="198"/>
              <w:jc w:val="both"/>
            </w:pPr>
            <w:r>
              <w:t xml:space="preserve">enter into this contract or any other contract with the </w:t>
            </w:r>
            <w:r>
              <w:rPr>
                <w:i/>
              </w:rPr>
              <w:t xml:space="preserve">Employer </w:t>
            </w:r>
            <w:r>
              <w:t>if, in connection</w:t>
            </w:r>
            <w:r>
              <w:rPr>
                <w:spacing w:val="-9"/>
              </w:rPr>
              <w:t xml:space="preserve"> </w:t>
            </w:r>
            <w:r>
              <w:t>with</w:t>
            </w:r>
            <w:r>
              <w:rPr>
                <w:spacing w:val="-9"/>
              </w:rPr>
              <w:t xml:space="preserve"> </w:t>
            </w:r>
            <w:r>
              <w:t>this</w:t>
            </w:r>
            <w:r>
              <w:rPr>
                <w:spacing w:val="-6"/>
              </w:rPr>
              <w:t xml:space="preserve"> </w:t>
            </w:r>
            <w:r>
              <w:t>contract</w:t>
            </w:r>
            <w:r>
              <w:rPr>
                <w:spacing w:val="-7"/>
              </w:rPr>
              <w:t xml:space="preserve"> </w:t>
            </w:r>
            <w:r>
              <w:t>or</w:t>
            </w:r>
            <w:r>
              <w:rPr>
                <w:spacing w:val="-6"/>
              </w:rPr>
              <w:t xml:space="preserve"> </w:t>
            </w:r>
            <w:r>
              <w:t>any</w:t>
            </w:r>
            <w:r>
              <w:rPr>
                <w:spacing w:val="-5"/>
              </w:rPr>
              <w:t xml:space="preserve"> </w:t>
            </w:r>
            <w:r>
              <w:t>such</w:t>
            </w:r>
            <w:r>
              <w:rPr>
                <w:spacing w:val="-9"/>
              </w:rPr>
              <w:t xml:space="preserve"> </w:t>
            </w:r>
            <w:r>
              <w:t>other</w:t>
            </w:r>
            <w:r>
              <w:rPr>
                <w:spacing w:val="-6"/>
              </w:rPr>
              <w:t xml:space="preserve"> </w:t>
            </w:r>
            <w:r>
              <w:t>contract,</w:t>
            </w:r>
            <w:r>
              <w:rPr>
                <w:spacing w:val="-5"/>
              </w:rPr>
              <w:t xml:space="preserve"> </w:t>
            </w:r>
            <w:r>
              <w:t>commission has been paid or an agreement for the payment of commission has been made by him or on his behalf or to his</w:t>
            </w:r>
            <w:r>
              <w:rPr>
                <w:spacing w:val="-12"/>
              </w:rPr>
              <w:t xml:space="preserve"> </w:t>
            </w:r>
            <w:r>
              <w:t>knowledge.</w:t>
            </w:r>
          </w:p>
          <w:p w:rsidR="001C5E4E" w:rsidRDefault="003E09C0">
            <w:pPr>
              <w:pStyle w:val="TableParagraph"/>
              <w:spacing w:before="121"/>
              <w:ind w:left="107" w:right="205"/>
              <w:jc w:val="both"/>
            </w:pPr>
            <w:r>
              <w:t xml:space="preserve">Z2.2 A failure to comply with this clause is treated as a substantial failure by the </w:t>
            </w:r>
            <w:r>
              <w:rPr>
                <w:i/>
              </w:rPr>
              <w:t xml:space="preserve">Consultant </w:t>
            </w:r>
            <w:r>
              <w:t>to comply with his obligations.</w:t>
            </w:r>
          </w:p>
        </w:tc>
      </w:tr>
      <w:tr w:rsidR="001C5E4E">
        <w:trPr>
          <w:trHeight w:val="2374"/>
        </w:trPr>
        <w:tc>
          <w:tcPr>
            <w:tcW w:w="1170" w:type="dxa"/>
          </w:tcPr>
          <w:p w:rsidR="001C5E4E" w:rsidRDefault="003E09C0">
            <w:pPr>
              <w:pStyle w:val="TableParagraph"/>
              <w:spacing w:before="100"/>
              <w:ind w:right="105"/>
              <w:jc w:val="right"/>
              <w:rPr>
                <w:b/>
              </w:rPr>
            </w:pPr>
            <w:r>
              <w:rPr>
                <w:b/>
              </w:rPr>
              <w:t>Clause Z3</w:t>
            </w:r>
          </w:p>
        </w:tc>
        <w:tc>
          <w:tcPr>
            <w:tcW w:w="7185" w:type="dxa"/>
          </w:tcPr>
          <w:p w:rsidR="001C5E4E" w:rsidRDefault="003E09C0">
            <w:pPr>
              <w:pStyle w:val="TableParagraph"/>
              <w:spacing w:before="100"/>
              <w:ind w:left="107"/>
              <w:jc w:val="both"/>
              <w:rPr>
                <w:b/>
                <w:i/>
              </w:rPr>
            </w:pPr>
            <w:r>
              <w:rPr>
                <w:b/>
              </w:rPr>
              <w:t xml:space="preserve">Recovery of sums due from </w:t>
            </w:r>
            <w:r>
              <w:rPr>
                <w:b/>
                <w:i/>
              </w:rPr>
              <w:t>Consultant</w:t>
            </w:r>
          </w:p>
          <w:p w:rsidR="001C5E4E" w:rsidRDefault="001C5E4E">
            <w:pPr>
              <w:pStyle w:val="TableParagraph"/>
              <w:spacing w:before="10"/>
              <w:rPr>
                <w:b/>
                <w:sz w:val="31"/>
              </w:rPr>
            </w:pPr>
          </w:p>
          <w:p w:rsidR="001C5E4E" w:rsidRDefault="003E09C0">
            <w:pPr>
              <w:pStyle w:val="TableParagraph"/>
              <w:ind w:left="107" w:right="200"/>
              <w:jc w:val="both"/>
            </w:pPr>
            <w:r>
              <w:t xml:space="preserve">Z3.1 Where under this contract any sum of money is recoverable from or payable by the </w:t>
            </w:r>
            <w:r>
              <w:rPr>
                <w:i/>
              </w:rPr>
              <w:t>Consultant</w:t>
            </w:r>
            <w:r>
              <w:t xml:space="preserve">, such sum may be deducted from or reduced by the amount of any sum or sums then due or which at any time after may become due to the </w:t>
            </w:r>
            <w:r>
              <w:rPr>
                <w:i/>
              </w:rPr>
              <w:t xml:space="preserve">Consultant </w:t>
            </w:r>
            <w:r>
              <w:t>under this contract or any other contract with any Department or Office of Her Majesty's Government.</w:t>
            </w:r>
          </w:p>
        </w:tc>
      </w:tr>
      <w:tr w:rsidR="001C5E4E">
        <w:trPr>
          <w:trHeight w:val="1156"/>
        </w:trPr>
        <w:tc>
          <w:tcPr>
            <w:tcW w:w="1170" w:type="dxa"/>
          </w:tcPr>
          <w:p w:rsidR="001C5E4E" w:rsidRDefault="001C5E4E">
            <w:pPr>
              <w:pStyle w:val="TableParagraph"/>
              <w:spacing w:before="2"/>
              <w:rPr>
                <w:b/>
                <w:sz w:val="19"/>
              </w:rPr>
            </w:pPr>
          </w:p>
          <w:p w:rsidR="001C5E4E" w:rsidRDefault="003E09C0">
            <w:pPr>
              <w:pStyle w:val="TableParagraph"/>
              <w:ind w:right="105"/>
              <w:jc w:val="right"/>
              <w:rPr>
                <w:b/>
              </w:rPr>
            </w:pPr>
            <w:r>
              <w:rPr>
                <w:b/>
              </w:rPr>
              <w:t>Clause Z4</w:t>
            </w:r>
          </w:p>
        </w:tc>
        <w:tc>
          <w:tcPr>
            <w:tcW w:w="7185" w:type="dxa"/>
          </w:tcPr>
          <w:p w:rsidR="001C5E4E" w:rsidRDefault="001C5E4E">
            <w:pPr>
              <w:pStyle w:val="TableParagraph"/>
              <w:spacing w:before="2"/>
              <w:rPr>
                <w:b/>
                <w:sz w:val="19"/>
              </w:rPr>
            </w:pPr>
          </w:p>
          <w:p w:rsidR="001C5E4E" w:rsidRDefault="003E09C0">
            <w:pPr>
              <w:pStyle w:val="TableParagraph"/>
              <w:ind w:left="107"/>
              <w:rPr>
                <w:b/>
              </w:rPr>
            </w:pPr>
            <w:r>
              <w:rPr>
                <w:b/>
              </w:rPr>
              <w:t>Assignment</w:t>
            </w:r>
          </w:p>
          <w:p w:rsidR="001C5E4E" w:rsidRDefault="003E09C0">
            <w:pPr>
              <w:pStyle w:val="TableParagraph"/>
              <w:spacing w:before="119" w:line="270" w:lineRule="atLeast"/>
              <w:ind w:left="107"/>
            </w:pPr>
            <w:r>
              <w:t xml:space="preserve">Z4.1 The </w:t>
            </w:r>
            <w:r>
              <w:rPr>
                <w:i/>
              </w:rPr>
              <w:t xml:space="preserve">Consultant </w:t>
            </w:r>
            <w:r>
              <w:t>does not assign, transfer or charge the benefit of this contract or any part of it or any benefit or interest under it without the prior</w:t>
            </w:r>
          </w:p>
        </w:tc>
      </w:tr>
    </w:tbl>
    <w:p w:rsidR="001C5E4E" w:rsidRDefault="001C5E4E">
      <w:pPr>
        <w:spacing w:line="270" w:lineRule="atLeast"/>
        <w:sectPr w:rsidR="001C5E4E">
          <w:pgSz w:w="11910" w:h="16850"/>
          <w:pgMar w:top="1400" w:right="620" w:bottom="1080" w:left="940" w:header="1112" w:footer="892" w:gutter="0"/>
          <w:cols w:space="720"/>
        </w:sectPr>
      </w:pPr>
    </w:p>
    <w:p w:rsidR="001C5E4E" w:rsidRDefault="001C5E4E">
      <w:pPr>
        <w:pStyle w:val="BodyText"/>
        <w:rPr>
          <w:b/>
          <w:sz w:val="20"/>
        </w:rPr>
      </w:pPr>
    </w:p>
    <w:p w:rsidR="001C5E4E" w:rsidRDefault="001C5E4E">
      <w:pPr>
        <w:pStyle w:val="BodyText"/>
        <w:spacing w:before="9"/>
        <w:rPr>
          <w:b/>
          <w:sz w:val="10"/>
        </w:rPr>
      </w:pPr>
    </w:p>
    <w:tbl>
      <w:tblPr>
        <w:tblW w:w="0" w:type="auto"/>
        <w:tblInd w:w="1267" w:type="dxa"/>
        <w:tblLayout w:type="fixed"/>
        <w:tblCellMar>
          <w:left w:w="0" w:type="dxa"/>
          <w:right w:w="0" w:type="dxa"/>
        </w:tblCellMar>
        <w:tblLook w:val="01E0" w:firstRow="1" w:lastRow="1" w:firstColumn="1" w:lastColumn="1" w:noHBand="0" w:noVBand="0"/>
      </w:tblPr>
      <w:tblGrid>
        <w:gridCol w:w="1170"/>
        <w:gridCol w:w="7184"/>
      </w:tblGrid>
      <w:tr w:rsidR="001C5E4E">
        <w:trPr>
          <w:trHeight w:val="1214"/>
        </w:trPr>
        <w:tc>
          <w:tcPr>
            <w:tcW w:w="1170" w:type="dxa"/>
          </w:tcPr>
          <w:p w:rsidR="001C5E4E" w:rsidRDefault="001C5E4E">
            <w:pPr>
              <w:pStyle w:val="TableParagraph"/>
              <w:rPr>
                <w:rFonts w:ascii="Times New Roman"/>
              </w:rPr>
            </w:pPr>
          </w:p>
        </w:tc>
        <w:tc>
          <w:tcPr>
            <w:tcW w:w="7184" w:type="dxa"/>
          </w:tcPr>
          <w:p w:rsidR="001C5E4E" w:rsidRDefault="003E09C0">
            <w:pPr>
              <w:pStyle w:val="TableParagraph"/>
              <w:spacing w:line="225" w:lineRule="exact"/>
              <w:ind w:left="107"/>
            </w:pPr>
            <w:r>
              <w:t xml:space="preserve">agreement of the </w:t>
            </w:r>
            <w:r>
              <w:rPr>
                <w:i/>
              </w:rPr>
              <w:t>Employer</w:t>
            </w:r>
            <w:r>
              <w:t>.</w:t>
            </w:r>
          </w:p>
          <w:p w:rsidR="001C5E4E" w:rsidRDefault="003E09C0">
            <w:pPr>
              <w:pStyle w:val="TableParagraph"/>
              <w:spacing w:before="118"/>
              <w:ind w:left="107"/>
            </w:pPr>
            <w:r>
              <w:t xml:space="preserve">Z4.2 The </w:t>
            </w:r>
            <w:r>
              <w:rPr>
                <w:i/>
              </w:rPr>
              <w:t>Employer</w:t>
            </w:r>
            <w:r>
              <w:t>’s ability to assign this contract or any part of it or any</w:t>
            </w:r>
          </w:p>
          <w:p w:rsidR="001C5E4E" w:rsidRDefault="003E09C0">
            <w:pPr>
              <w:pStyle w:val="TableParagraph"/>
              <w:ind w:left="107"/>
            </w:pPr>
            <w:r>
              <w:t>benefit or interest under it is unrestricted.</w:t>
            </w:r>
          </w:p>
        </w:tc>
      </w:tr>
      <w:tr w:rsidR="001C5E4E">
        <w:trPr>
          <w:trHeight w:val="10544"/>
        </w:trPr>
        <w:tc>
          <w:tcPr>
            <w:tcW w:w="1170" w:type="dxa"/>
          </w:tcPr>
          <w:p w:rsidR="001C5E4E" w:rsidRDefault="001C5E4E">
            <w:pPr>
              <w:pStyle w:val="TableParagraph"/>
              <w:spacing w:before="1"/>
              <w:rPr>
                <w:b/>
                <w:sz w:val="24"/>
              </w:rPr>
            </w:pPr>
          </w:p>
          <w:p w:rsidR="001C5E4E" w:rsidRDefault="003E09C0">
            <w:pPr>
              <w:pStyle w:val="TableParagraph"/>
              <w:ind w:right="105"/>
              <w:jc w:val="right"/>
              <w:rPr>
                <w:b/>
              </w:rPr>
            </w:pPr>
            <w:r>
              <w:rPr>
                <w:b/>
              </w:rPr>
              <w:t>Clause Z5</w:t>
            </w:r>
          </w:p>
        </w:tc>
        <w:tc>
          <w:tcPr>
            <w:tcW w:w="7184" w:type="dxa"/>
          </w:tcPr>
          <w:p w:rsidR="001C5E4E" w:rsidRDefault="001C5E4E">
            <w:pPr>
              <w:pStyle w:val="TableParagraph"/>
              <w:spacing w:before="1"/>
              <w:rPr>
                <w:b/>
                <w:sz w:val="24"/>
              </w:rPr>
            </w:pPr>
          </w:p>
          <w:p w:rsidR="001C5E4E" w:rsidRDefault="003E09C0">
            <w:pPr>
              <w:pStyle w:val="TableParagraph"/>
              <w:ind w:left="107"/>
              <w:rPr>
                <w:b/>
              </w:rPr>
            </w:pPr>
            <w:r>
              <w:rPr>
                <w:b/>
              </w:rPr>
              <w:t>Discrimination</w:t>
            </w:r>
          </w:p>
          <w:p w:rsidR="001C5E4E" w:rsidRDefault="003E09C0">
            <w:pPr>
              <w:pStyle w:val="TableParagraph"/>
              <w:spacing w:before="121"/>
              <w:ind w:left="107" w:right="200"/>
              <w:jc w:val="both"/>
            </w:pPr>
            <w:r>
              <w:t xml:space="preserve">Z5.1 The </w:t>
            </w:r>
            <w:r>
              <w:rPr>
                <w:i/>
              </w:rPr>
              <w:t xml:space="preserve">Consultant </w:t>
            </w:r>
            <w:r>
              <w:t>does not discriminate directly or indirectly or by way of victimisation or harassment against any person contrary to the Equality Act 2010, any predecessor statute of it or any amendment or re-enactment of it from time to time (the “Discrimination Acts”).</w:t>
            </w:r>
          </w:p>
          <w:p w:rsidR="001C5E4E" w:rsidRDefault="003E09C0">
            <w:pPr>
              <w:pStyle w:val="TableParagraph"/>
              <w:spacing w:before="120"/>
              <w:ind w:left="107" w:right="199"/>
              <w:jc w:val="both"/>
            </w:pPr>
            <w:r>
              <w:t>Z5.2</w:t>
            </w:r>
            <w:r>
              <w:rPr>
                <w:spacing w:val="-11"/>
              </w:rPr>
              <w:t xml:space="preserve"> </w:t>
            </w:r>
            <w:r>
              <w:t>In</w:t>
            </w:r>
            <w:r>
              <w:rPr>
                <w:spacing w:val="-11"/>
              </w:rPr>
              <w:t xml:space="preserve"> </w:t>
            </w:r>
            <w:r>
              <w:t>Providing</w:t>
            </w:r>
            <w:r>
              <w:rPr>
                <w:spacing w:val="-9"/>
              </w:rPr>
              <w:t xml:space="preserve"> </w:t>
            </w:r>
            <w:r>
              <w:t>the</w:t>
            </w:r>
            <w:r>
              <w:rPr>
                <w:spacing w:val="-10"/>
              </w:rPr>
              <w:t xml:space="preserve"> </w:t>
            </w:r>
            <w:r>
              <w:t>Services,</w:t>
            </w:r>
            <w:r>
              <w:rPr>
                <w:spacing w:val="-11"/>
              </w:rPr>
              <w:t xml:space="preserve"> </w:t>
            </w:r>
            <w:r>
              <w:t>the</w:t>
            </w:r>
            <w:r>
              <w:rPr>
                <w:spacing w:val="-7"/>
              </w:rPr>
              <w:t xml:space="preserve"> </w:t>
            </w:r>
            <w:r>
              <w:rPr>
                <w:i/>
              </w:rPr>
              <w:t>Consultant</w:t>
            </w:r>
            <w:r>
              <w:rPr>
                <w:i/>
                <w:spacing w:val="-7"/>
              </w:rPr>
              <w:t xml:space="preserve"> </w:t>
            </w:r>
            <w:r>
              <w:t>co-operates</w:t>
            </w:r>
            <w:r>
              <w:rPr>
                <w:spacing w:val="-11"/>
              </w:rPr>
              <w:t xml:space="preserve"> </w:t>
            </w:r>
            <w:r>
              <w:t>with</w:t>
            </w:r>
            <w:r>
              <w:rPr>
                <w:spacing w:val="-11"/>
              </w:rPr>
              <w:t xml:space="preserve"> </w:t>
            </w:r>
            <w:r>
              <w:t>and</w:t>
            </w:r>
            <w:r>
              <w:rPr>
                <w:spacing w:val="-9"/>
              </w:rPr>
              <w:t xml:space="preserve"> </w:t>
            </w:r>
            <w:r>
              <w:t>assists</w:t>
            </w:r>
            <w:r>
              <w:rPr>
                <w:spacing w:val="-10"/>
              </w:rPr>
              <w:t xml:space="preserve"> </w:t>
            </w:r>
            <w:r>
              <w:t xml:space="preserve">the </w:t>
            </w:r>
            <w:r>
              <w:rPr>
                <w:i/>
              </w:rPr>
              <w:t xml:space="preserve">Employer </w:t>
            </w:r>
            <w:r>
              <w:t>to satisfy his duty under the Discrimination Acts to eliminate unlawful discrimination and to promote equality of opportunity between persons of different racial groups and between disabled people and other people.</w:t>
            </w:r>
          </w:p>
          <w:p w:rsidR="001C5E4E" w:rsidRDefault="003E09C0">
            <w:pPr>
              <w:pStyle w:val="TableParagraph"/>
              <w:spacing w:before="120"/>
              <w:ind w:left="107" w:right="198"/>
              <w:jc w:val="both"/>
            </w:pPr>
            <w:r>
              <w:t xml:space="preserve">Z5.3 Where any employee or Subconsultant employed by the </w:t>
            </w:r>
            <w:r>
              <w:rPr>
                <w:i/>
              </w:rPr>
              <w:t xml:space="preserve">Consultant </w:t>
            </w:r>
            <w:r>
              <w:t xml:space="preserve">is required to carry out any activity alongside the </w:t>
            </w:r>
            <w:r>
              <w:rPr>
                <w:i/>
              </w:rPr>
              <w:t>Employer</w:t>
            </w:r>
            <w:r>
              <w:t xml:space="preserve">’s employees in any premises, the </w:t>
            </w:r>
            <w:r>
              <w:rPr>
                <w:i/>
              </w:rPr>
              <w:t xml:space="preserve">Consultant </w:t>
            </w:r>
            <w:r>
              <w:t xml:space="preserve">ensures that each such employee or Subconsultant complies with the </w:t>
            </w:r>
            <w:r>
              <w:rPr>
                <w:i/>
              </w:rPr>
              <w:t>Employer</w:t>
            </w:r>
            <w:r>
              <w:t>’s employment policies and codes of practice relating to discrimination and equal opportunities.</w:t>
            </w:r>
          </w:p>
          <w:p w:rsidR="001C5E4E" w:rsidRDefault="003E09C0">
            <w:pPr>
              <w:pStyle w:val="TableParagraph"/>
              <w:spacing w:before="121"/>
              <w:ind w:left="107" w:right="198"/>
              <w:jc w:val="both"/>
            </w:pPr>
            <w:r>
              <w:t xml:space="preserve">Z5.4 The </w:t>
            </w:r>
            <w:r>
              <w:rPr>
                <w:i/>
              </w:rPr>
              <w:t xml:space="preserve">Consultant </w:t>
            </w:r>
            <w:r>
              <w:t xml:space="preserve">notifies the </w:t>
            </w:r>
            <w:r>
              <w:rPr>
                <w:i/>
              </w:rPr>
              <w:t xml:space="preserve">Employer </w:t>
            </w:r>
            <w:r>
              <w:t xml:space="preserve">in writing as soon as he becomes aware of any investigation or proceedings brought against the </w:t>
            </w:r>
            <w:r>
              <w:rPr>
                <w:i/>
              </w:rPr>
              <w:t xml:space="preserve">Consultant </w:t>
            </w:r>
            <w:r>
              <w:t>under the Discrimination Acts in connection with this contract and</w:t>
            </w:r>
          </w:p>
          <w:p w:rsidR="001C5E4E" w:rsidRDefault="003E09C0">
            <w:pPr>
              <w:pStyle w:val="TableParagraph"/>
              <w:numPr>
                <w:ilvl w:val="0"/>
                <w:numId w:val="38"/>
              </w:numPr>
              <w:tabs>
                <w:tab w:val="left" w:pos="828"/>
                <w:tab w:val="left" w:pos="829"/>
              </w:tabs>
              <w:spacing w:before="119"/>
              <w:ind w:right="203"/>
            </w:pPr>
            <w:r>
              <w:t xml:space="preserve">provides any information requested by the investigating body, court or </w:t>
            </w:r>
            <w:r>
              <w:rPr>
                <w:i/>
              </w:rPr>
              <w:t xml:space="preserve">tribunal </w:t>
            </w:r>
            <w:r>
              <w:t>in the timescale</w:t>
            </w:r>
            <w:r>
              <w:rPr>
                <w:spacing w:val="-6"/>
              </w:rPr>
              <w:t xml:space="preserve"> </w:t>
            </w:r>
            <w:r>
              <w:t>allotted,</w:t>
            </w:r>
          </w:p>
          <w:p w:rsidR="001C5E4E" w:rsidRDefault="003E09C0">
            <w:pPr>
              <w:pStyle w:val="TableParagraph"/>
              <w:numPr>
                <w:ilvl w:val="0"/>
                <w:numId w:val="38"/>
              </w:numPr>
              <w:tabs>
                <w:tab w:val="left" w:pos="828"/>
                <w:tab w:val="left" w:pos="829"/>
              </w:tabs>
              <w:spacing w:before="121"/>
              <w:ind w:right="199"/>
            </w:pPr>
            <w:r>
              <w:t xml:space="preserve">attends (and permits a representative from the </w:t>
            </w:r>
            <w:r>
              <w:rPr>
                <w:i/>
              </w:rPr>
              <w:t xml:space="preserve">Employer </w:t>
            </w:r>
            <w:r>
              <w:t>to attend) any associated</w:t>
            </w:r>
            <w:r>
              <w:rPr>
                <w:spacing w:val="-3"/>
              </w:rPr>
              <w:t xml:space="preserve"> </w:t>
            </w:r>
            <w:r>
              <w:t>meetings,</w:t>
            </w:r>
          </w:p>
          <w:p w:rsidR="001C5E4E" w:rsidRDefault="003E09C0">
            <w:pPr>
              <w:pStyle w:val="TableParagraph"/>
              <w:numPr>
                <w:ilvl w:val="0"/>
                <w:numId w:val="38"/>
              </w:numPr>
              <w:tabs>
                <w:tab w:val="left" w:pos="828"/>
                <w:tab w:val="left" w:pos="829"/>
              </w:tabs>
              <w:spacing w:before="121"/>
              <w:ind w:right="202"/>
            </w:pPr>
            <w:r>
              <w:t>promptly allows access to any relevant documents and information and</w:t>
            </w:r>
          </w:p>
          <w:p w:rsidR="001C5E4E" w:rsidRDefault="003E09C0">
            <w:pPr>
              <w:pStyle w:val="TableParagraph"/>
              <w:numPr>
                <w:ilvl w:val="0"/>
                <w:numId w:val="38"/>
              </w:numPr>
              <w:tabs>
                <w:tab w:val="left" w:pos="828"/>
                <w:tab w:val="left" w:pos="829"/>
              </w:tabs>
              <w:spacing w:before="118"/>
              <w:ind w:right="201"/>
            </w:pPr>
            <w:r>
              <w:t>cooperates fully and promptly with the investigatory body, court or tribunal.</w:t>
            </w:r>
          </w:p>
          <w:p w:rsidR="001C5E4E" w:rsidRDefault="003E09C0">
            <w:pPr>
              <w:pStyle w:val="TableParagraph"/>
              <w:spacing w:before="121"/>
              <w:ind w:left="107" w:right="200"/>
              <w:jc w:val="both"/>
            </w:pPr>
            <w:r>
              <w:t xml:space="preserve">Z5.5 The </w:t>
            </w:r>
            <w:r>
              <w:rPr>
                <w:i/>
              </w:rPr>
              <w:t xml:space="preserve">Consultant </w:t>
            </w:r>
            <w:r>
              <w:t xml:space="preserve">indemnifies the </w:t>
            </w:r>
            <w:r>
              <w:rPr>
                <w:i/>
              </w:rPr>
              <w:t xml:space="preserve">Employer </w:t>
            </w:r>
            <w:r>
              <w:t xml:space="preserve">against all costs, charges, expenses (including legal and administrative expenses) and payments made by the </w:t>
            </w:r>
            <w:r>
              <w:rPr>
                <w:i/>
              </w:rPr>
              <w:t xml:space="preserve">Employer </w:t>
            </w:r>
            <w:r>
              <w:t>arising out of or in connection with any investigation or proceedings</w:t>
            </w:r>
            <w:r>
              <w:rPr>
                <w:spacing w:val="-3"/>
              </w:rPr>
              <w:t xml:space="preserve"> </w:t>
            </w:r>
            <w:r>
              <w:t>under</w:t>
            </w:r>
            <w:r>
              <w:rPr>
                <w:spacing w:val="-2"/>
              </w:rPr>
              <w:t xml:space="preserve"> </w:t>
            </w:r>
            <w:r>
              <w:t>the</w:t>
            </w:r>
            <w:r>
              <w:rPr>
                <w:spacing w:val="-6"/>
              </w:rPr>
              <w:t xml:space="preserve"> </w:t>
            </w:r>
            <w:r>
              <w:t>Discrimination</w:t>
            </w:r>
            <w:r>
              <w:rPr>
                <w:spacing w:val="-3"/>
              </w:rPr>
              <w:t xml:space="preserve"> </w:t>
            </w:r>
            <w:r>
              <w:t>Acts</w:t>
            </w:r>
            <w:r>
              <w:rPr>
                <w:spacing w:val="-6"/>
              </w:rPr>
              <w:t xml:space="preserve"> </w:t>
            </w:r>
            <w:r>
              <w:t>resulting</w:t>
            </w:r>
            <w:r>
              <w:rPr>
                <w:spacing w:val="-3"/>
              </w:rPr>
              <w:t xml:space="preserve"> </w:t>
            </w:r>
            <w:r>
              <w:t>from</w:t>
            </w:r>
            <w:r>
              <w:rPr>
                <w:spacing w:val="-5"/>
              </w:rPr>
              <w:t xml:space="preserve"> </w:t>
            </w:r>
            <w:r>
              <w:t>any</w:t>
            </w:r>
            <w:r>
              <w:rPr>
                <w:spacing w:val="-2"/>
              </w:rPr>
              <w:t xml:space="preserve"> </w:t>
            </w:r>
            <w:r>
              <w:t>act</w:t>
            </w:r>
            <w:r>
              <w:rPr>
                <w:spacing w:val="-5"/>
              </w:rPr>
              <w:t xml:space="preserve"> </w:t>
            </w:r>
            <w:r>
              <w:t>or</w:t>
            </w:r>
            <w:r>
              <w:rPr>
                <w:spacing w:val="-5"/>
              </w:rPr>
              <w:t xml:space="preserve"> </w:t>
            </w:r>
            <w:r>
              <w:t>omission of the</w:t>
            </w:r>
            <w:r>
              <w:rPr>
                <w:spacing w:val="-2"/>
              </w:rPr>
              <w:t xml:space="preserve"> </w:t>
            </w:r>
            <w:r>
              <w:rPr>
                <w:i/>
              </w:rPr>
              <w:t>Consultant</w:t>
            </w:r>
            <w:r>
              <w:t>.</w:t>
            </w:r>
          </w:p>
          <w:p w:rsidR="001C5E4E" w:rsidRDefault="003E09C0">
            <w:pPr>
              <w:pStyle w:val="TableParagraph"/>
              <w:spacing w:before="119"/>
              <w:ind w:left="107" w:right="200"/>
              <w:jc w:val="both"/>
            </w:pPr>
            <w:r>
              <w:t xml:space="preserve">Z5.6 The </w:t>
            </w:r>
            <w:r>
              <w:rPr>
                <w:i/>
              </w:rPr>
              <w:t xml:space="preserve">Consultant </w:t>
            </w:r>
            <w:r>
              <w:t>includes in the conditions of contract for each Subconsultant obligations substantially similar to those set out above.</w:t>
            </w:r>
          </w:p>
        </w:tc>
      </w:tr>
      <w:tr w:rsidR="001C5E4E">
        <w:trPr>
          <w:trHeight w:val="1291"/>
        </w:trPr>
        <w:tc>
          <w:tcPr>
            <w:tcW w:w="1170" w:type="dxa"/>
          </w:tcPr>
          <w:p w:rsidR="001C5E4E" w:rsidRDefault="003E09C0">
            <w:pPr>
              <w:pStyle w:val="TableParagraph"/>
              <w:spacing w:before="100"/>
              <w:ind w:right="105"/>
              <w:jc w:val="right"/>
              <w:rPr>
                <w:b/>
              </w:rPr>
            </w:pPr>
            <w:r>
              <w:rPr>
                <w:b/>
              </w:rPr>
              <w:t>Clause Z6</w:t>
            </w:r>
          </w:p>
        </w:tc>
        <w:tc>
          <w:tcPr>
            <w:tcW w:w="7184" w:type="dxa"/>
          </w:tcPr>
          <w:p w:rsidR="001C5E4E" w:rsidRDefault="003E09C0">
            <w:pPr>
              <w:pStyle w:val="TableParagraph"/>
              <w:spacing w:before="100"/>
              <w:ind w:left="107"/>
              <w:jc w:val="both"/>
              <w:rPr>
                <w:b/>
              </w:rPr>
            </w:pPr>
            <w:r>
              <w:rPr>
                <w:b/>
              </w:rPr>
              <w:t>Conflict of interest</w:t>
            </w:r>
          </w:p>
          <w:p w:rsidR="001C5E4E" w:rsidRDefault="003E09C0">
            <w:pPr>
              <w:pStyle w:val="TableParagraph"/>
              <w:spacing w:before="119" w:line="270" w:lineRule="atLeast"/>
              <w:ind w:left="107" w:right="199"/>
              <w:jc w:val="both"/>
            </w:pPr>
            <w:r>
              <w:t xml:space="preserve">Z6.1 The </w:t>
            </w:r>
            <w:r>
              <w:rPr>
                <w:i/>
              </w:rPr>
              <w:t xml:space="preserve">Consultant </w:t>
            </w:r>
            <w:r>
              <w:t xml:space="preserve">does not take an action which would cause a conflict of interest to arise in connection with this contract. The </w:t>
            </w:r>
            <w:r>
              <w:rPr>
                <w:i/>
              </w:rPr>
              <w:t xml:space="preserve">Consultant </w:t>
            </w:r>
            <w:r>
              <w:t xml:space="preserve">notifies the </w:t>
            </w:r>
            <w:r>
              <w:rPr>
                <w:i/>
              </w:rPr>
              <w:t xml:space="preserve">Employer </w:t>
            </w:r>
            <w:r>
              <w:t>if there is any uncertainty about whether a conflict of interest may</w:t>
            </w:r>
          </w:p>
        </w:tc>
      </w:tr>
    </w:tbl>
    <w:p w:rsidR="001C5E4E" w:rsidRDefault="001C5E4E">
      <w:pPr>
        <w:spacing w:line="270" w:lineRule="atLeast"/>
        <w:jc w:val="both"/>
        <w:sectPr w:rsidR="001C5E4E">
          <w:pgSz w:w="11910" w:h="16850"/>
          <w:pgMar w:top="1400" w:right="620" w:bottom="1080" w:left="940" w:header="1112" w:footer="892" w:gutter="0"/>
          <w:cols w:space="720"/>
        </w:sectPr>
      </w:pPr>
    </w:p>
    <w:p w:rsidR="001C5E4E" w:rsidRDefault="001C5E4E">
      <w:pPr>
        <w:pStyle w:val="BodyText"/>
        <w:rPr>
          <w:b/>
          <w:sz w:val="20"/>
        </w:rPr>
      </w:pPr>
    </w:p>
    <w:p w:rsidR="001C5E4E" w:rsidRDefault="001C5E4E">
      <w:pPr>
        <w:pStyle w:val="BodyText"/>
        <w:spacing w:before="9"/>
        <w:rPr>
          <w:b/>
          <w:sz w:val="10"/>
        </w:rPr>
      </w:pPr>
    </w:p>
    <w:tbl>
      <w:tblPr>
        <w:tblW w:w="0" w:type="auto"/>
        <w:tblInd w:w="1267" w:type="dxa"/>
        <w:tblLayout w:type="fixed"/>
        <w:tblCellMar>
          <w:left w:w="0" w:type="dxa"/>
          <w:right w:w="0" w:type="dxa"/>
        </w:tblCellMar>
        <w:tblLook w:val="01E0" w:firstRow="1" w:lastRow="1" w:firstColumn="1" w:lastColumn="1" w:noHBand="0" w:noVBand="0"/>
      </w:tblPr>
      <w:tblGrid>
        <w:gridCol w:w="1170"/>
        <w:gridCol w:w="7184"/>
      </w:tblGrid>
      <w:tr w:rsidR="001C5E4E">
        <w:trPr>
          <w:trHeight w:val="1826"/>
        </w:trPr>
        <w:tc>
          <w:tcPr>
            <w:tcW w:w="1170" w:type="dxa"/>
          </w:tcPr>
          <w:p w:rsidR="001C5E4E" w:rsidRDefault="001C5E4E">
            <w:pPr>
              <w:pStyle w:val="TableParagraph"/>
              <w:rPr>
                <w:rFonts w:ascii="Times New Roman"/>
              </w:rPr>
            </w:pPr>
          </w:p>
        </w:tc>
        <w:tc>
          <w:tcPr>
            <w:tcW w:w="7184" w:type="dxa"/>
          </w:tcPr>
          <w:p w:rsidR="001C5E4E" w:rsidRDefault="003E09C0">
            <w:pPr>
              <w:pStyle w:val="TableParagraph"/>
              <w:spacing w:line="225" w:lineRule="exact"/>
              <w:ind w:left="107"/>
              <w:jc w:val="both"/>
            </w:pPr>
            <w:r>
              <w:t>exist or arise.</w:t>
            </w:r>
          </w:p>
          <w:p w:rsidR="001C5E4E" w:rsidRDefault="003E09C0">
            <w:pPr>
              <w:pStyle w:val="TableParagraph"/>
              <w:spacing w:before="118"/>
              <w:ind w:left="107" w:right="200"/>
              <w:jc w:val="both"/>
            </w:pPr>
            <w:r>
              <w:t xml:space="preserve">Z6.2 The </w:t>
            </w:r>
            <w:r>
              <w:rPr>
                <w:i/>
              </w:rPr>
              <w:t xml:space="preserve">Consultant </w:t>
            </w:r>
            <w:r>
              <w:t xml:space="preserve">immediately notifies the </w:t>
            </w:r>
            <w:r>
              <w:rPr>
                <w:i/>
              </w:rPr>
              <w:t xml:space="preserve">Employer </w:t>
            </w:r>
            <w:r>
              <w:t xml:space="preserve">of any circumstances giving rise to or potentially giving rise to conflicts of interest relating to the </w:t>
            </w:r>
            <w:r>
              <w:rPr>
                <w:i/>
              </w:rPr>
              <w:t xml:space="preserve">Consultant </w:t>
            </w:r>
            <w:r>
              <w:t xml:space="preserve">and/or the </w:t>
            </w:r>
            <w:r>
              <w:rPr>
                <w:i/>
              </w:rPr>
              <w:t xml:space="preserve">Employer </w:t>
            </w:r>
            <w:r>
              <w:t xml:space="preserve">(including without limitation its reputation and standing), of which it is aware or anticipates may justify the </w:t>
            </w:r>
            <w:r>
              <w:rPr>
                <w:i/>
              </w:rPr>
              <w:t xml:space="preserve">Employer </w:t>
            </w:r>
            <w:r>
              <w:t>taking action to protect its interests.</w:t>
            </w:r>
          </w:p>
        </w:tc>
      </w:tr>
      <w:tr w:rsidR="001C5E4E">
        <w:trPr>
          <w:trHeight w:val="11559"/>
        </w:trPr>
        <w:tc>
          <w:tcPr>
            <w:tcW w:w="1170" w:type="dxa"/>
          </w:tcPr>
          <w:p w:rsidR="001C5E4E" w:rsidRDefault="003E09C0">
            <w:pPr>
              <w:pStyle w:val="TableParagraph"/>
              <w:spacing w:before="100"/>
              <w:ind w:left="200"/>
              <w:rPr>
                <w:b/>
              </w:rPr>
            </w:pPr>
            <w:r>
              <w:rPr>
                <w:b/>
              </w:rPr>
              <w:t>Clause Z7</w:t>
            </w:r>
          </w:p>
        </w:tc>
        <w:tc>
          <w:tcPr>
            <w:tcW w:w="7184" w:type="dxa"/>
          </w:tcPr>
          <w:p w:rsidR="001C5E4E" w:rsidRDefault="003E09C0">
            <w:pPr>
              <w:pStyle w:val="TableParagraph"/>
              <w:spacing w:before="100"/>
              <w:ind w:left="107"/>
              <w:jc w:val="both"/>
              <w:rPr>
                <w:b/>
              </w:rPr>
            </w:pPr>
            <w:r>
              <w:rPr>
                <w:b/>
              </w:rPr>
              <w:t>Merger, take-over or change of control</w:t>
            </w:r>
          </w:p>
          <w:p w:rsidR="001C5E4E" w:rsidRDefault="003E09C0">
            <w:pPr>
              <w:pStyle w:val="TableParagraph"/>
              <w:spacing w:before="120"/>
              <w:ind w:left="107"/>
              <w:jc w:val="both"/>
            </w:pPr>
            <w:r>
              <w:t>Z7.1 In clauses Z7, Z49 [Financial Distress] and Z50 [Change of Control –</w:t>
            </w:r>
          </w:p>
          <w:p w:rsidR="001C5E4E" w:rsidRDefault="003E09C0">
            <w:pPr>
              <w:pStyle w:val="TableParagraph"/>
              <w:ind w:left="828"/>
              <w:jc w:val="both"/>
            </w:pPr>
            <w:r>
              <w:t>new guarantee] and Z51 [Parent Company Guarantee]</w:t>
            </w:r>
          </w:p>
          <w:p w:rsidR="001C5E4E" w:rsidRDefault="003E09C0">
            <w:pPr>
              <w:pStyle w:val="TableParagraph"/>
              <w:numPr>
                <w:ilvl w:val="0"/>
                <w:numId w:val="37"/>
              </w:numPr>
              <w:tabs>
                <w:tab w:val="left" w:pos="1186"/>
              </w:tabs>
              <w:spacing w:before="121" w:line="264" w:lineRule="auto"/>
              <w:ind w:right="197"/>
              <w:jc w:val="both"/>
            </w:pPr>
            <w:r>
              <w:rPr>
                <w:b/>
              </w:rPr>
              <w:t xml:space="preserve">Change of Control </w:t>
            </w:r>
            <w:r>
              <w:t>is an event where a single person (or group of persons acting in</w:t>
            </w:r>
            <w:r>
              <w:rPr>
                <w:spacing w:val="-2"/>
              </w:rPr>
              <w:t xml:space="preserve"> </w:t>
            </w:r>
            <w:r>
              <w:t>concert)</w:t>
            </w:r>
          </w:p>
          <w:p w:rsidR="001C5E4E" w:rsidRDefault="003E09C0">
            <w:pPr>
              <w:pStyle w:val="TableParagraph"/>
              <w:numPr>
                <w:ilvl w:val="1"/>
                <w:numId w:val="37"/>
              </w:numPr>
              <w:tabs>
                <w:tab w:val="left" w:pos="1541"/>
              </w:tabs>
              <w:spacing w:before="120"/>
              <w:jc w:val="both"/>
            </w:pPr>
            <w:r>
              <w:t xml:space="preserve">acquires Control of the </w:t>
            </w:r>
            <w:r>
              <w:rPr>
                <w:i/>
              </w:rPr>
              <w:t>Consultant</w:t>
            </w:r>
            <w:r>
              <w:rPr>
                <w:i/>
                <w:spacing w:val="-5"/>
              </w:rPr>
              <w:t xml:space="preserve"> </w:t>
            </w:r>
            <w:r>
              <w:t>or</w:t>
            </w:r>
          </w:p>
          <w:p w:rsidR="001C5E4E" w:rsidRDefault="003E09C0">
            <w:pPr>
              <w:pStyle w:val="TableParagraph"/>
              <w:numPr>
                <w:ilvl w:val="1"/>
                <w:numId w:val="37"/>
              </w:numPr>
              <w:tabs>
                <w:tab w:val="left" w:pos="1541"/>
              </w:tabs>
              <w:spacing w:before="147" w:line="264" w:lineRule="auto"/>
              <w:ind w:right="201"/>
              <w:jc w:val="both"/>
            </w:pPr>
            <w:r>
              <w:t xml:space="preserve">acquires a direct or indirect interest in the relevant share capital of the </w:t>
            </w:r>
            <w:r>
              <w:rPr>
                <w:i/>
              </w:rPr>
              <w:t xml:space="preserve">Consultant </w:t>
            </w:r>
            <w:r>
              <w:t>and as a result holds or controls the largest direct or indirect interest in (and in any event more than 25% of) the relevant share capital of the</w:t>
            </w:r>
            <w:r>
              <w:rPr>
                <w:spacing w:val="-11"/>
              </w:rPr>
              <w:t xml:space="preserve"> </w:t>
            </w:r>
            <w:r>
              <w:rPr>
                <w:i/>
              </w:rPr>
              <w:t>Consultant</w:t>
            </w:r>
            <w:r>
              <w:t>,</w:t>
            </w:r>
          </w:p>
          <w:p w:rsidR="001C5E4E" w:rsidRDefault="003E09C0">
            <w:pPr>
              <w:pStyle w:val="TableParagraph"/>
              <w:numPr>
                <w:ilvl w:val="0"/>
                <w:numId w:val="37"/>
              </w:numPr>
              <w:tabs>
                <w:tab w:val="left" w:pos="1186"/>
              </w:tabs>
              <w:spacing w:before="120" w:line="264" w:lineRule="auto"/>
              <w:ind w:right="199"/>
              <w:jc w:val="both"/>
            </w:pPr>
            <w:r>
              <w:rPr>
                <w:b/>
              </w:rPr>
              <w:t xml:space="preserve">Consortium Member </w:t>
            </w:r>
            <w:r>
              <w:t xml:space="preserve">is an organisation or person which is a member of a group of economic operators comprising the </w:t>
            </w:r>
            <w:r>
              <w:rPr>
                <w:i/>
              </w:rPr>
              <w:t>Consultant</w:t>
            </w:r>
            <w:r>
              <w:t>, whether as a participant in an unincorporated joint venture or a shareholder in a joint venture</w:t>
            </w:r>
            <w:r>
              <w:rPr>
                <w:spacing w:val="-13"/>
              </w:rPr>
              <w:t xml:space="preserve"> </w:t>
            </w:r>
            <w:r>
              <w:t>company,</w:t>
            </w:r>
          </w:p>
          <w:p w:rsidR="001C5E4E" w:rsidRDefault="003E09C0">
            <w:pPr>
              <w:pStyle w:val="TableParagraph"/>
              <w:numPr>
                <w:ilvl w:val="0"/>
                <w:numId w:val="37"/>
              </w:numPr>
              <w:tabs>
                <w:tab w:val="left" w:pos="1186"/>
              </w:tabs>
              <w:spacing w:before="119" w:line="264" w:lineRule="auto"/>
              <w:ind w:right="201"/>
              <w:jc w:val="both"/>
            </w:pPr>
            <w:r>
              <w:rPr>
                <w:b/>
              </w:rPr>
              <w:t xml:space="preserve">Control </w:t>
            </w:r>
            <w:r>
              <w:t>has the meaning set out in section 1124 of the Corporation Tax Act</w:t>
            </w:r>
            <w:r>
              <w:rPr>
                <w:spacing w:val="-6"/>
              </w:rPr>
              <w:t xml:space="preserve"> </w:t>
            </w:r>
            <w:r>
              <w:t>2010,</w:t>
            </w:r>
          </w:p>
          <w:p w:rsidR="001C5E4E" w:rsidRDefault="003E09C0">
            <w:pPr>
              <w:pStyle w:val="TableParagraph"/>
              <w:numPr>
                <w:ilvl w:val="0"/>
                <w:numId w:val="37"/>
              </w:numPr>
              <w:tabs>
                <w:tab w:val="left" w:pos="1186"/>
              </w:tabs>
              <w:spacing w:before="120" w:line="264" w:lineRule="auto"/>
              <w:ind w:right="200"/>
              <w:jc w:val="both"/>
            </w:pPr>
            <w:r>
              <w:rPr>
                <w:b/>
              </w:rPr>
              <w:t xml:space="preserve">Controller </w:t>
            </w:r>
            <w:r>
              <w:t>is the single person (or group of persons acting in concert)</w:t>
            </w:r>
            <w:r>
              <w:rPr>
                <w:spacing w:val="-1"/>
              </w:rPr>
              <w:t xml:space="preserve"> </w:t>
            </w:r>
            <w:r>
              <w:t>that</w:t>
            </w:r>
          </w:p>
          <w:p w:rsidR="001C5E4E" w:rsidRDefault="003E09C0">
            <w:pPr>
              <w:pStyle w:val="TableParagraph"/>
              <w:numPr>
                <w:ilvl w:val="1"/>
                <w:numId w:val="37"/>
              </w:numPr>
              <w:tabs>
                <w:tab w:val="left" w:pos="1541"/>
              </w:tabs>
              <w:spacing w:before="120"/>
              <w:jc w:val="both"/>
            </w:pPr>
            <w:r>
              <w:t xml:space="preserve">has Control of the </w:t>
            </w:r>
            <w:r>
              <w:rPr>
                <w:i/>
              </w:rPr>
              <w:t xml:space="preserve">Consultant </w:t>
            </w:r>
            <w:r>
              <w:t>or a Consortium Member</w:t>
            </w:r>
            <w:r>
              <w:rPr>
                <w:spacing w:val="-8"/>
              </w:rPr>
              <w:t xml:space="preserve"> </w:t>
            </w:r>
            <w:r>
              <w:t>or</w:t>
            </w:r>
          </w:p>
          <w:p w:rsidR="001C5E4E" w:rsidRDefault="003E09C0">
            <w:pPr>
              <w:pStyle w:val="TableParagraph"/>
              <w:numPr>
                <w:ilvl w:val="1"/>
                <w:numId w:val="37"/>
              </w:numPr>
              <w:tabs>
                <w:tab w:val="left" w:pos="1541"/>
              </w:tabs>
              <w:spacing w:before="147" w:line="264" w:lineRule="auto"/>
              <w:ind w:right="200"/>
              <w:jc w:val="both"/>
            </w:pPr>
            <w:r>
              <w:t xml:space="preserve">holds or controls the largest direct or indirect interest in the relevant share capital of the </w:t>
            </w:r>
            <w:r>
              <w:rPr>
                <w:i/>
              </w:rPr>
              <w:t xml:space="preserve">Consultant </w:t>
            </w:r>
            <w:r>
              <w:t>or a Consortium Member,</w:t>
            </w:r>
          </w:p>
          <w:p w:rsidR="001C5E4E" w:rsidRDefault="003E09C0">
            <w:pPr>
              <w:pStyle w:val="TableParagraph"/>
              <w:numPr>
                <w:ilvl w:val="0"/>
                <w:numId w:val="37"/>
              </w:numPr>
              <w:tabs>
                <w:tab w:val="left" w:pos="1186"/>
              </w:tabs>
              <w:spacing w:before="119" w:line="264" w:lineRule="auto"/>
              <w:ind w:right="197"/>
              <w:jc w:val="both"/>
            </w:pPr>
            <w:r>
              <w:rPr>
                <w:b/>
              </w:rPr>
              <w:t>Credit</w:t>
            </w:r>
            <w:r>
              <w:rPr>
                <w:b/>
                <w:spacing w:val="-16"/>
              </w:rPr>
              <w:t xml:space="preserve"> </w:t>
            </w:r>
            <w:r>
              <w:rPr>
                <w:b/>
              </w:rPr>
              <w:t>Rating</w:t>
            </w:r>
            <w:r>
              <w:rPr>
                <w:b/>
                <w:spacing w:val="-15"/>
              </w:rPr>
              <w:t xml:space="preserve"> </w:t>
            </w:r>
            <w:r>
              <w:rPr>
                <w:b/>
              </w:rPr>
              <w:t>Threshold</w:t>
            </w:r>
            <w:r>
              <w:rPr>
                <w:b/>
                <w:spacing w:val="-14"/>
              </w:rPr>
              <w:t xml:space="preserve"> </w:t>
            </w:r>
            <w:r>
              <w:t>means</w:t>
            </w:r>
            <w:r>
              <w:rPr>
                <w:spacing w:val="-13"/>
              </w:rPr>
              <w:t xml:space="preserve"> </w:t>
            </w:r>
            <w:r>
              <w:t>the</w:t>
            </w:r>
            <w:r>
              <w:rPr>
                <w:spacing w:val="-15"/>
              </w:rPr>
              <w:t xml:space="preserve"> </w:t>
            </w:r>
            <w:r>
              <w:t>minimum</w:t>
            </w:r>
            <w:r>
              <w:rPr>
                <w:spacing w:val="-13"/>
              </w:rPr>
              <w:t xml:space="preserve"> </w:t>
            </w:r>
            <w:r>
              <w:t>credit</w:t>
            </w:r>
            <w:r>
              <w:rPr>
                <w:spacing w:val="-12"/>
              </w:rPr>
              <w:t xml:space="preserve"> </w:t>
            </w:r>
            <w:r>
              <w:t>rating</w:t>
            </w:r>
            <w:r>
              <w:rPr>
                <w:spacing w:val="36"/>
              </w:rPr>
              <w:t xml:space="preserve"> </w:t>
            </w:r>
            <w:r>
              <w:t>for</w:t>
            </w:r>
            <w:r>
              <w:rPr>
                <w:spacing w:val="-13"/>
              </w:rPr>
              <w:t xml:space="preserve"> </w:t>
            </w:r>
            <w:r>
              <w:t>the Consultant,</w:t>
            </w:r>
            <w:r>
              <w:rPr>
                <w:spacing w:val="-9"/>
              </w:rPr>
              <w:t xml:space="preserve"> </w:t>
            </w:r>
            <w:r>
              <w:t>a</w:t>
            </w:r>
            <w:r>
              <w:rPr>
                <w:spacing w:val="-11"/>
              </w:rPr>
              <w:t xml:space="preserve"> </w:t>
            </w:r>
            <w:r>
              <w:t>Consortium</w:t>
            </w:r>
            <w:r>
              <w:rPr>
                <w:spacing w:val="-9"/>
              </w:rPr>
              <w:t xml:space="preserve"> </w:t>
            </w:r>
            <w:r>
              <w:t>Member</w:t>
            </w:r>
            <w:r>
              <w:rPr>
                <w:spacing w:val="-10"/>
              </w:rPr>
              <w:t xml:space="preserve"> </w:t>
            </w:r>
            <w:r>
              <w:t>or</w:t>
            </w:r>
            <w:r>
              <w:rPr>
                <w:spacing w:val="-8"/>
              </w:rPr>
              <w:t xml:space="preserve"> </w:t>
            </w:r>
            <w:r>
              <w:t>a</w:t>
            </w:r>
            <w:r>
              <w:rPr>
                <w:spacing w:val="-8"/>
              </w:rPr>
              <w:t xml:space="preserve"> </w:t>
            </w:r>
            <w:r>
              <w:t>proposed</w:t>
            </w:r>
            <w:r>
              <w:rPr>
                <w:spacing w:val="-8"/>
              </w:rPr>
              <w:t xml:space="preserve"> </w:t>
            </w:r>
            <w:r>
              <w:t>guarantor,</w:t>
            </w:r>
            <w:r>
              <w:rPr>
                <w:spacing w:val="-8"/>
              </w:rPr>
              <w:t xml:space="preserve"> </w:t>
            </w:r>
            <w:r>
              <w:t>such credit rating being set out at Annex 2 to Schedule 16 of the Framework Agreement,</w:t>
            </w:r>
          </w:p>
          <w:p w:rsidR="001C5E4E" w:rsidRDefault="003E09C0">
            <w:pPr>
              <w:pStyle w:val="TableParagraph"/>
              <w:numPr>
                <w:ilvl w:val="0"/>
                <w:numId w:val="37"/>
              </w:numPr>
              <w:tabs>
                <w:tab w:val="left" w:pos="1186"/>
              </w:tabs>
              <w:spacing w:before="123" w:line="264" w:lineRule="auto"/>
              <w:ind w:right="200"/>
              <w:jc w:val="both"/>
            </w:pPr>
            <w:r>
              <w:rPr>
                <w:b/>
              </w:rPr>
              <w:t xml:space="preserve">Framework Agreement </w:t>
            </w:r>
            <w:r>
              <w:t>means the framework agreement pursuant to which this contract has been entered</w:t>
            </w:r>
            <w:r>
              <w:rPr>
                <w:spacing w:val="-7"/>
              </w:rPr>
              <w:t xml:space="preserve"> </w:t>
            </w:r>
            <w:r>
              <w:t>into</w:t>
            </w:r>
          </w:p>
          <w:p w:rsidR="001C5E4E" w:rsidRDefault="003E09C0">
            <w:pPr>
              <w:pStyle w:val="TableParagraph"/>
              <w:numPr>
                <w:ilvl w:val="0"/>
                <w:numId w:val="37"/>
              </w:numPr>
              <w:tabs>
                <w:tab w:val="left" w:pos="1186"/>
              </w:tabs>
              <w:spacing w:before="119" w:line="264" w:lineRule="auto"/>
              <w:ind w:right="202"/>
              <w:jc w:val="both"/>
            </w:pPr>
            <w:r>
              <w:rPr>
                <w:b/>
              </w:rPr>
              <w:t xml:space="preserve">Guarantor </w:t>
            </w:r>
            <w:r>
              <w:t xml:space="preserve">is a person who has given a Parent Company Guarantee to the </w:t>
            </w:r>
            <w:r>
              <w:rPr>
                <w:i/>
              </w:rPr>
              <w:t>Employer</w:t>
            </w:r>
            <w:r>
              <w:rPr>
                <w:i/>
                <w:spacing w:val="-6"/>
              </w:rPr>
              <w:t xml:space="preserve"> </w:t>
            </w:r>
            <w:r>
              <w:t>and</w:t>
            </w:r>
          </w:p>
          <w:p w:rsidR="001C5E4E" w:rsidRDefault="003E09C0">
            <w:pPr>
              <w:pStyle w:val="TableParagraph"/>
              <w:numPr>
                <w:ilvl w:val="0"/>
                <w:numId w:val="37"/>
              </w:numPr>
              <w:tabs>
                <w:tab w:val="left" w:pos="1186"/>
              </w:tabs>
              <w:spacing w:before="120"/>
              <w:jc w:val="both"/>
            </w:pPr>
            <w:r>
              <w:rPr>
                <w:b/>
              </w:rPr>
              <w:t xml:space="preserve">Parent Company Guarantee </w:t>
            </w:r>
            <w:r>
              <w:t>is a guarantee of the</w:t>
            </w:r>
            <w:r>
              <w:rPr>
                <w:spacing w:val="-4"/>
              </w:rPr>
              <w:t xml:space="preserve"> </w:t>
            </w:r>
            <w:r>
              <w:rPr>
                <w:i/>
              </w:rPr>
              <w:t>Consultant</w:t>
            </w:r>
            <w:r>
              <w:t>’s</w:t>
            </w:r>
          </w:p>
          <w:p w:rsidR="001C5E4E" w:rsidRDefault="003E09C0">
            <w:pPr>
              <w:pStyle w:val="TableParagraph"/>
              <w:spacing w:before="27"/>
              <w:ind w:left="1185"/>
            </w:pPr>
            <w:r>
              <w:t>performance in the form set out in the Scope.</w:t>
            </w:r>
          </w:p>
          <w:p w:rsidR="001C5E4E" w:rsidRDefault="003E09C0">
            <w:pPr>
              <w:pStyle w:val="TableParagraph"/>
              <w:spacing w:before="146" w:line="245" w:lineRule="exact"/>
              <w:ind w:left="107"/>
              <w:jc w:val="both"/>
            </w:pPr>
            <w:r>
              <w:t>Z7.2 A Change of Control does not happen without the prior agreement</w:t>
            </w:r>
          </w:p>
        </w:tc>
      </w:tr>
    </w:tbl>
    <w:p w:rsidR="001C5E4E" w:rsidRDefault="001C5E4E">
      <w:pPr>
        <w:spacing w:line="245" w:lineRule="exact"/>
        <w:jc w:val="both"/>
        <w:sectPr w:rsidR="001C5E4E">
          <w:pgSz w:w="11910" w:h="16850"/>
          <w:pgMar w:top="1400" w:right="620" w:bottom="1080" w:left="940" w:header="1112" w:footer="892" w:gutter="0"/>
          <w:cols w:space="720"/>
        </w:sectPr>
      </w:pPr>
    </w:p>
    <w:p w:rsidR="001C5E4E" w:rsidRDefault="001C5E4E">
      <w:pPr>
        <w:pStyle w:val="BodyText"/>
        <w:rPr>
          <w:b/>
          <w:sz w:val="20"/>
        </w:rPr>
      </w:pPr>
    </w:p>
    <w:p w:rsidR="001C5E4E" w:rsidRDefault="001C5E4E">
      <w:pPr>
        <w:pStyle w:val="BodyText"/>
        <w:spacing w:before="9"/>
        <w:rPr>
          <w:b/>
          <w:sz w:val="10"/>
        </w:rPr>
      </w:pPr>
    </w:p>
    <w:tbl>
      <w:tblPr>
        <w:tblW w:w="0" w:type="auto"/>
        <w:tblInd w:w="1267" w:type="dxa"/>
        <w:tblLayout w:type="fixed"/>
        <w:tblCellMar>
          <w:left w:w="0" w:type="dxa"/>
          <w:right w:w="0" w:type="dxa"/>
        </w:tblCellMar>
        <w:tblLook w:val="01E0" w:firstRow="1" w:lastRow="1" w:firstColumn="1" w:lastColumn="1" w:noHBand="0" w:noVBand="0"/>
      </w:tblPr>
      <w:tblGrid>
        <w:gridCol w:w="1170"/>
        <w:gridCol w:w="7183"/>
      </w:tblGrid>
      <w:tr w:rsidR="001C5E4E">
        <w:trPr>
          <w:trHeight w:val="10822"/>
        </w:trPr>
        <w:tc>
          <w:tcPr>
            <w:tcW w:w="1170" w:type="dxa"/>
          </w:tcPr>
          <w:p w:rsidR="001C5E4E" w:rsidRDefault="001C5E4E">
            <w:pPr>
              <w:pStyle w:val="TableParagraph"/>
              <w:rPr>
                <w:rFonts w:ascii="Times New Roman"/>
              </w:rPr>
            </w:pPr>
          </w:p>
        </w:tc>
        <w:tc>
          <w:tcPr>
            <w:tcW w:w="7183" w:type="dxa"/>
          </w:tcPr>
          <w:p w:rsidR="001C5E4E" w:rsidRDefault="003E09C0">
            <w:pPr>
              <w:pStyle w:val="TableParagraph"/>
              <w:spacing w:line="224" w:lineRule="exact"/>
              <w:ind w:left="828"/>
              <w:jc w:val="both"/>
            </w:pPr>
            <w:r>
              <w:t xml:space="preserve">of the </w:t>
            </w:r>
            <w:r>
              <w:rPr>
                <w:i/>
              </w:rPr>
              <w:t>Employer</w:t>
            </w:r>
            <w:r>
              <w:t>, and if a Change of Control occurs without the</w:t>
            </w:r>
          </w:p>
          <w:p w:rsidR="001C5E4E" w:rsidRDefault="003E09C0">
            <w:pPr>
              <w:pStyle w:val="TableParagraph"/>
              <w:ind w:left="828" w:right="388"/>
              <w:jc w:val="both"/>
            </w:pPr>
            <w:r>
              <w:rPr>
                <w:i/>
              </w:rPr>
              <w:t xml:space="preserve">Employer’s </w:t>
            </w:r>
            <w:r>
              <w:t xml:space="preserve">prior consent, then the </w:t>
            </w:r>
            <w:r>
              <w:rPr>
                <w:i/>
              </w:rPr>
              <w:t xml:space="preserve">Employer </w:t>
            </w:r>
            <w:r>
              <w:t xml:space="preserve">may treat the Change of Control as a substantial failure by the </w:t>
            </w:r>
            <w:r>
              <w:rPr>
                <w:i/>
              </w:rPr>
              <w:t xml:space="preserve">Consultant </w:t>
            </w:r>
            <w:r>
              <w:t>to comply with his obligations.</w:t>
            </w:r>
          </w:p>
          <w:p w:rsidR="001C5E4E" w:rsidRDefault="001C5E4E">
            <w:pPr>
              <w:pStyle w:val="TableParagraph"/>
              <w:spacing w:before="12"/>
              <w:rPr>
                <w:b/>
                <w:sz w:val="21"/>
              </w:rPr>
            </w:pPr>
          </w:p>
          <w:p w:rsidR="001C5E4E" w:rsidRDefault="003E09C0">
            <w:pPr>
              <w:pStyle w:val="TableParagraph"/>
              <w:tabs>
                <w:tab w:val="left" w:pos="828"/>
              </w:tabs>
              <w:ind w:left="828" w:right="614" w:hanging="721"/>
            </w:pPr>
            <w:r>
              <w:t>Z7.3</w:t>
            </w:r>
            <w:r>
              <w:tab/>
              <w:t xml:space="preserve">The </w:t>
            </w:r>
            <w:r>
              <w:rPr>
                <w:i/>
              </w:rPr>
              <w:t xml:space="preserve">Consultant </w:t>
            </w:r>
            <w:r>
              <w:t xml:space="preserve">notifies the </w:t>
            </w:r>
            <w:r>
              <w:rPr>
                <w:i/>
              </w:rPr>
              <w:t xml:space="preserve">Employer </w:t>
            </w:r>
            <w:r>
              <w:t>immediately if a Change of Control has occurred or is expected to</w:t>
            </w:r>
            <w:r>
              <w:rPr>
                <w:spacing w:val="-8"/>
              </w:rPr>
              <w:t xml:space="preserve"> </w:t>
            </w:r>
            <w:r>
              <w:t>occur.</w:t>
            </w:r>
          </w:p>
          <w:p w:rsidR="001C5E4E" w:rsidRDefault="001C5E4E">
            <w:pPr>
              <w:pStyle w:val="TableParagraph"/>
              <w:rPr>
                <w:b/>
              </w:rPr>
            </w:pPr>
          </w:p>
          <w:p w:rsidR="001C5E4E" w:rsidRDefault="003E09C0">
            <w:pPr>
              <w:pStyle w:val="TableParagraph"/>
              <w:spacing w:before="1"/>
              <w:ind w:left="849" w:right="330" w:hanging="743"/>
              <w:jc w:val="both"/>
            </w:pPr>
            <w:r>
              <w:t xml:space="preserve">Z7.4 If the Change of Control will not allow the </w:t>
            </w:r>
            <w:r>
              <w:rPr>
                <w:i/>
              </w:rPr>
              <w:t xml:space="preserve">Consultant </w:t>
            </w:r>
            <w:r>
              <w:t xml:space="preserve">to </w:t>
            </w:r>
            <w:r>
              <w:rPr>
                <w:spacing w:val="-4"/>
              </w:rPr>
              <w:t xml:space="preserve">perform </w:t>
            </w:r>
            <w:r>
              <w:rPr>
                <w:spacing w:val="-3"/>
              </w:rPr>
              <w:t xml:space="preserve">its </w:t>
            </w:r>
            <w:r>
              <w:rPr>
                <w:spacing w:val="-4"/>
              </w:rPr>
              <w:t xml:space="preserve">obligations under </w:t>
            </w:r>
            <w:r>
              <w:t xml:space="preserve">this </w:t>
            </w:r>
            <w:r>
              <w:rPr>
                <w:spacing w:val="-4"/>
              </w:rPr>
              <w:t xml:space="preserve">contract, </w:t>
            </w:r>
            <w:r>
              <w:t xml:space="preserve">the </w:t>
            </w:r>
            <w:r>
              <w:rPr>
                <w:i/>
              </w:rPr>
              <w:t xml:space="preserve">Employer </w:t>
            </w:r>
            <w:r>
              <w:t xml:space="preserve">may treat the Change of Control as a substantial failure by the </w:t>
            </w:r>
            <w:r>
              <w:rPr>
                <w:i/>
              </w:rPr>
              <w:t xml:space="preserve">Consultant </w:t>
            </w:r>
            <w:r>
              <w:t>to comply with his obligations.</w:t>
            </w:r>
          </w:p>
          <w:p w:rsidR="001C5E4E" w:rsidRDefault="001C5E4E">
            <w:pPr>
              <w:pStyle w:val="TableParagraph"/>
              <w:spacing w:before="11"/>
              <w:rPr>
                <w:b/>
                <w:sz w:val="21"/>
              </w:rPr>
            </w:pPr>
          </w:p>
          <w:p w:rsidR="001C5E4E" w:rsidRDefault="003E09C0">
            <w:pPr>
              <w:pStyle w:val="TableParagraph"/>
              <w:ind w:left="828" w:right="485" w:hanging="721"/>
              <w:jc w:val="both"/>
            </w:pPr>
            <w:r>
              <w:t xml:space="preserve">Z7.5 The </w:t>
            </w:r>
            <w:r>
              <w:rPr>
                <w:i/>
              </w:rPr>
              <w:t xml:space="preserve">Consultant </w:t>
            </w:r>
            <w:r>
              <w:t xml:space="preserve">notifies the </w:t>
            </w:r>
            <w:r>
              <w:rPr>
                <w:i/>
              </w:rPr>
              <w:t xml:space="preserve">Employer </w:t>
            </w:r>
            <w:r>
              <w:t>immediately of any material change in</w:t>
            </w:r>
          </w:p>
          <w:p w:rsidR="001C5E4E" w:rsidRDefault="003E09C0">
            <w:pPr>
              <w:pStyle w:val="TableParagraph"/>
              <w:numPr>
                <w:ilvl w:val="0"/>
                <w:numId w:val="36"/>
              </w:numPr>
              <w:tabs>
                <w:tab w:val="left" w:pos="1177"/>
              </w:tabs>
              <w:spacing w:before="121" w:line="264" w:lineRule="auto"/>
              <w:ind w:right="198" w:hanging="358"/>
              <w:jc w:val="both"/>
            </w:pPr>
            <w:r>
              <w:t xml:space="preserve">the direct or indirect legal or beneficial ownership of any shareholding in the </w:t>
            </w:r>
            <w:r>
              <w:rPr>
                <w:i/>
              </w:rPr>
              <w:t>Consultant</w:t>
            </w:r>
            <w:r>
              <w:t>. A change is material if it relates directly</w:t>
            </w:r>
            <w:r>
              <w:rPr>
                <w:spacing w:val="-14"/>
              </w:rPr>
              <w:t xml:space="preserve"> </w:t>
            </w:r>
            <w:r>
              <w:t>or</w:t>
            </w:r>
            <w:r>
              <w:rPr>
                <w:spacing w:val="-12"/>
              </w:rPr>
              <w:t xml:space="preserve"> </w:t>
            </w:r>
            <w:r>
              <w:t>indirectly</w:t>
            </w:r>
            <w:r>
              <w:rPr>
                <w:spacing w:val="-12"/>
              </w:rPr>
              <w:t xml:space="preserve"> </w:t>
            </w:r>
            <w:r>
              <w:t>to</w:t>
            </w:r>
            <w:r>
              <w:rPr>
                <w:spacing w:val="-11"/>
              </w:rPr>
              <w:t xml:space="preserve"> </w:t>
            </w:r>
            <w:r>
              <w:t>a</w:t>
            </w:r>
            <w:r>
              <w:rPr>
                <w:spacing w:val="-12"/>
              </w:rPr>
              <w:t xml:space="preserve"> </w:t>
            </w:r>
            <w:r>
              <w:t>change</w:t>
            </w:r>
            <w:r>
              <w:rPr>
                <w:spacing w:val="-12"/>
              </w:rPr>
              <w:t xml:space="preserve"> </w:t>
            </w:r>
            <w:r>
              <w:t>of</w:t>
            </w:r>
            <w:r>
              <w:rPr>
                <w:spacing w:val="-12"/>
              </w:rPr>
              <w:t xml:space="preserve"> </w:t>
            </w:r>
            <w:r>
              <w:t>3%</w:t>
            </w:r>
            <w:r>
              <w:rPr>
                <w:spacing w:val="-14"/>
              </w:rPr>
              <w:t xml:space="preserve"> </w:t>
            </w:r>
            <w:r>
              <w:t>or</w:t>
            </w:r>
            <w:r>
              <w:rPr>
                <w:spacing w:val="-13"/>
              </w:rPr>
              <w:t xml:space="preserve"> </w:t>
            </w:r>
            <w:r>
              <w:t>more</w:t>
            </w:r>
            <w:r>
              <w:rPr>
                <w:spacing w:val="-14"/>
              </w:rPr>
              <w:t xml:space="preserve"> </w:t>
            </w:r>
            <w:r>
              <w:t>of</w:t>
            </w:r>
            <w:r>
              <w:rPr>
                <w:spacing w:val="-12"/>
              </w:rPr>
              <w:t xml:space="preserve"> </w:t>
            </w:r>
            <w:r>
              <w:t>the</w:t>
            </w:r>
            <w:r>
              <w:rPr>
                <w:spacing w:val="-12"/>
              </w:rPr>
              <w:t xml:space="preserve"> </w:t>
            </w:r>
            <w:r>
              <w:t>issued</w:t>
            </w:r>
            <w:r>
              <w:rPr>
                <w:spacing w:val="-13"/>
              </w:rPr>
              <w:t xml:space="preserve"> </w:t>
            </w:r>
            <w:r>
              <w:t xml:space="preserve">share capital of the </w:t>
            </w:r>
            <w:r>
              <w:rPr>
                <w:i/>
              </w:rPr>
              <w:t>Consultant</w:t>
            </w:r>
            <w:r>
              <w:t>,</w:t>
            </w:r>
            <w:r>
              <w:rPr>
                <w:spacing w:val="-8"/>
              </w:rPr>
              <w:t xml:space="preserve"> </w:t>
            </w:r>
            <w:r>
              <w:t>or</w:t>
            </w:r>
          </w:p>
          <w:p w:rsidR="001C5E4E" w:rsidRDefault="003E09C0">
            <w:pPr>
              <w:pStyle w:val="TableParagraph"/>
              <w:numPr>
                <w:ilvl w:val="0"/>
                <w:numId w:val="36"/>
              </w:numPr>
              <w:tabs>
                <w:tab w:val="left" w:pos="1177"/>
              </w:tabs>
              <w:spacing w:before="119"/>
              <w:ind w:left="1176" w:hanging="349"/>
              <w:jc w:val="both"/>
            </w:pPr>
            <w:r>
              <w:t xml:space="preserve">the composition of the </w:t>
            </w:r>
            <w:r>
              <w:rPr>
                <w:i/>
              </w:rPr>
              <w:t>Consultant</w:t>
            </w:r>
            <w:r>
              <w:t>. A change is material if</w:t>
            </w:r>
            <w:r>
              <w:rPr>
                <w:spacing w:val="-12"/>
              </w:rPr>
              <w:t xml:space="preserve"> </w:t>
            </w:r>
            <w:r>
              <w:t>it</w:t>
            </w:r>
          </w:p>
          <w:p w:rsidR="001C5E4E" w:rsidRDefault="003E09C0">
            <w:pPr>
              <w:pStyle w:val="TableParagraph"/>
              <w:numPr>
                <w:ilvl w:val="1"/>
                <w:numId w:val="36"/>
              </w:numPr>
              <w:tabs>
                <w:tab w:val="left" w:pos="1541"/>
              </w:tabs>
              <w:spacing w:before="147" w:line="264" w:lineRule="auto"/>
              <w:ind w:right="199"/>
              <w:jc w:val="both"/>
            </w:pPr>
            <w:r>
              <w:t xml:space="preserve">directly or indirectly affects the performance of this contract by the </w:t>
            </w:r>
            <w:r>
              <w:rPr>
                <w:i/>
              </w:rPr>
              <w:t>Consultant</w:t>
            </w:r>
            <w:r>
              <w:rPr>
                <w:i/>
                <w:spacing w:val="-3"/>
              </w:rPr>
              <w:t xml:space="preserve"> </w:t>
            </w:r>
            <w:r>
              <w:t>or</w:t>
            </w:r>
          </w:p>
          <w:p w:rsidR="001C5E4E" w:rsidRDefault="003E09C0">
            <w:pPr>
              <w:pStyle w:val="TableParagraph"/>
              <w:numPr>
                <w:ilvl w:val="1"/>
                <w:numId w:val="36"/>
              </w:numPr>
              <w:tabs>
                <w:tab w:val="left" w:pos="1541"/>
              </w:tabs>
              <w:spacing w:before="120" w:line="264" w:lineRule="auto"/>
              <w:ind w:right="197"/>
              <w:jc w:val="both"/>
            </w:pPr>
            <w:r>
              <w:t>is</w:t>
            </w:r>
            <w:r>
              <w:rPr>
                <w:spacing w:val="-7"/>
              </w:rPr>
              <w:t xml:space="preserve"> </w:t>
            </w:r>
            <w:r>
              <w:t>considered</w:t>
            </w:r>
            <w:r>
              <w:rPr>
                <w:spacing w:val="-7"/>
              </w:rPr>
              <w:t xml:space="preserve"> </w:t>
            </w:r>
            <w:r>
              <w:t>substantial</w:t>
            </w:r>
            <w:r>
              <w:rPr>
                <w:spacing w:val="-6"/>
              </w:rPr>
              <w:t xml:space="preserve"> </w:t>
            </w:r>
            <w:r>
              <w:t>in</w:t>
            </w:r>
            <w:r>
              <w:rPr>
                <w:spacing w:val="-8"/>
              </w:rPr>
              <w:t xml:space="preserve"> </w:t>
            </w:r>
            <w:r>
              <w:t>accordance</w:t>
            </w:r>
            <w:r>
              <w:rPr>
                <w:spacing w:val="-6"/>
              </w:rPr>
              <w:t xml:space="preserve"> </w:t>
            </w:r>
            <w:r>
              <w:t>with</w:t>
            </w:r>
            <w:r>
              <w:rPr>
                <w:spacing w:val="-6"/>
              </w:rPr>
              <w:t xml:space="preserve"> </w:t>
            </w:r>
            <w:r>
              <w:t>Regulation</w:t>
            </w:r>
            <w:r>
              <w:rPr>
                <w:spacing w:val="-7"/>
              </w:rPr>
              <w:t xml:space="preserve"> </w:t>
            </w:r>
            <w:r>
              <w:t>72(8) of the Public Contract Regulations</w:t>
            </w:r>
            <w:r>
              <w:rPr>
                <w:spacing w:val="-9"/>
              </w:rPr>
              <w:t xml:space="preserve"> </w:t>
            </w:r>
            <w:r>
              <w:t>2015.</w:t>
            </w:r>
          </w:p>
          <w:p w:rsidR="001C5E4E" w:rsidRDefault="003E09C0">
            <w:pPr>
              <w:pStyle w:val="TableParagraph"/>
              <w:spacing w:before="120"/>
              <w:ind w:left="828" w:right="348" w:hanging="721"/>
              <w:jc w:val="both"/>
            </w:pPr>
            <w:r>
              <w:t xml:space="preserve">Z7.6 The </w:t>
            </w:r>
            <w:r>
              <w:rPr>
                <w:i/>
              </w:rPr>
              <w:t xml:space="preserve">Consultant </w:t>
            </w:r>
            <w:r>
              <w:t xml:space="preserve">notifies the </w:t>
            </w:r>
            <w:r>
              <w:rPr>
                <w:i/>
              </w:rPr>
              <w:t xml:space="preserve">Employer </w:t>
            </w:r>
            <w:r>
              <w:t xml:space="preserve">immediately of any change or proposed change in the name or status of the </w:t>
            </w:r>
            <w:r>
              <w:rPr>
                <w:i/>
              </w:rPr>
              <w:t>Consultant</w:t>
            </w:r>
            <w:r>
              <w:t>.</w:t>
            </w:r>
          </w:p>
          <w:p w:rsidR="001C5E4E" w:rsidRDefault="001C5E4E">
            <w:pPr>
              <w:pStyle w:val="TableParagraph"/>
              <w:rPr>
                <w:b/>
              </w:rPr>
            </w:pPr>
          </w:p>
          <w:p w:rsidR="001C5E4E" w:rsidRDefault="003E09C0">
            <w:pPr>
              <w:pStyle w:val="TableParagraph"/>
              <w:tabs>
                <w:tab w:val="left" w:pos="740"/>
              </w:tabs>
              <w:spacing w:before="1"/>
              <w:ind w:left="828" w:right="466" w:hanging="721"/>
            </w:pPr>
            <w:r>
              <w:t>Z7.7</w:t>
            </w:r>
            <w:r>
              <w:tab/>
              <w:t xml:space="preserve">If the </w:t>
            </w:r>
            <w:r>
              <w:rPr>
                <w:i/>
              </w:rPr>
              <w:t xml:space="preserve">Consultant </w:t>
            </w:r>
            <w:r>
              <w:t>does not provide a notification required by</w:t>
            </w:r>
            <w:r>
              <w:rPr>
                <w:spacing w:val="-24"/>
              </w:rPr>
              <w:t xml:space="preserve"> </w:t>
            </w:r>
            <w:r>
              <w:t xml:space="preserve">clause Z7.5 or Z7.6, the </w:t>
            </w:r>
            <w:r>
              <w:rPr>
                <w:i/>
              </w:rPr>
              <w:t xml:space="preserve">Employer </w:t>
            </w:r>
            <w:r>
              <w:t xml:space="preserve">may treat that failure as a substantial failure by the </w:t>
            </w:r>
            <w:r>
              <w:rPr>
                <w:i/>
              </w:rPr>
              <w:t xml:space="preserve">Consultant </w:t>
            </w:r>
            <w:r>
              <w:t>to comply with his</w:t>
            </w:r>
            <w:r>
              <w:rPr>
                <w:spacing w:val="-14"/>
              </w:rPr>
              <w:t xml:space="preserve"> </w:t>
            </w:r>
            <w:r>
              <w:t>obligations.</w:t>
            </w:r>
          </w:p>
          <w:p w:rsidR="001C5E4E" w:rsidRDefault="001C5E4E">
            <w:pPr>
              <w:pStyle w:val="TableParagraph"/>
              <w:rPr>
                <w:b/>
              </w:rPr>
            </w:pPr>
          </w:p>
          <w:p w:rsidR="001C5E4E" w:rsidRDefault="003E09C0">
            <w:pPr>
              <w:pStyle w:val="TableParagraph"/>
              <w:tabs>
                <w:tab w:val="left" w:pos="828"/>
              </w:tabs>
              <w:spacing w:before="1"/>
              <w:ind w:left="107"/>
            </w:pPr>
            <w:r>
              <w:t>Z7.8</w:t>
            </w:r>
            <w:r>
              <w:tab/>
              <w:t>In this clause Z7 a Change of Control in relation</w:t>
            </w:r>
            <w:r>
              <w:rPr>
                <w:spacing w:val="-11"/>
              </w:rPr>
              <w:t xml:space="preserve"> </w:t>
            </w:r>
            <w:r>
              <w:t>to</w:t>
            </w:r>
          </w:p>
          <w:p w:rsidR="001C5E4E" w:rsidRDefault="003E09C0">
            <w:pPr>
              <w:pStyle w:val="TableParagraph"/>
              <w:numPr>
                <w:ilvl w:val="1"/>
                <w:numId w:val="36"/>
              </w:numPr>
              <w:tabs>
                <w:tab w:val="left" w:pos="1548"/>
                <w:tab w:val="left" w:pos="1549"/>
              </w:tabs>
              <w:spacing w:before="120"/>
              <w:ind w:left="1548" w:hanging="361"/>
            </w:pPr>
            <w:r>
              <w:t>material change in the ownership of shares in,</w:t>
            </w:r>
            <w:r>
              <w:rPr>
                <w:spacing w:val="-11"/>
              </w:rPr>
              <w:t xml:space="preserve"> </w:t>
            </w:r>
            <w:r>
              <w:t>or</w:t>
            </w:r>
          </w:p>
          <w:p w:rsidR="001C5E4E" w:rsidRDefault="003E09C0">
            <w:pPr>
              <w:pStyle w:val="TableParagraph"/>
              <w:numPr>
                <w:ilvl w:val="1"/>
                <w:numId w:val="36"/>
              </w:numPr>
              <w:tabs>
                <w:tab w:val="left" w:pos="1548"/>
                <w:tab w:val="left" w:pos="1549"/>
              </w:tabs>
              <w:spacing w:before="147"/>
              <w:ind w:left="1548" w:hanging="361"/>
            </w:pPr>
            <w:r>
              <w:t>change in the name or status</w:t>
            </w:r>
            <w:r>
              <w:rPr>
                <w:spacing w:val="-4"/>
              </w:rPr>
              <w:t xml:space="preserve"> </w:t>
            </w:r>
            <w:r>
              <w:t>of</w:t>
            </w:r>
          </w:p>
          <w:p w:rsidR="001C5E4E" w:rsidRDefault="003E09C0">
            <w:pPr>
              <w:pStyle w:val="TableParagraph"/>
              <w:spacing w:before="147"/>
              <w:ind w:left="107"/>
            </w:pPr>
            <w:r>
              <w:t xml:space="preserve">a Consortium Member is treated as a change relating to the </w:t>
            </w:r>
            <w:r>
              <w:rPr>
                <w:i/>
              </w:rPr>
              <w:t>Consultant</w:t>
            </w:r>
            <w:r>
              <w:t>.</w:t>
            </w:r>
          </w:p>
        </w:tc>
      </w:tr>
      <w:tr w:rsidR="001C5E4E">
        <w:trPr>
          <w:trHeight w:val="2485"/>
        </w:trPr>
        <w:tc>
          <w:tcPr>
            <w:tcW w:w="1170" w:type="dxa"/>
          </w:tcPr>
          <w:p w:rsidR="001C5E4E" w:rsidRDefault="003E09C0">
            <w:pPr>
              <w:pStyle w:val="TableParagraph"/>
              <w:spacing w:before="99"/>
              <w:ind w:left="200"/>
              <w:rPr>
                <w:b/>
              </w:rPr>
            </w:pPr>
            <w:r>
              <w:rPr>
                <w:b/>
              </w:rPr>
              <w:t>Clause Z8</w:t>
            </w:r>
          </w:p>
        </w:tc>
        <w:tc>
          <w:tcPr>
            <w:tcW w:w="7183" w:type="dxa"/>
          </w:tcPr>
          <w:p w:rsidR="001C5E4E" w:rsidRDefault="003E09C0">
            <w:pPr>
              <w:pStyle w:val="TableParagraph"/>
              <w:spacing w:before="99"/>
              <w:ind w:left="107"/>
              <w:jc w:val="both"/>
              <w:rPr>
                <w:b/>
                <w:i/>
              </w:rPr>
            </w:pPr>
            <w:r>
              <w:rPr>
                <w:b/>
              </w:rPr>
              <w:t xml:space="preserve">Appointment of </w:t>
            </w:r>
            <w:r>
              <w:rPr>
                <w:b/>
                <w:i/>
              </w:rPr>
              <w:t>Adjudicator</w:t>
            </w:r>
          </w:p>
          <w:p w:rsidR="001C5E4E" w:rsidRDefault="003E09C0">
            <w:pPr>
              <w:pStyle w:val="TableParagraph"/>
              <w:spacing w:before="120"/>
              <w:ind w:left="107"/>
              <w:jc w:val="both"/>
            </w:pPr>
            <w:r>
              <w:t xml:space="preserve">Z8.1 The </w:t>
            </w:r>
            <w:r>
              <w:rPr>
                <w:i/>
              </w:rPr>
              <w:t>Adjudicator</w:t>
            </w:r>
            <w:r>
              <w:t>’s appointment under the NEC3 Adjudicator’s Contract</w:t>
            </w:r>
          </w:p>
          <w:p w:rsidR="001C5E4E" w:rsidRDefault="003E09C0">
            <w:pPr>
              <w:pStyle w:val="TableParagraph"/>
              <w:ind w:left="107"/>
              <w:jc w:val="both"/>
            </w:pPr>
            <w:r>
              <w:t>(April 2013) includes the following additional conditions of contract</w:t>
            </w:r>
          </w:p>
          <w:p w:rsidR="001C5E4E" w:rsidRDefault="003E09C0">
            <w:pPr>
              <w:pStyle w:val="TableParagraph"/>
              <w:spacing w:before="119" w:line="270" w:lineRule="atLeast"/>
              <w:ind w:left="107" w:right="198"/>
              <w:jc w:val="both"/>
            </w:pPr>
            <w:r>
              <w:t xml:space="preserve">“The </w:t>
            </w:r>
            <w:r>
              <w:rPr>
                <w:i/>
              </w:rPr>
              <w:t xml:space="preserve">Adjudicator </w:t>
            </w:r>
            <w:r>
              <w:t>complies, and takes all reasonable steps to ensure that any persons</w:t>
            </w:r>
            <w:r>
              <w:rPr>
                <w:spacing w:val="-11"/>
              </w:rPr>
              <w:t xml:space="preserve"> </w:t>
            </w:r>
            <w:r>
              <w:t>advising</w:t>
            </w:r>
            <w:r>
              <w:rPr>
                <w:spacing w:val="-11"/>
              </w:rPr>
              <w:t xml:space="preserve"> </w:t>
            </w:r>
            <w:r>
              <w:t>or</w:t>
            </w:r>
            <w:r>
              <w:rPr>
                <w:spacing w:val="-11"/>
              </w:rPr>
              <w:t xml:space="preserve"> </w:t>
            </w:r>
            <w:r>
              <w:t>aiding</w:t>
            </w:r>
            <w:r>
              <w:rPr>
                <w:spacing w:val="-9"/>
              </w:rPr>
              <w:t xml:space="preserve"> </w:t>
            </w:r>
            <w:r>
              <w:t>him</w:t>
            </w:r>
            <w:r>
              <w:rPr>
                <w:spacing w:val="-7"/>
              </w:rPr>
              <w:t xml:space="preserve"> </w:t>
            </w:r>
            <w:r>
              <w:t>comply,</w:t>
            </w:r>
            <w:r>
              <w:rPr>
                <w:spacing w:val="-10"/>
              </w:rPr>
              <w:t xml:space="preserve"> </w:t>
            </w:r>
            <w:r>
              <w:t>with</w:t>
            </w:r>
            <w:r>
              <w:rPr>
                <w:spacing w:val="-8"/>
              </w:rPr>
              <w:t xml:space="preserve"> </w:t>
            </w:r>
            <w:r>
              <w:t>the</w:t>
            </w:r>
            <w:r>
              <w:rPr>
                <w:spacing w:val="-10"/>
              </w:rPr>
              <w:t xml:space="preserve"> </w:t>
            </w:r>
            <w:r>
              <w:t>Official</w:t>
            </w:r>
            <w:r>
              <w:rPr>
                <w:spacing w:val="-11"/>
              </w:rPr>
              <w:t xml:space="preserve"> </w:t>
            </w:r>
            <w:r>
              <w:t>Secrets</w:t>
            </w:r>
            <w:r>
              <w:rPr>
                <w:spacing w:val="-7"/>
              </w:rPr>
              <w:t xml:space="preserve"> </w:t>
            </w:r>
            <w:r>
              <w:t>Act</w:t>
            </w:r>
            <w:r>
              <w:rPr>
                <w:spacing w:val="-10"/>
              </w:rPr>
              <w:t xml:space="preserve"> </w:t>
            </w:r>
            <w:r>
              <w:t>1989.</w:t>
            </w:r>
            <w:r>
              <w:rPr>
                <w:spacing w:val="31"/>
              </w:rPr>
              <w:t xml:space="preserve"> </w:t>
            </w:r>
            <w:r>
              <w:t xml:space="preserve">Any information concerning the Contract obtained either by the </w:t>
            </w:r>
            <w:r>
              <w:rPr>
                <w:i/>
              </w:rPr>
              <w:t xml:space="preserve">Adjudicator </w:t>
            </w:r>
            <w:r>
              <w:t>or any person advising or aiding him is confidential, and may not be used or disclosed</w:t>
            </w:r>
            <w:r>
              <w:rPr>
                <w:spacing w:val="13"/>
              </w:rPr>
              <w:t xml:space="preserve"> </w:t>
            </w:r>
            <w:r>
              <w:t>by</w:t>
            </w:r>
            <w:r>
              <w:rPr>
                <w:spacing w:val="14"/>
              </w:rPr>
              <w:t xml:space="preserve"> </w:t>
            </w:r>
            <w:r>
              <w:t>the</w:t>
            </w:r>
            <w:r>
              <w:rPr>
                <w:spacing w:val="18"/>
              </w:rPr>
              <w:t xml:space="preserve"> </w:t>
            </w:r>
            <w:r>
              <w:rPr>
                <w:i/>
              </w:rPr>
              <w:t>Adjudicator</w:t>
            </w:r>
            <w:r>
              <w:rPr>
                <w:i/>
                <w:spacing w:val="14"/>
              </w:rPr>
              <w:t xml:space="preserve"> </w:t>
            </w:r>
            <w:r>
              <w:t>or</w:t>
            </w:r>
            <w:r>
              <w:rPr>
                <w:spacing w:val="16"/>
              </w:rPr>
              <w:t xml:space="preserve"> </w:t>
            </w:r>
            <w:r>
              <w:t>any</w:t>
            </w:r>
            <w:r>
              <w:rPr>
                <w:spacing w:val="15"/>
              </w:rPr>
              <w:t xml:space="preserve"> </w:t>
            </w:r>
            <w:r>
              <w:t>such</w:t>
            </w:r>
            <w:r>
              <w:rPr>
                <w:spacing w:val="15"/>
              </w:rPr>
              <w:t xml:space="preserve"> </w:t>
            </w:r>
            <w:r>
              <w:t>person</w:t>
            </w:r>
            <w:r>
              <w:rPr>
                <w:spacing w:val="12"/>
              </w:rPr>
              <w:t xml:space="preserve"> </w:t>
            </w:r>
            <w:r>
              <w:t>except</w:t>
            </w:r>
            <w:r>
              <w:rPr>
                <w:spacing w:val="17"/>
              </w:rPr>
              <w:t xml:space="preserve"> </w:t>
            </w:r>
            <w:r>
              <w:t>for</w:t>
            </w:r>
            <w:r>
              <w:rPr>
                <w:spacing w:val="16"/>
              </w:rPr>
              <w:t xml:space="preserve"> </w:t>
            </w:r>
            <w:r>
              <w:t>the</w:t>
            </w:r>
            <w:r>
              <w:rPr>
                <w:spacing w:val="14"/>
              </w:rPr>
              <w:t xml:space="preserve"> </w:t>
            </w:r>
            <w:r>
              <w:t>purposes</w:t>
            </w:r>
            <w:r>
              <w:rPr>
                <w:spacing w:val="14"/>
              </w:rPr>
              <w:t xml:space="preserve"> </w:t>
            </w:r>
            <w:r>
              <w:t>of</w:t>
            </w:r>
          </w:p>
        </w:tc>
      </w:tr>
    </w:tbl>
    <w:p w:rsidR="001C5E4E" w:rsidRDefault="001C5E4E">
      <w:pPr>
        <w:spacing w:line="270" w:lineRule="atLeast"/>
        <w:jc w:val="both"/>
        <w:sectPr w:rsidR="001C5E4E">
          <w:pgSz w:w="11910" w:h="16850"/>
          <w:pgMar w:top="1400" w:right="620" w:bottom="1080" w:left="940" w:header="1112" w:footer="892" w:gutter="0"/>
          <w:cols w:space="720"/>
        </w:sectPr>
      </w:pPr>
    </w:p>
    <w:p w:rsidR="001C5E4E" w:rsidRDefault="001C5E4E">
      <w:pPr>
        <w:pStyle w:val="BodyText"/>
        <w:rPr>
          <w:b/>
          <w:sz w:val="20"/>
        </w:rPr>
      </w:pPr>
    </w:p>
    <w:p w:rsidR="001C5E4E" w:rsidRDefault="001C5E4E">
      <w:pPr>
        <w:pStyle w:val="BodyText"/>
        <w:spacing w:before="9"/>
        <w:rPr>
          <w:b/>
          <w:sz w:val="10"/>
        </w:rPr>
      </w:pPr>
    </w:p>
    <w:tbl>
      <w:tblPr>
        <w:tblW w:w="0" w:type="auto"/>
        <w:tblInd w:w="1186" w:type="dxa"/>
        <w:tblLayout w:type="fixed"/>
        <w:tblCellMar>
          <w:left w:w="0" w:type="dxa"/>
          <w:right w:w="0" w:type="dxa"/>
        </w:tblCellMar>
        <w:tblLook w:val="01E0" w:firstRow="1" w:lastRow="1" w:firstColumn="1" w:lastColumn="1" w:noHBand="0" w:noVBand="0"/>
      </w:tblPr>
      <w:tblGrid>
        <w:gridCol w:w="1199"/>
        <w:gridCol w:w="7236"/>
      </w:tblGrid>
      <w:tr w:rsidR="001C5E4E">
        <w:trPr>
          <w:trHeight w:val="364"/>
        </w:trPr>
        <w:tc>
          <w:tcPr>
            <w:tcW w:w="1199" w:type="dxa"/>
          </w:tcPr>
          <w:p w:rsidR="001C5E4E" w:rsidRDefault="001C5E4E">
            <w:pPr>
              <w:pStyle w:val="TableParagraph"/>
              <w:rPr>
                <w:rFonts w:ascii="Times New Roman"/>
              </w:rPr>
            </w:pPr>
          </w:p>
        </w:tc>
        <w:tc>
          <w:tcPr>
            <w:tcW w:w="7236" w:type="dxa"/>
          </w:tcPr>
          <w:p w:rsidR="001C5E4E" w:rsidRDefault="003E09C0">
            <w:pPr>
              <w:pStyle w:val="TableParagraph"/>
              <w:spacing w:line="225" w:lineRule="exact"/>
              <w:ind w:left="160"/>
            </w:pPr>
            <w:r>
              <w:t>this Agreement.”</w:t>
            </w:r>
          </w:p>
        </w:tc>
      </w:tr>
      <w:tr w:rsidR="001C5E4E">
        <w:trPr>
          <w:trHeight w:val="522"/>
        </w:trPr>
        <w:tc>
          <w:tcPr>
            <w:tcW w:w="1199" w:type="dxa"/>
          </w:tcPr>
          <w:p w:rsidR="001C5E4E" w:rsidRDefault="003E09C0">
            <w:pPr>
              <w:pStyle w:val="TableParagraph"/>
              <w:spacing w:before="100"/>
              <w:ind w:right="51"/>
              <w:jc w:val="right"/>
              <w:rPr>
                <w:b/>
              </w:rPr>
            </w:pPr>
            <w:r>
              <w:rPr>
                <w:b/>
              </w:rPr>
              <w:t>Clause Z9</w:t>
            </w:r>
          </w:p>
        </w:tc>
        <w:tc>
          <w:tcPr>
            <w:tcW w:w="7236" w:type="dxa"/>
          </w:tcPr>
          <w:p w:rsidR="001C5E4E" w:rsidRDefault="003E09C0">
            <w:pPr>
              <w:pStyle w:val="TableParagraph"/>
              <w:spacing w:before="100"/>
              <w:ind w:left="160"/>
              <w:rPr>
                <w:b/>
              </w:rPr>
            </w:pPr>
            <w:r>
              <w:rPr>
                <w:b/>
              </w:rPr>
              <w:t>Project Bank Account – Not Used</w:t>
            </w:r>
          </w:p>
        </w:tc>
      </w:tr>
      <w:tr w:rsidR="001C5E4E">
        <w:trPr>
          <w:trHeight w:val="12264"/>
        </w:trPr>
        <w:tc>
          <w:tcPr>
            <w:tcW w:w="1199" w:type="dxa"/>
          </w:tcPr>
          <w:p w:rsidR="001C5E4E" w:rsidRDefault="003E09C0">
            <w:pPr>
              <w:pStyle w:val="TableParagraph"/>
              <w:spacing w:before="113"/>
              <w:ind w:right="50"/>
              <w:jc w:val="right"/>
              <w:rPr>
                <w:b/>
              </w:rPr>
            </w:pPr>
            <w:r>
              <w:rPr>
                <w:b/>
              </w:rPr>
              <w:t>Clause Z10</w:t>
            </w:r>
          </w:p>
        </w:tc>
        <w:tc>
          <w:tcPr>
            <w:tcW w:w="7236" w:type="dxa"/>
          </w:tcPr>
          <w:p w:rsidR="001C5E4E" w:rsidRDefault="003E09C0">
            <w:pPr>
              <w:pStyle w:val="TableParagraph"/>
              <w:spacing w:before="113"/>
              <w:ind w:left="160"/>
              <w:jc w:val="both"/>
              <w:rPr>
                <w:b/>
              </w:rPr>
            </w:pPr>
            <w:r>
              <w:rPr>
                <w:b/>
              </w:rPr>
              <w:t>Prevention of fraud and bribery</w:t>
            </w:r>
          </w:p>
          <w:p w:rsidR="001C5E4E" w:rsidRDefault="003E09C0">
            <w:pPr>
              <w:pStyle w:val="TableParagraph"/>
              <w:spacing w:before="120"/>
              <w:ind w:left="160"/>
              <w:jc w:val="both"/>
            </w:pPr>
            <w:r>
              <w:t>Z10.1 In this clause Z10, Prohibited Act means any of the following:</w:t>
            </w:r>
          </w:p>
          <w:p w:rsidR="001C5E4E" w:rsidRDefault="003E09C0">
            <w:pPr>
              <w:pStyle w:val="TableParagraph"/>
              <w:numPr>
                <w:ilvl w:val="0"/>
                <w:numId w:val="35"/>
              </w:numPr>
              <w:tabs>
                <w:tab w:val="left" w:pos="881"/>
              </w:tabs>
              <w:spacing w:before="118"/>
              <w:ind w:right="202"/>
              <w:jc w:val="both"/>
            </w:pPr>
            <w:r>
              <w:t xml:space="preserve">to directly or indirectly offer, promise or give any person working for or engaged by the </w:t>
            </w:r>
            <w:r>
              <w:rPr>
                <w:i/>
              </w:rPr>
              <w:t xml:space="preserve">Employer </w:t>
            </w:r>
            <w:r>
              <w:t>a financial or other advantage</w:t>
            </w:r>
            <w:r>
              <w:rPr>
                <w:spacing w:val="-7"/>
              </w:rPr>
              <w:t xml:space="preserve"> </w:t>
            </w:r>
            <w:r>
              <w:t>to:</w:t>
            </w:r>
          </w:p>
          <w:p w:rsidR="001C5E4E" w:rsidRDefault="003E09C0">
            <w:pPr>
              <w:pStyle w:val="TableParagraph"/>
              <w:numPr>
                <w:ilvl w:val="1"/>
                <w:numId w:val="35"/>
              </w:numPr>
              <w:tabs>
                <w:tab w:val="left" w:pos="1241"/>
              </w:tabs>
              <w:spacing w:before="121"/>
              <w:ind w:right="198"/>
              <w:jc w:val="both"/>
            </w:pPr>
            <w:r>
              <w:t>induce that person to perform improperly a relevant function or activity;</w:t>
            </w:r>
            <w:r>
              <w:rPr>
                <w:spacing w:val="-2"/>
              </w:rPr>
              <w:t xml:space="preserve"> </w:t>
            </w:r>
            <w:r>
              <w:t>or</w:t>
            </w:r>
          </w:p>
          <w:p w:rsidR="001C5E4E" w:rsidRDefault="003E09C0">
            <w:pPr>
              <w:pStyle w:val="TableParagraph"/>
              <w:numPr>
                <w:ilvl w:val="1"/>
                <w:numId w:val="35"/>
              </w:numPr>
              <w:tabs>
                <w:tab w:val="left" w:pos="1241"/>
              </w:tabs>
              <w:spacing w:before="120"/>
              <w:ind w:right="200"/>
              <w:jc w:val="both"/>
            </w:pPr>
            <w:r>
              <w:t>reward that person for improper performance of a relevant function or</w:t>
            </w:r>
            <w:r>
              <w:rPr>
                <w:spacing w:val="-4"/>
              </w:rPr>
              <w:t xml:space="preserve"> </w:t>
            </w:r>
            <w:r>
              <w:t>activity;</w:t>
            </w:r>
          </w:p>
          <w:p w:rsidR="001C5E4E" w:rsidRDefault="003E09C0">
            <w:pPr>
              <w:pStyle w:val="TableParagraph"/>
              <w:numPr>
                <w:ilvl w:val="0"/>
                <w:numId w:val="35"/>
              </w:numPr>
              <w:tabs>
                <w:tab w:val="left" w:pos="881"/>
              </w:tabs>
              <w:spacing w:before="121"/>
              <w:ind w:right="198"/>
              <w:jc w:val="both"/>
            </w:pPr>
            <w:r>
              <w:t>to directly or indirectly request, agree to receive or accept any financial or other advantage as an inducement or a reward for improper</w:t>
            </w:r>
            <w:r>
              <w:rPr>
                <w:spacing w:val="-8"/>
              </w:rPr>
              <w:t xml:space="preserve"> </w:t>
            </w:r>
            <w:r>
              <w:t>performance</w:t>
            </w:r>
            <w:r>
              <w:rPr>
                <w:spacing w:val="-12"/>
              </w:rPr>
              <w:t xml:space="preserve"> </w:t>
            </w:r>
            <w:r>
              <w:t>of</w:t>
            </w:r>
            <w:r>
              <w:rPr>
                <w:spacing w:val="-7"/>
              </w:rPr>
              <w:t xml:space="preserve"> </w:t>
            </w:r>
            <w:r>
              <w:t>a</w:t>
            </w:r>
            <w:r>
              <w:rPr>
                <w:spacing w:val="-13"/>
              </w:rPr>
              <w:t xml:space="preserve"> </w:t>
            </w:r>
            <w:r>
              <w:t>relevant</w:t>
            </w:r>
            <w:r>
              <w:rPr>
                <w:spacing w:val="-7"/>
              </w:rPr>
              <w:t xml:space="preserve"> </w:t>
            </w:r>
            <w:r>
              <w:t>function</w:t>
            </w:r>
            <w:r>
              <w:rPr>
                <w:spacing w:val="-10"/>
              </w:rPr>
              <w:t xml:space="preserve"> </w:t>
            </w:r>
            <w:r>
              <w:t>or</w:t>
            </w:r>
            <w:r>
              <w:rPr>
                <w:spacing w:val="-11"/>
              </w:rPr>
              <w:t xml:space="preserve"> </w:t>
            </w:r>
            <w:r>
              <w:t>activity</w:t>
            </w:r>
            <w:r>
              <w:rPr>
                <w:spacing w:val="-9"/>
              </w:rPr>
              <w:t xml:space="preserve"> </w:t>
            </w:r>
            <w:r>
              <w:t>in</w:t>
            </w:r>
            <w:r>
              <w:rPr>
                <w:spacing w:val="-8"/>
              </w:rPr>
              <w:t xml:space="preserve"> </w:t>
            </w:r>
            <w:r>
              <w:t>connection with this</w:t>
            </w:r>
            <w:r>
              <w:rPr>
                <w:spacing w:val="-2"/>
              </w:rPr>
              <w:t xml:space="preserve"> </w:t>
            </w:r>
            <w:r>
              <w:t>contract;</w:t>
            </w:r>
          </w:p>
          <w:p w:rsidR="001C5E4E" w:rsidRDefault="003E09C0">
            <w:pPr>
              <w:pStyle w:val="TableParagraph"/>
              <w:numPr>
                <w:ilvl w:val="0"/>
                <w:numId w:val="35"/>
              </w:numPr>
              <w:tabs>
                <w:tab w:val="left" w:pos="932"/>
              </w:tabs>
              <w:spacing w:before="119"/>
              <w:ind w:left="931" w:hanging="597"/>
              <w:jc w:val="both"/>
            </w:pPr>
            <w:r>
              <w:t>committing any</w:t>
            </w:r>
            <w:r>
              <w:rPr>
                <w:spacing w:val="-5"/>
              </w:rPr>
              <w:t xml:space="preserve"> </w:t>
            </w:r>
            <w:r>
              <w:t>offence:</w:t>
            </w:r>
          </w:p>
          <w:p w:rsidR="001C5E4E" w:rsidRDefault="003E09C0">
            <w:pPr>
              <w:pStyle w:val="TableParagraph"/>
              <w:numPr>
                <w:ilvl w:val="1"/>
                <w:numId w:val="35"/>
              </w:numPr>
              <w:tabs>
                <w:tab w:val="left" w:pos="1240"/>
                <w:tab w:val="left" w:pos="1241"/>
              </w:tabs>
              <w:spacing w:before="120"/>
              <w:ind w:right="201"/>
            </w:pPr>
            <w:r>
              <w:t>under the Bribery Act 2010 (or any legislation repealed or revoked by such Act);</w:t>
            </w:r>
            <w:r>
              <w:rPr>
                <w:spacing w:val="-8"/>
              </w:rPr>
              <w:t xml:space="preserve"> </w:t>
            </w:r>
            <w:r>
              <w:t>or</w:t>
            </w:r>
          </w:p>
          <w:p w:rsidR="001C5E4E" w:rsidRDefault="003E09C0">
            <w:pPr>
              <w:pStyle w:val="TableParagraph"/>
              <w:numPr>
                <w:ilvl w:val="1"/>
                <w:numId w:val="35"/>
              </w:numPr>
              <w:tabs>
                <w:tab w:val="left" w:pos="1241"/>
              </w:tabs>
              <w:spacing w:before="121"/>
              <w:ind w:hanging="361"/>
            </w:pPr>
            <w:r>
              <w:t>under legislation creating offences concerning fraud;</w:t>
            </w:r>
            <w:r>
              <w:rPr>
                <w:spacing w:val="-13"/>
              </w:rPr>
              <w:t xml:space="preserve"> </w:t>
            </w:r>
            <w:r>
              <w:t>or</w:t>
            </w:r>
          </w:p>
          <w:p w:rsidR="001C5E4E" w:rsidRDefault="003E09C0">
            <w:pPr>
              <w:pStyle w:val="TableParagraph"/>
              <w:numPr>
                <w:ilvl w:val="1"/>
                <w:numId w:val="35"/>
              </w:numPr>
              <w:tabs>
                <w:tab w:val="left" w:pos="1241"/>
              </w:tabs>
              <w:spacing w:before="120"/>
              <w:ind w:hanging="361"/>
            </w:pPr>
            <w:r>
              <w:t>at common law concerning fraud;</w:t>
            </w:r>
            <w:r>
              <w:rPr>
                <w:spacing w:val="-7"/>
              </w:rPr>
              <w:t xml:space="preserve"> </w:t>
            </w:r>
            <w:r>
              <w:t>or</w:t>
            </w:r>
          </w:p>
          <w:p w:rsidR="001C5E4E" w:rsidRDefault="003E09C0">
            <w:pPr>
              <w:pStyle w:val="TableParagraph"/>
              <w:spacing w:before="120"/>
              <w:ind w:left="880"/>
            </w:pPr>
            <w:r>
              <w:t>committing (or attempting or conspiring to commit) fraud.]</w:t>
            </w:r>
          </w:p>
          <w:p w:rsidR="001C5E4E" w:rsidRDefault="001C5E4E">
            <w:pPr>
              <w:pStyle w:val="TableParagraph"/>
              <w:rPr>
                <w:b/>
              </w:rPr>
            </w:pPr>
          </w:p>
          <w:p w:rsidR="001C5E4E" w:rsidRDefault="001C5E4E">
            <w:pPr>
              <w:pStyle w:val="TableParagraph"/>
              <w:rPr>
                <w:b/>
              </w:rPr>
            </w:pPr>
          </w:p>
          <w:p w:rsidR="001C5E4E" w:rsidRDefault="001C5E4E">
            <w:pPr>
              <w:pStyle w:val="TableParagraph"/>
              <w:spacing w:before="7"/>
              <w:rPr>
                <w:b/>
                <w:sz w:val="19"/>
              </w:rPr>
            </w:pPr>
          </w:p>
          <w:p w:rsidR="001C5E4E" w:rsidRDefault="003E09C0">
            <w:pPr>
              <w:pStyle w:val="TableParagraph"/>
              <w:ind w:left="52"/>
              <w:jc w:val="both"/>
            </w:pPr>
            <w:r>
              <w:t xml:space="preserve">Z10.2 During the </w:t>
            </w:r>
            <w:r>
              <w:rPr>
                <w:i/>
              </w:rPr>
              <w:t xml:space="preserve">services period </w:t>
            </w:r>
            <w:r>
              <w:t xml:space="preserve">the </w:t>
            </w:r>
            <w:r>
              <w:rPr>
                <w:i/>
              </w:rPr>
              <w:t xml:space="preserve">Consultant </w:t>
            </w:r>
            <w:r>
              <w:t>does not:</w:t>
            </w:r>
          </w:p>
          <w:p w:rsidR="001C5E4E" w:rsidRDefault="003E09C0">
            <w:pPr>
              <w:pStyle w:val="TableParagraph"/>
              <w:numPr>
                <w:ilvl w:val="0"/>
                <w:numId w:val="34"/>
              </w:numPr>
              <w:tabs>
                <w:tab w:val="left" w:pos="480"/>
              </w:tabs>
              <w:spacing w:before="120"/>
              <w:jc w:val="both"/>
            </w:pPr>
            <w:r>
              <w:t>commit a Prohibited Act;</w:t>
            </w:r>
            <w:r>
              <w:rPr>
                <w:spacing w:val="-2"/>
              </w:rPr>
              <w:t xml:space="preserve"> </w:t>
            </w:r>
            <w:r>
              <w:t>and/or</w:t>
            </w:r>
          </w:p>
          <w:p w:rsidR="001C5E4E" w:rsidRDefault="003E09C0">
            <w:pPr>
              <w:pStyle w:val="TableParagraph"/>
              <w:numPr>
                <w:ilvl w:val="0"/>
                <w:numId w:val="34"/>
              </w:numPr>
              <w:tabs>
                <w:tab w:val="left" w:pos="480"/>
              </w:tabs>
              <w:spacing w:before="121"/>
              <w:ind w:right="199"/>
              <w:jc w:val="both"/>
            </w:pPr>
            <w:r>
              <w:t xml:space="preserve">do or suffer anything to be done which would cause the </w:t>
            </w:r>
            <w:r>
              <w:rPr>
                <w:i/>
              </w:rPr>
              <w:t xml:space="preserve">Employer </w:t>
            </w:r>
            <w:r>
              <w:t xml:space="preserve">or any of the </w:t>
            </w:r>
            <w:r>
              <w:rPr>
                <w:i/>
              </w:rPr>
              <w:t xml:space="preserve">Employer’s </w:t>
            </w:r>
            <w:r>
              <w:t>employees, Consultants, Sub-Consultants or Agents to contravene any of the Relevant Requirements or otherwise incur any liability in relation to the Relevant</w:t>
            </w:r>
            <w:r>
              <w:rPr>
                <w:spacing w:val="-7"/>
              </w:rPr>
              <w:t xml:space="preserve"> </w:t>
            </w:r>
            <w:r>
              <w:t>Requirements</w:t>
            </w:r>
          </w:p>
          <w:p w:rsidR="001C5E4E" w:rsidRDefault="003E09C0">
            <w:pPr>
              <w:pStyle w:val="TableParagraph"/>
              <w:spacing w:before="121"/>
              <w:ind w:left="52"/>
              <w:jc w:val="both"/>
            </w:pPr>
            <w:r>
              <w:t xml:space="preserve">Z10.3 During the </w:t>
            </w:r>
            <w:r>
              <w:rPr>
                <w:i/>
              </w:rPr>
              <w:t xml:space="preserve">services period </w:t>
            </w:r>
            <w:r>
              <w:t xml:space="preserve">the </w:t>
            </w:r>
            <w:r>
              <w:rPr>
                <w:i/>
              </w:rPr>
              <w:t>Consultant</w:t>
            </w:r>
            <w:r>
              <w:t>:</w:t>
            </w:r>
          </w:p>
          <w:p w:rsidR="001C5E4E" w:rsidRDefault="003E09C0">
            <w:pPr>
              <w:pStyle w:val="TableParagraph"/>
              <w:numPr>
                <w:ilvl w:val="0"/>
                <w:numId w:val="34"/>
              </w:numPr>
              <w:tabs>
                <w:tab w:val="left" w:pos="480"/>
              </w:tabs>
              <w:spacing w:before="118"/>
              <w:ind w:right="197" w:hanging="284"/>
              <w:jc w:val="both"/>
            </w:pPr>
            <w:r>
              <w:t>establishes,</w:t>
            </w:r>
            <w:r>
              <w:rPr>
                <w:spacing w:val="-11"/>
              </w:rPr>
              <w:t xml:space="preserve"> </w:t>
            </w:r>
            <w:r>
              <w:t>maintains</w:t>
            </w:r>
            <w:r>
              <w:rPr>
                <w:spacing w:val="-6"/>
              </w:rPr>
              <w:t xml:space="preserve"> </w:t>
            </w:r>
            <w:r>
              <w:t>and</w:t>
            </w:r>
            <w:r>
              <w:rPr>
                <w:spacing w:val="-10"/>
              </w:rPr>
              <w:t xml:space="preserve"> </w:t>
            </w:r>
            <w:r>
              <w:t>enforces,</w:t>
            </w:r>
            <w:r>
              <w:rPr>
                <w:spacing w:val="-5"/>
              </w:rPr>
              <w:t xml:space="preserve"> </w:t>
            </w:r>
            <w:r>
              <w:t>and</w:t>
            </w:r>
            <w:r>
              <w:rPr>
                <w:spacing w:val="-8"/>
              </w:rPr>
              <w:t xml:space="preserve"> </w:t>
            </w:r>
            <w:r>
              <w:t>requires</w:t>
            </w:r>
            <w:r>
              <w:rPr>
                <w:spacing w:val="-8"/>
              </w:rPr>
              <w:t xml:space="preserve"> </w:t>
            </w:r>
            <w:r>
              <w:t>that</w:t>
            </w:r>
            <w:r>
              <w:rPr>
                <w:spacing w:val="-9"/>
              </w:rPr>
              <w:t xml:space="preserve"> </w:t>
            </w:r>
            <w:r>
              <w:t>its</w:t>
            </w:r>
            <w:r>
              <w:rPr>
                <w:spacing w:val="-6"/>
              </w:rPr>
              <w:t xml:space="preserve"> </w:t>
            </w:r>
            <w:r>
              <w:t>Sub-Consultants establish, maintain and enforce, policies and procedures which are adequate to ensure compliance with the Relevant Requirements and prevent the occurrence of a Prohibited</w:t>
            </w:r>
            <w:r>
              <w:rPr>
                <w:spacing w:val="-11"/>
              </w:rPr>
              <w:t xml:space="preserve"> </w:t>
            </w:r>
            <w:r>
              <w:t>Act;</w:t>
            </w:r>
          </w:p>
          <w:p w:rsidR="001C5E4E" w:rsidRDefault="003E09C0">
            <w:pPr>
              <w:pStyle w:val="TableParagraph"/>
              <w:numPr>
                <w:ilvl w:val="0"/>
                <w:numId w:val="34"/>
              </w:numPr>
              <w:tabs>
                <w:tab w:val="left" w:pos="480"/>
              </w:tabs>
              <w:spacing w:before="122"/>
              <w:ind w:right="201" w:hanging="284"/>
              <w:jc w:val="both"/>
            </w:pPr>
            <w:r>
              <w:t xml:space="preserve">keeps appropriate records of its compliance with this contract and make such records available to the </w:t>
            </w:r>
            <w:r>
              <w:rPr>
                <w:i/>
              </w:rPr>
              <w:t xml:space="preserve">Employer </w:t>
            </w:r>
            <w:r>
              <w:t>on</w:t>
            </w:r>
            <w:r>
              <w:rPr>
                <w:spacing w:val="-5"/>
              </w:rPr>
              <w:t xml:space="preserve"> </w:t>
            </w:r>
            <w:r>
              <w:t>request;</w:t>
            </w:r>
          </w:p>
          <w:p w:rsidR="001C5E4E" w:rsidRDefault="003E09C0">
            <w:pPr>
              <w:pStyle w:val="TableParagraph"/>
              <w:numPr>
                <w:ilvl w:val="0"/>
                <w:numId w:val="34"/>
              </w:numPr>
              <w:tabs>
                <w:tab w:val="left" w:pos="480"/>
              </w:tabs>
              <w:spacing w:before="121"/>
              <w:ind w:right="199" w:hanging="284"/>
              <w:jc w:val="both"/>
              <w:rPr>
                <w:i/>
              </w:rPr>
            </w:pPr>
            <w:r>
              <w:t xml:space="preserve">provides and maintains and where appropriate enforces an anti-bribery policy (which shall be disclosed to the </w:t>
            </w:r>
            <w:r>
              <w:rPr>
                <w:i/>
              </w:rPr>
              <w:t xml:space="preserve">Employer </w:t>
            </w:r>
            <w:r>
              <w:t xml:space="preserve">on request) to prevent it and any </w:t>
            </w:r>
            <w:r>
              <w:rPr>
                <w:i/>
              </w:rPr>
              <w:t xml:space="preserve">Consultant’s </w:t>
            </w:r>
            <w:r>
              <w:t>employees or any person acting on the</w:t>
            </w:r>
            <w:r>
              <w:rPr>
                <w:spacing w:val="-7"/>
              </w:rPr>
              <w:t xml:space="preserve"> </w:t>
            </w:r>
            <w:r>
              <w:rPr>
                <w:i/>
              </w:rPr>
              <w:t>Consultant's</w:t>
            </w:r>
          </w:p>
          <w:p w:rsidR="001C5E4E" w:rsidRDefault="003E09C0">
            <w:pPr>
              <w:pStyle w:val="TableParagraph"/>
              <w:spacing w:line="243" w:lineRule="exact"/>
              <w:ind w:left="479"/>
              <w:jc w:val="both"/>
            </w:pPr>
            <w:r>
              <w:t>behalf from committing a Prohibited Act.</w:t>
            </w:r>
          </w:p>
        </w:tc>
      </w:tr>
    </w:tbl>
    <w:p w:rsidR="001C5E4E" w:rsidRDefault="001C5E4E">
      <w:pPr>
        <w:spacing w:line="243" w:lineRule="exact"/>
        <w:jc w:val="both"/>
        <w:sectPr w:rsidR="001C5E4E">
          <w:pgSz w:w="11910" w:h="16850"/>
          <w:pgMar w:top="1400" w:right="620" w:bottom="1080" w:left="940" w:header="1112" w:footer="892" w:gutter="0"/>
          <w:cols w:space="720"/>
        </w:sectPr>
      </w:pPr>
    </w:p>
    <w:p w:rsidR="001C5E4E" w:rsidRDefault="001C5E4E">
      <w:pPr>
        <w:pStyle w:val="BodyText"/>
        <w:spacing w:before="7"/>
        <w:rPr>
          <w:b/>
        </w:rPr>
      </w:pPr>
    </w:p>
    <w:p w:rsidR="001C5E4E" w:rsidRDefault="003E09C0">
      <w:pPr>
        <w:pStyle w:val="BodyText"/>
        <w:tabs>
          <w:tab w:val="left" w:pos="3258"/>
        </w:tabs>
        <w:spacing w:before="56"/>
        <w:ind w:left="2430" w:right="1012"/>
      </w:pPr>
      <w:r>
        <w:t>Z10.4</w:t>
      </w:r>
      <w:r>
        <w:tab/>
        <w:t xml:space="preserve">The </w:t>
      </w:r>
      <w:r>
        <w:rPr>
          <w:i/>
        </w:rPr>
        <w:t xml:space="preserve">Consultant </w:t>
      </w:r>
      <w:r>
        <w:t xml:space="preserve">immediately notifies the </w:t>
      </w:r>
      <w:r>
        <w:rPr>
          <w:i/>
        </w:rPr>
        <w:t xml:space="preserve">Employer </w:t>
      </w:r>
      <w:r>
        <w:t>in writing if it becomes aware of any breach of clause Z10.1, or has reason to believe that it has or any of the its employees or Sub-Consultants</w:t>
      </w:r>
      <w:r>
        <w:rPr>
          <w:spacing w:val="-15"/>
        </w:rPr>
        <w:t xml:space="preserve"> </w:t>
      </w:r>
      <w:r>
        <w:t>have:</w:t>
      </w:r>
    </w:p>
    <w:p w:rsidR="001C5E4E" w:rsidRDefault="003E09C0">
      <w:pPr>
        <w:pStyle w:val="ListParagraph"/>
        <w:numPr>
          <w:ilvl w:val="2"/>
          <w:numId w:val="70"/>
        </w:numPr>
        <w:tabs>
          <w:tab w:val="left" w:pos="3019"/>
        </w:tabs>
        <w:spacing w:before="118"/>
        <w:ind w:right="933"/>
        <w:jc w:val="both"/>
      </w:pPr>
      <w:r>
        <w:t>been subject to an investigation or prosecution which relates to an alleged Prohibited</w:t>
      </w:r>
      <w:r>
        <w:rPr>
          <w:spacing w:val="-1"/>
        </w:rPr>
        <w:t xml:space="preserve"> </w:t>
      </w:r>
      <w:r>
        <w:t>Act;</w:t>
      </w:r>
    </w:p>
    <w:p w:rsidR="001C5E4E" w:rsidRDefault="003E09C0">
      <w:pPr>
        <w:pStyle w:val="ListParagraph"/>
        <w:numPr>
          <w:ilvl w:val="2"/>
          <w:numId w:val="70"/>
        </w:numPr>
        <w:tabs>
          <w:tab w:val="left" w:pos="3019"/>
        </w:tabs>
        <w:spacing w:before="121"/>
        <w:ind w:right="931"/>
        <w:jc w:val="both"/>
      </w:pPr>
      <w:r>
        <w:t>been listed by any government department or agency as being debarred, suspended, proposed for suspension or debarment, or otherwise ineligible for participation in government procurement programmes or contracts on the grounds of a Prohibited Act;</w:t>
      </w:r>
      <w:r>
        <w:rPr>
          <w:spacing w:val="-14"/>
        </w:rPr>
        <w:t xml:space="preserve"> </w:t>
      </w:r>
      <w:r>
        <w:t>and/or</w:t>
      </w:r>
    </w:p>
    <w:p w:rsidR="001C5E4E" w:rsidRDefault="003E09C0">
      <w:pPr>
        <w:pStyle w:val="ListParagraph"/>
        <w:numPr>
          <w:ilvl w:val="2"/>
          <w:numId w:val="70"/>
        </w:numPr>
        <w:tabs>
          <w:tab w:val="left" w:pos="3019"/>
        </w:tabs>
        <w:spacing w:before="119"/>
        <w:ind w:right="932"/>
        <w:jc w:val="both"/>
      </w:pPr>
      <w:r>
        <w:t>received a request or demand for any undue financial or other advantage of any kind in connection with the performance of this contract or otherwise suspects that any person or Party directly or indirectly connected with this contract has committed or attempted to commit a Prohibited</w:t>
      </w:r>
      <w:r>
        <w:rPr>
          <w:spacing w:val="-3"/>
        </w:rPr>
        <w:t xml:space="preserve"> </w:t>
      </w:r>
      <w:r>
        <w:t>Act.</w:t>
      </w:r>
    </w:p>
    <w:p w:rsidR="001C5E4E" w:rsidRDefault="003E09C0">
      <w:pPr>
        <w:pStyle w:val="BodyText"/>
        <w:tabs>
          <w:tab w:val="left" w:pos="3258"/>
        </w:tabs>
        <w:spacing w:before="122"/>
        <w:ind w:left="2538" w:right="964"/>
      </w:pPr>
      <w:r>
        <w:t>Z10.5</w:t>
      </w:r>
      <w:r>
        <w:tab/>
        <w:t xml:space="preserve">If the </w:t>
      </w:r>
      <w:r>
        <w:rPr>
          <w:i/>
        </w:rPr>
        <w:t xml:space="preserve">Consultant </w:t>
      </w:r>
      <w:r>
        <w:t xml:space="preserve">makes a notification to the </w:t>
      </w:r>
      <w:r>
        <w:rPr>
          <w:i/>
        </w:rPr>
        <w:t xml:space="preserve">Employer </w:t>
      </w:r>
      <w:r>
        <w:t xml:space="preserve">pursuant to clause Z10.4, the </w:t>
      </w:r>
      <w:r>
        <w:rPr>
          <w:i/>
        </w:rPr>
        <w:t xml:space="preserve">Consultant </w:t>
      </w:r>
      <w:r>
        <w:t xml:space="preserve">responds promptly to the </w:t>
      </w:r>
      <w:r>
        <w:rPr>
          <w:i/>
        </w:rPr>
        <w:t xml:space="preserve">Employer's </w:t>
      </w:r>
      <w:r>
        <w:t xml:space="preserve">enquiries, co-operates with any investigation, and allows the </w:t>
      </w:r>
      <w:r>
        <w:rPr>
          <w:i/>
        </w:rPr>
        <w:t xml:space="preserve">Employer </w:t>
      </w:r>
      <w:r>
        <w:t>to audit any books, records and/or any other relevant documentation in accordance with this contract.</w:t>
      </w:r>
    </w:p>
    <w:p w:rsidR="001C5E4E" w:rsidRDefault="001C5E4E">
      <w:pPr>
        <w:pStyle w:val="BodyText"/>
        <w:spacing w:before="11"/>
        <w:rPr>
          <w:sz w:val="21"/>
        </w:rPr>
      </w:pPr>
    </w:p>
    <w:p w:rsidR="001C5E4E" w:rsidRDefault="003E09C0">
      <w:pPr>
        <w:ind w:left="2538" w:right="969"/>
        <w:jc w:val="both"/>
      </w:pPr>
      <w:r>
        <w:t xml:space="preserve">Z10.6 If the </w:t>
      </w:r>
      <w:r>
        <w:rPr>
          <w:i/>
        </w:rPr>
        <w:t xml:space="preserve">Consultant </w:t>
      </w:r>
      <w:r>
        <w:t xml:space="preserve">breaches Clause Z10.3, the </w:t>
      </w:r>
      <w:r>
        <w:rPr>
          <w:i/>
        </w:rPr>
        <w:t xml:space="preserve">Employer </w:t>
      </w:r>
      <w:r>
        <w:t xml:space="preserve">may by notice require the </w:t>
      </w:r>
      <w:r>
        <w:rPr>
          <w:i/>
        </w:rPr>
        <w:t xml:space="preserve">Consultant </w:t>
      </w:r>
      <w:r>
        <w:t xml:space="preserve">to remove from Providing the Service any </w:t>
      </w:r>
      <w:r>
        <w:rPr>
          <w:i/>
        </w:rPr>
        <w:t xml:space="preserve">Consultant </w:t>
      </w:r>
      <w:r>
        <w:t xml:space="preserve">employee whose acts or omissions have caused the </w:t>
      </w:r>
      <w:r>
        <w:rPr>
          <w:i/>
        </w:rPr>
        <w:t>Consultant</w:t>
      </w:r>
      <w:r>
        <w:t>’s breach.</w:t>
      </w:r>
    </w:p>
    <w:p w:rsidR="001C5E4E" w:rsidRDefault="003E09C0">
      <w:pPr>
        <w:pStyle w:val="BodyText"/>
        <w:spacing w:before="121"/>
        <w:ind w:left="2571"/>
        <w:jc w:val="both"/>
      </w:pPr>
      <w:r>
        <w:t>Z10.7 In this Clause Z10, Prohibited Act means any of the following:</w:t>
      </w:r>
    </w:p>
    <w:p w:rsidR="001C5E4E" w:rsidRDefault="003E09C0">
      <w:pPr>
        <w:pStyle w:val="ListParagraph"/>
        <w:numPr>
          <w:ilvl w:val="0"/>
          <w:numId w:val="33"/>
        </w:numPr>
        <w:tabs>
          <w:tab w:val="left" w:pos="3259"/>
        </w:tabs>
        <w:spacing w:before="121"/>
        <w:ind w:right="934"/>
        <w:jc w:val="both"/>
      </w:pPr>
      <w:r>
        <w:t xml:space="preserve">to directly or indirectly offer, promise or give any person working for or engaged by the </w:t>
      </w:r>
      <w:r>
        <w:rPr>
          <w:i/>
        </w:rPr>
        <w:t xml:space="preserve">Employer </w:t>
      </w:r>
      <w:r>
        <w:t>a financial or other advantage</w:t>
      </w:r>
      <w:r>
        <w:rPr>
          <w:spacing w:val="-7"/>
        </w:rPr>
        <w:t xml:space="preserve"> </w:t>
      </w:r>
      <w:r>
        <w:t>to:</w:t>
      </w:r>
    </w:p>
    <w:p w:rsidR="001C5E4E" w:rsidRDefault="003E09C0">
      <w:pPr>
        <w:pStyle w:val="ListParagraph"/>
        <w:numPr>
          <w:ilvl w:val="1"/>
          <w:numId w:val="33"/>
        </w:numPr>
        <w:tabs>
          <w:tab w:val="left" w:pos="3619"/>
        </w:tabs>
        <w:spacing w:before="120"/>
        <w:ind w:right="933"/>
        <w:jc w:val="both"/>
      </w:pPr>
      <w:r>
        <w:t>induce that person to perform improperly a relevant function or activity;</w:t>
      </w:r>
      <w:r>
        <w:rPr>
          <w:spacing w:val="-2"/>
        </w:rPr>
        <w:t xml:space="preserve"> </w:t>
      </w:r>
      <w:r>
        <w:t>or</w:t>
      </w:r>
    </w:p>
    <w:p w:rsidR="001C5E4E" w:rsidRDefault="003E09C0">
      <w:pPr>
        <w:pStyle w:val="ListParagraph"/>
        <w:numPr>
          <w:ilvl w:val="1"/>
          <w:numId w:val="33"/>
        </w:numPr>
        <w:tabs>
          <w:tab w:val="left" w:pos="3619"/>
        </w:tabs>
        <w:spacing w:before="118"/>
        <w:ind w:right="933"/>
        <w:jc w:val="both"/>
      </w:pPr>
      <w:r>
        <w:t>reward that person for improper performance of a relevant function or</w:t>
      </w:r>
      <w:r>
        <w:rPr>
          <w:spacing w:val="-4"/>
        </w:rPr>
        <w:t xml:space="preserve"> </w:t>
      </w:r>
      <w:r>
        <w:t>activity;</w:t>
      </w:r>
    </w:p>
    <w:p w:rsidR="001C5E4E" w:rsidRDefault="003E09C0">
      <w:pPr>
        <w:pStyle w:val="ListParagraph"/>
        <w:numPr>
          <w:ilvl w:val="0"/>
          <w:numId w:val="33"/>
        </w:numPr>
        <w:tabs>
          <w:tab w:val="left" w:pos="3259"/>
        </w:tabs>
        <w:spacing w:before="121"/>
        <w:ind w:right="932" w:hanging="546"/>
        <w:jc w:val="both"/>
      </w:pPr>
      <w:r>
        <w:t>to directly or indirectly request, agree to receive or accept any financial or other advantage as an inducement or a reward for improper</w:t>
      </w:r>
      <w:r>
        <w:rPr>
          <w:spacing w:val="-8"/>
        </w:rPr>
        <w:t xml:space="preserve"> </w:t>
      </w:r>
      <w:r>
        <w:t>performance</w:t>
      </w:r>
      <w:r>
        <w:rPr>
          <w:spacing w:val="-12"/>
        </w:rPr>
        <w:t xml:space="preserve"> </w:t>
      </w:r>
      <w:r>
        <w:t>of</w:t>
      </w:r>
      <w:r>
        <w:rPr>
          <w:spacing w:val="-8"/>
        </w:rPr>
        <w:t xml:space="preserve"> </w:t>
      </w:r>
      <w:r>
        <w:t>a</w:t>
      </w:r>
      <w:r>
        <w:rPr>
          <w:spacing w:val="-12"/>
        </w:rPr>
        <w:t xml:space="preserve"> </w:t>
      </w:r>
      <w:r>
        <w:t>relevant</w:t>
      </w:r>
      <w:r>
        <w:rPr>
          <w:spacing w:val="-7"/>
        </w:rPr>
        <w:t xml:space="preserve"> </w:t>
      </w:r>
      <w:r>
        <w:t>function</w:t>
      </w:r>
      <w:r>
        <w:rPr>
          <w:spacing w:val="-11"/>
        </w:rPr>
        <w:t xml:space="preserve"> </w:t>
      </w:r>
      <w:r>
        <w:t>or</w:t>
      </w:r>
      <w:r>
        <w:rPr>
          <w:spacing w:val="-11"/>
        </w:rPr>
        <w:t xml:space="preserve"> </w:t>
      </w:r>
      <w:r>
        <w:t>activity</w:t>
      </w:r>
      <w:r>
        <w:rPr>
          <w:spacing w:val="-8"/>
        </w:rPr>
        <w:t xml:space="preserve"> </w:t>
      </w:r>
      <w:r>
        <w:t>in</w:t>
      </w:r>
      <w:r>
        <w:rPr>
          <w:spacing w:val="-9"/>
        </w:rPr>
        <w:t xml:space="preserve"> </w:t>
      </w:r>
      <w:r>
        <w:t>connection with this</w:t>
      </w:r>
      <w:r>
        <w:rPr>
          <w:spacing w:val="-2"/>
        </w:rPr>
        <w:t xml:space="preserve"> </w:t>
      </w:r>
      <w:r>
        <w:t>contract;</w:t>
      </w:r>
    </w:p>
    <w:p w:rsidR="001C5E4E" w:rsidRDefault="003E09C0">
      <w:pPr>
        <w:pStyle w:val="ListParagraph"/>
        <w:numPr>
          <w:ilvl w:val="0"/>
          <w:numId w:val="33"/>
        </w:numPr>
        <w:tabs>
          <w:tab w:val="left" w:pos="3309"/>
        </w:tabs>
        <w:spacing w:before="121"/>
        <w:ind w:left="3309" w:hanging="596"/>
        <w:jc w:val="both"/>
      </w:pPr>
      <w:r>
        <w:t>committing any</w:t>
      </w:r>
      <w:r>
        <w:rPr>
          <w:spacing w:val="-5"/>
        </w:rPr>
        <w:t xml:space="preserve"> </w:t>
      </w:r>
      <w:r>
        <w:t>offence:</w:t>
      </w:r>
    </w:p>
    <w:p w:rsidR="001C5E4E" w:rsidRDefault="003E09C0">
      <w:pPr>
        <w:pStyle w:val="ListParagraph"/>
        <w:numPr>
          <w:ilvl w:val="1"/>
          <w:numId w:val="33"/>
        </w:numPr>
        <w:tabs>
          <w:tab w:val="left" w:pos="3619"/>
        </w:tabs>
        <w:spacing w:before="121"/>
        <w:ind w:right="933"/>
        <w:jc w:val="both"/>
      </w:pPr>
      <w:r>
        <w:t>under the Bribery Act 2010 (or any legislation repealed or revoked by such Act);</w:t>
      </w:r>
      <w:r>
        <w:rPr>
          <w:spacing w:val="-8"/>
        </w:rPr>
        <w:t xml:space="preserve"> </w:t>
      </w:r>
      <w:r>
        <w:t>or</w:t>
      </w:r>
    </w:p>
    <w:p w:rsidR="001C5E4E" w:rsidRDefault="003E09C0">
      <w:pPr>
        <w:pStyle w:val="ListParagraph"/>
        <w:numPr>
          <w:ilvl w:val="1"/>
          <w:numId w:val="33"/>
        </w:numPr>
        <w:tabs>
          <w:tab w:val="left" w:pos="3619"/>
        </w:tabs>
        <w:spacing w:before="118"/>
        <w:ind w:hanging="361"/>
        <w:jc w:val="both"/>
      </w:pPr>
      <w:r>
        <w:t>under legislation creating offences concerning fraud;</w:t>
      </w:r>
      <w:r>
        <w:rPr>
          <w:spacing w:val="-11"/>
        </w:rPr>
        <w:t xml:space="preserve"> </w:t>
      </w:r>
      <w:r>
        <w:t>or</w:t>
      </w:r>
    </w:p>
    <w:p w:rsidR="001C5E4E" w:rsidRDefault="003E09C0">
      <w:pPr>
        <w:pStyle w:val="ListParagraph"/>
        <w:numPr>
          <w:ilvl w:val="1"/>
          <w:numId w:val="33"/>
        </w:numPr>
        <w:tabs>
          <w:tab w:val="left" w:pos="3619"/>
        </w:tabs>
        <w:spacing w:before="120" w:line="348" w:lineRule="auto"/>
        <w:ind w:left="2538" w:right="2515" w:firstLine="720"/>
        <w:jc w:val="both"/>
      </w:pPr>
      <w:r>
        <w:t>at common law concerning fraud; or committing (or attempting or conspiring to commit)</w:t>
      </w:r>
      <w:r>
        <w:rPr>
          <w:spacing w:val="-20"/>
        </w:rPr>
        <w:t xml:space="preserve"> </w:t>
      </w:r>
      <w:r>
        <w:t>fraud.]</w:t>
      </w:r>
    </w:p>
    <w:p w:rsidR="001C5E4E" w:rsidRDefault="001C5E4E">
      <w:pPr>
        <w:spacing w:line="348" w:lineRule="auto"/>
        <w:jc w:val="both"/>
        <w:sectPr w:rsidR="001C5E4E">
          <w:pgSz w:w="11910" w:h="16850"/>
          <w:pgMar w:top="1400" w:right="620" w:bottom="1080" w:left="940" w:header="1112" w:footer="892" w:gutter="0"/>
          <w:cols w:space="720"/>
        </w:sectPr>
      </w:pPr>
    </w:p>
    <w:p w:rsidR="001C5E4E" w:rsidRDefault="001C5E4E">
      <w:pPr>
        <w:pStyle w:val="BodyText"/>
        <w:rPr>
          <w:sz w:val="20"/>
        </w:rPr>
      </w:pPr>
    </w:p>
    <w:p w:rsidR="001C5E4E" w:rsidRDefault="001C5E4E">
      <w:pPr>
        <w:pStyle w:val="BodyText"/>
        <w:spacing w:before="7"/>
        <w:rPr>
          <w:sz w:val="20"/>
        </w:rPr>
      </w:pPr>
    </w:p>
    <w:tbl>
      <w:tblPr>
        <w:tblW w:w="0" w:type="auto"/>
        <w:tblInd w:w="1155" w:type="dxa"/>
        <w:tblLayout w:type="fixed"/>
        <w:tblCellMar>
          <w:left w:w="0" w:type="dxa"/>
          <w:right w:w="0" w:type="dxa"/>
        </w:tblCellMar>
        <w:tblLook w:val="01E0" w:firstRow="1" w:lastRow="1" w:firstColumn="1" w:lastColumn="1" w:noHBand="0" w:noVBand="0"/>
      </w:tblPr>
      <w:tblGrid>
        <w:gridCol w:w="1284"/>
        <w:gridCol w:w="7182"/>
      </w:tblGrid>
      <w:tr w:rsidR="001C5E4E">
        <w:trPr>
          <w:trHeight w:val="3403"/>
        </w:trPr>
        <w:tc>
          <w:tcPr>
            <w:tcW w:w="1284" w:type="dxa"/>
          </w:tcPr>
          <w:p w:rsidR="001C5E4E" w:rsidRDefault="003E09C0">
            <w:pPr>
              <w:pStyle w:val="TableParagraph"/>
              <w:spacing w:line="225" w:lineRule="exact"/>
              <w:ind w:right="103"/>
              <w:jc w:val="right"/>
              <w:rPr>
                <w:b/>
              </w:rPr>
            </w:pPr>
            <w:r>
              <w:rPr>
                <w:b/>
              </w:rPr>
              <w:t>Clause Z11</w:t>
            </w:r>
          </w:p>
        </w:tc>
        <w:tc>
          <w:tcPr>
            <w:tcW w:w="7182" w:type="dxa"/>
          </w:tcPr>
          <w:p w:rsidR="001C5E4E" w:rsidRDefault="003E09C0">
            <w:pPr>
              <w:pStyle w:val="TableParagraph"/>
              <w:spacing w:line="225" w:lineRule="exact"/>
              <w:ind w:left="106"/>
              <w:jc w:val="both"/>
              <w:rPr>
                <w:b/>
              </w:rPr>
            </w:pPr>
            <w:r>
              <w:rPr>
                <w:b/>
                <w:i/>
              </w:rPr>
              <w:t>Employer</w:t>
            </w:r>
            <w:r>
              <w:rPr>
                <w:b/>
              </w:rPr>
              <w:t>’s Codes of Conduct</w:t>
            </w:r>
          </w:p>
          <w:p w:rsidR="001C5E4E" w:rsidRDefault="003E09C0">
            <w:pPr>
              <w:pStyle w:val="TableParagraph"/>
              <w:spacing w:before="118"/>
              <w:ind w:left="106" w:right="199"/>
              <w:jc w:val="both"/>
            </w:pPr>
            <w:r>
              <w:t>Z11.1</w:t>
            </w:r>
            <w:r>
              <w:rPr>
                <w:spacing w:val="-13"/>
              </w:rPr>
              <w:t xml:space="preserve"> </w:t>
            </w:r>
            <w:r>
              <w:t>The</w:t>
            </w:r>
            <w:r>
              <w:rPr>
                <w:spacing w:val="-12"/>
              </w:rPr>
              <w:t xml:space="preserve"> </w:t>
            </w:r>
            <w:r>
              <w:rPr>
                <w:i/>
              </w:rPr>
              <w:t>Consultant</w:t>
            </w:r>
            <w:r>
              <w:rPr>
                <w:i/>
                <w:spacing w:val="-13"/>
              </w:rPr>
              <w:t xml:space="preserve"> </w:t>
            </w:r>
            <w:r>
              <w:t>complies</w:t>
            </w:r>
            <w:r>
              <w:rPr>
                <w:spacing w:val="-14"/>
              </w:rPr>
              <w:t xml:space="preserve"> </w:t>
            </w:r>
            <w:r>
              <w:t>(and</w:t>
            </w:r>
            <w:r>
              <w:rPr>
                <w:spacing w:val="-15"/>
              </w:rPr>
              <w:t xml:space="preserve"> </w:t>
            </w:r>
            <w:r>
              <w:t>ensures</w:t>
            </w:r>
            <w:r>
              <w:rPr>
                <w:spacing w:val="-13"/>
              </w:rPr>
              <w:t xml:space="preserve"> </w:t>
            </w:r>
            <w:r>
              <w:t>that</w:t>
            </w:r>
            <w:r>
              <w:rPr>
                <w:spacing w:val="-14"/>
              </w:rPr>
              <w:t xml:space="preserve"> </w:t>
            </w:r>
            <w:r>
              <w:t>any</w:t>
            </w:r>
            <w:r>
              <w:rPr>
                <w:spacing w:val="-13"/>
              </w:rPr>
              <w:t xml:space="preserve"> </w:t>
            </w:r>
            <w:r>
              <w:t>person</w:t>
            </w:r>
            <w:r>
              <w:rPr>
                <w:spacing w:val="-15"/>
              </w:rPr>
              <w:t xml:space="preserve"> </w:t>
            </w:r>
            <w:r>
              <w:t>employed</w:t>
            </w:r>
            <w:r>
              <w:rPr>
                <w:spacing w:val="-13"/>
              </w:rPr>
              <w:t xml:space="preserve"> </w:t>
            </w:r>
            <w:r>
              <w:t>by</w:t>
            </w:r>
            <w:r>
              <w:rPr>
                <w:spacing w:val="-13"/>
              </w:rPr>
              <w:t xml:space="preserve"> </w:t>
            </w:r>
            <w:r>
              <w:t xml:space="preserve">him or acting on his behalf complies) with the </w:t>
            </w:r>
            <w:r>
              <w:rPr>
                <w:i/>
              </w:rPr>
              <w:t>Employer</w:t>
            </w:r>
            <w:r>
              <w:t xml:space="preserve">’s Anti Bribery Code of Conduct and Anti-Fraud Code of Conduct, collectively ‘the Codes’. The </w:t>
            </w:r>
            <w:r>
              <w:rPr>
                <w:i/>
              </w:rPr>
              <w:t xml:space="preserve">Consultant </w:t>
            </w:r>
            <w:r>
              <w:t>complies with the Codes until Completion and</w:t>
            </w:r>
            <w:r>
              <w:rPr>
                <w:spacing w:val="-4"/>
              </w:rPr>
              <w:t xml:space="preserve"> </w:t>
            </w:r>
            <w:r>
              <w:t>with</w:t>
            </w:r>
          </w:p>
          <w:p w:rsidR="001C5E4E" w:rsidRDefault="003E09C0">
            <w:pPr>
              <w:pStyle w:val="TableParagraph"/>
              <w:numPr>
                <w:ilvl w:val="0"/>
                <w:numId w:val="32"/>
              </w:numPr>
              <w:tabs>
                <w:tab w:val="left" w:pos="826"/>
                <w:tab w:val="left" w:pos="827"/>
              </w:tabs>
              <w:spacing w:before="121"/>
              <w:ind w:left="827"/>
            </w:pPr>
            <w:r>
              <w:t xml:space="preserve">paragraph 4 of the </w:t>
            </w:r>
            <w:r>
              <w:rPr>
                <w:i/>
              </w:rPr>
              <w:t>Employer</w:t>
            </w:r>
            <w:r>
              <w:t>’s Anti Bribery Code of Conduct</w:t>
            </w:r>
            <w:r>
              <w:rPr>
                <w:spacing w:val="-10"/>
              </w:rPr>
              <w:t xml:space="preserve"> </w:t>
            </w:r>
            <w:r>
              <w:t>and</w:t>
            </w:r>
          </w:p>
          <w:p w:rsidR="001C5E4E" w:rsidRDefault="003E09C0">
            <w:pPr>
              <w:pStyle w:val="TableParagraph"/>
              <w:numPr>
                <w:ilvl w:val="0"/>
                <w:numId w:val="32"/>
              </w:numPr>
              <w:tabs>
                <w:tab w:val="left" w:pos="826"/>
                <w:tab w:val="left" w:pos="827"/>
              </w:tabs>
              <w:spacing w:before="120" w:line="343" w:lineRule="auto"/>
              <w:ind w:right="1126" w:firstLine="33"/>
            </w:pPr>
            <w:r>
              <w:t xml:space="preserve">paragraph 3 of the </w:t>
            </w:r>
            <w:r>
              <w:rPr>
                <w:i/>
              </w:rPr>
              <w:t>Employer</w:t>
            </w:r>
            <w:r>
              <w:t>’s Anti-Fraud Code of Conduct for a period of 6 years after</w:t>
            </w:r>
            <w:r>
              <w:rPr>
                <w:spacing w:val="-11"/>
              </w:rPr>
              <w:t xml:space="preserve"> </w:t>
            </w:r>
            <w:r>
              <w:t>Completion.</w:t>
            </w:r>
          </w:p>
          <w:p w:rsidR="001C5E4E" w:rsidRDefault="003E09C0">
            <w:pPr>
              <w:pStyle w:val="TableParagraph"/>
              <w:spacing w:before="7"/>
              <w:ind w:left="106"/>
            </w:pPr>
            <w:r>
              <w:t xml:space="preserve">Z11.2 A failure to comply with this clause is treated as a substantial failure by the </w:t>
            </w:r>
            <w:r>
              <w:rPr>
                <w:i/>
              </w:rPr>
              <w:t xml:space="preserve">Consultant </w:t>
            </w:r>
            <w:r>
              <w:t>to comply with his obligations.</w:t>
            </w:r>
          </w:p>
        </w:tc>
      </w:tr>
      <w:tr w:rsidR="001C5E4E">
        <w:trPr>
          <w:trHeight w:val="509"/>
        </w:trPr>
        <w:tc>
          <w:tcPr>
            <w:tcW w:w="1284" w:type="dxa"/>
          </w:tcPr>
          <w:p w:rsidR="001C5E4E" w:rsidRDefault="003E09C0">
            <w:pPr>
              <w:pStyle w:val="TableParagraph"/>
              <w:spacing w:before="100"/>
              <w:ind w:right="103"/>
              <w:jc w:val="right"/>
              <w:rPr>
                <w:b/>
              </w:rPr>
            </w:pPr>
            <w:r>
              <w:rPr>
                <w:b/>
              </w:rPr>
              <w:t>Clause Z12</w:t>
            </w:r>
          </w:p>
        </w:tc>
        <w:tc>
          <w:tcPr>
            <w:tcW w:w="7182" w:type="dxa"/>
          </w:tcPr>
          <w:p w:rsidR="001C5E4E" w:rsidRDefault="003E09C0">
            <w:pPr>
              <w:pStyle w:val="TableParagraph"/>
              <w:spacing w:before="100"/>
              <w:ind w:left="106"/>
              <w:rPr>
                <w:b/>
              </w:rPr>
            </w:pPr>
            <w:r>
              <w:rPr>
                <w:b/>
              </w:rPr>
              <w:t>Payment for subcontracted services – Not Used</w:t>
            </w:r>
          </w:p>
        </w:tc>
      </w:tr>
      <w:tr w:rsidR="001C5E4E">
        <w:trPr>
          <w:trHeight w:val="7294"/>
        </w:trPr>
        <w:tc>
          <w:tcPr>
            <w:tcW w:w="1284" w:type="dxa"/>
          </w:tcPr>
          <w:p w:rsidR="001C5E4E" w:rsidRDefault="003E09C0">
            <w:pPr>
              <w:pStyle w:val="TableParagraph"/>
              <w:spacing w:before="100"/>
              <w:ind w:right="106"/>
              <w:jc w:val="right"/>
              <w:rPr>
                <w:b/>
              </w:rPr>
            </w:pPr>
            <w:r>
              <w:rPr>
                <w:b/>
              </w:rPr>
              <w:t>Clause Z13</w:t>
            </w:r>
          </w:p>
        </w:tc>
        <w:tc>
          <w:tcPr>
            <w:tcW w:w="7182" w:type="dxa"/>
          </w:tcPr>
          <w:p w:rsidR="001C5E4E" w:rsidRDefault="003E09C0">
            <w:pPr>
              <w:pStyle w:val="TableParagraph"/>
              <w:spacing w:before="100"/>
              <w:ind w:left="106"/>
              <w:rPr>
                <w:b/>
              </w:rPr>
            </w:pPr>
            <w:r>
              <w:rPr>
                <w:b/>
              </w:rPr>
              <w:t>Fair payment</w:t>
            </w:r>
          </w:p>
          <w:p w:rsidR="001C5E4E" w:rsidRDefault="003E09C0">
            <w:pPr>
              <w:pStyle w:val="TableParagraph"/>
              <w:spacing w:before="120"/>
              <w:ind w:left="106"/>
            </w:pPr>
            <w:r>
              <w:t xml:space="preserve">Z13.1 The </w:t>
            </w:r>
            <w:r>
              <w:rPr>
                <w:i/>
              </w:rPr>
              <w:t xml:space="preserve">Consultant </w:t>
            </w:r>
            <w:r>
              <w:t>assesses the amount due to a Subconsultant without taking into account the amount assessed under this contract.</w:t>
            </w:r>
          </w:p>
          <w:p w:rsidR="001C5E4E" w:rsidRDefault="003E09C0">
            <w:pPr>
              <w:pStyle w:val="TableParagraph"/>
              <w:spacing w:before="121"/>
              <w:ind w:left="106"/>
            </w:pPr>
            <w:r>
              <w:t xml:space="preserve">Z13.2 The </w:t>
            </w:r>
            <w:r>
              <w:rPr>
                <w:i/>
              </w:rPr>
              <w:t xml:space="preserve">Consultant </w:t>
            </w:r>
            <w:r>
              <w:t>includes in the contract with each Subconsultant</w:t>
            </w:r>
          </w:p>
          <w:p w:rsidR="001C5E4E" w:rsidRDefault="003E09C0">
            <w:pPr>
              <w:pStyle w:val="TableParagraph"/>
              <w:numPr>
                <w:ilvl w:val="0"/>
                <w:numId w:val="31"/>
              </w:numPr>
              <w:tabs>
                <w:tab w:val="left" w:pos="826"/>
                <w:tab w:val="left" w:pos="827"/>
              </w:tabs>
              <w:spacing w:before="120"/>
              <w:ind w:right="200"/>
              <w:jc w:val="both"/>
            </w:pPr>
            <w:r>
              <w:t>a period for payment of the amount due to the Subconsultant not greater than 19 days after the date on which payment becomes due under this contract. The amount due includes, but is not limited to, payment for work which the Subconsultant has completed from the previous assessment date up to the current assessment date in this contract,</w:t>
            </w:r>
          </w:p>
          <w:p w:rsidR="001C5E4E" w:rsidRDefault="003E09C0">
            <w:pPr>
              <w:pStyle w:val="TableParagraph"/>
              <w:numPr>
                <w:ilvl w:val="0"/>
                <w:numId w:val="31"/>
              </w:numPr>
              <w:tabs>
                <w:tab w:val="left" w:pos="826"/>
                <w:tab w:val="left" w:pos="827"/>
              </w:tabs>
              <w:spacing w:before="120"/>
              <w:ind w:right="197"/>
              <w:jc w:val="both"/>
            </w:pPr>
            <w:r>
              <w:t>a provision requiring the Subconsultant to include in each sub subcontract the same requirement, except that the period for payment is to be not greater than 23 days after the date on which payment becomes due under this contract</w:t>
            </w:r>
            <w:r>
              <w:rPr>
                <w:spacing w:val="-2"/>
              </w:rPr>
              <w:t xml:space="preserve"> </w:t>
            </w:r>
            <w:r>
              <w:t>and</w:t>
            </w:r>
          </w:p>
          <w:p w:rsidR="001C5E4E" w:rsidRDefault="003E09C0">
            <w:pPr>
              <w:pStyle w:val="TableParagraph"/>
              <w:numPr>
                <w:ilvl w:val="0"/>
                <w:numId w:val="31"/>
              </w:numPr>
              <w:tabs>
                <w:tab w:val="left" w:pos="826"/>
                <w:tab w:val="left" w:pos="827"/>
              </w:tabs>
              <w:spacing w:before="119"/>
              <w:ind w:right="201"/>
              <w:jc w:val="both"/>
            </w:pPr>
            <w:r>
              <w:t>a provision requiring the Subconsultant to assess the amount due to a sub subconsultant without taking into account the amount paid by the</w:t>
            </w:r>
            <w:r>
              <w:rPr>
                <w:spacing w:val="-1"/>
              </w:rPr>
              <w:t xml:space="preserve"> </w:t>
            </w:r>
            <w:r>
              <w:rPr>
                <w:i/>
              </w:rPr>
              <w:t>Consultant</w:t>
            </w:r>
            <w:r>
              <w:t>.</w:t>
            </w:r>
          </w:p>
          <w:p w:rsidR="001C5E4E" w:rsidRDefault="003E09C0">
            <w:pPr>
              <w:pStyle w:val="TableParagraph"/>
              <w:spacing w:before="120"/>
              <w:ind w:left="106" w:right="198"/>
              <w:jc w:val="both"/>
            </w:pPr>
            <w:r>
              <w:t xml:space="preserve">Z13.3 The </w:t>
            </w:r>
            <w:r>
              <w:rPr>
                <w:i/>
              </w:rPr>
              <w:t xml:space="preserve">Consultant </w:t>
            </w:r>
            <w:r>
              <w:t>notifies non-compliance with the timescales for payment</w:t>
            </w:r>
            <w:r>
              <w:rPr>
                <w:spacing w:val="-11"/>
              </w:rPr>
              <w:t xml:space="preserve"> </w:t>
            </w:r>
            <w:r>
              <w:t>through</w:t>
            </w:r>
            <w:r>
              <w:rPr>
                <w:spacing w:val="-12"/>
              </w:rPr>
              <w:t xml:space="preserve"> </w:t>
            </w:r>
            <w:r>
              <w:t>the</w:t>
            </w:r>
            <w:r>
              <w:rPr>
                <w:spacing w:val="-11"/>
              </w:rPr>
              <w:t xml:space="preserve"> </w:t>
            </w:r>
            <w:r>
              <w:t>Efficiency</w:t>
            </w:r>
            <w:r>
              <w:rPr>
                <w:spacing w:val="-11"/>
              </w:rPr>
              <w:t xml:space="preserve"> </w:t>
            </w:r>
            <w:r>
              <w:t>and</w:t>
            </w:r>
            <w:r>
              <w:rPr>
                <w:spacing w:val="-12"/>
              </w:rPr>
              <w:t xml:space="preserve"> </w:t>
            </w:r>
            <w:r>
              <w:t>Reform</w:t>
            </w:r>
            <w:r>
              <w:rPr>
                <w:spacing w:val="-10"/>
              </w:rPr>
              <w:t xml:space="preserve"> </w:t>
            </w:r>
            <w:r>
              <w:t>Group</w:t>
            </w:r>
            <w:r>
              <w:rPr>
                <w:spacing w:val="-12"/>
              </w:rPr>
              <w:t xml:space="preserve"> </w:t>
            </w:r>
            <w:r>
              <w:t>Supplier</w:t>
            </w:r>
            <w:r>
              <w:rPr>
                <w:spacing w:val="-11"/>
              </w:rPr>
              <w:t xml:space="preserve"> </w:t>
            </w:r>
            <w:r>
              <w:t>Feedback</w:t>
            </w:r>
            <w:r>
              <w:rPr>
                <w:spacing w:val="-11"/>
              </w:rPr>
              <w:t xml:space="preserve"> </w:t>
            </w:r>
            <w:r>
              <w:t xml:space="preserve">Service. The </w:t>
            </w:r>
            <w:r>
              <w:rPr>
                <w:i/>
              </w:rPr>
              <w:t xml:space="preserve">Consultant </w:t>
            </w:r>
            <w:r>
              <w:t>includes this provision in each subcontract, and requires Subconsultants to include the same provision in each sub</w:t>
            </w:r>
            <w:r>
              <w:rPr>
                <w:spacing w:val="-9"/>
              </w:rPr>
              <w:t xml:space="preserve"> </w:t>
            </w:r>
            <w:r>
              <w:t>subcontract.</w:t>
            </w:r>
          </w:p>
          <w:p w:rsidR="001C5E4E" w:rsidRDefault="003E09C0">
            <w:pPr>
              <w:pStyle w:val="TableParagraph"/>
              <w:spacing w:before="122"/>
              <w:ind w:left="106" w:right="200"/>
              <w:jc w:val="both"/>
            </w:pPr>
            <w:r>
              <w:t>Z13.4</w:t>
            </w:r>
            <w:r>
              <w:rPr>
                <w:spacing w:val="-2"/>
              </w:rPr>
              <w:t xml:space="preserve"> </w:t>
            </w:r>
            <w:r>
              <w:t>A</w:t>
            </w:r>
            <w:r>
              <w:rPr>
                <w:spacing w:val="-5"/>
              </w:rPr>
              <w:t xml:space="preserve"> </w:t>
            </w:r>
            <w:r>
              <w:t>failure</w:t>
            </w:r>
            <w:r>
              <w:rPr>
                <w:spacing w:val="-5"/>
              </w:rPr>
              <w:t xml:space="preserve"> </w:t>
            </w:r>
            <w:r>
              <w:t>to</w:t>
            </w:r>
            <w:r>
              <w:rPr>
                <w:spacing w:val="-3"/>
              </w:rPr>
              <w:t xml:space="preserve"> </w:t>
            </w:r>
            <w:r>
              <w:t>comply</w:t>
            </w:r>
            <w:r>
              <w:rPr>
                <w:spacing w:val="-5"/>
              </w:rPr>
              <w:t xml:space="preserve"> </w:t>
            </w:r>
            <w:r>
              <w:t>with</w:t>
            </w:r>
            <w:r>
              <w:rPr>
                <w:spacing w:val="-5"/>
              </w:rPr>
              <w:t xml:space="preserve"> </w:t>
            </w:r>
            <w:r>
              <w:t>this</w:t>
            </w:r>
            <w:r>
              <w:rPr>
                <w:spacing w:val="-3"/>
              </w:rPr>
              <w:t xml:space="preserve"> </w:t>
            </w:r>
            <w:r>
              <w:t>condition</w:t>
            </w:r>
            <w:r>
              <w:rPr>
                <w:spacing w:val="-5"/>
              </w:rPr>
              <w:t xml:space="preserve"> </w:t>
            </w:r>
            <w:r>
              <w:t>is</w:t>
            </w:r>
            <w:r>
              <w:rPr>
                <w:spacing w:val="-4"/>
              </w:rPr>
              <w:t xml:space="preserve"> </w:t>
            </w:r>
            <w:r>
              <w:t>treated</w:t>
            </w:r>
            <w:r>
              <w:rPr>
                <w:spacing w:val="-6"/>
              </w:rPr>
              <w:t xml:space="preserve"> </w:t>
            </w:r>
            <w:r>
              <w:t>as</w:t>
            </w:r>
            <w:r>
              <w:rPr>
                <w:spacing w:val="-4"/>
              </w:rPr>
              <w:t xml:space="preserve"> </w:t>
            </w:r>
            <w:r>
              <w:t>a</w:t>
            </w:r>
            <w:r>
              <w:rPr>
                <w:spacing w:val="-3"/>
              </w:rPr>
              <w:t xml:space="preserve"> </w:t>
            </w:r>
            <w:r>
              <w:t>substantial</w:t>
            </w:r>
            <w:r>
              <w:rPr>
                <w:spacing w:val="-8"/>
              </w:rPr>
              <w:t xml:space="preserve"> </w:t>
            </w:r>
            <w:r>
              <w:t xml:space="preserve">failure by the </w:t>
            </w:r>
            <w:r>
              <w:rPr>
                <w:i/>
              </w:rPr>
              <w:t xml:space="preserve">Consultant </w:t>
            </w:r>
            <w:r>
              <w:t>to comply with his</w:t>
            </w:r>
            <w:r>
              <w:rPr>
                <w:spacing w:val="-3"/>
              </w:rPr>
              <w:t xml:space="preserve"> </w:t>
            </w:r>
            <w:r>
              <w:t>obligations.</w:t>
            </w:r>
          </w:p>
        </w:tc>
      </w:tr>
      <w:tr w:rsidR="001C5E4E">
        <w:trPr>
          <w:trHeight w:val="1140"/>
        </w:trPr>
        <w:tc>
          <w:tcPr>
            <w:tcW w:w="1284" w:type="dxa"/>
          </w:tcPr>
          <w:p w:rsidR="001C5E4E" w:rsidRDefault="003E09C0">
            <w:pPr>
              <w:pStyle w:val="TableParagraph"/>
              <w:spacing w:before="100"/>
              <w:ind w:right="106"/>
              <w:jc w:val="right"/>
              <w:rPr>
                <w:b/>
              </w:rPr>
            </w:pPr>
            <w:r>
              <w:rPr>
                <w:b/>
              </w:rPr>
              <w:t>Clause Z14</w:t>
            </w:r>
          </w:p>
        </w:tc>
        <w:tc>
          <w:tcPr>
            <w:tcW w:w="7182" w:type="dxa"/>
          </w:tcPr>
          <w:p w:rsidR="001C5E4E" w:rsidRDefault="003E09C0">
            <w:pPr>
              <w:pStyle w:val="TableParagraph"/>
              <w:spacing w:before="100"/>
              <w:ind w:left="106"/>
              <w:rPr>
                <w:b/>
              </w:rPr>
            </w:pPr>
            <w:r>
              <w:rPr>
                <w:b/>
              </w:rPr>
              <w:t>Confidentiality</w:t>
            </w:r>
          </w:p>
          <w:p w:rsidR="001C5E4E" w:rsidRDefault="003E09C0">
            <w:pPr>
              <w:pStyle w:val="TableParagraph"/>
              <w:spacing w:before="118"/>
              <w:ind w:left="106"/>
            </w:pPr>
            <w:r>
              <w:t>Z14.1 A new clause 70.3 is deleted and replaced by the following:</w:t>
            </w:r>
          </w:p>
          <w:p w:rsidR="001C5E4E" w:rsidRDefault="003E09C0">
            <w:pPr>
              <w:pStyle w:val="TableParagraph"/>
              <w:spacing w:before="120" w:line="245" w:lineRule="exact"/>
              <w:ind w:left="106"/>
            </w:pPr>
            <w:r>
              <w:t xml:space="preserve">“The </w:t>
            </w:r>
            <w:r>
              <w:rPr>
                <w:i/>
              </w:rPr>
              <w:t xml:space="preserve">Consultant </w:t>
            </w:r>
            <w:r>
              <w:t>keeps (and ensures that his employees and Subconsultants</w:t>
            </w:r>
          </w:p>
        </w:tc>
      </w:tr>
    </w:tbl>
    <w:p w:rsidR="001C5E4E" w:rsidRDefault="001C5E4E">
      <w:pPr>
        <w:spacing w:line="245" w:lineRule="exact"/>
        <w:sectPr w:rsidR="001C5E4E">
          <w:pgSz w:w="11910" w:h="16850"/>
          <w:pgMar w:top="1400" w:right="620" w:bottom="1080" w:left="940" w:header="1112" w:footer="892" w:gutter="0"/>
          <w:cols w:space="720"/>
        </w:sectPr>
      </w:pPr>
    </w:p>
    <w:p w:rsidR="001C5E4E" w:rsidRDefault="001C5E4E">
      <w:pPr>
        <w:pStyle w:val="BodyText"/>
        <w:spacing w:before="7"/>
      </w:pPr>
    </w:p>
    <w:p w:rsidR="001C5E4E" w:rsidRDefault="003E09C0">
      <w:pPr>
        <w:pStyle w:val="BodyText"/>
        <w:spacing w:before="56"/>
        <w:ind w:left="2538"/>
        <w:jc w:val="both"/>
      </w:pPr>
      <w:r>
        <w:t>keep) confidential and does not:</w:t>
      </w:r>
    </w:p>
    <w:p w:rsidR="001C5E4E" w:rsidRDefault="003E09C0">
      <w:pPr>
        <w:pStyle w:val="ListParagraph"/>
        <w:numPr>
          <w:ilvl w:val="0"/>
          <w:numId w:val="30"/>
        </w:numPr>
        <w:tabs>
          <w:tab w:val="left" w:pos="3258"/>
          <w:tab w:val="left" w:pos="3259"/>
        </w:tabs>
        <w:spacing w:before="120"/>
        <w:ind w:hanging="688"/>
        <w:jc w:val="both"/>
      </w:pPr>
      <w:r>
        <w:t>disclose to any person the terms of this contract</w:t>
      </w:r>
      <w:r>
        <w:rPr>
          <w:spacing w:val="-11"/>
        </w:rPr>
        <w:t xml:space="preserve"> </w:t>
      </w:r>
      <w:r>
        <w:t>nor</w:t>
      </w:r>
    </w:p>
    <w:p w:rsidR="001C5E4E" w:rsidRDefault="003E09C0">
      <w:pPr>
        <w:pStyle w:val="ListParagraph"/>
        <w:numPr>
          <w:ilvl w:val="0"/>
          <w:numId w:val="30"/>
        </w:numPr>
        <w:tabs>
          <w:tab w:val="left" w:pos="3258"/>
          <w:tab w:val="left" w:pos="3259"/>
        </w:tabs>
        <w:spacing w:before="119"/>
        <w:ind w:right="931"/>
        <w:jc w:val="both"/>
      </w:pPr>
      <w:r>
        <w:t xml:space="preserve">use (except for the purposes of this contract) or disclose to any person any confidential or proprietary information (including Personal Data) provided to or acquired by the </w:t>
      </w:r>
      <w:r>
        <w:rPr>
          <w:i/>
        </w:rPr>
        <w:t xml:space="preserve">Consultant </w:t>
      </w:r>
      <w:r>
        <w:t>in the course of Providing the</w:t>
      </w:r>
      <w:r>
        <w:rPr>
          <w:spacing w:val="-6"/>
        </w:rPr>
        <w:t xml:space="preserve"> </w:t>
      </w:r>
      <w:r>
        <w:t>Services</w:t>
      </w:r>
    </w:p>
    <w:p w:rsidR="001C5E4E" w:rsidRDefault="003E09C0">
      <w:pPr>
        <w:spacing w:before="121"/>
        <w:ind w:left="2538"/>
        <w:jc w:val="both"/>
      </w:pPr>
      <w:r>
        <w:t xml:space="preserve">except that the </w:t>
      </w:r>
      <w:r>
        <w:rPr>
          <w:i/>
        </w:rPr>
        <w:t xml:space="preserve">Consultant </w:t>
      </w:r>
      <w:r>
        <w:t>may disclose information</w:t>
      </w:r>
    </w:p>
    <w:p w:rsidR="001C5E4E" w:rsidRDefault="003E09C0">
      <w:pPr>
        <w:pStyle w:val="ListParagraph"/>
        <w:numPr>
          <w:ilvl w:val="0"/>
          <w:numId w:val="30"/>
        </w:numPr>
        <w:tabs>
          <w:tab w:val="left" w:pos="3258"/>
          <w:tab w:val="left" w:pos="3259"/>
        </w:tabs>
        <w:spacing w:before="120"/>
        <w:ind w:hanging="688"/>
        <w:jc w:val="both"/>
      </w:pPr>
      <w:r>
        <w:t>to his legal or other professional</w:t>
      </w:r>
      <w:r>
        <w:rPr>
          <w:spacing w:val="-5"/>
        </w:rPr>
        <w:t xml:space="preserve"> </w:t>
      </w:r>
      <w:r>
        <w:t>advisers,</w:t>
      </w:r>
    </w:p>
    <w:p w:rsidR="001C5E4E" w:rsidRDefault="003E09C0">
      <w:pPr>
        <w:pStyle w:val="ListParagraph"/>
        <w:numPr>
          <w:ilvl w:val="0"/>
          <w:numId w:val="30"/>
        </w:numPr>
        <w:tabs>
          <w:tab w:val="left" w:pos="3258"/>
          <w:tab w:val="left" w:pos="3259"/>
        </w:tabs>
        <w:spacing w:before="118"/>
        <w:ind w:hanging="688"/>
        <w:jc w:val="both"/>
      </w:pPr>
      <w:r>
        <w:t>to his employees and Subconsultants as needed to enable</w:t>
      </w:r>
      <w:r>
        <w:rPr>
          <w:spacing w:val="20"/>
        </w:rPr>
        <w:t xml:space="preserve"> </w:t>
      </w:r>
      <w:r>
        <w:t>the</w:t>
      </w:r>
    </w:p>
    <w:p w:rsidR="001C5E4E" w:rsidRDefault="003E09C0">
      <w:pPr>
        <w:ind w:left="3258"/>
        <w:jc w:val="both"/>
      </w:pPr>
      <w:r>
        <w:rPr>
          <w:i/>
        </w:rPr>
        <w:t xml:space="preserve">Consultant </w:t>
      </w:r>
      <w:r>
        <w:t>to Provide the Services,</w:t>
      </w:r>
    </w:p>
    <w:p w:rsidR="001C5E4E" w:rsidRDefault="003E09C0">
      <w:pPr>
        <w:pStyle w:val="ListParagraph"/>
        <w:numPr>
          <w:ilvl w:val="0"/>
          <w:numId w:val="30"/>
        </w:numPr>
        <w:tabs>
          <w:tab w:val="left" w:pos="3258"/>
          <w:tab w:val="left" w:pos="3259"/>
        </w:tabs>
        <w:spacing w:before="122"/>
        <w:ind w:right="931"/>
        <w:jc w:val="both"/>
      </w:pPr>
      <w:r>
        <w:t>where required to do so by law or by any professional or regulatory obligation</w:t>
      </w:r>
      <w:r>
        <w:rPr>
          <w:spacing w:val="-9"/>
        </w:rPr>
        <w:t xml:space="preserve"> </w:t>
      </w:r>
      <w:r>
        <w:t>or</w:t>
      </w:r>
      <w:r>
        <w:rPr>
          <w:spacing w:val="-6"/>
        </w:rPr>
        <w:t xml:space="preserve"> </w:t>
      </w:r>
      <w:r>
        <w:t>by</w:t>
      </w:r>
      <w:r>
        <w:rPr>
          <w:spacing w:val="-7"/>
        </w:rPr>
        <w:t xml:space="preserve"> </w:t>
      </w:r>
      <w:r>
        <w:t>order</w:t>
      </w:r>
      <w:r>
        <w:rPr>
          <w:spacing w:val="-8"/>
        </w:rPr>
        <w:t xml:space="preserve"> </w:t>
      </w:r>
      <w:r>
        <w:t>of</w:t>
      </w:r>
      <w:r>
        <w:rPr>
          <w:spacing w:val="-5"/>
        </w:rPr>
        <w:t xml:space="preserve"> </w:t>
      </w:r>
      <w:r>
        <w:t>any</w:t>
      </w:r>
      <w:r>
        <w:rPr>
          <w:spacing w:val="-5"/>
        </w:rPr>
        <w:t xml:space="preserve"> </w:t>
      </w:r>
      <w:r>
        <w:t>court</w:t>
      </w:r>
      <w:r>
        <w:rPr>
          <w:spacing w:val="-8"/>
        </w:rPr>
        <w:t xml:space="preserve"> </w:t>
      </w:r>
      <w:r>
        <w:t>or</w:t>
      </w:r>
      <w:r>
        <w:rPr>
          <w:spacing w:val="-6"/>
        </w:rPr>
        <w:t xml:space="preserve"> </w:t>
      </w:r>
      <w:r>
        <w:t>governmental</w:t>
      </w:r>
      <w:r>
        <w:rPr>
          <w:spacing w:val="-5"/>
        </w:rPr>
        <w:t xml:space="preserve"> </w:t>
      </w:r>
      <w:r>
        <w:t>agency,</w:t>
      </w:r>
      <w:r>
        <w:rPr>
          <w:spacing w:val="-5"/>
        </w:rPr>
        <w:t xml:space="preserve"> </w:t>
      </w:r>
      <w:r>
        <w:t xml:space="preserve">provided that prior to disclosure the </w:t>
      </w:r>
      <w:r>
        <w:rPr>
          <w:i/>
        </w:rPr>
        <w:t xml:space="preserve">Consultant </w:t>
      </w:r>
      <w:r>
        <w:t xml:space="preserve">consults the </w:t>
      </w:r>
      <w:r>
        <w:rPr>
          <w:i/>
        </w:rPr>
        <w:t xml:space="preserve">Employer </w:t>
      </w:r>
      <w:r>
        <w:t>and takes</w:t>
      </w:r>
      <w:r>
        <w:rPr>
          <w:spacing w:val="-8"/>
        </w:rPr>
        <w:t xml:space="preserve"> </w:t>
      </w:r>
      <w:r>
        <w:t>full</w:t>
      </w:r>
      <w:r>
        <w:rPr>
          <w:spacing w:val="-8"/>
        </w:rPr>
        <w:t xml:space="preserve"> </w:t>
      </w:r>
      <w:r>
        <w:t>account</w:t>
      </w:r>
      <w:r>
        <w:rPr>
          <w:spacing w:val="-10"/>
        </w:rPr>
        <w:t xml:space="preserve"> </w:t>
      </w:r>
      <w:r>
        <w:t>of</w:t>
      </w:r>
      <w:r>
        <w:rPr>
          <w:spacing w:val="-8"/>
        </w:rPr>
        <w:t xml:space="preserve"> </w:t>
      </w:r>
      <w:r>
        <w:t>the</w:t>
      </w:r>
      <w:r>
        <w:rPr>
          <w:spacing w:val="-8"/>
        </w:rPr>
        <w:t xml:space="preserve"> </w:t>
      </w:r>
      <w:r>
        <w:rPr>
          <w:i/>
        </w:rPr>
        <w:t>Employer</w:t>
      </w:r>
      <w:r>
        <w:t>’s</w:t>
      </w:r>
      <w:r>
        <w:rPr>
          <w:spacing w:val="-8"/>
        </w:rPr>
        <w:t xml:space="preserve"> </w:t>
      </w:r>
      <w:r>
        <w:t>views</w:t>
      </w:r>
      <w:r>
        <w:rPr>
          <w:spacing w:val="-8"/>
        </w:rPr>
        <w:t xml:space="preserve"> </w:t>
      </w:r>
      <w:r>
        <w:t>about</w:t>
      </w:r>
      <w:r>
        <w:rPr>
          <w:spacing w:val="-7"/>
        </w:rPr>
        <w:t xml:space="preserve"> </w:t>
      </w:r>
      <w:r>
        <w:t>whether</w:t>
      </w:r>
      <w:r>
        <w:rPr>
          <w:spacing w:val="-8"/>
        </w:rPr>
        <w:t xml:space="preserve"> </w:t>
      </w:r>
      <w:r>
        <w:t>(and</w:t>
      </w:r>
      <w:r>
        <w:rPr>
          <w:spacing w:val="-9"/>
        </w:rPr>
        <w:t xml:space="preserve"> </w:t>
      </w:r>
      <w:r>
        <w:t>if</w:t>
      </w:r>
      <w:r>
        <w:rPr>
          <w:spacing w:val="-7"/>
        </w:rPr>
        <w:t xml:space="preserve"> </w:t>
      </w:r>
      <w:r>
        <w:t>so</w:t>
      </w:r>
      <w:r>
        <w:rPr>
          <w:spacing w:val="-7"/>
        </w:rPr>
        <w:t xml:space="preserve"> </w:t>
      </w:r>
      <w:r>
        <w:t>to what extent) the information should be</w:t>
      </w:r>
      <w:r>
        <w:rPr>
          <w:spacing w:val="-6"/>
        </w:rPr>
        <w:t xml:space="preserve"> </w:t>
      </w:r>
      <w:r>
        <w:t>disclosed,</w:t>
      </w:r>
    </w:p>
    <w:p w:rsidR="001C5E4E" w:rsidRDefault="003E09C0">
      <w:pPr>
        <w:pStyle w:val="ListParagraph"/>
        <w:numPr>
          <w:ilvl w:val="0"/>
          <w:numId w:val="30"/>
        </w:numPr>
        <w:tabs>
          <w:tab w:val="left" w:pos="3258"/>
          <w:tab w:val="left" w:pos="3259"/>
        </w:tabs>
        <w:spacing w:before="119"/>
        <w:ind w:right="932"/>
        <w:jc w:val="both"/>
      </w:pPr>
      <w:r>
        <w:t>which it receives from a third party who lawfully acquired it and who is under no obligation restricting its</w:t>
      </w:r>
      <w:r>
        <w:rPr>
          <w:spacing w:val="-4"/>
        </w:rPr>
        <w:t xml:space="preserve"> </w:t>
      </w:r>
      <w:r>
        <w:t>disclosure,</w:t>
      </w:r>
    </w:p>
    <w:p w:rsidR="001C5E4E" w:rsidRDefault="003E09C0">
      <w:pPr>
        <w:pStyle w:val="ListParagraph"/>
        <w:numPr>
          <w:ilvl w:val="0"/>
          <w:numId w:val="30"/>
        </w:numPr>
        <w:tabs>
          <w:tab w:val="left" w:pos="3258"/>
          <w:tab w:val="left" w:pos="3259"/>
        </w:tabs>
        <w:spacing w:before="120"/>
        <w:ind w:right="930"/>
        <w:jc w:val="both"/>
      </w:pPr>
      <w:r>
        <w:t>which</w:t>
      </w:r>
      <w:r>
        <w:rPr>
          <w:spacing w:val="-6"/>
        </w:rPr>
        <w:t xml:space="preserve"> </w:t>
      </w:r>
      <w:r>
        <w:t>is</w:t>
      </w:r>
      <w:r>
        <w:rPr>
          <w:spacing w:val="-5"/>
        </w:rPr>
        <w:t xml:space="preserve"> </w:t>
      </w:r>
      <w:r>
        <w:t>in</w:t>
      </w:r>
      <w:r>
        <w:rPr>
          <w:spacing w:val="-6"/>
        </w:rPr>
        <w:t xml:space="preserve"> </w:t>
      </w:r>
      <w:r>
        <w:t>the</w:t>
      </w:r>
      <w:r>
        <w:rPr>
          <w:spacing w:val="-7"/>
        </w:rPr>
        <w:t xml:space="preserve"> </w:t>
      </w:r>
      <w:r>
        <w:t>public</w:t>
      </w:r>
      <w:r>
        <w:rPr>
          <w:spacing w:val="-4"/>
        </w:rPr>
        <w:t xml:space="preserve"> </w:t>
      </w:r>
      <w:r>
        <w:t>domain</w:t>
      </w:r>
      <w:r>
        <w:rPr>
          <w:spacing w:val="-5"/>
        </w:rPr>
        <w:t xml:space="preserve"> </w:t>
      </w:r>
      <w:r>
        <w:t>at</w:t>
      </w:r>
      <w:r>
        <w:rPr>
          <w:spacing w:val="-4"/>
        </w:rPr>
        <w:t xml:space="preserve"> </w:t>
      </w:r>
      <w:r>
        <w:t>the</w:t>
      </w:r>
      <w:r>
        <w:rPr>
          <w:spacing w:val="-7"/>
        </w:rPr>
        <w:t xml:space="preserve"> </w:t>
      </w:r>
      <w:r>
        <w:t>time</w:t>
      </w:r>
      <w:r>
        <w:rPr>
          <w:spacing w:val="-6"/>
        </w:rPr>
        <w:t xml:space="preserve"> </w:t>
      </w:r>
      <w:r>
        <w:t>of</w:t>
      </w:r>
      <w:r>
        <w:rPr>
          <w:spacing w:val="-5"/>
        </w:rPr>
        <w:t xml:space="preserve"> </w:t>
      </w:r>
      <w:r>
        <w:t>disclosure</w:t>
      </w:r>
      <w:r>
        <w:rPr>
          <w:spacing w:val="-6"/>
        </w:rPr>
        <w:t xml:space="preserve"> </w:t>
      </w:r>
      <w:r>
        <w:t>other</w:t>
      </w:r>
      <w:r>
        <w:rPr>
          <w:spacing w:val="-6"/>
        </w:rPr>
        <w:t xml:space="preserve"> </w:t>
      </w:r>
      <w:r>
        <w:t>than</w:t>
      </w:r>
      <w:r>
        <w:rPr>
          <w:spacing w:val="-6"/>
        </w:rPr>
        <w:t xml:space="preserve"> </w:t>
      </w:r>
      <w:r>
        <w:t xml:space="preserve">due to the fault of the </w:t>
      </w:r>
      <w:r>
        <w:rPr>
          <w:i/>
        </w:rPr>
        <w:t>Consultant</w:t>
      </w:r>
      <w:r>
        <w:rPr>
          <w:i/>
          <w:spacing w:val="-4"/>
        </w:rPr>
        <w:t xml:space="preserve"> </w:t>
      </w:r>
      <w:r>
        <w:t>or</w:t>
      </w:r>
    </w:p>
    <w:p w:rsidR="001C5E4E" w:rsidRDefault="003E09C0">
      <w:pPr>
        <w:pStyle w:val="ListParagraph"/>
        <w:numPr>
          <w:ilvl w:val="0"/>
          <w:numId w:val="30"/>
        </w:numPr>
        <w:tabs>
          <w:tab w:val="left" w:pos="3258"/>
          <w:tab w:val="left" w:pos="3259"/>
        </w:tabs>
        <w:spacing w:before="121"/>
        <w:ind w:hanging="688"/>
        <w:jc w:val="both"/>
      </w:pPr>
      <w:r>
        <w:t>with the consent of the</w:t>
      </w:r>
      <w:r>
        <w:rPr>
          <w:spacing w:val="-6"/>
        </w:rPr>
        <w:t xml:space="preserve"> </w:t>
      </w:r>
      <w:r>
        <w:rPr>
          <w:i/>
        </w:rPr>
        <w:t>Employer</w:t>
      </w:r>
      <w:r>
        <w:t>.</w:t>
      </w:r>
    </w:p>
    <w:p w:rsidR="001C5E4E" w:rsidRDefault="003E09C0">
      <w:pPr>
        <w:pStyle w:val="BodyText"/>
        <w:spacing w:before="121"/>
        <w:ind w:left="2538" w:right="928"/>
        <w:jc w:val="both"/>
      </w:pPr>
      <w:r>
        <w:t xml:space="preserve">Z14.2 The </w:t>
      </w:r>
      <w:r>
        <w:rPr>
          <w:i/>
        </w:rPr>
        <w:t xml:space="preserve">Consultant </w:t>
      </w:r>
      <w:r>
        <w:t xml:space="preserve">may only disclose the </w:t>
      </w:r>
      <w:r>
        <w:rPr>
          <w:i/>
        </w:rPr>
        <w:t>Employer</w:t>
      </w:r>
      <w:r>
        <w:t>’s Confidential Information to its personnel who are directly involved in Providing the Services and who need to know the information, and shall ensure that such personnel are aware of and shall comply with these obligations as to confidentiality.</w:t>
      </w:r>
    </w:p>
    <w:p w:rsidR="001C5E4E" w:rsidRDefault="003E09C0">
      <w:pPr>
        <w:pStyle w:val="BodyText"/>
        <w:spacing w:before="119"/>
        <w:ind w:left="2538" w:right="928"/>
        <w:jc w:val="both"/>
      </w:pPr>
      <w:r>
        <w:t xml:space="preserve">Z14.3 The </w:t>
      </w:r>
      <w:r>
        <w:rPr>
          <w:i/>
        </w:rPr>
        <w:t xml:space="preserve">Consultant </w:t>
      </w:r>
      <w:r>
        <w:t xml:space="preserve">may only disclose the </w:t>
      </w:r>
      <w:r>
        <w:rPr>
          <w:i/>
        </w:rPr>
        <w:t>Employer</w:t>
      </w:r>
      <w:r>
        <w:t xml:space="preserve">’s Confidential Information to its personnel who need to know the information, and shall ensure that its personnel are aware of, acknowledge the importance of, and comply with these obligations as to confidentiality. In the event that any default, act or omission of any of the </w:t>
      </w:r>
      <w:r>
        <w:rPr>
          <w:i/>
        </w:rPr>
        <w:t>Consultant</w:t>
      </w:r>
      <w:r>
        <w:t xml:space="preserve">’s personnel causes or contributes (or could cause or contribute) to the </w:t>
      </w:r>
      <w:r>
        <w:rPr>
          <w:i/>
        </w:rPr>
        <w:t xml:space="preserve">Consultant </w:t>
      </w:r>
      <w:r>
        <w:t>breaching its obligations</w:t>
      </w:r>
      <w:r>
        <w:rPr>
          <w:spacing w:val="-6"/>
        </w:rPr>
        <w:t xml:space="preserve"> </w:t>
      </w:r>
      <w:r>
        <w:t>as</w:t>
      </w:r>
      <w:r>
        <w:rPr>
          <w:spacing w:val="-5"/>
        </w:rPr>
        <w:t xml:space="preserve"> </w:t>
      </w:r>
      <w:r>
        <w:t>to</w:t>
      </w:r>
      <w:r>
        <w:rPr>
          <w:spacing w:val="-4"/>
        </w:rPr>
        <w:t xml:space="preserve"> </w:t>
      </w:r>
      <w:r>
        <w:t>confidentiality</w:t>
      </w:r>
      <w:r>
        <w:rPr>
          <w:spacing w:val="-4"/>
        </w:rPr>
        <w:t xml:space="preserve"> </w:t>
      </w:r>
      <w:r>
        <w:t>under</w:t>
      </w:r>
      <w:r>
        <w:rPr>
          <w:spacing w:val="-5"/>
        </w:rPr>
        <w:t xml:space="preserve"> </w:t>
      </w:r>
      <w:r>
        <w:t>or</w:t>
      </w:r>
      <w:r>
        <w:rPr>
          <w:spacing w:val="-5"/>
        </w:rPr>
        <w:t xml:space="preserve"> </w:t>
      </w:r>
      <w:r>
        <w:t>in</w:t>
      </w:r>
      <w:r>
        <w:rPr>
          <w:spacing w:val="-6"/>
        </w:rPr>
        <w:t xml:space="preserve"> </w:t>
      </w:r>
      <w:r>
        <w:t>connection</w:t>
      </w:r>
      <w:r>
        <w:rPr>
          <w:spacing w:val="-6"/>
        </w:rPr>
        <w:t xml:space="preserve"> </w:t>
      </w:r>
      <w:r>
        <w:t>with</w:t>
      </w:r>
      <w:r>
        <w:rPr>
          <w:spacing w:val="-5"/>
        </w:rPr>
        <w:t xml:space="preserve"> </w:t>
      </w:r>
      <w:r>
        <w:t>this</w:t>
      </w:r>
      <w:r>
        <w:rPr>
          <w:spacing w:val="-6"/>
        </w:rPr>
        <w:t xml:space="preserve"> </w:t>
      </w:r>
      <w:r>
        <w:t>contract,</w:t>
      </w:r>
      <w:r>
        <w:rPr>
          <w:spacing w:val="-4"/>
        </w:rPr>
        <w:t xml:space="preserve"> </w:t>
      </w:r>
      <w:r>
        <w:t xml:space="preserve">the </w:t>
      </w:r>
      <w:r>
        <w:rPr>
          <w:i/>
        </w:rPr>
        <w:t>Consultant</w:t>
      </w:r>
      <w:r>
        <w:rPr>
          <w:i/>
          <w:spacing w:val="-5"/>
        </w:rPr>
        <w:t xml:space="preserve"> </w:t>
      </w:r>
      <w:r>
        <w:t>shall</w:t>
      </w:r>
      <w:r>
        <w:rPr>
          <w:spacing w:val="-7"/>
        </w:rPr>
        <w:t xml:space="preserve"> </w:t>
      </w:r>
      <w:r>
        <w:t>take</w:t>
      </w:r>
      <w:r>
        <w:rPr>
          <w:spacing w:val="-6"/>
        </w:rPr>
        <w:t xml:space="preserve"> </w:t>
      </w:r>
      <w:r>
        <w:t>such</w:t>
      </w:r>
      <w:r>
        <w:rPr>
          <w:spacing w:val="-10"/>
        </w:rPr>
        <w:t xml:space="preserve"> </w:t>
      </w:r>
      <w:r>
        <w:t>action</w:t>
      </w:r>
      <w:r>
        <w:rPr>
          <w:spacing w:val="-6"/>
        </w:rPr>
        <w:t xml:space="preserve"> </w:t>
      </w:r>
      <w:r>
        <w:t>as</w:t>
      </w:r>
      <w:r>
        <w:rPr>
          <w:spacing w:val="-9"/>
        </w:rPr>
        <w:t xml:space="preserve"> </w:t>
      </w:r>
      <w:r>
        <w:t>may</w:t>
      </w:r>
      <w:r>
        <w:rPr>
          <w:spacing w:val="-6"/>
        </w:rPr>
        <w:t xml:space="preserve"> </w:t>
      </w:r>
      <w:r>
        <w:t>be</w:t>
      </w:r>
      <w:r>
        <w:rPr>
          <w:spacing w:val="-6"/>
        </w:rPr>
        <w:t xml:space="preserve"> </w:t>
      </w:r>
      <w:r>
        <w:t>appropriate</w:t>
      </w:r>
      <w:r>
        <w:rPr>
          <w:spacing w:val="-5"/>
        </w:rPr>
        <w:t xml:space="preserve"> </w:t>
      </w:r>
      <w:r>
        <w:t>in</w:t>
      </w:r>
      <w:r>
        <w:rPr>
          <w:spacing w:val="-8"/>
        </w:rPr>
        <w:t xml:space="preserve"> </w:t>
      </w:r>
      <w:r>
        <w:t>the</w:t>
      </w:r>
      <w:r>
        <w:rPr>
          <w:spacing w:val="-9"/>
        </w:rPr>
        <w:t xml:space="preserve"> </w:t>
      </w:r>
      <w:r>
        <w:t xml:space="preserve">circumstances, including the use of disciplinary procedures in serious cases. To the fullest extent permitted by its own obligations of confidentiality to any of the </w:t>
      </w:r>
      <w:r>
        <w:rPr>
          <w:i/>
        </w:rPr>
        <w:t xml:space="preserve">Consultant’s </w:t>
      </w:r>
      <w:r>
        <w:t xml:space="preserve">personnel, the </w:t>
      </w:r>
      <w:r>
        <w:rPr>
          <w:i/>
        </w:rPr>
        <w:t xml:space="preserve">Consultant </w:t>
      </w:r>
      <w:r>
        <w:t xml:space="preserve">shall provide such evidence to the </w:t>
      </w:r>
      <w:r>
        <w:rPr>
          <w:i/>
        </w:rPr>
        <w:t xml:space="preserve">Employer </w:t>
      </w:r>
      <w:r>
        <w:t xml:space="preserve">as the </w:t>
      </w:r>
      <w:r>
        <w:rPr>
          <w:i/>
        </w:rPr>
        <w:t xml:space="preserve">Employer </w:t>
      </w:r>
      <w:r>
        <w:t xml:space="preserve">may reasonably require (though not so as to risk compromising or prejudicing the case) to demonstrate that the </w:t>
      </w:r>
      <w:r>
        <w:rPr>
          <w:i/>
        </w:rPr>
        <w:t xml:space="preserve">Consultant </w:t>
      </w:r>
      <w:r>
        <w:t xml:space="preserve">is taking appropriate steps to comply with this clause, including copies of any written communications to and/or from the </w:t>
      </w:r>
      <w:r>
        <w:rPr>
          <w:i/>
        </w:rPr>
        <w:t>Consultant’</w:t>
      </w:r>
      <w:r>
        <w:t>s personnel, and any minutes</w:t>
      </w:r>
      <w:r>
        <w:rPr>
          <w:spacing w:val="-9"/>
        </w:rPr>
        <w:t xml:space="preserve"> </w:t>
      </w:r>
      <w:r>
        <w:t>of</w:t>
      </w:r>
      <w:r>
        <w:rPr>
          <w:spacing w:val="-10"/>
        </w:rPr>
        <w:t xml:space="preserve"> </w:t>
      </w:r>
      <w:r>
        <w:t>meetings</w:t>
      </w:r>
      <w:r>
        <w:rPr>
          <w:spacing w:val="-7"/>
        </w:rPr>
        <w:t xml:space="preserve"> </w:t>
      </w:r>
      <w:r>
        <w:t>and</w:t>
      </w:r>
      <w:r>
        <w:rPr>
          <w:spacing w:val="-8"/>
        </w:rPr>
        <w:t xml:space="preserve"> </w:t>
      </w:r>
      <w:r>
        <w:t>any</w:t>
      </w:r>
      <w:r>
        <w:rPr>
          <w:spacing w:val="-6"/>
        </w:rPr>
        <w:t xml:space="preserve"> </w:t>
      </w:r>
      <w:r>
        <w:t>other</w:t>
      </w:r>
      <w:r>
        <w:rPr>
          <w:spacing w:val="-7"/>
        </w:rPr>
        <w:t xml:space="preserve"> </w:t>
      </w:r>
      <w:r>
        <w:t>records</w:t>
      </w:r>
      <w:r>
        <w:rPr>
          <w:spacing w:val="-10"/>
        </w:rPr>
        <w:t xml:space="preserve"> </w:t>
      </w:r>
      <w:r>
        <w:t>which</w:t>
      </w:r>
      <w:r>
        <w:rPr>
          <w:spacing w:val="-8"/>
        </w:rPr>
        <w:t xml:space="preserve"> </w:t>
      </w:r>
      <w:r>
        <w:t>provide</w:t>
      </w:r>
      <w:r>
        <w:rPr>
          <w:spacing w:val="-6"/>
        </w:rPr>
        <w:t xml:space="preserve"> </w:t>
      </w:r>
      <w:r>
        <w:t>an</w:t>
      </w:r>
      <w:r>
        <w:rPr>
          <w:spacing w:val="-8"/>
        </w:rPr>
        <w:t xml:space="preserve"> </w:t>
      </w:r>
      <w:r>
        <w:t>audit</w:t>
      </w:r>
      <w:r>
        <w:rPr>
          <w:spacing w:val="-7"/>
        </w:rPr>
        <w:t xml:space="preserve"> </w:t>
      </w:r>
      <w:r>
        <w:t>trail</w:t>
      </w:r>
      <w:r>
        <w:rPr>
          <w:spacing w:val="-10"/>
        </w:rPr>
        <w:t xml:space="preserve"> </w:t>
      </w:r>
      <w:r>
        <w:t>of</w:t>
      </w:r>
      <w:r>
        <w:rPr>
          <w:spacing w:val="-7"/>
        </w:rPr>
        <w:t xml:space="preserve"> </w:t>
      </w:r>
      <w:r>
        <w:t xml:space="preserve">any discussions or exchanges with the </w:t>
      </w:r>
      <w:r>
        <w:rPr>
          <w:i/>
        </w:rPr>
        <w:t>Consultant</w:t>
      </w:r>
      <w:r>
        <w:t>’s personnel in connection with obligations as to</w:t>
      </w:r>
      <w:r>
        <w:rPr>
          <w:spacing w:val="-3"/>
        </w:rPr>
        <w:t xml:space="preserve"> </w:t>
      </w:r>
      <w:r>
        <w:t>confidentiality.</w:t>
      </w:r>
    </w:p>
    <w:p w:rsidR="001C5E4E" w:rsidRDefault="003E09C0">
      <w:pPr>
        <w:spacing w:before="120"/>
        <w:ind w:left="2538"/>
        <w:jc w:val="both"/>
      </w:pPr>
      <w:r>
        <w:t xml:space="preserve">Z14.4 At the written request of the </w:t>
      </w:r>
      <w:r>
        <w:rPr>
          <w:i/>
        </w:rPr>
        <w:t xml:space="preserve">Employer, </w:t>
      </w:r>
      <w:r>
        <w:t xml:space="preserve">the </w:t>
      </w:r>
      <w:r>
        <w:rPr>
          <w:i/>
        </w:rPr>
        <w:t xml:space="preserve">Consultant </w:t>
      </w:r>
      <w:r>
        <w:t>shall procure</w:t>
      </w:r>
    </w:p>
    <w:p w:rsidR="001C5E4E" w:rsidRDefault="001C5E4E">
      <w:pPr>
        <w:jc w:val="both"/>
        <w:sectPr w:rsidR="001C5E4E">
          <w:pgSz w:w="11910" w:h="16850"/>
          <w:pgMar w:top="1400" w:right="620" w:bottom="1080" w:left="940" w:header="1112" w:footer="892" w:gutter="0"/>
          <w:cols w:space="720"/>
        </w:sectPr>
      </w:pPr>
    </w:p>
    <w:p w:rsidR="001C5E4E" w:rsidRDefault="001C5E4E">
      <w:pPr>
        <w:pStyle w:val="BodyText"/>
        <w:rPr>
          <w:sz w:val="20"/>
        </w:rPr>
      </w:pPr>
    </w:p>
    <w:p w:rsidR="001C5E4E" w:rsidRDefault="001C5E4E">
      <w:pPr>
        <w:pStyle w:val="BodyText"/>
        <w:spacing w:before="9"/>
        <w:rPr>
          <w:sz w:val="10"/>
        </w:rPr>
      </w:pPr>
    </w:p>
    <w:tbl>
      <w:tblPr>
        <w:tblW w:w="0" w:type="auto"/>
        <w:tblInd w:w="1155" w:type="dxa"/>
        <w:tblLayout w:type="fixed"/>
        <w:tblCellMar>
          <w:left w:w="0" w:type="dxa"/>
          <w:right w:w="0" w:type="dxa"/>
        </w:tblCellMar>
        <w:tblLook w:val="01E0" w:firstRow="1" w:lastRow="1" w:firstColumn="1" w:lastColumn="1" w:noHBand="0" w:noVBand="0"/>
      </w:tblPr>
      <w:tblGrid>
        <w:gridCol w:w="1283"/>
        <w:gridCol w:w="7185"/>
      </w:tblGrid>
      <w:tr w:rsidR="001C5E4E">
        <w:trPr>
          <w:trHeight w:val="2364"/>
        </w:trPr>
        <w:tc>
          <w:tcPr>
            <w:tcW w:w="1283" w:type="dxa"/>
          </w:tcPr>
          <w:p w:rsidR="001C5E4E" w:rsidRDefault="001C5E4E">
            <w:pPr>
              <w:pStyle w:val="TableParagraph"/>
              <w:rPr>
                <w:rFonts w:ascii="Times New Roman"/>
              </w:rPr>
            </w:pPr>
          </w:p>
        </w:tc>
        <w:tc>
          <w:tcPr>
            <w:tcW w:w="7185" w:type="dxa"/>
          </w:tcPr>
          <w:p w:rsidR="001C5E4E" w:rsidRDefault="003E09C0">
            <w:pPr>
              <w:pStyle w:val="TableParagraph"/>
              <w:spacing w:line="224" w:lineRule="exact"/>
              <w:ind w:left="107"/>
              <w:jc w:val="both"/>
            </w:pPr>
            <w:r>
              <w:t xml:space="preserve">that   those   members   of   the   </w:t>
            </w:r>
            <w:r>
              <w:rPr>
                <w:i/>
              </w:rPr>
              <w:t>Consultant</w:t>
            </w:r>
            <w:r>
              <w:t xml:space="preserve">’s   personnel   identified   in </w:t>
            </w:r>
            <w:r>
              <w:rPr>
                <w:spacing w:val="42"/>
              </w:rPr>
              <w:t xml:space="preserve"> </w:t>
            </w:r>
            <w:r>
              <w:t>the</w:t>
            </w:r>
          </w:p>
          <w:p w:rsidR="001C5E4E" w:rsidRDefault="003E09C0">
            <w:pPr>
              <w:pStyle w:val="TableParagraph"/>
              <w:spacing w:line="267" w:lineRule="exact"/>
              <w:ind w:left="107"/>
              <w:jc w:val="both"/>
            </w:pPr>
            <w:r>
              <w:rPr>
                <w:i/>
              </w:rPr>
              <w:t>Employer</w:t>
            </w:r>
            <w:r>
              <w:t>’s  notice  signs  a confidentiality  undertaking  prior to</w:t>
            </w:r>
            <w:r>
              <w:rPr>
                <w:spacing w:val="-22"/>
              </w:rPr>
              <w:t xml:space="preserve"> </w:t>
            </w:r>
            <w:r>
              <w:t>commencing</w:t>
            </w:r>
          </w:p>
          <w:p w:rsidR="001C5E4E" w:rsidRDefault="003E09C0">
            <w:pPr>
              <w:pStyle w:val="TableParagraph"/>
              <w:ind w:left="107"/>
              <w:jc w:val="both"/>
            </w:pPr>
            <w:r>
              <w:t>any work in accordance with this contract.</w:t>
            </w:r>
          </w:p>
          <w:p w:rsidR="001C5E4E" w:rsidRDefault="003E09C0">
            <w:pPr>
              <w:pStyle w:val="TableParagraph"/>
              <w:spacing w:before="120"/>
              <w:ind w:left="107" w:right="200"/>
              <w:jc w:val="both"/>
            </w:pPr>
            <w:r>
              <w:t xml:space="preserve">Z14.5 Where the </w:t>
            </w:r>
            <w:r>
              <w:rPr>
                <w:i/>
              </w:rPr>
              <w:t xml:space="preserve">Employer </w:t>
            </w:r>
            <w:r>
              <w:t xml:space="preserve">supplies the </w:t>
            </w:r>
            <w:r>
              <w:rPr>
                <w:i/>
              </w:rPr>
              <w:t xml:space="preserve">Consultant </w:t>
            </w:r>
            <w:r>
              <w:t xml:space="preserve">with press cuttings provided to the </w:t>
            </w:r>
            <w:r>
              <w:rPr>
                <w:i/>
              </w:rPr>
              <w:t xml:space="preserve">Employer </w:t>
            </w:r>
            <w:r>
              <w:t xml:space="preserve">under the terms of the </w:t>
            </w:r>
            <w:r>
              <w:rPr>
                <w:i/>
              </w:rPr>
              <w:t>Employer</w:t>
            </w:r>
            <w:r>
              <w:t>’s licence with the Newspaper</w:t>
            </w:r>
            <w:r>
              <w:rPr>
                <w:spacing w:val="-5"/>
              </w:rPr>
              <w:t xml:space="preserve"> </w:t>
            </w:r>
            <w:r>
              <w:t>Licensing</w:t>
            </w:r>
            <w:r>
              <w:rPr>
                <w:spacing w:val="-5"/>
              </w:rPr>
              <w:t xml:space="preserve"> </w:t>
            </w:r>
            <w:r>
              <w:t>Agency</w:t>
            </w:r>
            <w:r>
              <w:rPr>
                <w:spacing w:val="-4"/>
              </w:rPr>
              <w:t xml:space="preserve"> </w:t>
            </w:r>
            <w:r>
              <w:t>(“NLA”),</w:t>
            </w:r>
            <w:r>
              <w:rPr>
                <w:spacing w:val="-4"/>
              </w:rPr>
              <w:t xml:space="preserve"> </w:t>
            </w:r>
            <w:r>
              <w:t>the</w:t>
            </w:r>
            <w:r>
              <w:rPr>
                <w:spacing w:val="-2"/>
              </w:rPr>
              <w:t xml:space="preserve"> </w:t>
            </w:r>
            <w:r>
              <w:rPr>
                <w:i/>
              </w:rPr>
              <w:t>Consultant</w:t>
            </w:r>
            <w:r>
              <w:rPr>
                <w:i/>
                <w:spacing w:val="-6"/>
              </w:rPr>
              <w:t xml:space="preserve"> </w:t>
            </w:r>
            <w:r>
              <w:t>does</w:t>
            </w:r>
            <w:r>
              <w:rPr>
                <w:spacing w:val="-3"/>
              </w:rPr>
              <w:t xml:space="preserve"> </w:t>
            </w:r>
            <w:r>
              <w:t>not</w:t>
            </w:r>
            <w:r>
              <w:rPr>
                <w:spacing w:val="-5"/>
              </w:rPr>
              <w:t xml:space="preserve"> </w:t>
            </w:r>
            <w:r>
              <w:t>reproduce</w:t>
            </w:r>
            <w:r>
              <w:rPr>
                <w:spacing w:val="-4"/>
              </w:rPr>
              <w:t xml:space="preserve"> </w:t>
            </w:r>
            <w:r>
              <w:t xml:space="preserve">the cuttings or forward them to any third party unless the </w:t>
            </w:r>
            <w:r>
              <w:rPr>
                <w:i/>
              </w:rPr>
              <w:t xml:space="preserve">Consultant </w:t>
            </w:r>
            <w:r>
              <w:t>has first entered into an agreement with NLA authorising it to do</w:t>
            </w:r>
            <w:r>
              <w:rPr>
                <w:spacing w:val="-10"/>
              </w:rPr>
              <w:t xml:space="preserve"> </w:t>
            </w:r>
            <w:r>
              <w:t>so.</w:t>
            </w:r>
          </w:p>
        </w:tc>
      </w:tr>
      <w:tr w:rsidR="001C5E4E">
        <w:trPr>
          <w:trHeight w:val="1760"/>
        </w:trPr>
        <w:tc>
          <w:tcPr>
            <w:tcW w:w="1283" w:type="dxa"/>
          </w:tcPr>
          <w:p w:rsidR="001C5E4E" w:rsidRDefault="003E09C0">
            <w:pPr>
              <w:pStyle w:val="TableParagraph"/>
              <w:spacing w:before="100"/>
              <w:ind w:right="105"/>
              <w:jc w:val="right"/>
              <w:rPr>
                <w:b/>
              </w:rPr>
            </w:pPr>
            <w:r>
              <w:rPr>
                <w:b/>
              </w:rPr>
              <w:t>Clause Z15</w:t>
            </w:r>
          </w:p>
        </w:tc>
        <w:tc>
          <w:tcPr>
            <w:tcW w:w="7185" w:type="dxa"/>
          </w:tcPr>
          <w:p w:rsidR="001C5E4E" w:rsidRDefault="003E09C0">
            <w:pPr>
              <w:pStyle w:val="TableParagraph"/>
              <w:spacing w:before="100"/>
              <w:ind w:left="107"/>
              <w:rPr>
                <w:b/>
              </w:rPr>
            </w:pPr>
            <w:r>
              <w:rPr>
                <w:b/>
              </w:rPr>
              <w:t>Security Requirements</w:t>
            </w:r>
          </w:p>
          <w:p w:rsidR="001C5E4E" w:rsidRDefault="003E09C0">
            <w:pPr>
              <w:pStyle w:val="TableParagraph"/>
              <w:spacing w:before="120"/>
              <w:ind w:left="107"/>
            </w:pPr>
            <w:r>
              <w:t xml:space="preserve">Z15.1 The </w:t>
            </w:r>
            <w:r>
              <w:rPr>
                <w:i/>
              </w:rPr>
              <w:t xml:space="preserve">Consultant </w:t>
            </w:r>
            <w:r>
              <w:t>complies with, and procures the compliance of its personnel, with:</w:t>
            </w:r>
          </w:p>
          <w:p w:rsidR="001C5E4E" w:rsidRDefault="003E09C0">
            <w:pPr>
              <w:pStyle w:val="TableParagraph"/>
              <w:numPr>
                <w:ilvl w:val="0"/>
                <w:numId w:val="29"/>
              </w:numPr>
              <w:tabs>
                <w:tab w:val="left" w:pos="827"/>
                <w:tab w:val="left" w:pos="828"/>
              </w:tabs>
              <w:spacing w:before="121"/>
            </w:pPr>
            <w:r>
              <w:t>the Security Provisions contained in the</w:t>
            </w:r>
            <w:r>
              <w:rPr>
                <w:spacing w:val="-7"/>
              </w:rPr>
              <w:t xml:space="preserve"> </w:t>
            </w:r>
            <w:r>
              <w:t>Scope.</w:t>
            </w:r>
          </w:p>
        </w:tc>
      </w:tr>
      <w:tr w:rsidR="001C5E4E">
        <w:trPr>
          <w:trHeight w:val="896"/>
        </w:trPr>
        <w:tc>
          <w:tcPr>
            <w:tcW w:w="1283" w:type="dxa"/>
          </w:tcPr>
          <w:p w:rsidR="001C5E4E" w:rsidRDefault="001C5E4E">
            <w:pPr>
              <w:pStyle w:val="TableParagraph"/>
              <w:rPr>
                <w:sz w:val="24"/>
              </w:rPr>
            </w:pPr>
          </w:p>
          <w:p w:rsidR="001C5E4E" w:rsidRDefault="003E09C0">
            <w:pPr>
              <w:pStyle w:val="TableParagraph"/>
              <w:ind w:right="105"/>
              <w:jc w:val="right"/>
              <w:rPr>
                <w:b/>
              </w:rPr>
            </w:pPr>
            <w:r>
              <w:rPr>
                <w:b/>
              </w:rPr>
              <w:t>Clause Z16</w:t>
            </w:r>
          </w:p>
        </w:tc>
        <w:tc>
          <w:tcPr>
            <w:tcW w:w="7185" w:type="dxa"/>
          </w:tcPr>
          <w:p w:rsidR="001C5E4E" w:rsidRDefault="001C5E4E">
            <w:pPr>
              <w:pStyle w:val="TableParagraph"/>
              <w:rPr>
                <w:sz w:val="24"/>
              </w:rPr>
            </w:pPr>
          </w:p>
          <w:p w:rsidR="001C5E4E" w:rsidRDefault="003E09C0">
            <w:pPr>
              <w:pStyle w:val="TableParagraph"/>
              <w:ind w:left="107"/>
              <w:rPr>
                <w:b/>
              </w:rPr>
            </w:pPr>
            <w:r>
              <w:rPr>
                <w:b/>
              </w:rPr>
              <w:t>Official Secrets Act – Not Used</w:t>
            </w:r>
          </w:p>
        </w:tc>
      </w:tr>
      <w:tr w:rsidR="001C5E4E">
        <w:trPr>
          <w:trHeight w:val="7661"/>
        </w:trPr>
        <w:tc>
          <w:tcPr>
            <w:tcW w:w="1283" w:type="dxa"/>
          </w:tcPr>
          <w:p w:rsidR="001C5E4E" w:rsidRDefault="001C5E4E">
            <w:pPr>
              <w:pStyle w:val="TableParagraph"/>
              <w:spacing w:before="1"/>
              <w:rPr>
                <w:sz w:val="24"/>
              </w:rPr>
            </w:pPr>
          </w:p>
          <w:p w:rsidR="001C5E4E" w:rsidRDefault="003E09C0">
            <w:pPr>
              <w:pStyle w:val="TableParagraph"/>
              <w:ind w:right="105"/>
              <w:jc w:val="right"/>
              <w:rPr>
                <w:b/>
              </w:rPr>
            </w:pPr>
            <w:r>
              <w:rPr>
                <w:b/>
              </w:rPr>
              <w:t>Clause Z17</w:t>
            </w:r>
          </w:p>
        </w:tc>
        <w:tc>
          <w:tcPr>
            <w:tcW w:w="7185" w:type="dxa"/>
          </w:tcPr>
          <w:p w:rsidR="001C5E4E" w:rsidRDefault="001C5E4E">
            <w:pPr>
              <w:pStyle w:val="TableParagraph"/>
              <w:spacing w:before="1"/>
              <w:rPr>
                <w:sz w:val="24"/>
              </w:rPr>
            </w:pPr>
          </w:p>
          <w:p w:rsidR="001C5E4E" w:rsidRDefault="003E09C0">
            <w:pPr>
              <w:pStyle w:val="TableParagraph"/>
              <w:ind w:left="107"/>
              <w:rPr>
                <w:b/>
              </w:rPr>
            </w:pPr>
            <w:r>
              <w:rPr>
                <w:b/>
              </w:rPr>
              <w:t>Data protection</w:t>
            </w:r>
          </w:p>
          <w:p w:rsidR="001C5E4E" w:rsidRDefault="003E09C0">
            <w:pPr>
              <w:pStyle w:val="TableParagraph"/>
              <w:tabs>
                <w:tab w:val="left" w:pos="827"/>
              </w:tabs>
              <w:spacing w:before="121"/>
              <w:ind w:left="107"/>
            </w:pPr>
            <w:r>
              <w:t>Z17.1</w:t>
            </w:r>
            <w:r>
              <w:tab/>
              <w:t>In this Clause Z17, the following terms take the following</w:t>
            </w:r>
            <w:r>
              <w:rPr>
                <w:spacing w:val="-17"/>
              </w:rPr>
              <w:t xml:space="preserve"> </w:t>
            </w:r>
            <w:r>
              <w:t>meanings:</w:t>
            </w:r>
          </w:p>
          <w:p w:rsidR="001C5E4E" w:rsidRDefault="001C5E4E">
            <w:pPr>
              <w:pStyle w:val="TableParagraph"/>
            </w:pPr>
          </w:p>
          <w:p w:rsidR="001C5E4E" w:rsidRDefault="003E09C0">
            <w:pPr>
              <w:pStyle w:val="TableParagraph"/>
              <w:ind w:left="107" w:right="254"/>
            </w:pPr>
            <w:r>
              <w:rPr>
                <w:b/>
              </w:rPr>
              <w:t xml:space="preserve">Consultant Personnel: </w:t>
            </w:r>
            <w:r>
              <w:t>means all directors, officers, employees, agents, consultants and Consultants of the Consultant and/or of any Sub-Contractor engaged in the performance of its obligations under this Agreement</w:t>
            </w:r>
          </w:p>
          <w:p w:rsidR="001C5E4E" w:rsidRDefault="001C5E4E">
            <w:pPr>
              <w:pStyle w:val="TableParagraph"/>
              <w:spacing w:before="11"/>
              <w:rPr>
                <w:sz w:val="21"/>
              </w:rPr>
            </w:pPr>
          </w:p>
          <w:p w:rsidR="001C5E4E" w:rsidRDefault="003E09C0">
            <w:pPr>
              <w:pStyle w:val="TableParagraph"/>
              <w:ind w:left="107"/>
            </w:pPr>
            <w:r>
              <w:rPr>
                <w:b/>
              </w:rPr>
              <w:t xml:space="preserve">Controller </w:t>
            </w:r>
            <w:r>
              <w:t>takes the meaning given in the Data Protection Legislation.</w:t>
            </w:r>
          </w:p>
          <w:p w:rsidR="001C5E4E" w:rsidRDefault="001C5E4E">
            <w:pPr>
              <w:pStyle w:val="TableParagraph"/>
            </w:pPr>
          </w:p>
          <w:p w:rsidR="001C5E4E" w:rsidRDefault="003E09C0">
            <w:pPr>
              <w:pStyle w:val="TableParagraph"/>
              <w:spacing w:before="1"/>
              <w:ind w:left="107" w:right="268"/>
              <w:rPr>
                <w:b/>
              </w:rPr>
            </w:pPr>
            <w:r>
              <w:rPr>
                <w:b/>
              </w:rPr>
              <w:t>Data Loss Event</w:t>
            </w:r>
            <w:r>
              <w:t>: any event that results, or may result, in unauthorised access to Personal Data held by the Consultant under this Contract, and/or actual or potential loss and/or destruction of Personal Data in breach of this Contract, including any Personal Data Breach</w:t>
            </w:r>
            <w:r>
              <w:rPr>
                <w:b/>
              </w:rPr>
              <w:t>.</w:t>
            </w:r>
          </w:p>
          <w:p w:rsidR="001C5E4E" w:rsidRDefault="001C5E4E">
            <w:pPr>
              <w:pStyle w:val="TableParagraph"/>
              <w:spacing w:before="11"/>
              <w:rPr>
                <w:sz w:val="21"/>
              </w:rPr>
            </w:pPr>
          </w:p>
          <w:p w:rsidR="001C5E4E" w:rsidRDefault="003E09C0">
            <w:pPr>
              <w:pStyle w:val="TableParagraph"/>
              <w:ind w:left="107" w:right="203"/>
            </w:pPr>
            <w:r>
              <w:rPr>
                <w:b/>
              </w:rPr>
              <w:t>Data Protection Legislation</w:t>
            </w:r>
            <w:r>
              <w:t>: (i) the GDPR, the LED and any applicable national implementing Laws as amended from time to time (ii) the DPA 2018 [subject to Royal Assent] to the extent that it relates to processing of personal data and privacy; (iiii) all applicable Law about the processing of personal data and privacy;</w:t>
            </w:r>
          </w:p>
          <w:p w:rsidR="001C5E4E" w:rsidRDefault="001C5E4E">
            <w:pPr>
              <w:pStyle w:val="TableParagraph"/>
              <w:spacing w:before="2"/>
            </w:pPr>
          </w:p>
          <w:p w:rsidR="001C5E4E" w:rsidRDefault="003E09C0">
            <w:pPr>
              <w:pStyle w:val="TableParagraph"/>
              <w:ind w:left="107" w:right="244"/>
            </w:pPr>
            <w:r>
              <w:rPr>
                <w:b/>
              </w:rPr>
              <w:t xml:space="preserve">Data Protection Impact Assessment: </w:t>
            </w:r>
            <w:r>
              <w:t>an assessment by the Controller of the impact of the envisaged processing on the protection of Personal Data.</w:t>
            </w:r>
          </w:p>
          <w:p w:rsidR="001C5E4E" w:rsidRDefault="001C5E4E">
            <w:pPr>
              <w:pStyle w:val="TableParagraph"/>
              <w:spacing w:before="2"/>
            </w:pPr>
          </w:p>
          <w:p w:rsidR="001C5E4E" w:rsidRDefault="003E09C0">
            <w:pPr>
              <w:pStyle w:val="TableParagraph"/>
              <w:spacing w:before="1" w:line="237" w:lineRule="auto"/>
              <w:ind w:left="107" w:right="695"/>
            </w:pPr>
            <w:r>
              <w:rPr>
                <w:b/>
              </w:rPr>
              <w:t xml:space="preserve">Data Protection Officer </w:t>
            </w:r>
            <w:r>
              <w:t>takes the meaning given in the Data Protection Legislation.</w:t>
            </w:r>
          </w:p>
          <w:p w:rsidR="001C5E4E" w:rsidRDefault="001C5E4E">
            <w:pPr>
              <w:pStyle w:val="TableParagraph"/>
              <w:spacing w:before="1"/>
            </w:pPr>
          </w:p>
          <w:p w:rsidR="001C5E4E" w:rsidRDefault="003E09C0">
            <w:pPr>
              <w:pStyle w:val="TableParagraph"/>
              <w:spacing w:line="245" w:lineRule="exact"/>
              <w:ind w:left="107"/>
            </w:pPr>
            <w:r>
              <w:rPr>
                <w:b/>
              </w:rPr>
              <w:t xml:space="preserve">Data Subject </w:t>
            </w:r>
            <w:r>
              <w:t>takes the meaning given in the Data Protection Legislation.</w:t>
            </w:r>
          </w:p>
        </w:tc>
      </w:tr>
    </w:tbl>
    <w:p w:rsidR="001C5E4E" w:rsidRDefault="001C5E4E">
      <w:pPr>
        <w:spacing w:line="245" w:lineRule="exact"/>
        <w:sectPr w:rsidR="001C5E4E">
          <w:pgSz w:w="11910" w:h="16850"/>
          <w:pgMar w:top="1400" w:right="620" w:bottom="1080" w:left="940" w:header="1112" w:footer="892" w:gutter="0"/>
          <w:cols w:space="720"/>
        </w:sectPr>
      </w:pPr>
    </w:p>
    <w:p w:rsidR="001C5E4E" w:rsidRDefault="001C5E4E">
      <w:pPr>
        <w:pStyle w:val="BodyText"/>
        <w:spacing w:before="7"/>
      </w:pPr>
    </w:p>
    <w:p w:rsidR="001C5E4E" w:rsidRDefault="003E09C0">
      <w:pPr>
        <w:pStyle w:val="BodyText"/>
        <w:spacing w:before="56"/>
        <w:ind w:left="2538" w:right="1190"/>
      </w:pPr>
      <w:r>
        <w:rPr>
          <w:b/>
        </w:rPr>
        <w:t>Data Subject Access Request</w:t>
      </w:r>
      <w:r>
        <w:t>: a request made by, or on behalf of, a Data Subject in accordance with rights granted pursuant to the Data Protection Legislation to access their Personal Data.</w:t>
      </w:r>
    </w:p>
    <w:p w:rsidR="001C5E4E" w:rsidRDefault="001C5E4E">
      <w:pPr>
        <w:pStyle w:val="BodyText"/>
        <w:spacing w:before="10"/>
        <w:rPr>
          <w:sz w:val="21"/>
        </w:rPr>
      </w:pPr>
    </w:p>
    <w:p w:rsidR="001C5E4E" w:rsidRDefault="003E09C0">
      <w:pPr>
        <w:spacing w:before="1"/>
        <w:ind w:left="2538"/>
      </w:pPr>
      <w:r>
        <w:rPr>
          <w:b/>
        </w:rPr>
        <w:t xml:space="preserve">DPA 2018: </w:t>
      </w:r>
      <w:r>
        <w:t>means the Data Protection Act 2018</w:t>
      </w:r>
    </w:p>
    <w:p w:rsidR="001C5E4E" w:rsidRDefault="001C5E4E">
      <w:pPr>
        <w:pStyle w:val="BodyText"/>
      </w:pPr>
    </w:p>
    <w:p w:rsidR="001C5E4E" w:rsidRDefault="003E09C0">
      <w:pPr>
        <w:ind w:left="2538"/>
      </w:pPr>
      <w:r>
        <w:rPr>
          <w:b/>
        </w:rPr>
        <w:t>GDPR</w:t>
      </w:r>
      <w:r>
        <w:t>: the General Data Protection Regulation (</w:t>
      </w:r>
      <w:r>
        <w:rPr>
          <w:i/>
        </w:rPr>
        <w:t>Regulation (EU) 2016/679</w:t>
      </w:r>
      <w:r>
        <w:t>)</w:t>
      </w:r>
    </w:p>
    <w:p w:rsidR="001C5E4E" w:rsidRDefault="001C5E4E">
      <w:pPr>
        <w:pStyle w:val="BodyText"/>
      </w:pPr>
    </w:p>
    <w:p w:rsidR="001C5E4E" w:rsidRDefault="003E09C0">
      <w:pPr>
        <w:pStyle w:val="BodyText"/>
        <w:spacing w:before="1"/>
        <w:ind w:left="2538" w:right="1051"/>
      </w:pPr>
      <w:r>
        <w:rPr>
          <w:b/>
        </w:rPr>
        <w:t>Law</w:t>
      </w:r>
      <w:r>
        <w:t>: 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Consultant is bound to comply;</w:t>
      </w:r>
    </w:p>
    <w:p w:rsidR="001C5E4E" w:rsidRDefault="001C5E4E">
      <w:pPr>
        <w:pStyle w:val="BodyText"/>
        <w:spacing w:before="12"/>
        <w:rPr>
          <w:sz w:val="21"/>
        </w:rPr>
      </w:pPr>
    </w:p>
    <w:p w:rsidR="001C5E4E" w:rsidRDefault="003E09C0">
      <w:pPr>
        <w:ind w:left="2538"/>
      </w:pPr>
      <w:r>
        <w:rPr>
          <w:b/>
        </w:rPr>
        <w:t xml:space="preserve">LED: </w:t>
      </w:r>
      <w:r>
        <w:t>Law Enforcement Directive (</w:t>
      </w:r>
      <w:r>
        <w:rPr>
          <w:i/>
        </w:rPr>
        <w:t>Directive (EU) 2016/680</w:t>
      </w:r>
      <w:r>
        <w:t>)</w:t>
      </w:r>
    </w:p>
    <w:p w:rsidR="001C5E4E" w:rsidRDefault="001C5E4E">
      <w:pPr>
        <w:pStyle w:val="BodyText"/>
      </w:pPr>
    </w:p>
    <w:p w:rsidR="001C5E4E" w:rsidRDefault="003E09C0">
      <w:pPr>
        <w:pStyle w:val="BodyText"/>
        <w:ind w:left="2538"/>
      </w:pPr>
      <w:r>
        <w:rPr>
          <w:b/>
        </w:rPr>
        <w:t>Party</w:t>
      </w:r>
      <w:r>
        <w:t>: a Party to this Agreement ;</w:t>
      </w:r>
    </w:p>
    <w:p w:rsidR="001C5E4E" w:rsidRDefault="001C5E4E">
      <w:pPr>
        <w:pStyle w:val="BodyText"/>
        <w:spacing w:before="1"/>
      </w:pPr>
    </w:p>
    <w:p w:rsidR="001C5E4E" w:rsidRDefault="003E09C0">
      <w:pPr>
        <w:pStyle w:val="BodyText"/>
        <w:ind w:left="2538"/>
      </w:pPr>
      <w:r>
        <w:rPr>
          <w:b/>
        </w:rPr>
        <w:t xml:space="preserve">Personal Data </w:t>
      </w:r>
      <w:r>
        <w:t>takes the meaning given in the Data Protection Legislation.</w:t>
      </w:r>
    </w:p>
    <w:p w:rsidR="001C5E4E" w:rsidRDefault="001C5E4E">
      <w:pPr>
        <w:pStyle w:val="BodyText"/>
        <w:spacing w:before="10"/>
        <w:rPr>
          <w:sz w:val="21"/>
        </w:rPr>
      </w:pPr>
    </w:p>
    <w:p w:rsidR="001C5E4E" w:rsidRDefault="003E09C0">
      <w:pPr>
        <w:ind w:left="2538" w:right="1588"/>
      </w:pPr>
      <w:r>
        <w:rPr>
          <w:b/>
        </w:rPr>
        <w:t xml:space="preserve">Personal Data Breach </w:t>
      </w:r>
      <w:r>
        <w:t>takes the meaning given in the Data Protection Legislation.</w:t>
      </w:r>
    </w:p>
    <w:p w:rsidR="001C5E4E" w:rsidRDefault="001C5E4E">
      <w:pPr>
        <w:pStyle w:val="BodyText"/>
        <w:spacing w:before="1"/>
      </w:pPr>
    </w:p>
    <w:p w:rsidR="001C5E4E" w:rsidRDefault="003E09C0">
      <w:pPr>
        <w:pStyle w:val="BodyText"/>
        <w:ind w:left="2538"/>
      </w:pPr>
      <w:r>
        <w:rPr>
          <w:b/>
        </w:rPr>
        <w:t xml:space="preserve">Processor </w:t>
      </w:r>
      <w:r>
        <w:t>takes the meaning given in the Data Protection Legislation.</w:t>
      </w:r>
    </w:p>
    <w:p w:rsidR="001C5E4E" w:rsidRDefault="001C5E4E">
      <w:pPr>
        <w:pStyle w:val="BodyText"/>
      </w:pPr>
    </w:p>
    <w:p w:rsidR="001C5E4E" w:rsidRDefault="003E09C0">
      <w:pPr>
        <w:pStyle w:val="BodyText"/>
        <w:spacing w:before="1"/>
        <w:ind w:left="2538" w:right="997"/>
      </w:pPr>
      <w:r>
        <w:rPr>
          <w:b/>
        </w:rPr>
        <w:t xml:space="preserve">Protective Measures: </w:t>
      </w:r>
      <w: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rsidR="001C5E4E" w:rsidRDefault="001C5E4E">
      <w:pPr>
        <w:pStyle w:val="BodyText"/>
        <w:spacing w:before="11"/>
        <w:rPr>
          <w:sz w:val="21"/>
        </w:rPr>
      </w:pPr>
    </w:p>
    <w:p w:rsidR="001C5E4E" w:rsidRDefault="003E09C0">
      <w:pPr>
        <w:pStyle w:val="BodyText"/>
        <w:ind w:left="2538" w:right="937"/>
      </w:pPr>
      <w:r>
        <w:rPr>
          <w:b/>
        </w:rPr>
        <w:t>Sub-processor</w:t>
      </w:r>
      <w:r>
        <w:t>: any third party appointed to process Personal Data on behalf of the Consultant under this Contract</w:t>
      </w:r>
    </w:p>
    <w:p w:rsidR="001C5E4E" w:rsidRDefault="003E09C0">
      <w:pPr>
        <w:pStyle w:val="BodyText"/>
        <w:tabs>
          <w:tab w:val="left" w:pos="3308"/>
        </w:tabs>
        <w:spacing w:before="1"/>
        <w:ind w:left="2538" w:right="1016"/>
      </w:pPr>
      <w:r>
        <w:t>Z17.2</w:t>
      </w:r>
      <w:r>
        <w:tab/>
        <w:t>The Parties acknowledge that for the purposes of the Data Protection Legislation, the Employer is the Controller and the Consultant is the Processor. The only processing that the Consultant is authorised to do is listed in this Clause Z17.2 by the Employer and may not be determined by the</w:t>
      </w:r>
      <w:r>
        <w:rPr>
          <w:spacing w:val="-1"/>
        </w:rPr>
        <w:t xml:space="preserve"> </w:t>
      </w:r>
      <w:r>
        <w:t>Consultant.</w:t>
      </w:r>
    </w:p>
    <w:p w:rsidR="001C5E4E" w:rsidRDefault="003E09C0">
      <w:pPr>
        <w:pStyle w:val="BodyText"/>
        <w:tabs>
          <w:tab w:val="left" w:pos="5418"/>
        </w:tabs>
        <w:spacing w:line="268" w:lineRule="exact"/>
        <w:ind w:left="4158"/>
      </w:pPr>
      <w:r>
        <w:t>Z17.2.1</w:t>
      </w:r>
      <w:r>
        <w:tab/>
        <w:t>Subject matter of the</w:t>
      </w:r>
      <w:r>
        <w:rPr>
          <w:spacing w:val="-7"/>
        </w:rPr>
        <w:t xml:space="preserve"> </w:t>
      </w:r>
      <w:r>
        <w:t>processing;</w:t>
      </w:r>
    </w:p>
    <w:p w:rsidR="001C5E4E" w:rsidRDefault="003E09C0">
      <w:pPr>
        <w:ind w:left="4158" w:right="925" w:firstLine="50"/>
        <w:rPr>
          <w:i/>
        </w:rPr>
      </w:pPr>
      <w:r>
        <w:rPr>
          <w:i/>
        </w:rPr>
        <w:t>Collection of road vehicle collision information to generate anonymous road and vehicle safety</w:t>
      </w:r>
      <w:r>
        <w:rPr>
          <w:i/>
          <w:spacing w:val="-5"/>
        </w:rPr>
        <w:t xml:space="preserve"> </w:t>
      </w:r>
      <w:r>
        <w:rPr>
          <w:i/>
        </w:rPr>
        <w:t>data.</w:t>
      </w:r>
    </w:p>
    <w:p w:rsidR="001C5E4E" w:rsidRDefault="003E09C0">
      <w:pPr>
        <w:pStyle w:val="BodyText"/>
        <w:tabs>
          <w:tab w:val="left" w:pos="5418"/>
        </w:tabs>
        <w:ind w:left="4158"/>
      </w:pPr>
      <w:r>
        <w:t>Z17.2.2</w:t>
      </w:r>
      <w:r>
        <w:tab/>
        <w:t>Duration of the</w:t>
      </w:r>
      <w:r>
        <w:rPr>
          <w:spacing w:val="-9"/>
        </w:rPr>
        <w:t xml:space="preserve"> </w:t>
      </w:r>
      <w:r>
        <w:t>processing;</w:t>
      </w:r>
    </w:p>
    <w:p w:rsidR="001C5E4E" w:rsidRDefault="003E09C0">
      <w:pPr>
        <w:spacing w:before="1"/>
        <w:ind w:left="4158"/>
        <w:rPr>
          <w:i/>
        </w:rPr>
      </w:pPr>
      <w:r>
        <w:rPr>
          <w:i/>
        </w:rPr>
        <w:t>1</w:t>
      </w:r>
      <w:r>
        <w:rPr>
          <w:i/>
          <w:vertAlign w:val="superscript"/>
        </w:rPr>
        <w:t>st</w:t>
      </w:r>
      <w:r>
        <w:rPr>
          <w:i/>
        </w:rPr>
        <w:t xml:space="preserve"> May 2021 to 30</w:t>
      </w:r>
      <w:r>
        <w:rPr>
          <w:i/>
          <w:vertAlign w:val="superscript"/>
        </w:rPr>
        <w:t>th</w:t>
      </w:r>
      <w:r>
        <w:rPr>
          <w:i/>
        </w:rPr>
        <w:t xml:space="preserve"> April 2026</w:t>
      </w:r>
    </w:p>
    <w:p w:rsidR="001C5E4E" w:rsidRDefault="003E09C0">
      <w:pPr>
        <w:tabs>
          <w:tab w:val="left" w:pos="5418"/>
        </w:tabs>
        <w:ind w:left="4158" w:right="1038"/>
        <w:rPr>
          <w:i/>
        </w:rPr>
      </w:pPr>
      <w:r>
        <w:t>Z17.2.3</w:t>
      </w:r>
      <w:r>
        <w:tab/>
        <w:t xml:space="preserve">Nature and purposes of the processing; </w:t>
      </w:r>
      <w:r>
        <w:rPr>
          <w:i/>
        </w:rPr>
        <w:t>The contractor will process data to generate detailed yet anonymous records of real world road vehicle collisions to enable the causes and consequences to be understood by the research community. Personal data is used to</w:t>
      </w:r>
      <w:r>
        <w:rPr>
          <w:i/>
          <w:spacing w:val="-19"/>
        </w:rPr>
        <w:t xml:space="preserve"> </w:t>
      </w:r>
      <w:r>
        <w:rPr>
          <w:i/>
        </w:rPr>
        <w:t>retrieve</w:t>
      </w:r>
    </w:p>
    <w:p w:rsidR="001C5E4E" w:rsidRDefault="001C5E4E">
      <w:pPr>
        <w:sectPr w:rsidR="001C5E4E">
          <w:pgSz w:w="11910" w:h="16850"/>
          <w:pgMar w:top="1400" w:right="620" w:bottom="1080" w:left="940" w:header="1112" w:footer="892" w:gutter="0"/>
          <w:cols w:space="720"/>
        </w:sectPr>
      </w:pPr>
    </w:p>
    <w:p w:rsidR="001C5E4E" w:rsidRDefault="001C5E4E">
      <w:pPr>
        <w:pStyle w:val="BodyText"/>
        <w:rPr>
          <w:i/>
          <w:sz w:val="20"/>
        </w:rPr>
      </w:pPr>
    </w:p>
    <w:p w:rsidR="001C5E4E" w:rsidRDefault="001C5E4E">
      <w:pPr>
        <w:pStyle w:val="BodyText"/>
        <w:spacing w:before="9"/>
        <w:rPr>
          <w:i/>
          <w:sz w:val="10"/>
        </w:rPr>
      </w:pPr>
    </w:p>
    <w:tbl>
      <w:tblPr>
        <w:tblW w:w="0" w:type="auto"/>
        <w:tblInd w:w="2345" w:type="dxa"/>
        <w:tblLayout w:type="fixed"/>
        <w:tblCellMar>
          <w:left w:w="0" w:type="dxa"/>
          <w:right w:w="0" w:type="dxa"/>
        </w:tblCellMar>
        <w:tblLook w:val="01E0" w:firstRow="1" w:lastRow="1" w:firstColumn="1" w:lastColumn="1" w:noHBand="0" w:noVBand="0"/>
      </w:tblPr>
      <w:tblGrid>
        <w:gridCol w:w="7265"/>
      </w:tblGrid>
      <w:tr w:rsidR="001C5E4E">
        <w:trPr>
          <w:trHeight w:val="12868"/>
        </w:trPr>
        <w:tc>
          <w:tcPr>
            <w:tcW w:w="7265" w:type="dxa"/>
          </w:tcPr>
          <w:p w:rsidR="001C5E4E" w:rsidRDefault="003E09C0">
            <w:pPr>
              <w:pStyle w:val="TableParagraph"/>
              <w:spacing w:line="224" w:lineRule="exact"/>
              <w:ind w:left="1820"/>
              <w:rPr>
                <w:i/>
              </w:rPr>
            </w:pPr>
            <w:r>
              <w:rPr>
                <w:i/>
              </w:rPr>
              <w:t>anonymous questionnaire and injury information.</w:t>
            </w:r>
          </w:p>
          <w:p w:rsidR="001C5E4E" w:rsidRDefault="003E09C0">
            <w:pPr>
              <w:pStyle w:val="TableParagraph"/>
              <w:ind w:left="1820" w:right="278"/>
              <w:rPr>
                <w:i/>
              </w:rPr>
            </w:pPr>
            <w:r>
              <w:rPr>
                <w:i/>
              </w:rPr>
              <w:t>However personal data will not be retained for any longer than is necessary to obtain responses from hospitals and collision participants. The contractor will adhere to the conditions of approval stipulated by the Health Research Authority’s Research Ethics Committee and the Confidentiality Advisory Group.</w:t>
            </w:r>
          </w:p>
          <w:p w:rsidR="001C5E4E" w:rsidRDefault="003E09C0">
            <w:pPr>
              <w:pStyle w:val="TableParagraph"/>
              <w:tabs>
                <w:tab w:val="left" w:pos="3080"/>
              </w:tabs>
              <w:ind w:left="1820" w:right="1760"/>
              <w:rPr>
                <w:i/>
              </w:rPr>
            </w:pPr>
            <w:r>
              <w:t>Z17.2.4</w:t>
            </w:r>
            <w:r>
              <w:tab/>
              <w:t xml:space="preserve">Type of Personal Data; </w:t>
            </w:r>
            <w:r>
              <w:rPr>
                <w:i/>
              </w:rPr>
              <w:t xml:space="preserve">Name, address, date of birth / age </w:t>
            </w:r>
            <w:r>
              <w:t>Z17.2.5</w:t>
            </w:r>
            <w:r>
              <w:tab/>
              <w:t xml:space="preserve">Categories of Data Subject; </w:t>
            </w:r>
            <w:r>
              <w:rPr>
                <w:i/>
              </w:rPr>
              <w:t>Road vehicle collision</w:t>
            </w:r>
            <w:r>
              <w:rPr>
                <w:i/>
                <w:spacing w:val="-4"/>
              </w:rPr>
              <w:t xml:space="preserve"> </w:t>
            </w:r>
            <w:r>
              <w:rPr>
                <w:i/>
              </w:rPr>
              <w:t>participants</w:t>
            </w:r>
          </w:p>
          <w:p w:rsidR="001C5E4E" w:rsidRDefault="003E09C0">
            <w:pPr>
              <w:pStyle w:val="TableParagraph"/>
              <w:tabs>
                <w:tab w:val="left" w:pos="3080"/>
              </w:tabs>
              <w:spacing w:line="267" w:lineRule="exact"/>
              <w:ind w:left="1820"/>
            </w:pPr>
            <w:r>
              <w:t>Z17.2.6</w:t>
            </w:r>
            <w:r>
              <w:tab/>
              <w:t>Plan for Destruction of</w:t>
            </w:r>
            <w:r>
              <w:rPr>
                <w:spacing w:val="-8"/>
              </w:rPr>
              <w:t xml:space="preserve"> </w:t>
            </w:r>
            <w:r>
              <w:t>Data;</w:t>
            </w:r>
          </w:p>
          <w:p w:rsidR="001C5E4E" w:rsidRDefault="003E09C0">
            <w:pPr>
              <w:pStyle w:val="TableParagraph"/>
              <w:ind w:left="1820" w:right="425"/>
              <w:rPr>
                <w:i/>
              </w:rPr>
            </w:pPr>
            <w:r>
              <w:rPr>
                <w:i/>
              </w:rPr>
              <w:t>The anonymous information generated will be retained indefinitely in the study database. Personal data used to obtain the anonymous data from hospitals and collision participants is not retained.</w:t>
            </w:r>
          </w:p>
          <w:p w:rsidR="001C5E4E" w:rsidRDefault="001C5E4E">
            <w:pPr>
              <w:pStyle w:val="TableParagraph"/>
              <w:rPr>
                <w:i/>
              </w:rPr>
            </w:pPr>
          </w:p>
          <w:p w:rsidR="001C5E4E" w:rsidRDefault="001C5E4E">
            <w:pPr>
              <w:pStyle w:val="TableParagraph"/>
              <w:rPr>
                <w:i/>
              </w:rPr>
            </w:pPr>
          </w:p>
          <w:p w:rsidR="001C5E4E" w:rsidRDefault="001C5E4E">
            <w:pPr>
              <w:pStyle w:val="TableParagraph"/>
              <w:spacing w:before="2"/>
              <w:rPr>
                <w:i/>
              </w:rPr>
            </w:pPr>
          </w:p>
          <w:p w:rsidR="001C5E4E" w:rsidRDefault="003E09C0">
            <w:pPr>
              <w:pStyle w:val="TableParagraph"/>
              <w:tabs>
                <w:tab w:val="left" w:pos="920"/>
              </w:tabs>
              <w:spacing w:before="1"/>
              <w:ind w:left="200" w:right="303"/>
            </w:pPr>
            <w:r>
              <w:t>Z17.3</w:t>
            </w:r>
            <w:r>
              <w:tab/>
              <w:t>The Consultant shall notify the Employer immediately if it considers that any of the Employer's instructions infringe the Data Protection Legislation.</w:t>
            </w:r>
          </w:p>
          <w:p w:rsidR="001C5E4E" w:rsidRDefault="001C5E4E">
            <w:pPr>
              <w:pStyle w:val="TableParagraph"/>
              <w:spacing w:before="10"/>
              <w:rPr>
                <w:i/>
                <w:sz w:val="21"/>
              </w:rPr>
            </w:pPr>
          </w:p>
          <w:p w:rsidR="001C5E4E" w:rsidRDefault="003E09C0">
            <w:pPr>
              <w:pStyle w:val="TableParagraph"/>
              <w:tabs>
                <w:tab w:val="left" w:pos="920"/>
              </w:tabs>
              <w:ind w:left="200" w:right="217"/>
            </w:pPr>
            <w:r>
              <w:t>Z17.4</w:t>
            </w:r>
            <w:r>
              <w:tab/>
              <w:t>The Consultant shall provide all reasonable assistance to the Employer in the preparation of any Data Protection Impact Assessment prior to commencing any processing.  Such assistance may, at the discretion of the Employer,</w:t>
            </w:r>
            <w:r>
              <w:rPr>
                <w:spacing w:val="-3"/>
              </w:rPr>
              <w:t xml:space="preserve"> </w:t>
            </w:r>
            <w:r>
              <w:t>include:</w:t>
            </w:r>
          </w:p>
          <w:p w:rsidR="001C5E4E" w:rsidRDefault="003E09C0">
            <w:pPr>
              <w:pStyle w:val="TableParagraph"/>
              <w:tabs>
                <w:tab w:val="left" w:pos="3080"/>
              </w:tabs>
              <w:spacing w:before="2"/>
              <w:ind w:left="1820" w:right="316"/>
            </w:pPr>
            <w:r>
              <w:t>Z17.4.1</w:t>
            </w:r>
            <w:r>
              <w:tab/>
              <w:t>a systematic description of the envisaged processing operations and the purpose of the</w:t>
            </w:r>
            <w:r>
              <w:rPr>
                <w:spacing w:val="-19"/>
              </w:rPr>
              <w:t xml:space="preserve"> </w:t>
            </w:r>
            <w:r>
              <w:t>processing; Z17.4.2</w:t>
            </w:r>
            <w:r>
              <w:tab/>
              <w:t>an assessment of the necessity and proportionality of the processing</w:t>
            </w:r>
            <w:r>
              <w:rPr>
                <w:spacing w:val="-7"/>
              </w:rPr>
              <w:t xml:space="preserve"> </w:t>
            </w:r>
            <w:r>
              <w:t>operations;</w:t>
            </w:r>
          </w:p>
          <w:p w:rsidR="001C5E4E" w:rsidRDefault="003E09C0">
            <w:pPr>
              <w:pStyle w:val="TableParagraph"/>
              <w:tabs>
                <w:tab w:val="left" w:pos="3080"/>
              </w:tabs>
              <w:ind w:left="1820" w:right="315"/>
            </w:pPr>
            <w:r>
              <w:t>Z17.4.3</w:t>
            </w:r>
            <w:r>
              <w:tab/>
              <w:t>an assessment of the risks to the rights and freedoms of Data Subjects;</w:t>
            </w:r>
            <w:r>
              <w:rPr>
                <w:spacing w:val="-8"/>
              </w:rPr>
              <w:t xml:space="preserve"> </w:t>
            </w:r>
            <w:r>
              <w:t>and</w:t>
            </w:r>
          </w:p>
          <w:p w:rsidR="001C5E4E" w:rsidRDefault="003E09C0">
            <w:pPr>
              <w:pStyle w:val="TableParagraph"/>
              <w:tabs>
                <w:tab w:val="left" w:pos="3080"/>
              </w:tabs>
              <w:ind w:left="1820" w:right="505"/>
            </w:pPr>
            <w:r>
              <w:t>Z17.4.4</w:t>
            </w:r>
            <w:r>
              <w:tab/>
              <w:t>the measures envisaged to address the risks, including safeguards, security measures and mechanisms to ensure the protection of Personal</w:t>
            </w:r>
            <w:r>
              <w:rPr>
                <w:spacing w:val="-15"/>
              </w:rPr>
              <w:t xml:space="preserve"> </w:t>
            </w:r>
            <w:r>
              <w:t>Data.</w:t>
            </w:r>
          </w:p>
          <w:p w:rsidR="001C5E4E" w:rsidRDefault="001C5E4E">
            <w:pPr>
              <w:pStyle w:val="TableParagraph"/>
              <w:rPr>
                <w:i/>
              </w:rPr>
            </w:pPr>
          </w:p>
          <w:p w:rsidR="001C5E4E" w:rsidRDefault="003E09C0">
            <w:pPr>
              <w:pStyle w:val="TableParagraph"/>
              <w:tabs>
                <w:tab w:val="left" w:pos="920"/>
              </w:tabs>
              <w:ind w:left="200" w:right="436"/>
            </w:pPr>
            <w:r>
              <w:t>Z17.5</w:t>
            </w:r>
            <w:r>
              <w:tab/>
              <w:t>The Consultant shall, in relation to any Personal Data processed in connection with its obligations under this</w:t>
            </w:r>
            <w:r>
              <w:rPr>
                <w:spacing w:val="-9"/>
              </w:rPr>
              <w:t xml:space="preserve"> </w:t>
            </w:r>
            <w:r>
              <w:t>Contract:</w:t>
            </w:r>
          </w:p>
          <w:p w:rsidR="001C5E4E" w:rsidRDefault="003E09C0">
            <w:pPr>
              <w:pStyle w:val="TableParagraph"/>
              <w:tabs>
                <w:tab w:val="left" w:pos="3080"/>
              </w:tabs>
              <w:spacing w:before="1"/>
              <w:ind w:left="1820" w:right="197"/>
            </w:pPr>
            <w:r>
              <w:t>Z17.5.1</w:t>
            </w:r>
            <w:r>
              <w:tab/>
              <w:t>process that Personal Data only in accordance with Clause Z17.2 unless the Consultant is required to do otherwise by Law. If it is so required the Consultant shall promptly notify the Employer before processing the Personal Data unless prohibited by Law; Z17.5.2</w:t>
            </w:r>
            <w:r>
              <w:tab/>
              <w:t>ensure that it has in place Protective Measures, which have been reviewed and approved by the Employer as appropriate to protect against a Data</w:t>
            </w:r>
            <w:r>
              <w:rPr>
                <w:spacing w:val="-16"/>
              </w:rPr>
              <w:t xml:space="preserve"> </w:t>
            </w:r>
            <w:r>
              <w:t>Loss</w:t>
            </w:r>
          </w:p>
          <w:p w:rsidR="001C5E4E" w:rsidRDefault="003E09C0">
            <w:pPr>
              <w:pStyle w:val="TableParagraph"/>
              <w:spacing w:line="268" w:lineRule="exact"/>
              <w:ind w:left="1820"/>
            </w:pPr>
            <w:r>
              <w:t>Event having taken account of the:</w:t>
            </w:r>
          </w:p>
        </w:tc>
      </w:tr>
      <w:tr w:rsidR="001C5E4E">
        <w:trPr>
          <w:trHeight w:val="244"/>
        </w:trPr>
        <w:tc>
          <w:tcPr>
            <w:tcW w:w="7265" w:type="dxa"/>
          </w:tcPr>
          <w:p w:rsidR="001C5E4E" w:rsidRDefault="003E09C0">
            <w:pPr>
              <w:pStyle w:val="TableParagraph"/>
              <w:spacing w:line="225" w:lineRule="exact"/>
              <w:ind w:left="3440"/>
            </w:pPr>
            <w:r>
              <w:t>1. nature of the data to be protected;</w:t>
            </w:r>
          </w:p>
        </w:tc>
      </w:tr>
    </w:tbl>
    <w:p w:rsidR="001C5E4E" w:rsidRDefault="001C5E4E">
      <w:pPr>
        <w:spacing w:line="225" w:lineRule="exact"/>
        <w:sectPr w:rsidR="001C5E4E">
          <w:pgSz w:w="11910" w:h="16850"/>
          <w:pgMar w:top="1400" w:right="620" w:bottom="1080" w:left="940" w:header="1112" w:footer="892" w:gutter="0"/>
          <w:cols w:space="720"/>
        </w:sectPr>
      </w:pPr>
    </w:p>
    <w:p w:rsidR="001C5E4E" w:rsidRDefault="001C5E4E">
      <w:pPr>
        <w:pStyle w:val="BodyText"/>
        <w:spacing w:before="7"/>
        <w:rPr>
          <w:i/>
        </w:rPr>
      </w:pPr>
    </w:p>
    <w:p w:rsidR="001C5E4E" w:rsidRDefault="003E09C0">
      <w:pPr>
        <w:pStyle w:val="ListParagraph"/>
        <w:numPr>
          <w:ilvl w:val="3"/>
          <w:numId w:val="65"/>
        </w:numPr>
        <w:tabs>
          <w:tab w:val="left" w:pos="6139"/>
        </w:tabs>
        <w:spacing w:before="56" w:line="256" w:lineRule="auto"/>
        <w:ind w:right="1070"/>
      </w:pPr>
      <w:r>
        <w:t>harm that might result from a Data Loss</w:t>
      </w:r>
      <w:r>
        <w:rPr>
          <w:spacing w:val="-3"/>
        </w:rPr>
        <w:t xml:space="preserve"> </w:t>
      </w:r>
      <w:r>
        <w:t>Event;</w:t>
      </w:r>
    </w:p>
    <w:p w:rsidR="001C5E4E" w:rsidRDefault="003E09C0">
      <w:pPr>
        <w:pStyle w:val="ListParagraph"/>
        <w:numPr>
          <w:ilvl w:val="3"/>
          <w:numId w:val="65"/>
        </w:numPr>
        <w:tabs>
          <w:tab w:val="left" w:pos="6139"/>
        </w:tabs>
        <w:spacing w:before="164" w:line="259" w:lineRule="auto"/>
        <w:ind w:right="981"/>
      </w:pPr>
      <w:r>
        <w:t>state of technological development; and</w:t>
      </w:r>
    </w:p>
    <w:p w:rsidR="001C5E4E" w:rsidRDefault="003E09C0">
      <w:pPr>
        <w:pStyle w:val="ListParagraph"/>
        <w:numPr>
          <w:ilvl w:val="3"/>
          <w:numId w:val="65"/>
        </w:numPr>
        <w:tabs>
          <w:tab w:val="left" w:pos="6139"/>
        </w:tabs>
        <w:spacing w:before="159"/>
      </w:pPr>
      <w:r>
        <w:t>cost of implementing any</w:t>
      </w:r>
      <w:r>
        <w:rPr>
          <w:spacing w:val="-8"/>
        </w:rPr>
        <w:t xml:space="preserve"> </w:t>
      </w:r>
      <w:r>
        <w:t>measures;</w:t>
      </w:r>
    </w:p>
    <w:p w:rsidR="001C5E4E" w:rsidRDefault="003E09C0">
      <w:pPr>
        <w:pStyle w:val="BodyText"/>
        <w:tabs>
          <w:tab w:val="left" w:pos="5418"/>
        </w:tabs>
        <w:spacing w:before="181"/>
        <w:ind w:left="4158"/>
      </w:pPr>
      <w:r>
        <w:t>Z17.5.3</w:t>
      </w:r>
      <w:r>
        <w:tab/>
        <w:t>ensure that</w:t>
      </w:r>
      <w:r>
        <w:rPr>
          <w:spacing w:val="-3"/>
        </w:rPr>
        <w:t xml:space="preserve"> </w:t>
      </w:r>
      <w:r>
        <w:t>:</w:t>
      </w:r>
    </w:p>
    <w:p w:rsidR="001C5E4E" w:rsidRDefault="003E09C0">
      <w:pPr>
        <w:pStyle w:val="ListParagraph"/>
        <w:numPr>
          <w:ilvl w:val="0"/>
          <w:numId w:val="28"/>
        </w:numPr>
        <w:tabs>
          <w:tab w:val="left" w:pos="6139"/>
        </w:tabs>
        <w:spacing w:line="259" w:lineRule="auto"/>
        <w:ind w:right="1082"/>
      </w:pPr>
      <w:r>
        <w:t>the Consultant Personnel do not process Personal Data except in accordance with this Contract (and in particular Clause</w:t>
      </w:r>
      <w:r>
        <w:rPr>
          <w:spacing w:val="-6"/>
        </w:rPr>
        <w:t xml:space="preserve"> </w:t>
      </w:r>
      <w:r>
        <w:t>Z17.2);</w:t>
      </w:r>
    </w:p>
    <w:p w:rsidR="001C5E4E" w:rsidRDefault="003E09C0">
      <w:pPr>
        <w:pStyle w:val="ListParagraph"/>
        <w:numPr>
          <w:ilvl w:val="0"/>
          <w:numId w:val="28"/>
        </w:numPr>
        <w:tabs>
          <w:tab w:val="left" w:pos="6139"/>
        </w:tabs>
        <w:spacing w:before="160" w:line="259" w:lineRule="auto"/>
        <w:ind w:right="936"/>
      </w:pPr>
      <w:r>
        <w:t>it takes all reasonable steps to ensure the reliability and integrity of any Consultant Personnel who have access to the Personal Data and ensure that</w:t>
      </w:r>
      <w:r>
        <w:rPr>
          <w:spacing w:val="-3"/>
        </w:rPr>
        <w:t xml:space="preserve"> </w:t>
      </w:r>
      <w:r>
        <w:t>they:</w:t>
      </w:r>
    </w:p>
    <w:p w:rsidR="001C5E4E" w:rsidRDefault="003E09C0">
      <w:pPr>
        <w:pStyle w:val="ListParagraph"/>
        <w:numPr>
          <w:ilvl w:val="1"/>
          <w:numId w:val="28"/>
        </w:numPr>
        <w:tabs>
          <w:tab w:val="left" w:pos="6679"/>
        </w:tabs>
        <w:spacing w:before="158" w:line="259" w:lineRule="auto"/>
        <w:ind w:right="1003"/>
        <w:jc w:val="both"/>
      </w:pPr>
      <w:r>
        <w:t>are aware of and comply with the Consultant’s duties under this</w:t>
      </w:r>
      <w:r>
        <w:rPr>
          <w:spacing w:val="-1"/>
        </w:rPr>
        <w:t xml:space="preserve"> </w:t>
      </w:r>
      <w:r>
        <w:t>clause;</w:t>
      </w:r>
    </w:p>
    <w:p w:rsidR="001C5E4E" w:rsidRDefault="003E09C0">
      <w:pPr>
        <w:pStyle w:val="ListParagraph"/>
        <w:numPr>
          <w:ilvl w:val="1"/>
          <w:numId w:val="28"/>
        </w:numPr>
        <w:tabs>
          <w:tab w:val="left" w:pos="6678"/>
          <w:tab w:val="left" w:pos="6679"/>
        </w:tabs>
        <w:spacing w:before="160" w:line="259" w:lineRule="auto"/>
        <w:ind w:right="1159"/>
      </w:pPr>
      <w:r>
        <w:t>are subject to appropriate confidentiality undertakings with the Consultant or any Sub-processor;</w:t>
      </w:r>
    </w:p>
    <w:p w:rsidR="001C5E4E" w:rsidRDefault="003E09C0">
      <w:pPr>
        <w:pStyle w:val="ListParagraph"/>
        <w:numPr>
          <w:ilvl w:val="1"/>
          <w:numId w:val="28"/>
        </w:numPr>
        <w:tabs>
          <w:tab w:val="left" w:pos="6678"/>
          <w:tab w:val="left" w:pos="6679"/>
        </w:tabs>
        <w:spacing w:before="160" w:line="259" w:lineRule="auto"/>
        <w:ind w:right="934"/>
      </w:pPr>
      <w:r>
        <w:t>are informed of the confidential nature of the Personal Data and do not publish, disclose or divulge any of the Personal Data to any third party unless directed in writing to do so by the Employer or as otherwise permitted by this Contract; and</w:t>
      </w:r>
    </w:p>
    <w:p w:rsidR="001C5E4E" w:rsidRDefault="003E09C0">
      <w:pPr>
        <w:pStyle w:val="ListParagraph"/>
        <w:numPr>
          <w:ilvl w:val="1"/>
          <w:numId w:val="28"/>
        </w:numPr>
        <w:tabs>
          <w:tab w:val="left" w:pos="6678"/>
          <w:tab w:val="left" w:pos="6679"/>
        </w:tabs>
        <w:spacing w:before="158" w:line="259" w:lineRule="auto"/>
        <w:ind w:right="1282"/>
      </w:pPr>
      <w:r>
        <w:t>have undergone adequate training in the use, care, protection and handling of Personal Data;</w:t>
      </w:r>
      <w:r>
        <w:rPr>
          <w:spacing w:val="-4"/>
        </w:rPr>
        <w:t xml:space="preserve"> </w:t>
      </w:r>
      <w:r>
        <w:t>and</w:t>
      </w:r>
    </w:p>
    <w:p w:rsidR="001C5E4E" w:rsidRDefault="003E09C0">
      <w:pPr>
        <w:pStyle w:val="BodyText"/>
        <w:tabs>
          <w:tab w:val="left" w:pos="5418"/>
        </w:tabs>
        <w:spacing w:before="160"/>
        <w:ind w:left="4158" w:right="1024"/>
      </w:pPr>
      <w:r>
        <w:t>Z17.5.4</w:t>
      </w:r>
      <w:r>
        <w:tab/>
        <w:t>not transfer Personal Data outside of the European Economic Area unless the prior written consent of the Employer has been obtained and the following conditions are</w:t>
      </w:r>
      <w:r>
        <w:rPr>
          <w:spacing w:val="-5"/>
        </w:rPr>
        <w:t xml:space="preserve"> </w:t>
      </w:r>
      <w:r>
        <w:t>fulfilled:</w:t>
      </w:r>
    </w:p>
    <w:p w:rsidR="001C5E4E" w:rsidRDefault="001C5E4E">
      <w:pPr>
        <w:sectPr w:rsidR="001C5E4E">
          <w:pgSz w:w="11910" w:h="16850"/>
          <w:pgMar w:top="1400" w:right="620" w:bottom="1080" w:left="940" w:header="1112" w:footer="892" w:gutter="0"/>
          <w:cols w:space="720"/>
        </w:sectPr>
      </w:pPr>
    </w:p>
    <w:p w:rsidR="001C5E4E" w:rsidRDefault="001C5E4E">
      <w:pPr>
        <w:pStyle w:val="BodyText"/>
        <w:spacing w:before="7"/>
      </w:pPr>
    </w:p>
    <w:p w:rsidR="001C5E4E" w:rsidRDefault="003E09C0">
      <w:pPr>
        <w:pStyle w:val="ListParagraph"/>
        <w:numPr>
          <w:ilvl w:val="0"/>
          <w:numId w:val="27"/>
        </w:numPr>
        <w:tabs>
          <w:tab w:val="left" w:pos="6139"/>
        </w:tabs>
        <w:spacing w:before="56" w:line="259" w:lineRule="auto"/>
        <w:ind w:right="1037"/>
        <w:jc w:val="both"/>
      </w:pPr>
      <w:r>
        <w:t>the Employer or the Consultant has provided appropriate safeguards in relation to the</w:t>
      </w:r>
      <w:r>
        <w:rPr>
          <w:spacing w:val="-7"/>
        </w:rPr>
        <w:t xml:space="preserve"> </w:t>
      </w:r>
      <w:r>
        <w:t>transfer;</w:t>
      </w:r>
    </w:p>
    <w:p w:rsidR="001C5E4E" w:rsidRDefault="003E09C0">
      <w:pPr>
        <w:pStyle w:val="ListParagraph"/>
        <w:numPr>
          <w:ilvl w:val="0"/>
          <w:numId w:val="27"/>
        </w:numPr>
        <w:tabs>
          <w:tab w:val="left" w:pos="6139"/>
        </w:tabs>
        <w:spacing w:before="159" w:line="256" w:lineRule="auto"/>
        <w:ind w:right="1072"/>
        <w:jc w:val="both"/>
      </w:pPr>
      <w:r>
        <w:t>the Data Subject has enforceable rights and effective legal</w:t>
      </w:r>
      <w:r>
        <w:rPr>
          <w:spacing w:val="-9"/>
        </w:rPr>
        <w:t xml:space="preserve"> </w:t>
      </w:r>
      <w:r>
        <w:t>remedies;</w:t>
      </w:r>
    </w:p>
    <w:p w:rsidR="001C5E4E" w:rsidRDefault="003E09C0">
      <w:pPr>
        <w:pStyle w:val="ListParagraph"/>
        <w:numPr>
          <w:ilvl w:val="0"/>
          <w:numId w:val="27"/>
        </w:numPr>
        <w:tabs>
          <w:tab w:val="left" w:pos="6139"/>
        </w:tabs>
        <w:spacing w:before="165" w:line="259" w:lineRule="auto"/>
        <w:ind w:right="1104"/>
      </w:pPr>
      <w:r>
        <w:t>the Consultant complies with its obligations under the Data Protection Legislation by providing an adequate level of protection to any Personal Data that is transferred;</w:t>
      </w:r>
      <w:r>
        <w:rPr>
          <w:spacing w:val="-1"/>
        </w:rPr>
        <w:t xml:space="preserve"> </w:t>
      </w:r>
      <w:r>
        <w:t>and</w:t>
      </w:r>
    </w:p>
    <w:p w:rsidR="001C5E4E" w:rsidRDefault="003E09C0">
      <w:pPr>
        <w:pStyle w:val="ListParagraph"/>
        <w:numPr>
          <w:ilvl w:val="0"/>
          <w:numId w:val="27"/>
        </w:numPr>
        <w:tabs>
          <w:tab w:val="left" w:pos="6139"/>
        </w:tabs>
        <w:spacing w:before="159" w:line="259" w:lineRule="auto"/>
        <w:ind w:right="947"/>
      </w:pPr>
      <w:r>
        <w:t xml:space="preserve">the Consultant complies with any reasonable instructions notified to </w:t>
      </w:r>
      <w:r>
        <w:rPr>
          <w:spacing w:val="-7"/>
        </w:rPr>
        <w:t xml:space="preserve">it </w:t>
      </w:r>
      <w:r>
        <w:t>in advance by the Employer with respect to the processing of the Personal</w:t>
      </w:r>
      <w:r>
        <w:rPr>
          <w:spacing w:val="-4"/>
        </w:rPr>
        <w:t xml:space="preserve"> </w:t>
      </w:r>
      <w:r>
        <w:t>Data;</w:t>
      </w:r>
    </w:p>
    <w:p w:rsidR="001C5E4E" w:rsidRDefault="003E09C0" w:rsidP="007A4639">
      <w:pPr>
        <w:pStyle w:val="BodyText"/>
        <w:tabs>
          <w:tab w:val="left" w:pos="5418"/>
        </w:tabs>
        <w:spacing w:before="157"/>
        <w:ind w:left="4158" w:right="959"/>
      </w:pPr>
      <w:r>
        <w:t>Z17.5.5</w:t>
      </w:r>
      <w:r>
        <w:tab/>
        <w:t>at the written direction of the Employer, delete or return Personal Data (and any copies of it) to the Employer on termination of the Contract unless the Consultant is required by Law to retain the Personal</w:t>
      </w:r>
      <w:r>
        <w:rPr>
          <w:spacing w:val="-11"/>
        </w:rPr>
        <w:t xml:space="preserve"> </w:t>
      </w:r>
      <w:r>
        <w:t>Data.</w:t>
      </w:r>
    </w:p>
    <w:p w:rsidR="001C5E4E" w:rsidRDefault="003E09C0">
      <w:pPr>
        <w:pStyle w:val="BodyText"/>
        <w:spacing w:before="1"/>
        <w:ind w:left="2538" w:right="964"/>
      </w:pPr>
      <w:r>
        <w:t>Z17.6. Subject to clause Z17.7, the Consultant shall notify the Employer immediately if it:</w:t>
      </w:r>
    </w:p>
    <w:p w:rsidR="001C5E4E" w:rsidRDefault="003E09C0">
      <w:pPr>
        <w:pStyle w:val="BodyText"/>
        <w:tabs>
          <w:tab w:val="left" w:pos="5418"/>
        </w:tabs>
        <w:spacing w:before="3" w:line="237" w:lineRule="auto"/>
        <w:ind w:left="4158" w:right="1120"/>
      </w:pPr>
      <w:r>
        <w:t>Z17.6.1.</w:t>
      </w:r>
      <w:r>
        <w:tab/>
        <w:t>receives a Data Subject Access Request (or purported Data Subject Access</w:t>
      </w:r>
      <w:r>
        <w:rPr>
          <w:spacing w:val="-2"/>
        </w:rPr>
        <w:t xml:space="preserve"> </w:t>
      </w:r>
      <w:r>
        <w:t>Request);</w:t>
      </w:r>
    </w:p>
    <w:p w:rsidR="001C5E4E" w:rsidRDefault="003E09C0">
      <w:pPr>
        <w:pStyle w:val="BodyText"/>
        <w:tabs>
          <w:tab w:val="left" w:pos="5418"/>
        </w:tabs>
        <w:spacing w:before="1"/>
        <w:ind w:left="4158" w:right="1079"/>
      </w:pPr>
      <w:r>
        <w:t>Z17.6.2</w:t>
      </w:r>
      <w:r>
        <w:tab/>
        <w:t>receives a request to rectify, block or erase any Personal</w:t>
      </w:r>
      <w:r>
        <w:rPr>
          <w:spacing w:val="-1"/>
        </w:rPr>
        <w:t xml:space="preserve"> </w:t>
      </w:r>
      <w:r>
        <w:t>Data;</w:t>
      </w:r>
    </w:p>
    <w:p w:rsidR="001C5E4E" w:rsidRDefault="003E09C0">
      <w:pPr>
        <w:pStyle w:val="BodyText"/>
        <w:tabs>
          <w:tab w:val="left" w:pos="5418"/>
        </w:tabs>
        <w:ind w:left="4158" w:right="958"/>
      </w:pPr>
      <w:r>
        <w:t>Z17.6.3</w:t>
      </w:r>
      <w:r>
        <w:tab/>
        <w:t>receives any other request, complaint or communication relating to either Party's obligations under the Data Protection</w:t>
      </w:r>
      <w:r>
        <w:rPr>
          <w:spacing w:val="-6"/>
        </w:rPr>
        <w:t xml:space="preserve"> </w:t>
      </w:r>
      <w:r>
        <w:t>Legislation;</w:t>
      </w:r>
    </w:p>
    <w:p w:rsidR="001C5E4E" w:rsidRDefault="003E09C0">
      <w:pPr>
        <w:pStyle w:val="BodyText"/>
        <w:tabs>
          <w:tab w:val="left" w:pos="5418"/>
        </w:tabs>
        <w:spacing w:before="1"/>
        <w:ind w:left="4158" w:right="1371"/>
      </w:pPr>
      <w:r>
        <w:t>Z17.6.4</w:t>
      </w:r>
      <w:r>
        <w:tab/>
        <w:t>receives any communication from the Information Commissioner or any other regulatory Employer in connection with Personal Data processed under this</w:t>
      </w:r>
      <w:r>
        <w:rPr>
          <w:spacing w:val="-1"/>
        </w:rPr>
        <w:t xml:space="preserve"> </w:t>
      </w:r>
      <w:r>
        <w:t>Contract;</w:t>
      </w:r>
    </w:p>
    <w:p w:rsidR="001C5E4E" w:rsidRDefault="003E09C0">
      <w:pPr>
        <w:pStyle w:val="BodyText"/>
        <w:tabs>
          <w:tab w:val="left" w:pos="5418"/>
        </w:tabs>
        <w:ind w:left="4158" w:right="981"/>
      </w:pPr>
      <w:r>
        <w:t>Z17.6.5</w:t>
      </w:r>
      <w:r>
        <w:tab/>
        <w:t>receives a request from any third party for disclosure of Personal Data where compliance with such request is required or purported to be required by Law; or Z17.6.6</w:t>
      </w:r>
      <w:r>
        <w:tab/>
        <w:t>becomes aware of a Data Loss</w:t>
      </w:r>
      <w:r>
        <w:rPr>
          <w:spacing w:val="-9"/>
        </w:rPr>
        <w:t xml:space="preserve"> </w:t>
      </w:r>
      <w:r>
        <w:t>Event.</w:t>
      </w:r>
    </w:p>
    <w:p w:rsidR="001C5E4E" w:rsidRDefault="001C5E4E">
      <w:pPr>
        <w:pStyle w:val="BodyText"/>
      </w:pPr>
    </w:p>
    <w:p w:rsidR="001C5E4E" w:rsidRDefault="003E09C0" w:rsidP="007A4639">
      <w:pPr>
        <w:pStyle w:val="BodyText"/>
        <w:tabs>
          <w:tab w:val="left" w:pos="3258"/>
        </w:tabs>
        <w:spacing w:before="1"/>
        <w:ind w:left="2538" w:right="939"/>
      </w:pPr>
      <w:r>
        <w:t>Z17.7</w:t>
      </w:r>
      <w:r>
        <w:tab/>
        <w:t>The Consultant’s obligation to notify under clause Z17.6 shall include the provision of further information to the Employer in phases, as details become</w:t>
      </w:r>
      <w:r>
        <w:rPr>
          <w:spacing w:val="-2"/>
        </w:rPr>
        <w:t xml:space="preserve"> </w:t>
      </w:r>
      <w:r>
        <w:t>available.</w:t>
      </w:r>
    </w:p>
    <w:p w:rsidR="001C5E4E" w:rsidRDefault="003E09C0">
      <w:pPr>
        <w:pStyle w:val="BodyText"/>
        <w:tabs>
          <w:tab w:val="left" w:pos="3258"/>
        </w:tabs>
        <w:spacing w:before="1"/>
        <w:ind w:left="2538" w:right="1227"/>
      </w:pPr>
      <w:r>
        <w:t>Z17.8</w:t>
      </w:r>
      <w:r>
        <w:tab/>
        <w:t>Taking into account the nature of the processing, the Consultant shall provide the Employer with full assistance in relation to either party's obligations under Data Protection Legislation and any</w:t>
      </w:r>
      <w:r>
        <w:rPr>
          <w:spacing w:val="-14"/>
        </w:rPr>
        <w:t xml:space="preserve"> </w:t>
      </w:r>
      <w:r>
        <w:t>complaint,</w:t>
      </w:r>
    </w:p>
    <w:p w:rsidR="001C5E4E" w:rsidRDefault="001C5E4E">
      <w:pPr>
        <w:sectPr w:rsidR="001C5E4E">
          <w:pgSz w:w="11910" w:h="16850"/>
          <w:pgMar w:top="1400" w:right="620" w:bottom="1360" w:left="940" w:header="1112" w:footer="892" w:gutter="0"/>
          <w:cols w:space="720"/>
        </w:sectPr>
      </w:pPr>
    </w:p>
    <w:p w:rsidR="001C5E4E" w:rsidRDefault="001C5E4E">
      <w:pPr>
        <w:pStyle w:val="BodyText"/>
        <w:spacing w:before="7"/>
      </w:pPr>
    </w:p>
    <w:p w:rsidR="001C5E4E" w:rsidRDefault="003E09C0">
      <w:pPr>
        <w:pStyle w:val="BodyText"/>
        <w:spacing w:before="56"/>
        <w:ind w:left="2538" w:right="1694"/>
        <w:jc w:val="both"/>
      </w:pPr>
      <w:r>
        <w:t>communication or request made under Clause Z17.6. (and insofar as possible within the timescales reasonably required by the Employer) including by promptly providing:</w:t>
      </w:r>
    </w:p>
    <w:p w:rsidR="001C5E4E" w:rsidRDefault="003E09C0">
      <w:pPr>
        <w:pStyle w:val="BodyText"/>
        <w:tabs>
          <w:tab w:val="left" w:pos="5418"/>
        </w:tabs>
        <w:ind w:left="4158" w:right="1064"/>
      </w:pPr>
      <w:r>
        <w:t>Z17.8.1</w:t>
      </w:r>
      <w:r>
        <w:tab/>
        <w:t>the Employer with full details and copies of the complaint, communication or</w:t>
      </w:r>
      <w:r>
        <w:rPr>
          <w:spacing w:val="-4"/>
        </w:rPr>
        <w:t xml:space="preserve"> </w:t>
      </w:r>
      <w:r>
        <w:t>request;</w:t>
      </w:r>
    </w:p>
    <w:p w:rsidR="001C5E4E" w:rsidRDefault="003E09C0">
      <w:pPr>
        <w:pStyle w:val="BodyText"/>
        <w:tabs>
          <w:tab w:val="left" w:pos="5418"/>
        </w:tabs>
        <w:ind w:left="4158" w:right="1033"/>
      </w:pPr>
      <w:r>
        <w:t>Z17.8.2</w:t>
      </w:r>
      <w:r>
        <w:tab/>
        <w:t>such assistance as is reasonably requested by the Employer to enable the Employer to comply with a Data Subject Access Request within the relevant timescales set out in the Data Protection Legislation; Z17.8.3</w:t>
      </w:r>
      <w:r>
        <w:tab/>
        <w:t>the Employer, at its request, with any Personal Data it holds in relation to a Data Subject; Z17.8.4</w:t>
      </w:r>
      <w:r>
        <w:tab/>
        <w:t>assistance as requested by the Employer following any Data Loss</w:t>
      </w:r>
      <w:r>
        <w:rPr>
          <w:spacing w:val="-9"/>
        </w:rPr>
        <w:t xml:space="preserve"> </w:t>
      </w:r>
      <w:r>
        <w:t>Event;</w:t>
      </w:r>
    </w:p>
    <w:p w:rsidR="001C5E4E" w:rsidRDefault="003E09C0">
      <w:pPr>
        <w:pStyle w:val="BodyText"/>
        <w:tabs>
          <w:tab w:val="left" w:pos="5418"/>
        </w:tabs>
        <w:ind w:left="4158" w:right="1294"/>
      </w:pPr>
      <w:r>
        <w:t>Z17.8.5</w:t>
      </w:r>
      <w:r>
        <w:tab/>
        <w:t>assistance as requested by the Employer with respect to any request from the Information Commissioner’s Office, or any consultation by the Employer with the Information Commissioner's</w:t>
      </w:r>
      <w:r>
        <w:rPr>
          <w:spacing w:val="-19"/>
        </w:rPr>
        <w:t xml:space="preserve"> </w:t>
      </w:r>
      <w:r>
        <w:t>Office.</w:t>
      </w:r>
    </w:p>
    <w:p w:rsidR="001C5E4E" w:rsidRDefault="001C5E4E">
      <w:pPr>
        <w:pStyle w:val="BodyText"/>
      </w:pPr>
    </w:p>
    <w:p w:rsidR="001C5E4E" w:rsidRDefault="003E09C0">
      <w:pPr>
        <w:pStyle w:val="BodyText"/>
        <w:tabs>
          <w:tab w:val="left" w:pos="3258"/>
        </w:tabs>
        <w:ind w:left="2538" w:right="1103"/>
      </w:pPr>
      <w:r>
        <w:t>Z17.9</w:t>
      </w:r>
      <w:r>
        <w:tab/>
        <w:t>The Consultant shall maintain complete and accurate records and information to demonstrate its compliance with this clause. This requirement does not apply where the Consultant employs fewer than 250 staff,</w:t>
      </w:r>
      <w:r>
        <w:rPr>
          <w:spacing w:val="-1"/>
        </w:rPr>
        <w:t xml:space="preserve"> </w:t>
      </w:r>
      <w:r>
        <w:t>unless:</w:t>
      </w:r>
    </w:p>
    <w:p w:rsidR="001C5E4E" w:rsidRDefault="003E09C0">
      <w:pPr>
        <w:pStyle w:val="BodyText"/>
        <w:tabs>
          <w:tab w:val="left" w:pos="5418"/>
        </w:tabs>
        <w:ind w:left="4158" w:right="1885"/>
      </w:pPr>
      <w:r>
        <w:t>Z17.9.1</w:t>
      </w:r>
      <w:r>
        <w:tab/>
        <w:t>the Employer determines that the processing is not</w:t>
      </w:r>
      <w:r>
        <w:rPr>
          <w:spacing w:val="-4"/>
        </w:rPr>
        <w:t xml:space="preserve"> </w:t>
      </w:r>
      <w:r>
        <w:t>occasional;</w:t>
      </w:r>
    </w:p>
    <w:p w:rsidR="001C5E4E" w:rsidRDefault="003E09C0">
      <w:pPr>
        <w:pStyle w:val="BodyText"/>
        <w:tabs>
          <w:tab w:val="left" w:pos="5418"/>
        </w:tabs>
        <w:ind w:left="4158" w:right="1012"/>
      </w:pPr>
      <w:r>
        <w:t>Z17.9.2</w:t>
      </w:r>
      <w:r>
        <w:tab/>
        <w:t>the Employer determines the processing includes special categories of data as referred to in Article 9(1) of the GDPR or Personal Data relating to criminal convictions and offences referred to in Article 10 of the GDPR; and</w:t>
      </w:r>
    </w:p>
    <w:p w:rsidR="001C5E4E" w:rsidRDefault="003E09C0">
      <w:pPr>
        <w:pStyle w:val="BodyText"/>
        <w:tabs>
          <w:tab w:val="left" w:pos="5418"/>
        </w:tabs>
        <w:spacing w:before="1"/>
        <w:ind w:left="4158" w:right="1468"/>
      </w:pPr>
      <w:r>
        <w:t>Z17.9.3</w:t>
      </w:r>
      <w:r>
        <w:tab/>
        <w:t>the Employer determines that the processing is likely to result in a risk to the rights and freedoms of Data</w:t>
      </w:r>
      <w:r>
        <w:rPr>
          <w:spacing w:val="-6"/>
        </w:rPr>
        <w:t xml:space="preserve"> </w:t>
      </w:r>
      <w:r>
        <w:t>Subjects.</w:t>
      </w:r>
    </w:p>
    <w:p w:rsidR="001C5E4E" w:rsidRDefault="001C5E4E">
      <w:pPr>
        <w:pStyle w:val="BodyText"/>
        <w:spacing w:before="10"/>
        <w:rPr>
          <w:sz w:val="21"/>
        </w:rPr>
      </w:pPr>
    </w:p>
    <w:p w:rsidR="001C5E4E" w:rsidRDefault="003E09C0">
      <w:pPr>
        <w:pStyle w:val="BodyText"/>
        <w:spacing w:before="1"/>
        <w:ind w:left="2538"/>
      </w:pPr>
      <w:r>
        <w:t>Z17.10 The Consultant shall allow for audits of its Data Processing activity</w:t>
      </w:r>
    </w:p>
    <w:p w:rsidR="001C5E4E" w:rsidRDefault="003E09C0">
      <w:pPr>
        <w:pStyle w:val="BodyText"/>
        <w:ind w:left="2538"/>
      </w:pPr>
      <w:r>
        <w:t>by the Employer or the Employer’s designated auditor.</w:t>
      </w:r>
    </w:p>
    <w:p w:rsidR="001C5E4E" w:rsidRDefault="001C5E4E">
      <w:pPr>
        <w:pStyle w:val="BodyText"/>
      </w:pPr>
    </w:p>
    <w:p w:rsidR="001C5E4E" w:rsidRDefault="003E09C0">
      <w:pPr>
        <w:pStyle w:val="BodyText"/>
        <w:ind w:left="2538" w:right="1051"/>
      </w:pPr>
      <w:r>
        <w:t>Z17.11 The Consultant shall designate a Data Protection Officer if required by the Data Protection Legislation.</w:t>
      </w:r>
    </w:p>
    <w:p w:rsidR="001C5E4E" w:rsidRDefault="001C5E4E">
      <w:pPr>
        <w:pStyle w:val="BodyText"/>
        <w:spacing w:before="4"/>
      </w:pPr>
    </w:p>
    <w:p w:rsidR="001C5E4E" w:rsidRDefault="003E09C0">
      <w:pPr>
        <w:pStyle w:val="BodyText"/>
        <w:spacing w:line="237" w:lineRule="auto"/>
        <w:ind w:left="2538" w:right="964"/>
      </w:pPr>
      <w:r>
        <w:t>Z17.12 Before allowing any Sub-processor to process any Personal Data related to this Contract, the Consultant must:</w:t>
      </w:r>
    </w:p>
    <w:p w:rsidR="001C5E4E" w:rsidRDefault="003E09C0">
      <w:pPr>
        <w:pStyle w:val="BodyText"/>
        <w:tabs>
          <w:tab w:val="left" w:pos="5418"/>
        </w:tabs>
        <w:spacing w:before="1"/>
        <w:ind w:left="4158" w:right="1678"/>
      </w:pPr>
      <w:r>
        <w:t>Z17.12.1</w:t>
      </w:r>
      <w:r>
        <w:tab/>
        <w:t>notify the Employer in writing of the intended Sub-processor and</w:t>
      </w:r>
      <w:r>
        <w:rPr>
          <w:spacing w:val="-6"/>
        </w:rPr>
        <w:t xml:space="preserve"> </w:t>
      </w:r>
      <w:r>
        <w:t>processing;</w:t>
      </w:r>
    </w:p>
    <w:p w:rsidR="001C5E4E" w:rsidRDefault="003E09C0">
      <w:pPr>
        <w:pStyle w:val="BodyText"/>
        <w:tabs>
          <w:tab w:val="left" w:pos="5418"/>
        </w:tabs>
        <w:spacing w:before="1"/>
        <w:ind w:left="4158" w:right="993"/>
      </w:pPr>
      <w:r>
        <w:t>Z17.12.2</w:t>
      </w:r>
      <w:r>
        <w:tab/>
        <w:t>obtain the written consent of the Employer; Z17.12.3</w:t>
      </w:r>
      <w:r>
        <w:tab/>
        <w:t>enter into a written agreement with the Sub-processor which give effect to the terms set out in this clause Z17 such that they apply to the Sub-processor; and</w:t>
      </w:r>
    </w:p>
    <w:p w:rsidR="001C5E4E" w:rsidRDefault="001C5E4E">
      <w:pPr>
        <w:sectPr w:rsidR="001C5E4E">
          <w:pgSz w:w="11910" w:h="16850"/>
          <w:pgMar w:top="1400" w:right="620" w:bottom="1360" w:left="940" w:header="1112" w:footer="892" w:gutter="0"/>
          <w:cols w:space="720"/>
        </w:sectPr>
      </w:pPr>
    </w:p>
    <w:p w:rsidR="001C5E4E" w:rsidRDefault="001C5E4E">
      <w:pPr>
        <w:pStyle w:val="BodyText"/>
        <w:rPr>
          <w:sz w:val="20"/>
        </w:rPr>
      </w:pPr>
    </w:p>
    <w:p w:rsidR="001C5E4E" w:rsidRDefault="001C5E4E">
      <w:pPr>
        <w:pStyle w:val="BodyText"/>
        <w:spacing w:before="9"/>
        <w:rPr>
          <w:sz w:val="10"/>
        </w:rPr>
      </w:pPr>
    </w:p>
    <w:tbl>
      <w:tblPr>
        <w:tblW w:w="0" w:type="auto"/>
        <w:tblInd w:w="1155" w:type="dxa"/>
        <w:tblLayout w:type="fixed"/>
        <w:tblCellMar>
          <w:left w:w="0" w:type="dxa"/>
          <w:right w:w="0" w:type="dxa"/>
        </w:tblCellMar>
        <w:tblLook w:val="01E0" w:firstRow="1" w:lastRow="1" w:firstColumn="1" w:lastColumn="1" w:noHBand="0" w:noVBand="0"/>
      </w:tblPr>
      <w:tblGrid>
        <w:gridCol w:w="1283"/>
        <w:gridCol w:w="7184"/>
      </w:tblGrid>
      <w:tr w:rsidR="001C5E4E">
        <w:trPr>
          <w:trHeight w:val="5319"/>
        </w:trPr>
        <w:tc>
          <w:tcPr>
            <w:tcW w:w="1283" w:type="dxa"/>
          </w:tcPr>
          <w:p w:rsidR="001C5E4E" w:rsidRDefault="001C5E4E">
            <w:pPr>
              <w:pStyle w:val="TableParagraph"/>
              <w:rPr>
                <w:rFonts w:ascii="Times New Roman"/>
              </w:rPr>
            </w:pPr>
          </w:p>
        </w:tc>
        <w:tc>
          <w:tcPr>
            <w:tcW w:w="7184" w:type="dxa"/>
          </w:tcPr>
          <w:p w:rsidR="001C5E4E" w:rsidRDefault="003E09C0">
            <w:pPr>
              <w:pStyle w:val="TableParagraph"/>
              <w:tabs>
                <w:tab w:val="left" w:pos="2987"/>
              </w:tabs>
              <w:spacing w:line="224" w:lineRule="exact"/>
              <w:ind w:left="1728"/>
            </w:pPr>
            <w:r>
              <w:t>Z17.12.4</w:t>
            </w:r>
            <w:r>
              <w:tab/>
              <w:t>provide the Employer with such</w:t>
            </w:r>
            <w:r>
              <w:rPr>
                <w:spacing w:val="-10"/>
              </w:rPr>
              <w:t xml:space="preserve"> </w:t>
            </w:r>
            <w:r>
              <w:t>information</w:t>
            </w:r>
          </w:p>
          <w:p w:rsidR="001C5E4E" w:rsidRDefault="003E09C0">
            <w:pPr>
              <w:pStyle w:val="TableParagraph"/>
              <w:ind w:left="1728" w:right="984"/>
            </w:pPr>
            <w:r>
              <w:t>regarding the Sub-processor as the Employer may reasonably require.</w:t>
            </w:r>
          </w:p>
          <w:p w:rsidR="001C5E4E" w:rsidRDefault="001C5E4E">
            <w:pPr>
              <w:pStyle w:val="TableParagraph"/>
              <w:spacing w:before="11"/>
              <w:rPr>
                <w:sz w:val="21"/>
              </w:rPr>
            </w:pPr>
          </w:p>
          <w:p w:rsidR="001C5E4E" w:rsidRDefault="003E09C0">
            <w:pPr>
              <w:pStyle w:val="TableParagraph"/>
              <w:spacing w:before="1"/>
              <w:ind w:left="107" w:right="437"/>
            </w:pPr>
            <w:r>
              <w:t>Z17.13 The Consultant shall remain fully liable for all acts or omissions of any Sub-processor.</w:t>
            </w:r>
          </w:p>
          <w:p w:rsidR="001C5E4E" w:rsidRDefault="001C5E4E">
            <w:pPr>
              <w:pStyle w:val="TableParagraph"/>
            </w:pPr>
          </w:p>
          <w:p w:rsidR="001C5E4E" w:rsidRDefault="003E09C0">
            <w:pPr>
              <w:pStyle w:val="TableParagraph"/>
              <w:ind w:left="107" w:right="243"/>
            </w:pPr>
            <w:r>
              <w:t>Z17.14 The Employer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rsidR="001C5E4E" w:rsidRDefault="001C5E4E">
            <w:pPr>
              <w:pStyle w:val="TableParagraph"/>
              <w:spacing w:before="10"/>
              <w:rPr>
                <w:sz w:val="31"/>
              </w:rPr>
            </w:pPr>
          </w:p>
          <w:p w:rsidR="001C5E4E" w:rsidRDefault="003E09C0">
            <w:pPr>
              <w:pStyle w:val="TableParagraph"/>
              <w:tabs>
                <w:tab w:val="left" w:pos="991"/>
              </w:tabs>
              <w:ind w:left="107"/>
            </w:pPr>
            <w:r>
              <w:t>Z17.15</w:t>
            </w:r>
            <w:r>
              <w:tab/>
              <w:t>The Parties agree to take account of any non-mandatory</w:t>
            </w:r>
            <w:r>
              <w:rPr>
                <w:spacing w:val="-10"/>
              </w:rPr>
              <w:t xml:space="preserve"> </w:t>
            </w:r>
            <w:r>
              <w:t>guidance</w:t>
            </w:r>
          </w:p>
          <w:p w:rsidR="001C5E4E" w:rsidRDefault="003E09C0">
            <w:pPr>
              <w:pStyle w:val="TableParagraph"/>
              <w:ind w:left="991"/>
            </w:pPr>
            <w:r>
              <w:t>issued by the Information Commissioner’s Office publishes</w:t>
            </w:r>
          </w:p>
          <w:p w:rsidR="001C5E4E" w:rsidRDefault="003E09C0" w:rsidP="007A4639">
            <w:pPr>
              <w:pStyle w:val="TableParagraph"/>
              <w:spacing w:before="1"/>
              <w:ind w:left="991" w:right="437"/>
            </w:pPr>
            <w:r>
              <w:t>guidance. The Employer may on not less than 30 Working Days’ notice to the Consultant amend this agreement to ensure that it complies with any guidance issued by the Information</w:t>
            </w:r>
            <w:r w:rsidR="007A4639">
              <w:t xml:space="preserve"> </w:t>
            </w:r>
            <w:r>
              <w:t>Commissioner’s Officer.</w:t>
            </w:r>
          </w:p>
        </w:tc>
      </w:tr>
      <w:tr w:rsidR="001C5E4E">
        <w:trPr>
          <w:trHeight w:val="7947"/>
        </w:trPr>
        <w:tc>
          <w:tcPr>
            <w:tcW w:w="1283" w:type="dxa"/>
          </w:tcPr>
          <w:p w:rsidR="001C5E4E" w:rsidRDefault="003E09C0">
            <w:pPr>
              <w:pStyle w:val="TableParagraph"/>
              <w:spacing w:before="100"/>
              <w:ind w:left="200"/>
              <w:rPr>
                <w:b/>
              </w:rPr>
            </w:pPr>
            <w:r>
              <w:rPr>
                <w:b/>
              </w:rPr>
              <w:t>Clause Z18</w:t>
            </w:r>
          </w:p>
        </w:tc>
        <w:tc>
          <w:tcPr>
            <w:tcW w:w="7184" w:type="dxa"/>
          </w:tcPr>
          <w:p w:rsidR="001C5E4E" w:rsidRDefault="003E09C0">
            <w:pPr>
              <w:pStyle w:val="TableParagraph"/>
              <w:spacing w:before="100"/>
              <w:ind w:left="107"/>
              <w:jc w:val="both"/>
              <w:rPr>
                <w:b/>
              </w:rPr>
            </w:pPr>
            <w:r>
              <w:rPr>
                <w:b/>
              </w:rPr>
              <w:t>Disclosure of information</w:t>
            </w:r>
          </w:p>
          <w:p w:rsidR="001C5E4E" w:rsidRDefault="003E09C0">
            <w:pPr>
              <w:pStyle w:val="TableParagraph"/>
              <w:spacing w:before="118"/>
              <w:ind w:left="107" w:right="200"/>
              <w:jc w:val="both"/>
            </w:pPr>
            <w:r>
              <w:t xml:space="preserve">Z18.1 A Disclosure Request is a request for information relating to this contract received by the </w:t>
            </w:r>
            <w:r>
              <w:rPr>
                <w:i/>
              </w:rPr>
              <w:t xml:space="preserve">Employer </w:t>
            </w:r>
            <w:r>
              <w:t>pursuant to the Freedom of Information Act 2000, the Environmental Information Regulations 2004 or otherwise.</w:t>
            </w:r>
          </w:p>
          <w:p w:rsidR="001C5E4E" w:rsidRDefault="003E09C0">
            <w:pPr>
              <w:pStyle w:val="TableParagraph"/>
              <w:spacing w:before="120"/>
              <w:ind w:left="107" w:right="198"/>
              <w:jc w:val="both"/>
            </w:pPr>
            <w:r>
              <w:t>Z18.2</w:t>
            </w:r>
            <w:r>
              <w:rPr>
                <w:spacing w:val="-11"/>
              </w:rPr>
              <w:t xml:space="preserve"> </w:t>
            </w:r>
            <w:r>
              <w:t>The</w:t>
            </w:r>
            <w:r>
              <w:rPr>
                <w:spacing w:val="-11"/>
              </w:rPr>
              <w:t xml:space="preserve"> </w:t>
            </w:r>
            <w:r>
              <w:rPr>
                <w:i/>
              </w:rPr>
              <w:t>Consultant</w:t>
            </w:r>
            <w:r>
              <w:rPr>
                <w:i/>
                <w:spacing w:val="-11"/>
              </w:rPr>
              <w:t xml:space="preserve"> </w:t>
            </w:r>
            <w:r>
              <w:t>acknowledges</w:t>
            </w:r>
            <w:r>
              <w:rPr>
                <w:spacing w:val="-11"/>
              </w:rPr>
              <w:t xml:space="preserve"> </w:t>
            </w:r>
            <w:r>
              <w:t>that</w:t>
            </w:r>
            <w:r>
              <w:rPr>
                <w:spacing w:val="-13"/>
              </w:rPr>
              <w:t xml:space="preserve"> </w:t>
            </w:r>
            <w:r>
              <w:t>the</w:t>
            </w:r>
            <w:r>
              <w:rPr>
                <w:spacing w:val="-11"/>
              </w:rPr>
              <w:t xml:space="preserve"> </w:t>
            </w:r>
            <w:r>
              <w:rPr>
                <w:i/>
              </w:rPr>
              <w:t>Employer</w:t>
            </w:r>
            <w:r>
              <w:rPr>
                <w:i/>
                <w:spacing w:val="-13"/>
              </w:rPr>
              <w:t xml:space="preserve"> </w:t>
            </w:r>
            <w:r>
              <w:t>may</w:t>
            </w:r>
            <w:r>
              <w:rPr>
                <w:spacing w:val="-11"/>
              </w:rPr>
              <w:t xml:space="preserve"> </w:t>
            </w:r>
            <w:r>
              <w:t>receive</w:t>
            </w:r>
            <w:r>
              <w:rPr>
                <w:spacing w:val="-13"/>
              </w:rPr>
              <w:t xml:space="preserve"> </w:t>
            </w:r>
            <w:r>
              <w:t>Disclosure Requests</w:t>
            </w:r>
            <w:r>
              <w:rPr>
                <w:spacing w:val="-3"/>
              </w:rPr>
              <w:t xml:space="preserve"> </w:t>
            </w:r>
            <w:r>
              <w:t>and</w:t>
            </w:r>
            <w:r>
              <w:rPr>
                <w:spacing w:val="-6"/>
              </w:rPr>
              <w:t xml:space="preserve"> </w:t>
            </w:r>
            <w:r>
              <w:t>that</w:t>
            </w:r>
            <w:r>
              <w:rPr>
                <w:spacing w:val="-2"/>
              </w:rPr>
              <w:t xml:space="preserve"> </w:t>
            </w:r>
            <w:r>
              <w:t>the</w:t>
            </w:r>
            <w:r>
              <w:rPr>
                <w:spacing w:val="-5"/>
              </w:rPr>
              <w:t xml:space="preserve"> </w:t>
            </w:r>
            <w:r>
              <w:rPr>
                <w:i/>
              </w:rPr>
              <w:t>Employer</w:t>
            </w:r>
            <w:r>
              <w:rPr>
                <w:i/>
                <w:spacing w:val="-3"/>
              </w:rPr>
              <w:t xml:space="preserve"> </w:t>
            </w:r>
            <w:r>
              <w:t>may</w:t>
            </w:r>
            <w:r>
              <w:rPr>
                <w:spacing w:val="-3"/>
              </w:rPr>
              <w:t xml:space="preserve"> </w:t>
            </w:r>
            <w:r>
              <w:t>be</w:t>
            </w:r>
            <w:r>
              <w:rPr>
                <w:spacing w:val="-2"/>
              </w:rPr>
              <w:t xml:space="preserve"> </w:t>
            </w:r>
            <w:r>
              <w:t>obliged</w:t>
            </w:r>
            <w:r>
              <w:rPr>
                <w:spacing w:val="-6"/>
              </w:rPr>
              <w:t xml:space="preserve"> </w:t>
            </w:r>
            <w:r>
              <w:t>(subject</w:t>
            </w:r>
            <w:r>
              <w:rPr>
                <w:spacing w:val="-3"/>
              </w:rPr>
              <w:t xml:space="preserve"> </w:t>
            </w:r>
            <w:r>
              <w:t>to</w:t>
            </w:r>
            <w:r>
              <w:rPr>
                <w:spacing w:val="-1"/>
              </w:rPr>
              <w:t xml:space="preserve"> </w:t>
            </w:r>
            <w:r>
              <w:t>the</w:t>
            </w:r>
            <w:r>
              <w:rPr>
                <w:spacing w:val="-3"/>
              </w:rPr>
              <w:t xml:space="preserve"> </w:t>
            </w:r>
            <w:r>
              <w:t>application</w:t>
            </w:r>
            <w:r>
              <w:rPr>
                <w:spacing w:val="-5"/>
              </w:rPr>
              <w:t xml:space="preserve"> </w:t>
            </w:r>
            <w:r>
              <w:t xml:space="preserve">of any relevant exemption and, where applicable, the public interest test) to disclose information (including commercially sensitive information) pursuant to a Disclosure Request. Where practicable, the </w:t>
            </w:r>
            <w:r>
              <w:rPr>
                <w:i/>
              </w:rPr>
              <w:t xml:space="preserve">Employer </w:t>
            </w:r>
            <w:r>
              <w:t xml:space="preserve">consults with the </w:t>
            </w:r>
            <w:r>
              <w:rPr>
                <w:i/>
              </w:rPr>
              <w:t xml:space="preserve">Consultant </w:t>
            </w:r>
            <w:r>
              <w:t xml:space="preserve">before doing so in accordance with the relevant Code of Practice. The </w:t>
            </w:r>
            <w:r>
              <w:rPr>
                <w:i/>
              </w:rPr>
              <w:t xml:space="preserve">Consultant </w:t>
            </w:r>
            <w:r>
              <w:t>uses his best endeavours to respond</w:t>
            </w:r>
            <w:r>
              <w:rPr>
                <w:spacing w:val="-37"/>
              </w:rPr>
              <w:t xml:space="preserve"> </w:t>
            </w:r>
            <w:r>
              <w:t>to any such consultation promptly</w:t>
            </w:r>
            <w:r>
              <w:rPr>
                <w:spacing w:val="-7"/>
              </w:rPr>
              <w:t xml:space="preserve"> </w:t>
            </w:r>
            <w:r>
              <w:t>and</w:t>
            </w:r>
            <w:r>
              <w:rPr>
                <w:spacing w:val="-11"/>
              </w:rPr>
              <w:t xml:space="preserve"> </w:t>
            </w:r>
            <w:r>
              <w:t>within</w:t>
            </w:r>
            <w:r>
              <w:rPr>
                <w:spacing w:val="-9"/>
              </w:rPr>
              <w:t xml:space="preserve"> </w:t>
            </w:r>
            <w:r>
              <w:t>any</w:t>
            </w:r>
            <w:r>
              <w:rPr>
                <w:spacing w:val="-7"/>
              </w:rPr>
              <w:t xml:space="preserve"> </w:t>
            </w:r>
            <w:r>
              <w:t>deadline</w:t>
            </w:r>
            <w:r>
              <w:rPr>
                <w:spacing w:val="-7"/>
              </w:rPr>
              <w:t xml:space="preserve"> </w:t>
            </w:r>
            <w:r>
              <w:t>set</w:t>
            </w:r>
            <w:r>
              <w:rPr>
                <w:spacing w:val="-7"/>
              </w:rPr>
              <w:t xml:space="preserve"> </w:t>
            </w:r>
            <w:r>
              <w:t>by</w:t>
            </w:r>
            <w:r>
              <w:rPr>
                <w:spacing w:val="-6"/>
              </w:rPr>
              <w:t xml:space="preserve"> </w:t>
            </w:r>
            <w:r>
              <w:t>the</w:t>
            </w:r>
            <w:r>
              <w:rPr>
                <w:spacing w:val="-9"/>
              </w:rPr>
              <w:t xml:space="preserve"> </w:t>
            </w:r>
            <w:r>
              <w:rPr>
                <w:i/>
              </w:rPr>
              <w:t>Employer</w:t>
            </w:r>
            <w:r>
              <w:rPr>
                <w:i/>
                <w:spacing w:val="-9"/>
              </w:rPr>
              <w:t xml:space="preserve"> </w:t>
            </w:r>
            <w:r>
              <w:t>and</w:t>
            </w:r>
            <w:r>
              <w:rPr>
                <w:spacing w:val="-9"/>
              </w:rPr>
              <w:t xml:space="preserve"> </w:t>
            </w:r>
            <w:r>
              <w:t>acknowledges</w:t>
            </w:r>
            <w:r>
              <w:rPr>
                <w:spacing w:val="-10"/>
              </w:rPr>
              <w:t xml:space="preserve"> </w:t>
            </w:r>
            <w:r>
              <w:t xml:space="preserve">that it is for the </w:t>
            </w:r>
            <w:r>
              <w:rPr>
                <w:i/>
              </w:rPr>
              <w:t xml:space="preserve">Employer </w:t>
            </w:r>
            <w:r>
              <w:t>to determine whether or not such information should be</w:t>
            </w:r>
            <w:r>
              <w:rPr>
                <w:spacing w:val="1"/>
              </w:rPr>
              <w:t xml:space="preserve"> </w:t>
            </w:r>
            <w:r>
              <w:t>disclosed.</w:t>
            </w:r>
          </w:p>
          <w:p w:rsidR="001C5E4E" w:rsidRDefault="003E09C0">
            <w:pPr>
              <w:pStyle w:val="TableParagraph"/>
              <w:spacing w:before="121"/>
              <w:ind w:left="107" w:right="198"/>
              <w:jc w:val="both"/>
            </w:pPr>
            <w:r>
              <w:t xml:space="preserve">Z18.3 When requested to do so by the </w:t>
            </w:r>
            <w:r>
              <w:rPr>
                <w:i/>
              </w:rPr>
              <w:t>Employer</w:t>
            </w:r>
            <w:r>
              <w:t xml:space="preserve">, the </w:t>
            </w:r>
            <w:r>
              <w:rPr>
                <w:i/>
              </w:rPr>
              <w:t xml:space="preserve">Consultant </w:t>
            </w:r>
            <w:r>
              <w:t>promptly provides</w:t>
            </w:r>
            <w:r>
              <w:rPr>
                <w:spacing w:val="-9"/>
              </w:rPr>
              <w:t xml:space="preserve"> </w:t>
            </w:r>
            <w:r>
              <w:t>information</w:t>
            </w:r>
            <w:r>
              <w:rPr>
                <w:spacing w:val="-10"/>
              </w:rPr>
              <w:t xml:space="preserve"> </w:t>
            </w:r>
            <w:r>
              <w:t>in</w:t>
            </w:r>
            <w:r>
              <w:rPr>
                <w:spacing w:val="-8"/>
              </w:rPr>
              <w:t xml:space="preserve"> </w:t>
            </w:r>
            <w:r>
              <w:t>his</w:t>
            </w:r>
            <w:r>
              <w:rPr>
                <w:spacing w:val="-12"/>
              </w:rPr>
              <w:t xml:space="preserve"> </w:t>
            </w:r>
            <w:r>
              <w:t>possession</w:t>
            </w:r>
            <w:r>
              <w:rPr>
                <w:spacing w:val="-10"/>
              </w:rPr>
              <w:t xml:space="preserve"> </w:t>
            </w:r>
            <w:r>
              <w:t>relating</w:t>
            </w:r>
            <w:r>
              <w:rPr>
                <w:spacing w:val="-10"/>
              </w:rPr>
              <w:t xml:space="preserve"> </w:t>
            </w:r>
            <w:r>
              <w:t>to</w:t>
            </w:r>
            <w:r>
              <w:rPr>
                <w:spacing w:val="-6"/>
              </w:rPr>
              <w:t xml:space="preserve"> </w:t>
            </w:r>
            <w:r>
              <w:t>this</w:t>
            </w:r>
            <w:r>
              <w:rPr>
                <w:spacing w:val="-9"/>
              </w:rPr>
              <w:t xml:space="preserve"> </w:t>
            </w:r>
            <w:r>
              <w:t>contract</w:t>
            </w:r>
            <w:r>
              <w:rPr>
                <w:spacing w:val="-9"/>
              </w:rPr>
              <w:t xml:space="preserve"> </w:t>
            </w:r>
            <w:r>
              <w:t>and</w:t>
            </w:r>
            <w:r>
              <w:rPr>
                <w:spacing w:val="-10"/>
              </w:rPr>
              <w:t xml:space="preserve"> </w:t>
            </w:r>
            <w:r>
              <w:t>assists</w:t>
            </w:r>
            <w:r>
              <w:rPr>
                <w:spacing w:val="-9"/>
              </w:rPr>
              <w:t xml:space="preserve"> </w:t>
            </w:r>
            <w:r>
              <w:t xml:space="preserve">and co-operates with the </w:t>
            </w:r>
            <w:r>
              <w:rPr>
                <w:i/>
              </w:rPr>
              <w:t xml:space="preserve">Employer </w:t>
            </w:r>
            <w:r>
              <w:t xml:space="preserve">to enable the </w:t>
            </w:r>
            <w:r>
              <w:rPr>
                <w:i/>
              </w:rPr>
              <w:t xml:space="preserve">Employer </w:t>
            </w:r>
            <w:r>
              <w:t>to respond to a Disclosure Request within the time limit set out in the relevant</w:t>
            </w:r>
            <w:r>
              <w:rPr>
                <w:spacing w:val="-15"/>
              </w:rPr>
              <w:t xml:space="preserve"> </w:t>
            </w:r>
            <w:r>
              <w:t>legislation.</w:t>
            </w:r>
          </w:p>
          <w:p w:rsidR="001C5E4E" w:rsidRDefault="003E09C0">
            <w:pPr>
              <w:pStyle w:val="TableParagraph"/>
              <w:spacing w:before="121"/>
              <w:ind w:left="107" w:right="199"/>
              <w:jc w:val="both"/>
            </w:pPr>
            <w:r>
              <w:t xml:space="preserve">Z18.4 The </w:t>
            </w:r>
            <w:r>
              <w:rPr>
                <w:i/>
              </w:rPr>
              <w:t xml:space="preserve">Consultant </w:t>
            </w:r>
            <w:r>
              <w:t xml:space="preserve">promptly passes any Disclosure Request which it receives to the </w:t>
            </w:r>
            <w:r>
              <w:rPr>
                <w:i/>
              </w:rPr>
              <w:t>Employer</w:t>
            </w:r>
            <w:r>
              <w:t xml:space="preserve">. The </w:t>
            </w:r>
            <w:r>
              <w:rPr>
                <w:i/>
              </w:rPr>
              <w:t xml:space="preserve">Consultant </w:t>
            </w:r>
            <w:r>
              <w:t xml:space="preserve">does not respond directly to a Disclosure Request unless instructed to do so by the </w:t>
            </w:r>
            <w:r>
              <w:rPr>
                <w:i/>
              </w:rPr>
              <w:t>Employer</w:t>
            </w:r>
            <w:r>
              <w:t>.</w:t>
            </w:r>
          </w:p>
          <w:p w:rsidR="001C5E4E" w:rsidRDefault="003E09C0">
            <w:pPr>
              <w:pStyle w:val="TableParagraph"/>
              <w:spacing w:before="117" w:line="270" w:lineRule="atLeast"/>
              <w:ind w:left="107" w:right="199"/>
              <w:jc w:val="both"/>
            </w:pPr>
            <w:r>
              <w:t xml:space="preserve">Z18.5 The </w:t>
            </w:r>
            <w:r>
              <w:rPr>
                <w:i/>
              </w:rPr>
              <w:t xml:space="preserve">Consultant </w:t>
            </w:r>
            <w:r>
              <w:t xml:space="preserve">acknowledges that the </w:t>
            </w:r>
            <w:r>
              <w:rPr>
                <w:i/>
              </w:rPr>
              <w:t xml:space="preserve">Employer </w:t>
            </w:r>
            <w:r>
              <w:t>is obliged to publish the</w:t>
            </w:r>
            <w:r>
              <w:rPr>
                <w:spacing w:val="-11"/>
              </w:rPr>
              <w:t xml:space="preserve"> </w:t>
            </w:r>
            <w:r>
              <w:t>provisions</w:t>
            </w:r>
            <w:r>
              <w:rPr>
                <w:spacing w:val="-10"/>
              </w:rPr>
              <w:t xml:space="preserve"> </w:t>
            </w:r>
            <w:r>
              <w:t>of</w:t>
            </w:r>
            <w:r>
              <w:rPr>
                <w:spacing w:val="-13"/>
              </w:rPr>
              <w:t xml:space="preserve"> </w:t>
            </w:r>
            <w:r>
              <w:t>this</w:t>
            </w:r>
            <w:r>
              <w:rPr>
                <w:spacing w:val="-10"/>
              </w:rPr>
              <w:t xml:space="preserve"> </w:t>
            </w:r>
            <w:r>
              <w:t>contract</w:t>
            </w:r>
            <w:r>
              <w:rPr>
                <w:spacing w:val="-11"/>
              </w:rPr>
              <w:t xml:space="preserve"> </w:t>
            </w:r>
            <w:r>
              <w:t>in</w:t>
            </w:r>
            <w:r>
              <w:rPr>
                <w:spacing w:val="-11"/>
              </w:rPr>
              <w:t xml:space="preserve"> </w:t>
            </w:r>
            <w:r>
              <w:t>accordance</w:t>
            </w:r>
            <w:r>
              <w:rPr>
                <w:spacing w:val="-12"/>
              </w:rPr>
              <w:t xml:space="preserve"> </w:t>
            </w:r>
            <w:r>
              <w:t>with</w:t>
            </w:r>
            <w:r>
              <w:rPr>
                <w:spacing w:val="-11"/>
              </w:rPr>
              <w:t xml:space="preserve"> </w:t>
            </w:r>
            <w:r>
              <w:t>the</w:t>
            </w:r>
            <w:r>
              <w:rPr>
                <w:spacing w:val="-13"/>
              </w:rPr>
              <w:t xml:space="preserve"> </w:t>
            </w:r>
            <w:r>
              <w:t>Cabinet</w:t>
            </w:r>
            <w:r>
              <w:rPr>
                <w:spacing w:val="-10"/>
              </w:rPr>
              <w:t xml:space="preserve"> </w:t>
            </w:r>
            <w:r>
              <w:t>Office</w:t>
            </w:r>
            <w:r>
              <w:rPr>
                <w:spacing w:val="-10"/>
              </w:rPr>
              <w:t xml:space="preserve"> </w:t>
            </w:r>
            <w:r>
              <w:t>Efficiency Reform Group Guidance Note entitled “Transparency – Publication of New Central Government Contracts” dated December 2010 (or any later revision) except to the extent that any information in it is exempt from disclosure pursuant to the Freedom of Information Act 2000.</w:t>
            </w:r>
            <w:r>
              <w:rPr>
                <w:spacing w:val="6"/>
              </w:rPr>
              <w:t xml:space="preserve"> </w:t>
            </w:r>
            <w:r>
              <w:t xml:space="preserve">The </w:t>
            </w:r>
            <w:r>
              <w:rPr>
                <w:i/>
              </w:rPr>
              <w:t xml:space="preserve">Employer </w:t>
            </w:r>
            <w:r>
              <w:t>consults</w:t>
            </w:r>
          </w:p>
        </w:tc>
      </w:tr>
    </w:tbl>
    <w:p w:rsidR="001C5E4E" w:rsidRDefault="001C5E4E">
      <w:pPr>
        <w:spacing w:line="270" w:lineRule="atLeast"/>
        <w:jc w:val="both"/>
        <w:sectPr w:rsidR="001C5E4E">
          <w:pgSz w:w="11910" w:h="16850"/>
          <w:pgMar w:top="1400" w:right="620" w:bottom="1080" w:left="940" w:header="1112" w:footer="892" w:gutter="0"/>
          <w:cols w:space="720"/>
        </w:sectPr>
      </w:pPr>
    </w:p>
    <w:p w:rsidR="001C5E4E" w:rsidRDefault="001C5E4E">
      <w:pPr>
        <w:pStyle w:val="BodyText"/>
        <w:rPr>
          <w:sz w:val="20"/>
        </w:rPr>
      </w:pPr>
    </w:p>
    <w:p w:rsidR="001C5E4E" w:rsidRDefault="001C5E4E">
      <w:pPr>
        <w:pStyle w:val="BodyText"/>
        <w:spacing w:before="9"/>
        <w:rPr>
          <w:sz w:val="10"/>
        </w:rPr>
      </w:pPr>
    </w:p>
    <w:tbl>
      <w:tblPr>
        <w:tblW w:w="0" w:type="auto"/>
        <w:tblInd w:w="1155" w:type="dxa"/>
        <w:tblLayout w:type="fixed"/>
        <w:tblCellMar>
          <w:left w:w="0" w:type="dxa"/>
          <w:right w:w="0" w:type="dxa"/>
        </w:tblCellMar>
        <w:tblLook w:val="01E0" w:firstRow="1" w:lastRow="1" w:firstColumn="1" w:lastColumn="1" w:noHBand="0" w:noVBand="0"/>
      </w:tblPr>
      <w:tblGrid>
        <w:gridCol w:w="1284"/>
        <w:gridCol w:w="7182"/>
      </w:tblGrid>
      <w:tr w:rsidR="001C5E4E">
        <w:trPr>
          <w:trHeight w:val="1168"/>
        </w:trPr>
        <w:tc>
          <w:tcPr>
            <w:tcW w:w="1284" w:type="dxa"/>
          </w:tcPr>
          <w:p w:rsidR="001C5E4E" w:rsidRDefault="001C5E4E">
            <w:pPr>
              <w:pStyle w:val="TableParagraph"/>
              <w:rPr>
                <w:rFonts w:ascii="Times New Roman"/>
              </w:rPr>
            </w:pPr>
          </w:p>
        </w:tc>
        <w:tc>
          <w:tcPr>
            <w:tcW w:w="7182" w:type="dxa"/>
          </w:tcPr>
          <w:p w:rsidR="001C5E4E" w:rsidRDefault="003E09C0">
            <w:pPr>
              <w:pStyle w:val="TableParagraph"/>
              <w:spacing w:line="224" w:lineRule="exact"/>
              <w:ind w:left="106"/>
              <w:jc w:val="both"/>
            </w:pPr>
            <w:r>
              <w:t xml:space="preserve">with the </w:t>
            </w:r>
            <w:r>
              <w:rPr>
                <w:i/>
              </w:rPr>
              <w:t xml:space="preserve">Consultant </w:t>
            </w:r>
            <w:r>
              <w:t>before deciding whether information is exempt, but the</w:t>
            </w:r>
          </w:p>
          <w:p w:rsidR="001C5E4E" w:rsidRDefault="003E09C0">
            <w:pPr>
              <w:pStyle w:val="TableParagraph"/>
              <w:ind w:left="106" w:right="198"/>
              <w:jc w:val="both"/>
            </w:pPr>
            <w:r>
              <w:rPr>
                <w:i/>
              </w:rPr>
              <w:t xml:space="preserve">Consultant </w:t>
            </w:r>
            <w:r>
              <w:t xml:space="preserve">acknowledges that the </w:t>
            </w:r>
            <w:r>
              <w:rPr>
                <w:i/>
              </w:rPr>
              <w:t xml:space="preserve">Employer </w:t>
            </w:r>
            <w:r>
              <w:t xml:space="preserve">has the final decision. The </w:t>
            </w:r>
            <w:r>
              <w:rPr>
                <w:i/>
              </w:rPr>
              <w:t xml:space="preserve">Consultant </w:t>
            </w:r>
            <w:r>
              <w:t xml:space="preserve">co-operates with and assists the </w:t>
            </w:r>
            <w:r>
              <w:rPr>
                <w:i/>
              </w:rPr>
              <w:t xml:space="preserve">Employer </w:t>
            </w:r>
            <w:r>
              <w:t>to publish this</w:t>
            </w:r>
            <w:r>
              <w:rPr>
                <w:spacing w:val="-32"/>
              </w:rPr>
              <w:t xml:space="preserve"> </w:t>
            </w:r>
            <w:r>
              <w:t xml:space="preserve">contract in accordance with the </w:t>
            </w:r>
            <w:r>
              <w:rPr>
                <w:i/>
              </w:rPr>
              <w:t>Employer</w:t>
            </w:r>
            <w:r>
              <w:t>’s</w:t>
            </w:r>
            <w:r>
              <w:rPr>
                <w:spacing w:val="-4"/>
              </w:rPr>
              <w:t xml:space="preserve"> </w:t>
            </w:r>
            <w:r>
              <w:t>obligation.</w:t>
            </w:r>
          </w:p>
        </w:tc>
      </w:tr>
      <w:tr w:rsidR="001C5E4E">
        <w:trPr>
          <w:trHeight w:val="7316"/>
        </w:trPr>
        <w:tc>
          <w:tcPr>
            <w:tcW w:w="1284" w:type="dxa"/>
          </w:tcPr>
          <w:p w:rsidR="001C5E4E" w:rsidRDefault="003E09C0">
            <w:pPr>
              <w:pStyle w:val="TableParagraph"/>
              <w:spacing w:before="100"/>
              <w:ind w:right="106"/>
              <w:jc w:val="right"/>
              <w:rPr>
                <w:b/>
              </w:rPr>
            </w:pPr>
            <w:r>
              <w:rPr>
                <w:b/>
              </w:rPr>
              <w:t>Clause Z19</w:t>
            </w:r>
          </w:p>
        </w:tc>
        <w:tc>
          <w:tcPr>
            <w:tcW w:w="7182" w:type="dxa"/>
          </w:tcPr>
          <w:p w:rsidR="001C5E4E" w:rsidRDefault="003E09C0">
            <w:pPr>
              <w:pStyle w:val="TableParagraph"/>
              <w:spacing w:before="100"/>
              <w:ind w:left="106"/>
              <w:rPr>
                <w:b/>
              </w:rPr>
            </w:pPr>
            <w:r>
              <w:rPr>
                <w:b/>
              </w:rPr>
              <w:t>Records and Audit Access</w:t>
            </w:r>
          </w:p>
          <w:p w:rsidR="001C5E4E" w:rsidRDefault="003E09C0">
            <w:pPr>
              <w:pStyle w:val="TableParagraph"/>
              <w:spacing w:before="120"/>
              <w:ind w:left="106" w:right="605"/>
            </w:pPr>
            <w:r>
              <w:t xml:space="preserve">Z19.1 The </w:t>
            </w:r>
            <w:r>
              <w:rPr>
                <w:i/>
              </w:rPr>
              <w:t xml:space="preserve">Consultant </w:t>
            </w:r>
            <w:r>
              <w:t xml:space="preserve">keeps documents and information obtained or prepared by the </w:t>
            </w:r>
            <w:r>
              <w:rPr>
                <w:i/>
              </w:rPr>
              <w:t xml:space="preserve">Consultant </w:t>
            </w:r>
            <w:r>
              <w:t xml:space="preserve">or any Subconsultant in connection with the contract for a period of </w:t>
            </w:r>
            <w:r>
              <w:rPr>
                <w:i/>
              </w:rPr>
              <w:t xml:space="preserve">6 </w:t>
            </w:r>
            <w:r>
              <w:t>years after the end</w:t>
            </w:r>
            <w:r>
              <w:rPr>
                <w:spacing w:val="-6"/>
              </w:rPr>
              <w:t xml:space="preserve"> </w:t>
            </w:r>
            <w:r>
              <w:t>date.</w:t>
            </w:r>
          </w:p>
          <w:p w:rsidR="001C5E4E" w:rsidRDefault="003E09C0">
            <w:pPr>
              <w:pStyle w:val="TableParagraph"/>
              <w:spacing w:before="1"/>
              <w:ind w:left="106" w:right="197"/>
              <w:jc w:val="both"/>
            </w:pPr>
            <w:r>
              <w:t>Z19.2</w:t>
            </w:r>
            <w:r>
              <w:rPr>
                <w:spacing w:val="-14"/>
              </w:rPr>
              <w:t xml:space="preserve"> </w:t>
            </w:r>
            <w:r>
              <w:t>The</w:t>
            </w:r>
            <w:r>
              <w:rPr>
                <w:spacing w:val="-12"/>
              </w:rPr>
              <w:t xml:space="preserve"> </w:t>
            </w:r>
            <w:r>
              <w:rPr>
                <w:i/>
              </w:rPr>
              <w:t>Consultant</w:t>
            </w:r>
            <w:r>
              <w:rPr>
                <w:i/>
                <w:spacing w:val="-12"/>
              </w:rPr>
              <w:t xml:space="preserve"> </w:t>
            </w:r>
            <w:r>
              <w:t>permits</w:t>
            </w:r>
            <w:r>
              <w:rPr>
                <w:spacing w:val="-12"/>
              </w:rPr>
              <w:t xml:space="preserve"> </w:t>
            </w:r>
            <w:r>
              <w:t>the</w:t>
            </w:r>
            <w:r>
              <w:rPr>
                <w:spacing w:val="-13"/>
              </w:rPr>
              <w:t xml:space="preserve"> </w:t>
            </w:r>
            <w:r>
              <w:rPr>
                <w:i/>
              </w:rPr>
              <w:t>Employer</w:t>
            </w:r>
            <w:r>
              <w:t>,</w:t>
            </w:r>
            <w:r>
              <w:rPr>
                <w:spacing w:val="-12"/>
              </w:rPr>
              <w:t xml:space="preserve"> </w:t>
            </w:r>
            <w:r>
              <w:t>Comptroller,</w:t>
            </w:r>
            <w:r>
              <w:rPr>
                <w:spacing w:val="-11"/>
              </w:rPr>
              <w:t xml:space="preserve"> </w:t>
            </w:r>
            <w:r>
              <w:t>Auditor</w:t>
            </w:r>
            <w:r>
              <w:rPr>
                <w:spacing w:val="-15"/>
              </w:rPr>
              <w:t xml:space="preserve"> </w:t>
            </w:r>
            <w:r>
              <w:t>General</w:t>
            </w:r>
            <w:r>
              <w:rPr>
                <w:spacing w:val="-14"/>
              </w:rPr>
              <w:t xml:space="preserve"> </w:t>
            </w:r>
            <w:r>
              <w:t xml:space="preserve">and any other auditor appointed by the </w:t>
            </w:r>
            <w:r>
              <w:rPr>
                <w:i/>
              </w:rPr>
              <w:t xml:space="preserve">Employer </w:t>
            </w:r>
            <w:r>
              <w:t xml:space="preserve">to examine documents held or controlled by the </w:t>
            </w:r>
            <w:r>
              <w:rPr>
                <w:i/>
              </w:rPr>
              <w:t xml:space="preserve">Consultant </w:t>
            </w:r>
            <w:r>
              <w:t>or any</w:t>
            </w:r>
            <w:r>
              <w:rPr>
                <w:spacing w:val="-5"/>
              </w:rPr>
              <w:t xml:space="preserve"> </w:t>
            </w:r>
            <w:r>
              <w:t>Subconsultant.</w:t>
            </w:r>
          </w:p>
          <w:p w:rsidR="001C5E4E" w:rsidRDefault="003E09C0">
            <w:pPr>
              <w:pStyle w:val="TableParagraph"/>
              <w:spacing w:before="119"/>
              <w:ind w:left="106"/>
              <w:jc w:val="both"/>
            </w:pPr>
            <w:r>
              <w:t xml:space="preserve">Z19.3 The </w:t>
            </w:r>
            <w:r>
              <w:rPr>
                <w:i/>
              </w:rPr>
              <w:t xml:space="preserve">Consultant </w:t>
            </w:r>
            <w:r>
              <w:t>provides such oral or written explanations as the</w:t>
            </w:r>
          </w:p>
          <w:p w:rsidR="001C5E4E" w:rsidRDefault="003E09C0">
            <w:pPr>
              <w:pStyle w:val="TableParagraph"/>
              <w:ind w:left="106"/>
              <w:jc w:val="both"/>
            </w:pPr>
            <w:r>
              <w:rPr>
                <w:i/>
              </w:rPr>
              <w:t xml:space="preserve">Employer </w:t>
            </w:r>
            <w:r>
              <w:t>or Comptroller and Auditor General considers necessary.</w:t>
            </w:r>
          </w:p>
          <w:p w:rsidR="001C5E4E" w:rsidRDefault="003E09C0">
            <w:pPr>
              <w:pStyle w:val="TableParagraph"/>
              <w:spacing w:before="120"/>
              <w:ind w:left="106" w:right="197"/>
              <w:jc w:val="both"/>
            </w:pPr>
            <w:r>
              <w:t xml:space="preserve">Z19.4 The </w:t>
            </w:r>
            <w:r>
              <w:rPr>
                <w:i/>
              </w:rPr>
              <w:t xml:space="preserve">Consultant </w:t>
            </w:r>
            <w:r>
              <w:t xml:space="preserve">acknowledges that, for the purpose of examining and certifying the </w:t>
            </w:r>
            <w:r>
              <w:rPr>
                <w:i/>
              </w:rPr>
              <w:t>Employer’</w:t>
            </w:r>
            <w:r>
              <w:t xml:space="preserve">s accounts or any examination pursuant to Section 6(1) of the National Audit Act 1983, the Comptroller and Auditor General or any other auditor appointed by the </w:t>
            </w:r>
            <w:r>
              <w:rPr>
                <w:i/>
              </w:rPr>
              <w:t xml:space="preserve">Employer </w:t>
            </w:r>
            <w:r>
              <w:t xml:space="preserve">may examine documents held or controlled by the </w:t>
            </w:r>
            <w:r>
              <w:rPr>
                <w:i/>
              </w:rPr>
              <w:t xml:space="preserve">Consultant </w:t>
            </w:r>
            <w:r>
              <w:t xml:space="preserve">or any Subconsultant and may require the </w:t>
            </w:r>
            <w:r>
              <w:rPr>
                <w:i/>
              </w:rPr>
              <w:t xml:space="preserve">Consultant </w:t>
            </w:r>
            <w:r>
              <w:t xml:space="preserve">to provide such oral or written explanations as he considers necessary. The </w:t>
            </w:r>
            <w:r>
              <w:rPr>
                <w:i/>
              </w:rPr>
              <w:t xml:space="preserve">Consultant </w:t>
            </w:r>
            <w:r>
              <w:t>promptly complies with any such requirements at his</w:t>
            </w:r>
            <w:r>
              <w:rPr>
                <w:spacing w:val="-7"/>
              </w:rPr>
              <w:t xml:space="preserve"> </w:t>
            </w:r>
            <w:r>
              <w:t>own</w:t>
            </w:r>
            <w:r>
              <w:rPr>
                <w:spacing w:val="-8"/>
              </w:rPr>
              <w:t xml:space="preserve"> </w:t>
            </w:r>
            <w:r>
              <w:t>cost.</w:t>
            </w:r>
            <w:r>
              <w:rPr>
                <w:spacing w:val="37"/>
              </w:rPr>
              <w:t xml:space="preserve"> </w:t>
            </w:r>
            <w:r>
              <w:t>This</w:t>
            </w:r>
            <w:r>
              <w:rPr>
                <w:spacing w:val="-6"/>
              </w:rPr>
              <w:t xml:space="preserve"> </w:t>
            </w:r>
            <w:r>
              <w:t>clause</w:t>
            </w:r>
            <w:r>
              <w:rPr>
                <w:spacing w:val="-5"/>
              </w:rPr>
              <w:t xml:space="preserve"> </w:t>
            </w:r>
            <w:r>
              <w:t>does</w:t>
            </w:r>
            <w:r>
              <w:rPr>
                <w:spacing w:val="-8"/>
              </w:rPr>
              <w:t xml:space="preserve"> </w:t>
            </w:r>
            <w:r>
              <w:t>not</w:t>
            </w:r>
            <w:r>
              <w:rPr>
                <w:spacing w:val="-7"/>
              </w:rPr>
              <w:t xml:space="preserve"> </w:t>
            </w:r>
            <w:r>
              <w:t>constitute</w:t>
            </w:r>
            <w:r>
              <w:rPr>
                <w:spacing w:val="-5"/>
              </w:rPr>
              <w:t xml:space="preserve"> </w:t>
            </w:r>
            <w:r>
              <w:t>a</w:t>
            </w:r>
            <w:r>
              <w:rPr>
                <w:spacing w:val="-8"/>
              </w:rPr>
              <w:t xml:space="preserve"> </w:t>
            </w:r>
            <w:r>
              <w:t>requirement</w:t>
            </w:r>
            <w:r>
              <w:rPr>
                <w:spacing w:val="-8"/>
              </w:rPr>
              <w:t xml:space="preserve"> </w:t>
            </w:r>
            <w:r>
              <w:t>or</w:t>
            </w:r>
            <w:r>
              <w:rPr>
                <w:spacing w:val="-6"/>
              </w:rPr>
              <w:t xml:space="preserve"> </w:t>
            </w:r>
            <w:r>
              <w:t>agreement</w:t>
            </w:r>
            <w:r>
              <w:rPr>
                <w:spacing w:val="-8"/>
              </w:rPr>
              <w:t xml:space="preserve"> </w:t>
            </w:r>
            <w:r>
              <w:t>for the purposes of section 6(3)(d) of the National Audit Act 1983 for the examination,</w:t>
            </w:r>
            <w:r>
              <w:rPr>
                <w:spacing w:val="-9"/>
              </w:rPr>
              <w:t xml:space="preserve"> </w:t>
            </w:r>
            <w:r>
              <w:t>certification</w:t>
            </w:r>
            <w:r>
              <w:rPr>
                <w:spacing w:val="-9"/>
              </w:rPr>
              <w:t xml:space="preserve"> </w:t>
            </w:r>
            <w:r>
              <w:t>or</w:t>
            </w:r>
            <w:r>
              <w:rPr>
                <w:spacing w:val="-6"/>
              </w:rPr>
              <w:t xml:space="preserve"> </w:t>
            </w:r>
            <w:r>
              <w:t>inspection</w:t>
            </w:r>
            <w:r>
              <w:rPr>
                <w:spacing w:val="-9"/>
              </w:rPr>
              <w:t xml:space="preserve"> </w:t>
            </w:r>
            <w:r>
              <w:t>of</w:t>
            </w:r>
            <w:r>
              <w:rPr>
                <w:spacing w:val="-7"/>
              </w:rPr>
              <w:t xml:space="preserve"> </w:t>
            </w:r>
            <w:r>
              <w:t>the</w:t>
            </w:r>
            <w:r>
              <w:rPr>
                <w:spacing w:val="-5"/>
              </w:rPr>
              <w:t xml:space="preserve"> </w:t>
            </w:r>
            <w:r>
              <w:t>accounts</w:t>
            </w:r>
            <w:r>
              <w:rPr>
                <w:spacing w:val="-6"/>
              </w:rPr>
              <w:t xml:space="preserve"> </w:t>
            </w:r>
            <w:r>
              <w:t>of</w:t>
            </w:r>
            <w:r>
              <w:rPr>
                <w:spacing w:val="-9"/>
              </w:rPr>
              <w:t xml:space="preserve"> </w:t>
            </w:r>
            <w:r>
              <w:t>the</w:t>
            </w:r>
            <w:r>
              <w:rPr>
                <w:spacing w:val="-6"/>
              </w:rPr>
              <w:t xml:space="preserve"> </w:t>
            </w:r>
            <w:r>
              <w:rPr>
                <w:i/>
              </w:rPr>
              <w:t>Consultant</w:t>
            </w:r>
            <w:r>
              <w:rPr>
                <w:i/>
                <w:spacing w:val="-4"/>
              </w:rPr>
              <w:t xml:space="preserve"> </w:t>
            </w:r>
            <w:r>
              <w:t>and the</w:t>
            </w:r>
            <w:r>
              <w:rPr>
                <w:spacing w:val="-9"/>
              </w:rPr>
              <w:t xml:space="preserve"> </w:t>
            </w:r>
            <w:r>
              <w:t>carrying</w:t>
            </w:r>
            <w:r>
              <w:rPr>
                <w:spacing w:val="-9"/>
              </w:rPr>
              <w:t xml:space="preserve"> </w:t>
            </w:r>
            <w:r>
              <w:t>out</w:t>
            </w:r>
            <w:r>
              <w:rPr>
                <w:spacing w:val="-10"/>
              </w:rPr>
              <w:t xml:space="preserve"> </w:t>
            </w:r>
            <w:r>
              <w:t>of</w:t>
            </w:r>
            <w:r>
              <w:rPr>
                <w:spacing w:val="-8"/>
              </w:rPr>
              <w:t xml:space="preserve"> </w:t>
            </w:r>
            <w:r>
              <w:t>an</w:t>
            </w:r>
            <w:r>
              <w:rPr>
                <w:spacing w:val="-11"/>
              </w:rPr>
              <w:t xml:space="preserve"> </w:t>
            </w:r>
            <w:r>
              <w:t>examination</w:t>
            </w:r>
            <w:r>
              <w:rPr>
                <w:spacing w:val="-9"/>
              </w:rPr>
              <w:t xml:space="preserve"> </w:t>
            </w:r>
            <w:r>
              <w:t>under</w:t>
            </w:r>
            <w:r>
              <w:rPr>
                <w:spacing w:val="-8"/>
              </w:rPr>
              <w:t xml:space="preserve"> </w:t>
            </w:r>
            <w:r>
              <w:t>Section</w:t>
            </w:r>
            <w:r>
              <w:rPr>
                <w:spacing w:val="-9"/>
              </w:rPr>
              <w:t xml:space="preserve"> </w:t>
            </w:r>
            <w:r>
              <w:t>6(3)(d)</w:t>
            </w:r>
            <w:r>
              <w:rPr>
                <w:spacing w:val="-8"/>
              </w:rPr>
              <w:t xml:space="preserve"> </w:t>
            </w:r>
            <w:r>
              <w:t>of</w:t>
            </w:r>
            <w:r>
              <w:rPr>
                <w:spacing w:val="-11"/>
              </w:rPr>
              <w:t xml:space="preserve"> </w:t>
            </w:r>
            <w:r>
              <w:t>the</w:t>
            </w:r>
            <w:r>
              <w:rPr>
                <w:spacing w:val="-8"/>
              </w:rPr>
              <w:t xml:space="preserve"> </w:t>
            </w:r>
            <w:r>
              <w:t>National</w:t>
            </w:r>
            <w:r>
              <w:rPr>
                <w:spacing w:val="-9"/>
              </w:rPr>
              <w:t xml:space="preserve"> </w:t>
            </w:r>
            <w:r>
              <w:t xml:space="preserve">Audit Act 1983 in relation to the </w:t>
            </w:r>
            <w:r>
              <w:rPr>
                <w:i/>
              </w:rPr>
              <w:t xml:space="preserve">Consultant </w:t>
            </w:r>
            <w:r>
              <w:t xml:space="preserve">is not a function exercisable under this contract. The </w:t>
            </w:r>
            <w:r>
              <w:rPr>
                <w:i/>
              </w:rPr>
              <w:t xml:space="preserve">Consultant </w:t>
            </w:r>
            <w:r>
              <w:t xml:space="preserve">permits the Comptroller and Auditor General to examine documents held or controlled by the </w:t>
            </w:r>
            <w:r>
              <w:rPr>
                <w:i/>
              </w:rPr>
              <w:t xml:space="preserve">Consultant </w:t>
            </w:r>
            <w:r>
              <w:t xml:space="preserve">or any Subconsultant. The </w:t>
            </w:r>
            <w:r>
              <w:rPr>
                <w:i/>
              </w:rPr>
              <w:t xml:space="preserve">Consultant </w:t>
            </w:r>
            <w:r>
              <w:t>provides such oral or written explanations as the Comptroller and Auditor General considers</w:t>
            </w:r>
            <w:r>
              <w:rPr>
                <w:spacing w:val="-7"/>
              </w:rPr>
              <w:t xml:space="preserve"> </w:t>
            </w:r>
            <w:r>
              <w:t>necessary.</w:t>
            </w:r>
          </w:p>
        </w:tc>
      </w:tr>
      <w:tr w:rsidR="001C5E4E">
        <w:trPr>
          <w:trHeight w:val="4618"/>
        </w:trPr>
        <w:tc>
          <w:tcPr>
            <w:tcW w:w="1284" w:type="dxa"/>
          </w:tcPr>
          <w:p w:rsidR="001C5E4E" w:rsidRDefault="003E09C0">
            <w:pPr>
              <w:pStyle w:val="TableParagraph"/>
              <w:spacing w:before="100"/>
              <w:ind w:right="103"/>
              <w:jc w:val="right"/>
              <w:rPr>
                <w:b/>
              </w:rPr>
            </w:pPr>
            <w:r>
              <w:rPr>
                <w:b/>
              </w:rPr>
              <w:t>Clause Z20</w:t>
            </w:r>
          </w:p>
        </w:tc>
        <w:tc>
          <w:tcPr>
            <w:tcW w:w="7182" w:type="dxa"/>
          </w:tcPr>
          <w:p w:rsidR="001C5E4E" w:rsidRDefault="003E09C0">
            <w:pPr>
              <w:pStyle w:val="TableParagraph"/>
              <w:spacing w:before="100"/>
              <w:ind w:left="106"/>
              <w:rPr>
                <w:b/>
              </w:rPr>
            </w:pPr>
            <w:r>
              <w:rPr>
                <w:b/>
              </w:rPr>
              <w:t>Reporting: Small and Medium Enterprises</w:t>
            </w:r>
          </w:p>
          <w:p w:rsidR="001C5E4E" w:rsidRDefault="003E09C0">
            <w:pPr>
              <w:pStyle w:val="TableParagraph"/>
              <w:spacing w:before="120"/>
              <w:ind w:left="106"/>
            </w:pPr>
            <w:r>
              <w:t>Z20.1 In this clause Z17 SME is</w:t>
            </w:r>
          </w:p>
          <w:p w:rsidR="001C5E4E" w:rsidRDefault="003E09C0">
            <w:pPr>
              <w:pStyle w:val="TableParagraph"/>
              <w:numPr>
                <w:ilvl w:val="0"/>
                <w:numId w:val="26"/>
              </w:numPr>
              <w:tabs>
                <w:tab w:val="left" w:pos="826"/>
                <w:tab w:val="left" w:pos="827"/>
              </w:tabs>
              <w:spacing w:before="118"/>
              <w:ind w:left="827"/>
            </w:pPr>
            <w:r>
              <w:t>a Subconsultant</w:t>
            </w:r>
            <w:r>
              <w:rPr>
                <w:spacing w:val="-2"/>
              </w:rPr>
              <w:t xml:space="preserve"> </w:t>
            </w:r>
            <w:r>
              <w:t>or</w:t>
            </w:r>
          </w:p>
          <w:p w:rsidR="001C5E4E" w:rsidRDefault="003E09C0">
            <w:pPr>
              <w:pStyle w:val="TableParagraph"/>
              <w:numPr>
                <w:ilvl w:val="0"/>
                <w:numId w:val="26"/>
              </w:numPr>
              <w:tabs>
                <w:tab w:val="left" w:pos="826"/>
                <w:tab w:val="left" w:pos="827"/>
              </w:tabs>
              <w:spacing w:before="121" w:line="343" w:lineRule="auto"/>
              <w:ind w:right="3214" w:firstLine="33"/>
            </w:pPr>
            <w:r>
              <w:t>a subconsultant to a</w:t>
            </w:r>
            <w:r>
              <w:rPr>
                <w:spacing w:val="-15"/>
              </w:rPr>
              <w:t xml:space="preserve"> </w:t>
            </w:r>
            <w:r>
              <w:t>Subconsultant and</w:t>
            </w:r>
          </w:p>
          <w:p w:rsidR="001C5E4E" w:rsidRDefault="003E09C0">
            <w:pPr>
              <w:pStyle w:val="TableParagraph"/>
              <w:numPr>
                <w:ilvl w:val="0"/>
                <w:numId w:val="26"/>
              </w:numPr>
              <w:tabs>
                <w:tab w:val="left" w:pos="826"/>
                <w:tab w:val="left" w:pos="827"/>
              </w:tabs>
              <w:spacing w:before="10"/>
              <w:ind w:left="827"/>
            </w:pPr>
            <w:r>
              <w:t>is</w:t>
            </w:r>
            <w:r>
              <w:rPr>
                <w:spacing w:val="-1"/>
              </w:rPr>
              <w:t xml:space="preserve"> </w:t>
            </w:r>
            <w:r>
              <w:t>autonomous,</w:t>
            </w:r>
          </w:p>
          <w:p w:rsidR="001C5E4E" w:rsidRDefault="003E09C0">
            <w:pPr>
              <w:pStyle w:val="TableParagraph"/>
              <w:numPr>
                <w:ilvl w:val="0"/>
                <w:numId w:val="26"/>
              </w:numPr>
              <w:tabs>
                <w:tab w:val="left" w:pos="826"/>
                <w:tab w:val="left" w:pos="827"/>
              </w:tabs>
              <w:spacing w:before="118"/>
              <w:ind w:left="827" w:right="198"/>
              <w:jc w:val="both"/>
            </w:pPr>
            <w:r>
              <w:t>is a European Union enterprise not owned or controlled by a non- European Union parent</w:t>
            </w:r>
            <w:r>
              <w:rPr>
                <w:spacing w:val="-4"/>
              </w:rPr>
              <w:t xml:space="preserve"> </w:t>
            </w:r>
            <w:r>
              <w:t>company,</w:t>
            </w:r>
          </w:p>
          <w:p w:rsidR="001C5E4E" w:rsidRDefault="003E09C0">
            <w:pPr>
              <w:pStyle w:val="TableParagraph"/>
              <w:numPr>
                <w:ilvl w:val="0"/>
                <w:numId w:val="26"/>
              </w:numPr>
              <w:tabs>
                <w:tab w:val="left" w:pos="826"/>
                <w:tab w:val="left" w:pos="827"/>
              </w:tabs>
              <w:spacing w:before="121"/>
              <w:ind w:left="827" w:right="199"/>
              <w:jc w:val="both"/>
            </w:pPr>
            <w:r>
              <w:t>for a medium sized enterprise (medium class) employs fewer than 250</w:t>
            </w:r>
            <w:r>
              <w:rPr>
                <w:spacing w:val="-3"/>
              </w:rPr>
              <w:t xml:space="preserve"> </w:t>
            </w:r>
            <w:r>
              <w:t>staff,</w:t>
            </w:r>
            <w:r>
              <w:rPr>
                <w:spacing w:val="-6"/>
              </w:rPr>
              <w:t xml:space="preserve"> </w:t>
            </w:r>
            <w:r>
              <w:t>has</w:t>
            </w:r>
            <w:r>
              <w:rPr>
                <w:spacing w:val="-3"/>
              </w:rPr>
              <w:t xml:space="preserve"> </w:t>
            </w:r>
            <w:r>
              <w:t>turnover</w:t>
            </w:r>
            <w:r>
              <w:rPr>
                <w:spacing w:val="-5"/>
              </w:rPr>
              <w:t xml:space="preserve"> </w:t>
            </w:r>
            <w:r>
              <w:t>no</w:t>
            </w:r>
            <w:r>
              <w:rPr>
                <w:spacing w:val="-2"/>
              </w:rPr>
              <w:t xml:space="preserve"> </w:t>
            </w:r>
            <w:r>
              <w:t>greater</w:t>
            </w:r>
            <w:r>
              <w:rPr>
                <w:spacing w:val="-6"/>
              </w:rPr>
              <w:t xml:space="preserve"> </w:t>
            </w:r>
            <w:r>
              <w:t>than</w:t>
            </w:r>
            <w:r>
              <w:rPr>
                <w:spacing w:val="-4"/>
              </w:rPr>
              <w:t xml:space="preserve"> </w:t>
            </w:r>
            <w:r>
              <w:t>50</w:t>
            </w:r>
            <w:r>
              <w:rPr>
                <w:spacing w:val="-5"/>
              </w:rPr>
              <w:t xml:space="preserve"> </w:t>
            </w:r>
            <w:r>
              <w:t>million</w:t>
            </w:r>
            <w:r>
              <w:rPr>
                <w:spacing w:val="-4"/>
              </w:rPr>
              <w:t xml:space="preserve"> </w:t>
            </w:r>
            <w:r>
              <w:t>Euros</w:t>
            </w:r>
            <w:r>
              <w:rPr>
                <w:spacing w:val="-3"/>
              </w:rPr>
              <w:t xml:space="preserve"> </w:t>
            </w:r>
            <w:r>
              <w:t>and</w:t>
            </w:r>
            <w:r>
              <w:rPr>
                <w:spacing w:val="-4"/>
              </w:rPr>
              <w:t xml:space="preserve"> </w:t>
            </w:r>
            <w:r>
              <w:t>does</w:t>
            </w:r>
            <w:r>
              <w:rPr>
                <w:spacing w:val="-2"/>
              </w:rPr>
              <w:t xml:space="preserve"> </w:t>
            </w:r>
            <w:r>
              <w:t>not have a balance sheet greater than 43 million</w:t>
            </w:r>
            <w:r>
              <w:rPr>
                <w:spacing w:val="-11"/>
              </w:rPr>
              <w:t xml:space="preserve"> </w:t>
            </w:r>
            <w:r>
              <w:t>Euros,</w:t>
            </w:r>
          </w:p>
          <w:p w:rsidR="001C5E4E" w:rsidRDefault="003E09C0">
            <w:pPr>
              <w:pStyle w:val="TableParagraph"/>
              <w:numPr>
                <w:ilvl w:val="0"/>
                <w:numId w:val="26"/>
              </w:numPr>
              <w:tabs>
                <w:tab w:val="left" w:pos="826"/>
                <w:tab w:val="left" w:pos="827"/>
              </w:tabs>
              <w:spacing w:before="121" w:line="270" w:lineRule="atLeast"/>
              <w:ind w:left="827" w:right="202"/>
              <w:jc w:val="both"/>
            </w:pPr>
            <w:r>
              <w:t>for a small sized enterprise (small class) employs fewer than 50 staff, has turnover no greater than 10 million Euros and does not have</w:t>
            </w:r>
            <w:r>
              <w:rPr>
                <w:spacing w:val="10"/>
              </w:rPr>
              <w:t xml:space="preserve"> </w:t>
            </w:r>
            <w:r>
              <w:t>a</w:t>
            </w:r>
          </w:p>
        </w:tc>
      </w:tr>
    </w:tbl>
    <w:p w:rsidR="001C5E4E" w:rsidRDefault="001C5E4E">
      <w:pPr>
        <w:spacing w:line="270" w:lineRule="atLeast"/>
        <w:jc w:val="both"/>
        <w:sectPr w:rsidR="001C5E4E">
          <w:pgSz w:w="11910" w:h="16850"/>
          <w:pgMar w:top="1400" w:right="620" w:bottom="1080" w:left="940" w:header="1112" w:footer="892" w:gutter="0"/>
          <w:cols w:space="720"/>
        </w:sectPr>
      </w:pPr>
    </w:p>
    <w:p w:rsidR="001C5E4E" w:rsidRDefault="001C5E4E">
      <w:pPr>
        <w:pStyle w:val="BodyText"/>
        <w:rPr>
          <w:sz w:val="20"/>
        </w:rPr>
      </w:pPr>
    </w:p>
    <w:p w:rsidR="001C5E4E" w:rsidRDefault="001C5E4E">
      <w:pPr>
        <w:pStyle w:val="BodyText"/>
        <w:spacing w:before="9"/>
        <w:rPr>
          <w:sz w:val="10"/>
        </w:rPr>
      </w:pPr>
    </w:p>
    <w:tbl>
      <w:tblPr>
        <w:tblW w:w="0" w:type="auto"/>
        <w:tblInd w:w="1186" w:type="dxa"/>
        <w:tblLayout w:type="fixed"/>
        <w:tblCellMar>
          <w:left w:w="0" w:type="dxa"/>
          <w:right w:w="0" w:type="dxa"/>
        </w:tblCellMar>
        <w:tblLook w:val="01E0" w:firstRow="1" w:lastRow="1" w:firstColumn="1" w:lastColumn="1" w:noHBand="0" w:noVBand="0"/>
      </w:tblPr>
      <w:tblGrid>
        <w:gridCol w:w="1253"/>
        <w:gridCol w:w="7184"/>
      </w:tblGrid>
      <w:tr w:rsidR="001C5E4E">
        <w:trPr>
          <w:trHeight w:val="10263"/>
        </w:trPr>
        <w:tc>
          <w:tcPr>
            <w:tcW w:w="1253" w:type="dxa"/>
          </w:tcPr>
          <w:p w:rsidR="001C5E4E" w:rsidRDefault="001C5E4E">
            <w:pPr>
              <w:pStyle w:val="TableParagraph"/>
              <w:rPr>
                <w:rFonts w:ascii="Times New Roman"/>
              </w:rPr>
            </w:pPr>
          </w:p>
        </w:tc>
        <w:tc>
          <w:tcPr>
            <w:tcW w:w="7184" w:type="dxa"/>
          </w:tcPr>
          <w:p w:rsidR="001C5E4E" w:rsidRDefault="003E09C0">
            <w:pPr>
              <w:pStyle w:val="TableParagraph"/>
              <w:spacing w:line="225" w:lineRule="exact"/>
              <w:ind w:left="826"/>
              <w:jc w:val="both"/>
            </w:pPr>
            <w:r>
              <w:t>balance sheet greater than 10 million Euros and</w:t>
            </w:r>
          </w:p>
          <w:p w:rsidR="001C5E4E" w:rsidRDefault="003E09C0">
            <w:pPr>
              <w:pStyle w:val="TableParagraph"/>
              <w:numPr>
                <w:ilvl w:val="0"/>
                <w:numId w:val="25"/>
              </w:numPr>
              <w:tabs>
                <w:tab w:val="left" w:pos="826"/>
                <w:tab w:val="left" w:pos="827"/>
              </w:tabs>
              <w:spacing w:before="118"/>
              <w:ind w:right="201"/>
              <w:jc w:val="both"/>
            </w:pPr>
            <w:r>
              <w:t>for</w:t>
            </w:r>
            <w:r>
              <w:rPr>
                <w:spacing w:val="-8"/>
              </w:rPr>
              <w:t xml:space="preserve"> </w:t>
            </w:r>
            <w:r>
              <w:t>a</w:t>
            </w:r>
            <w:r>
              <w:rPr>
                <w:spacing w:val="-11"/>
              </w:rPr>
              <w:t xml:space="preserve"> </w:t>
            </w:r>
            <w:r>
              <w:t>micro</w:t>
            </w:r>
            <w:r>
              <w:rPr>
                <w:spacing w:val="-9"/>
              </w:rPr>
              <w:t xml:space="preserve"> </w:t>
            </w:r>
            <w:r>
              <w:t>sized</w:t>
            </w:r>
            <w:r>
              <w:rPr>
                <w:spacing w:val="-8"/>
              </w:rPr>
              <w:t xml:space="preserve"> </w:t>
            </w:r>
            <w:r>
              <w:t>enterprise</w:t>
            </w:r>
            <w:r>
              <w:rPr>
                <w:spacing w:val="-9"/>
              </w:rPr>
              <w:t xml:space="preserve"> </w:t>
            </w:r>
            <w:r>
              <w:t>(micro</w:t>
            </w:r>
            <w:r>
              <w:rPr>
                <w:spacing w:val="-7"/>
              </w:rPr>
              <w:t xml:space="preserve"> </w:t>
            </w:r>
            <w:r>
              <w:t>class)</w:t>
            </w:r>
            <w:r>
              <w:rPr>
                <w:spacing w:val="-7"/>
              </w:rPr>
              <w:t xml:space="preserve"> </w:t>
            </w:r>
            <w:r>
              <w:t>employs</w:t>
            </w:r>
            <w:r>
              <w:rPr>
                <w:spacing w:val="-8"/>
              </w:rPr>
              <w:t xml:space="preserve"> </w:t>
            </w:r>
            <w:r>
              <w:t>fewer</w:t>
            </w:r>
            <w:r>
              <w:rPr>
                <w:spacing w:val="-7"/>
              </w:rPr>
              <w:t xml:space="preserve"> </w:t>
            </w:r>
            <w:r>
              <w:t>than</w:t>
            </w:r>
            <w:r>
              <w:rPr>
                <w:spacing w:val="-9"/>
              </w:rPr>
              <w:t xml:space="preserve"> </w:t>
            </w:r>
            <w:r>
              <w:t>10</w:t>
            </w:r>
            <w:r>
              <w:rPr>
                <w:spacing w:val="-7"/>
              </w:rPr>
              <w:t xml:space="preserve"> </w:t>
            </w:r>
            <w:r>
              <w:t>staff, has turnover no greater than 2 million Euros and does not have a balance sheet greater than 2 million</w:t>
            </w:r>
            <w:r>
              <w:rPr>
                <w:spacing w:val="-8"/>
              </w:rPr>
              <w:t xml:space="preserve"> </w:t>
            </w:r>
            <w:r>
              <w:t>Euros.</w:t>
            </w:r>
          </w:p>
          <w:p w:rsidR="001C5E4E" w:rsidRDefault="003E09C0">
            <w:pPr>
              <w:pStyle w:val="TableParagraph"/>
              <w:spacing w:before="121"/>
              <w:ind w:left="106" w:right="201"/>
              <w:jc w:val="both"/>
              <w:rPr>
                <w:i/>
              </w:rPr>
            </w:pPr>
            <w:r>
              <w:t xml:space="preserve">Z20.2 For each SME employed on the </w:t>
            </w:r>
            <w:r>
              <w:rPr>
                <w:i/>
              </w:rPr>
              <w:t>services</w:t>
            </w:r>
            <w:r>
              <w:t xml:space="preserve">, the </w:t>
            </w:r>
            <w:r>
              <w:rPr>
                <w:i/>
              </w:rPr>
              <w:t xml:space="preserve">Consultant </w:t>
            </w:r>
            <w:r>
              <w:t xml:space="preserve">reports to the </w:t>
            </w:r>
            <w:r>
              <w:rPr>
                <w:i/>
              </w:rPr>
              <w:t xml:space="preserve">Employer </w:t>
            </w:r>
            <w:r>
              <w:t xml:space="preserve">each quarter from the </w:t>
            </w:r>
            <w:r>
              <w:rPr>
                <w:i/>
              </w:rPr>
              <w:t xml:space="preserve">starting date </w:t>
            </w:r>
            <w:r>
              <w:t xml:space="preserve">until Completion and at the </w:t>
            </w:r>
            <w:r>
              <w:rPr>
                <w:i/>
              </w:rPr>
              <w:t>defects date</w:t>
            </w:r>
          </w:p>
          <w:p w:rsidR="001C5E4E" w:rsidRDefault="003E09C0">
            <w:pPr>
              <w:pStyle w:val="TableParagraph"/>
              <w:numPr>
                <w:ilvl w:val="0"/>
                <w:numId w:val="25"/>
              </w:numPr>
              <w:tabs>
                <w:tab w:val="left" w:pos="826"/>
                <w:tab w:val="left" w:pos="827"/>
              </w:tabs>
              <w:spacing w:before="121"/>
              <w:ind w:hanging="688"/>
            </w:pPr>
            <w:r>
              <w:t>the name of the</w:t>
            </w:r>
            <w:r>
              <w:rPr>
                <w:spacing w:val="-2"/>
              </w:rPr>
              <w:t xml:space="preserve"> </w:t>
            </w:r>
            <w:r>
              <w:t>SME,</w:t>
            </w:r>
          </w:p>
          <w:p w:rsidR="001C5E4E" w:rsidRDefault="003E09C0">
            <w:pPr>
              <w:pStyle w:val="TableParagraph"/>
              <w:numPr>
                <w:ilvl w:val="0"/>
                <w:numId w:val="25"/>
              </w:numPr>
              <w:tabs>
                <w:tab w:val="left" w:pos="826"/>
                <w:tab w:val="left" w:pos="827"/>
              </w:tabs>
              <w:spacing w:before="120"/>
              <w:ind w:hanging="688"/>
            </w:pPr>
            <w:r>
              <w:t>the class of SME (medium, small or</w:t>
            </w:r>
            <w:r>
              <w:rPr>
                <w:spacing w:val="-19"/>
              </w:rPr>
              <w:t xml:space="preserve"> </w:t>
            </w:r>
            <w:r>
              <w:t>micro),</w:t>
            </w:r>
          </w:p>
          <w:p w:rsidR="001C5E4E" w:rsidRDefault="003E09C0">
            <w:pPr>
              <w:pStyle w:val="TableParagraph"/>
              <w:numPr>
                <w:ilvl w:val="0"/>
                <w:numId w:val="25"/>
              </w:numPr>
              <w:tabs>
                <w:tab w:val="left" w:pos="826"/>
                <w:tab w:val="left" w:pos="827"/>
              </w:tabs>
              <w:spacing w:before="118"/>
              <w:ind w:hanging="688"/>
            </w:pPr>
            <w:r>
              <w:t>the value of the contract undertaken by the</w:t>
            </w:r>
            <w:r>
              <w:rPr>
                <w:spacing w:val="-9"/>
              </w:rPr>
              <w:t xml:space="preserve"> </w:t>
            </w:r>
            <w:r>
              <w:t>SME,</w:t>
            </w:r>
          </w:p>
          <w:p w:rsidR="001C5E4E" w:rsidRDefault="003E09C0">
            <w:pPr>
              <w:pStyle w:val="TableParagraph"/>
              <w:numPr>
                <w:ilvl w:val="0"/>
                <w:numId w:val="25"/>
              </w:numPr>
              <w:tabs>
                <w:tab w:val="left" w:pos="826"/>
                <w:tab w:val="left" w:pos="827"/>
              </w:tabs>
              <w:spacing w:before="121"/>
              <w:ind w:hanging="688"/>
            </w:pPr>
            <w:r>
              <w:t>the monthly amounts paid to the SME in the quarter</w:t>
            </w:r>
            <w:r>
              <w:rPr>
                <w:spacing w:val="-11"/>
              </w:rPr>
              <w:t xml:space="preserve"> </w:t>
            </w:r>
            <w:r>
              <w:t>and</w:t>
            </w:r>
          </w:p>
          <w:p w:rsidR="001C5E4E" w:rsidRDefault="003E09C0">
            <w:pPr>
              <w:pStyle w:val="TableParagraph"/>
              <w:numPr>
                <w:ilvl w:val="0"/>
                <w:numId w:val="25"/>
              </w:numPr>
              <w:tabs>
                <w:tab w:val="left" w:pos="826"/>
                <w:tab w:val="left" w:pos="827"/>
              </w:tabs>
              <w:spacing w:before="121" w:line="343" w:lineRule="auto"/>
              <w:ind w:left="106" w:right="886" w:firstLine="33"/>
            </w:pPr>
            <w:r>
              <w:t xml:space="preserve">the aggregated value paid to the SME since the </w:t>
            </w:r>
            <w:r>
              <w:rPr>
                <w:i/>
              </w:rPr>
              <w:t>starting date</w:t>
            </w:r>
            <w:r>
              <w:t xml:space="preserve">. Z20.3 The </w:t>
            </w:r>
            <w:r>
              <w:rPr>
                <w:i/>
              </w:rPr>
              <w:t xml:space="preserve">Consultant </w:t>
            </w:r>
            <w:r>
              <w:t xml:space="preserve">acknowledges that the </w:t>
            </w:r>
            <w:r>
              <w:rPr>
                <w:i/>
              </w:rPr>
              <w:t>Employer</w:t>
            </w:r>
            <w:r>
              <w:rPr>
                <w:i/>
                <w:spacing w:val="-7"/>
              </w:rPr>
              <w:t xml:space="preserve"> </w:t>
            </w:r>
            <w:r>
              <w:t>may</w:t>
            </w:r>
          </w:p>
          <w:p w:rsidR="001C5E4E" w:rsidRDefault="003E09C0">
            <w:pPr>
              <w:pStyle w:val="TableParagraph"/>
              <w:numPr>
                <w:ilvl w:val="0"/>
                <w:numId w:val="25"/>
              </w:numPr>
              <w:tabs>
                <w:tab w:val="left" w:pos="826"/>
                <w:tab w:val="left" w:pos="827"/>
              </w:tabs>
              <w:spacing w:before="7"/>
              <w:ind w:hanging="688"/>
            </w:pPr>
            <w:r>
              <w:t>publish</w:t>
            </w:r>
            <w:r>
              <w:rPr>
                <w:spacing w:val="10"/>
              </w:rPr>
              <w:t xml:space="preserve"> </w:t>
            </w:r>
            <w:r>
              <w:t>the</w:t>
            </w:r>
            <w:r>
              <w:rPr>
                <w:spacing w:val="11"/>
              </w:rPr>
              <w:t xml:space="preserve"> </w:t>
            </w:r>
            <w:r>
              <w:t>information</w:t>
            </w:r>
            <w:r>
              <w:rPr>
                <w:spacing w:val="10"/>
              </w:rPr>
              <w:t xml:space="preserve"> </w:t>
            </w:r>
            <w:r>
              <w:t>supplied</w:t>
            </w:r>
            <w:r>
              <w:rPr>
                <w:spacing w:val="11"/>
              </w:rPr>
              <w:t xml:space="preserve"> </w:t>
            </w:r>
            <w:r>
              <w:t>under</w:t>
            </w:r>
            <w:r>
              <w:rPr>
                <w:spacing w:val="11"/>
              </w:rPr>
              <w:t xml:space="preserve"> </w:t>
            </w:r>
            <w:r>
              <w:t>clause</w:t>
            </w:r>
            <w:r>
              <w:rPr>
                <w:spacing w:val="9"/>
              </w:rPr>
              <w:t xml:space="preserve"> </w:t>
            </w:r>
            <w:r>
              <w:t>Z20.2,</w:t>
            </w:r>
            <w:r>
              <w:rPr>
                <w:spacing w:val="7"/>
              </w:rPr>
              <w:t xml:space="preserve"> </w:t>
            </w:r>
            <w:r>
              <w:t>along</w:t>
            </w:r>
            <w:r>
              <w:rPr>
                <w:spacing w:val="10"/>
              </w:rPr>
              <w:t xml:space="preserve"> </w:t>
            </w:r>
            <w:r>
              <w:t>with</w:t>
            </w:r>
            <w:r>
              <w:rPr>
                <w:spacing w:val="8"/>
              </w:rPr>
              <w:t xml:space="preserve"> </w:t>
            </w:r>
            <w:r>
              <w:t>the</w:t>
            </w:r>
          </w:p>
          <w:p w:rsidR="001C5E4E" w:rsidRDefault="003E09C0">
            <w:pPr>
              <w:pStyle w:val="TableParagraph"/>
              <w:ind w:left="826"/>
              <w:jc w:val="both"/>
            </w:pPr>
            <w:r>
              <w:rPr>
                <w:i/>
              </w:rPr>
              <w:t>Consultant</w:t>
            </w:r>
            <w:r>
              <w:t>’s name and this contract name and</w:t>
            </w:r>
          </w:p>
          <w:p w:rsidR="001C5E4E" w:rsidRDefault="003E09C0">
            <w:pPr>
              <w:pStyle w:val="TableParagraph"/>
              <w:numPr>
                <w:ilvl w:val="0"/>
                <w:numId w:val="25"/>
              </w:numPr>
              <w:tabs>
                <w:tab w:val="left" w:pos="826"/>
                <w:tab w:val="left" w:pos="827"/>
              </w:tabs>
              <w:spacing w:before="121"/>
              <w:ind w:right="202"/>
              <w:jc w:val="both"/>
            </w:pPr>
            <w:r>
              <w:t xml:space="preserve">pass the information supplied under this clause Z20 to any Government Department who may then publish it along with the names of the SMEs, the </w:t>
            </w:r>
            <w:r>
              <w:rPr>
                <w:i/>
              </w:rPr>
              <w:t>Consultant</w:t>
            </w:r>
            <w:r>
              <w:t>’s name and this contract</w:t>
            </w:r>
            <w:r>
              <w:rPr>
                <w:spacing w:val="-14"/>
              </w:rPr>
              <w:t xml:space="preserve"> </w:t>
            </w:r>
            <w:r>
              <w:t>name.</w:t>
            </w:r>
          </w:p>
          <w:p w:rsidR="001C5E4E" w:rsidRDefault="003E09C0">
            <w:pPr>
              <w:pStyle w:val="TableParagraph"/>
              <w:spacing w:before="120"/>
              <w:ind w:left="106" w:right="204"/>
              <w:jc w:val="both"/>
            </w:pPr>
            <w:r>
              <w:t xml:space="preserve">Z20.4 The </w:t>
            </w:r>
            <w:r>
              <w:rPr>
                <w:i/>
              </w:rPr>
              <w:t xml:space="preserve">Consultant </w:t>
            </w:r>
            <w:r>
              <w:t>ensures that the conditions of contract for each Subconsultant who is an SME include</w:t>
            </w:r>
          </w:p>
          <w:p w:rsidR="001C5E4E" w:rsidRDefault="003E09C0">
            <w:pPr>
              <w:pStyle w:val="TableParagraph"/>
              <w:numPr>
                <w:ilvl w:val="0"/>
                <w:numId w:val="25"/>
              </w:numPr>
              <w:tabs>
                <w:tab w:val="left" w:pos="826"/>
                <w:tab w:val="left" w:pos="827"/>
              </w:tabs>
              <w:spacing w:before="119"/>
              <w:ind w:right="201"/>
              <w:jc w:val="both"/>
            </w:pPr>
            <w:r>
              <w:t xml:space="preserve">a term allowing the </w:t>
            </w:r>
            <w:r>
              <w:rPr>
                <w:i/>
              </w:rPr>
              <w:t xml:space="preserve">Employer </w:t>
            </w:r>
            <w:r>
              <w:t>to publish the information supplied under Z20.2</w:t>
            </w:r>
            <w:r>
              <w:rPr>
                <w:spacing w:val="-1"/>
              </w:rPr>
              <w:t xml:space="preserve"> </w:t>
            </w:r>
            <w:r>
              <w:t>and</w:t>
            </w:r>
          </w:p>
          <w:p w:rsidR="001C5E4E" w:rsidRDefault="003E09C0">
            <w:pPr>
              <w:pStyle w:val="TableParagraph"/>
              <w:numPr>
                <w:ilvl w:val="0"/>
                <w:numId w:val="25"/>
              </w:numPr>
              <w:tabs>
                <w:tab w:val="left" w:pos="826"/>
                <w:tab w:val="left" w:pos="827"/>
              </w:tabs>
              <w:spacing w:before="121"/>
              <w:ind w:hanging="688"/>
              <w:jc w:val="both"/>
            </w:pPr>
            <w:r>
              <w:t>obligations substantially similar to those set out in this clause</w:t>
            </w:r>
            <w:r>
              <w:rPr>
                <w:spacing w:val="-17"/>
              </w:rPr>
              <w:t xml:space="preserve"> </w:t>
            </w:r>
            <w:r>
              <w:t>Z20.</w:t>
            </w:r>
          </w:p>
          <w:p w:rsidR="001C5E4E" w:rsidRDefault="003E09C0">
            <w:pPr>
              <w:pStyle w:val="TableParagraph"/>
              <w:spacing w:before="120"/>
              <w:ind w:left="106" w:right="201"/>
              <w:jc w:val="both"/>
            </w:pPr>
            <w:r>
              <w:t xml:space="preserve">Z20.5 The </w:t>
            </w:r>
            <w:r>
              <w:rPr>
                <w:i/>
              </w:rPr>
              <w:t xml:space="preserve">Consultant </w:t>
            </w:r>
            <w:r>
              <w:t>further ensures that the conditions of contract for</w:t>
            </w:r>
            <w:r>
              <w:rPr>
                <w:spacing w:val="-32"/>
              </w:rPr>
              <w:t xml:space="preserve"> </w:t>
            </w:r>
            <w:r>
              <w:t>each Subconsultant include a requirement that the conditions of contract for any Sub Subconsultant engaged by the Subconsultant who is an SME include obligations substantially similar to those set out in clause</w:t>
            </w:r>
            <w:r>
              <w:rPr>
                <w:spacing w:val="-10"/>
              </w:rPr>
              <w:t xml:space="preserve"> </w:t>
            </w:r>
            <w:r>
              <w:t>Z20.4.</w:t>
            </w:r>
          </w:p>
          <w:p w:rsidR="001C5E4E" w:rsidRDefault="003E09C0">
            <w:pPr>
              <w:pStyle w:val="TableParagraph"/>
              <w:spacing w:before="121"/>
              <w:ind w:left="106" w:right="200"/>
              <w:jc w:val="both"/>
            </w:pPr>
            <w:r>
              <w:t xml:space="preserve">Z20.6 The </w:t>
            </w:r>
            <w:r>
              <w:rPr>
                <w:i/>
              </w:rPr>
              <w:t xml:space="preserve">Consultant </w:t>
            </w:r>
            <w:r>
              <w:t>keeps accounts and records of his Time Charge and expenses</w:t>
            </w:r>
            <w:r>
              <w:rPr>
                <w:spacing w:val="-10"/>
              </w:rPr>
              <w:t xml:space="preserve"> </w:t>
            </w:r>
            <w:r>
              <w:t>and</w:t>
            </w:r>
            <w:r>
              <w:rPr>
                <w:spacing w:val="-8"/>
              </w:rPr>
              <w:t xml:space="preserve"> </w:t>
            </w:r>
            <w:r>
              <w:t>allows</w:t>
            </w:r>
            <w:r>
              <w:rPr>
                <w:spacing w:val="-10"/>
              </w:rPr>
              <w:t xml:space="preserve"> </w:t>
            </w:r>
            <w:r>
              <w:t>the</w:t>
            </w:r>
            <w:r>
              <w:rPr>
                <w:spacing w:val="-9"/>
              </w:rPr>
              <w:t xml:space="preserve"> </w:t>
            </w:r>
            <w:r>
              <w:rPr>
                <w:i/>
              </w:rPr>
              <w:t>Employer</w:t>
            </w:r>
            <w:r>
              <w:rPr>
                <w:i/>
                <w:spacing w:val="-9"/>
              </w:rPr>
              <w:t xml:space="preserve"> </w:t>
            </w:r>
            <w:r>
              <w:t>to</w:t>
            </w:r>
            <w:r>
              <w:rPr>
                <w:spacing w:val="-8"/>
              </w:rPr>
              <w:t xml:space="preserve"> </w:t>
            </w:r>
            <w:r>
              <w:t>inspect</w:t>
            </w:r>
            <w:r>
              <w:rPr>
                <w:spacing w:val="-7"/>
              </w:rPr>
              <w:t xml:space="preserve"> </w:t>
            </w:r>
            <w:r>
              <w:t>them</w:t>
            </w:r>
            <w:r>
              <w:rPr>
                <w:spacing w:val="-8"/>
              </w:rPr>
              <w:t xml:space="preserve"> </w:t>
            </w:r>
            <w:r>
              <w:t>at</w:t>
            </w:r>
            <w:r>
              <w:rPr>
                <w:spacing w:val="-10"/>
              </w:rPr>
              <w:t xml:space="preserve"> </w:t>
            </w:r>
            <w:r>
              <w:t>any</w:t>
            </w:r>
            <w:r>
              <w:rPr>
                <w:spacing w:val="-6"/>
              </w:rPr>
              <w:t xml:space="preserve"> </w:t>
            </w:r>
            <w:r>
              <w:t>time</w:t>
            </w:r>
            <w:r>
              <w:rPr>
                <w:spacing w:val="-10"/>
              </w:rPr>
              <w:t xml:space="preserve"> </w:t>
            </w:r>
            <w:r>
              <w:t>within</w:t>
            </w:r>
            <w:r>
              <w:rPr>
                <w:spacing w:val="-11"/>
              </w:rPr>
              <w:t xml:space="preserve"> </w:t>
            </w:r>
            <w:r>
              <w:t>working hours.</w:t>
            </w:r>
          </w:p>
        </w:tc>
      </w:tr>
      <w:tr w:rsidR="001C5E4E">
        <w:trPr>
          <w:trHeight w:val="2801"/>
        </w:trPr>
        <w:tc>
          <w:tcPr>
            <w:tcW w:w="1253" w:type="dxa"/>
          </w:tcPr>
          <w:p w:rsidR="001C5E4E" w:rsidRDefault="001C5E4E">
            <w:pPr>
              <w:pStyle w:val="TableParagraph"/>
              <w:spacing w:before="1"/>
              <w:rPr>
                <w:sz w:val="24"/>
              </w:rPr>
            </w:pPr>
          </w:p>
          <w:p w:rsidR="001C5E4E" w:rsidRDefault="003E09C0">
            <w:pPr>
              <w:pStyle w:val="TableParagraph"/>
              <w:spacing w:before="1"/>
              <w:ind w:left="200"/>
              <w:rPr>
                <w:b/>
              </w:rPr>
            </w:pPr>
            <w:r>
              <w:rPr>
                <w:b/>
              </w:rPr>
              <w:t>Clause Z21</w:t>
            </w:r>
          </w:p>
        </w:tc>
        <w:tc>
          <w:tcPr>
            <w:tcW w:w="7184" w:type="dxa"/>
          </w:tcPr>
          <w:p w:rsidR="001C5E4E" w:rsidRDefault="001C5E4E">
            <w:pPr>
              <w:pStyle w:val="TableParagraph"/>
              <w:spacing w:before="1"/>
              <w:rPr>
                <w:sz w:val="24"/>
              </w:rPr>
            </w:pPr>
          </w:p>
          <w:p w:rsidR="001C5E4E" w:rsidRDefault="003E09C0">
            <w:pPr>
              <w:pStyle w:val="TableParagraph"/>
              <w:spacing w:before="1"/>
              <w:ind w:left="106"/>
              <w:jc w:val="both"/>
              <w:rPr>
                <w:b/>
              </w:rPr>
            </w:pPr>
            <w:r>
              <w:rPr>
                <w:b/>
              </w:rPr>
              <w:t>Changes to rates and prices</w:t>
            </w:r>
          </w:p>
          <w:p w:rsidR="001C5E4E" w:rsidRDefault="003E09C0">
            <w:pPr>
              <w:pStyle w:val="TableParagraph"/>
              <w:spacing w:before="120"/>
              <w:ind w:left="106" w:right="209"/>
              <w:jc w:val="both"/>
            </w:pPr>
            <w:r>
              <w:t>Z21.1 The Parties may at any time agree a reduction to the percentage for business overheads and profits stated in the Schedule of Cost Components.</w:t>
            </w:r>
          </w:p>
          <w:p w:rsidR="001C5E4E" w:rsidRDefault="003E09C0">
            <w:pPr>
              <w:pStyle w:val="TableParagraph"/>
              <w:spacing w:before="120"/>
              <w:ind w:left="106" w:right="198"/>
              <w:jc w:val="both"/>
            </w:pPr>
            <w:r>
              <w:t xml:space="preserve">Z21.2 The reduced percentage apply to any </w:t>
            </w:r>
            <w:r>
              <w:rPr>
                <w:i/>
              </w:rPr>
              <w:t xml:space="preserve">services </w:t>
            </w:r>
            <w:r>
              <w:t>performed after the reduction is agreed.</w:t>
            </w:r>
          </w:p>
          <w:p w:rsidR="001C5E4E" w:rsidRDefault="003E09C0">
            <w:pPr>
              <w:pStyle w:val="TableParagraph"/>
              <w:spacing w:before="119" w:line="270" w:lineRule="atLeast"/>
              <w:ind w:left="106" w:right="198"/>
              <w:jc w:val="both"/>
            </w:pPr>
            <w:r>
              <w:t>Z21.3</w:t>
            </w:r>
            <w:r>
              <w:rPr>
                <w:spacing w:val="-12"/>
              </w:rPr>
              <w:t xml:space="preserve"> </w:t>
            </w:r>
            <w:r>
              <w:t>If</w:t>
            </w:r>
            <w:r>
              <w:rPr>
                <w:spacing w:val="-13"/>
              </w:rPr>
              <w:t xml:space="preserve"> </w:t>
            </w:r>
            <w:r>
              <w:t>the</w:t>
            </w:r>
            <w:r>
              <w:rPr>
                <w:spacing w:val="-11"/>
              </w:rPr>
              <w:t xml:space="preserve"> </w:t>
            </w:r>
            <w:r>
              <w:rPr>
                <w:i/>
              </w:rPr>
              <w:t>Consultant</w:t>
            </w:r>
            <w:r>
              <w:rPr>
                <w:i/>
                <w:spacing w:val="-11"/>
              </w:rPr>
              <w:t xml:space="preserve"> </w:t>
            </w:r>
            <w:r>
              <w:t>does</w:t>
            </w:r>
            <w:r>
              <w:rPr>
                <w:spacing w:val="-13"/>
              </w:rPr>
              <w:t xml:space="preserve"> </w:t>
            </w:r>
            <w:r>
              <w:t>not</w:t>
            </w:r>
            <w:r>
              <w:rPr>
                <w:spacing w:val="-12"/>
              </w:rPr>
              <w:t xml:space="preserve"> </w:t>
            </w:r>
            <w:r>
              <w:t>agree</w:t>
            </w:r>
            <w:r>
              <w:rPr>
                <w:spacing w:val="-11"/>
              </w:rPr>
              <w:t xml:space="preserve"> </w:t>
            </w:r>
            <w:r>
              <w:t>a</w:t>
            </w:r>
            <w:r>
              <w:rPr>
                <w:spacing w:val="-13"/>
              </w:rPr>
              <w:t xml:space="preserve"> </w:t>
            </w:r>
            <w:r>
              <w:t>reduction</w:t>
            </w:r>
            <w:r>
              <w:rPr>
                <w:spacing w:val="-14"/>
              </w:rPr>
              <w:t xml:space="preserve"> </w:t>
            </w:r>
            <w:r>
              <w:t>requested</w:t>
            </w:r>
            <w:r>
              <w:rPr>
                <w:spacing w:val="-12"/>
              </w:rPr>
              <w:t xml:space="preserve"> </w:t>
            </w:r>
            <w:r>
              <w:t>by</w:t>
            </w:r>
            <w:r>
              <w:rPr>
                <w:spacing w:val="-12"/>
              </w:rPr>
              <w:t xml:space="preserve"> </w:t>
            </w:r>
            <w:r>
              <w:t>the</w:t>
            </w:r>
            <w:r>
              <w:rPr>
                <w:spacing w:val="-12"/>
              </w:rPr>
              <w:t xml:space="preserve"> </w:t>
            </w:r>
            <w:r>
              <w:rPr>
                <w:i/>
              </w:rPr>
              <w:t>Employer</w:t>
            </w:r>
            <w:r>
              <w:t xml:space="preserve">, the </w:t>
            </w:r>
            <w:r>
              <w:rPr>
                <w:i/>
              </w:rPr>
              <w:t xml:space="preserve">Employer </w:t>
            </w:r>
            <w:r>
              <w:t xml:space="preserve">may terminate the </w:t>
            </w:r>
            <w:r>
              <w:rPr>
                <w:i/>
              </w:rPr>
              <w:t>Consultant</w:t>
            </w:r>
            <w:r>
              <w:t>’s obligation to Provide the Services by notifying the</w:t>
            </w:r>
            <w:r>
              <w:rPr>
                <w:spacing w:val="-3"/>
              </w:rPr>
              <w:t xml:space="preserve"> </w:t>
            </w:r>
            <w:r>
              <w:rPr>
                <w:i/>
              </w:rPr>
              <w:t>Consultant</w:t>
            </w:r>
            <w:r>
              <w:t>.</w:t>
            </w:r>
          </w:p>
        </w:tc>
      </w:tr>
    </w:tbl>
    <w:p w:rsidR="001C5E4E" w:rsidRDefault="001C5E4E">
      <w:pPr>
        <w:spacing w:line="270" w:lineRule="atLeast"/>
        <w:jc w:val="both"/>
        <w:sectPr w:rsidR="001C5E4E">
          <w:pgSz w:w="11910" w:h="16850"/>
          <w:pgMar w:top="1400" w:right="620" w:bottom="1080" w:left="940" w:header="1112" w:footer="892" w:gutter="0"/>
          <w:cols w:space="720"/>
        </w:sectPr>
      </w:pPr>
    </w:p>
    <w:p w:rsidR="001C5E4E" w:rsidRDefault="001C5E4E">
      <w:pPr>
        <w:pStyle w:val="BodyText"/>
        <w:rPr>
          <w:sz w:val="20"/>
        </w:rPr>
      </w:pPr>
    </w:p>
    <w:p w:rsidR="001C5E4E" w:rsidRDefault="001C5E4E">
      <w:pPr>
        <w:pStyle w:val="BodyText"/>
        <w:spacing w:before="7"/>
        <w:rPr>
          <w:sz w:val="20"/>
        </w:rPr>
      </w:pPr>
    </w:p>
    <w:tbl>
      <w:tblPr>
        <w:tblW w:w="0" w:type="auto"/>
        <w:tblInd w:w="982" w:type="dxa"/>
        <w:tblLayout w:type="fixed"/>
        <w:tblCellMar>
          <w:left w:w="0" w:type="dxa"/>
          <w:right w:w="0" w:type="dxa"/>
        </w:tblCellMar>
        <w:tblLook w:val="01E0" w:firstRow="1" w:lastRow="1" w:firstColumn="1" w:lastColumn="1" w:noHBand="0" w:noVBand="0"/>
      </w:tblPr>
      <w:tblGrid>
        <w:gridCol w:w="1457"/>
        <w:gridCol w:w="7182"/>
      </w:tblGrid>
      <w:tr w:rsidR="001C5E4E">
        <w:trPr>
          <w:trHeight w:val="364"/>
        </w:trPr>
        <w:tc>
          <w:tcPr>
            <w:tcW w:w="1457" w:type="dxa"/>
          </w:tcPr>
          <w:p w:rsidR="001C5E4E" w:rsidRDefault="003E09C0">
            <w:pPr>
              <w:pStyle w:val="TableParagraph"/>
              <w:spacing w:line="225" w:lineRule="exact"/>
              <w:ind w:right="106"/>
              <w:jc w:val="right"/>
              <w:rPr>
                <w:b/>
              </w:rPr>
            </w:pPr>
            <w:r>
              <w:rPr>
                <w:b/>
              </w:rPr>
              <w:t>Clause Z22</w:t>
            </w:r>
          </w:p>
        </w:tc>
        <w:tc>
          <w:tcPr>
            <w:tcW w:w="7182" w:type="dxa"/>
          </w:tcPr>
          <w:p w:rsidR="001C5E4E" w:rsidRDefault="003E09C0">
            <w:pPr>
              <w:pStyle w:val="TableParagraph"/>
              <w:spacing w:line="225" w:lineRule="exact"/>
              <w:ind w:left="106"/>
              <w:rPr>
                <w:b/>
              </w:rPr>
            </w:pPr>
            <w:r>
              <w:rPr>
                <w:b/>
              </w:rPr>
              <w:t>Euro functionality – Not Used</w:t>
            </w:r>
          </w:p>
        </w:tc>
      </w:tr>
      <w:tr w:rsidR="001C5E4E">
        <w:trPr>
          <w:trHeight w:val="507"/>
        </w:trPr>
        <w:tc>
          <w:tcPr>
            <w:tcW w:w="1457" w:type="dxa"/>
          </w:tcPr>
          <w:p w:rsidR="001C5E4E" w:rsidRDefault="003E09C0">
            <w:pPr>
              <w:pStyle w:val="TableParagraph"/>
              <w:spacing w:before="100"/>
              <w:ind w:right="104"/>
              <w:jc w:val="right"/>
              <w:rPr>
                <w:b/>
              </w:rPr>
            </w:pPr>
            <w:r>
              <w:rPr>
                <w:b/>
              </w:rPr>
              <w:t>Clause Z23</w:t>
            </w:r>
          </w:p>
        </w:tc>
        <w:tc>
          <w:tcPr>
            <w:tcW w:w="7182" w:type="dxa"/>
          </w:tcPr>
          <w:p w:rsidR="001C5E4E" w:rsidRDefault="003E09C0">
            <w:pPr>
              <w:pStyle w:val="TableParagraph"/>
              <w:spacing w:before="100"/>
              <w:ind w:left="106"/>
              <w:rPr>
                <w:b/>
              </w:rPr>
            </w:pPr>
            <w:r>
              <w:rPr>
                <w:b/>
              </w:rPr>
              <w:t xml:space="preserve">Payment of the </w:t>
            </w:r>
            <w:r>
              <w:rPr>
                <w:b/>
                <w:i/>
              </w:rPr>
              <w:t>Consultant</w:t>
            </w:r>
            <w:r>
              <w:rPr>
                <w:b/>
              </w:rPr>
              <w:t>’s share – Not Used</w:t>
            </w:r>
          </w:p>
        </w:tc>
      </w:tr>
      <w:tr w:rsidR="001C5E4E">
        <w:trPr>
          <w:trHeight w:val="4756"/>
        </w:trPr>
        <w:tc>
          <w:tcPr>
            <w:tcW w:w="1457" w:type="dxa"/>
          </w:tcPr>
          <w:p w:rsidR="001C5E4E" w:rsidRDefault="003E09C0">
            <w:pPr>
              <w:pStyle w:val="TableParagraph"/>
              <w:spacing w:before="99"/>
              <w:ind w:right="104"/>
              <w:jc w:val="right"/>
              <w:rPr>
                <w:b/>
              </w:rPr>
            </w:pPr>
            <w:r>
              <w:rPr>
                <w:b/>
              </w:rPr>
              <w:t>Clause Z24</w:t>
            </w:r>
          </w:p>
        </w:tc>
        <w:tc>
          <w:tcPr>
            <w:tcW w:w="7182" w:type="dxa"/>
          </w:tcPr>
          <w:p w:rsidR="001C5E4E" w:rsidRDefault="003E09C0">
            <w:pPr>
              <w:pStyle w:val="TableParagraph"/>
              <w:spacing w:before="99"/>
              <w:ind w:left="106"/>
              <w:jc w:val="both"/>
              <w:rPr>
                <w:b/>
              </w:rPr>
            </w:pPr>
            <w:r>
              <w:rPr>
                <w:b/>
              </w:rPr>
              <w:t xml:space="preserve">The </w:t>
            </w:r>
            <w:r>
              <w:rPr>
                <w:b/>
                <w:i/>
              </w:rPr>
              <w:t>Employer</w:t>
            </w:r>
            <w:r>
              <w:rPr>
                <w:b/>
              </w:rPr>
              <w:t>’s liability</w:t>
            </w:r>
          </w:p>
          <w:p w:rsidR="001C5E4E" w:rsidRDefault="003E09C0">
            <w:pPr>
              <w:pStyle w:val="TableParagraph"/>
              <w:spacing w:before="120"/>
              <w:ind w:left="106" w:right="200"/>
              <w:jc w:val="both"/>
            </w:pPr>
            <w:r>
              <w:t xml:space="preserve">Z24.1 The </w:t>
            </w:r>
            <w:r>
              <w:rPr>
                <w:i/>
              </w:rPr>
              <w:t>Employer</w:t>
            </w:r>
            <w:r>
              <w:t xml:space="preserve">’s total liability to the </w:t>
            </w:r>
            <w:r>
              <w:rPr>
                <w:i/>
              </w:rPr>
              <w:t xml:space="preserve">Consultant </w:t>
            </w:r>
            <w:r>
              <w:t>for all matters arising under</w:t>
            </w:r>
            <w:r>
              <w:rPr>
                <w:spacing w:val="-3"/>
              </w:rPr>
              <w:t xml:space="preserve"> </w:t>
            </w:r>
            <w:r>
              <w:t>or</w:t>
            </w:r>
            <w:r>
              <w:rPr>
                <w:spacing w:val="-6"/>
              </w:rPr>
              <w:t xml:space="preserve"> </w:t>
            </w:r>
            <w:r>
              <w:t>in</w:t>
            </w:r>
            <w:r>
              <w:rPr>
                <w:spacing w:val="-3"/>
              </w:rPr>
              <w:t xml:space="preserve"> </w:t>
            </w:r>
            <w:r>
              <w:t>connection</w:t>
            </w:r>
            <w:r>
              <w:rPr>
                <w:spacing w:val="-6"/>
              </w:rPr>
              <w:t xml:space="preserve"> </w:t>
            </w:r>
            <w:r>
              <w:t>with</w:t>
            </w:r>
            <w:r>
              <w:rPr>
                <w:spacing w:val="-4"/>
              </w:rPr>
              <w:t xml:space="preserve"> </w:t>
            </w:r>
            <w:r>
              <w:t>this</w:t>
            </w:r>
            <w:r>
              <w:rPr>
                <w:spacing w:val="-2"/>
              </w:rPr>
              <w:t xml:space="preserve"> </w:t>
            </w:r>
            <w:r>
              <w:t>contract,</w:t>
            </w:r>
            <w:r>
              <w:rPr>
                <w:spacing w:val="-5"/>
              </w:rPr>
              <w:t xml:space="preserve"> </w:t>
            </w:r>
            <w:r>
              <w:t>other</w:t>
            </w:r>
            <w:r>
              <w:rPr>
                <w:spacing w:val="-6"/>
              </w:rPr>
              <w:t xml:space="preserve"> </w:t>
            </w:r>
            <w:r>
              <w:t>than</w:t>
            </w:r>
            <w:r>
              <w:rPr>
                <w:spacing w:val="-3"/>
              </w:rPr>
              <w:t xml:space="preserve"> </w:t>
            </w:r>
            <w:r>
              <w:t>the</w:t>
            </w:r>
            <w:r>
              <w:rPr>
                <w:spacing w:val="-3"/>
              </w:rPr>
              <w:t xml:space="preserve"> </w:t>
            </w:r>
            <w:r>
              <w:t>excluded</w:t>
            </w:r>
            <w:r>
              <w:rPr>
                <w:spacing w:val="-6"/>
              </w:rPr>
              <w:t xml:space="preserve"> </w:t>
            </w:r>
            <w:r>
              <w:t>matters,</w:t>
            </w:r>
            <w:r>
              <w:rPr>
                <w:spacing w:val="-5"/>
              </w:rPr>
              <w:t xml:space="preserve"> </w:t>
            </w:r>
            <w:r>
              <w:t xml:space="preserve">is limited to £73,110.55, and applies in contract, tort or delict or otherwise to the extent allowed under the </w:t>
            </w:r>
            <w:r>
              <w:rPr>
                <w:i/>
              </w:rPr>
              <w:t>law of the</w:t>
            </w:r>
            <w:r>
              <w:rPr>
                <w:i/>
                <w:spacing w:val="-6"/>
              </w:rPr>
              <w:t xml:space="preserve"> </w:t>
            </w:r>
            <w:r>
              <w:rPr>
                <w:i/>
              </w:rPr>
              <w:t>contract</w:t>
            </w:r>
            <w:r>
              <w:t>.</w:t>
            </w:r>
          </w:p>
          <w:p w:rsidR="001C5E4E" w:rsidRDefault="003E09C0">
            <w:pPr>
              <w:pStyle w:val="TableParagraph"/>
              <w:spacing w:before="121"/>
              <w:ind w:left="106" w:right="198"/>
              <w:jc w:val="both"/>
            </w:pPr>
            <w:r>
              <w:t xml:space="preserve">Z24.2 The excluded matters are the amounts payable to the </w:t>
            </w:r>
            <w:r>
              <w:rPr>
                <w:i/>
              </w:rPr>
              <w:t xml:space="preserve">Consultant </w:t>
            </w:r>
            <w:r>
              <w:t>as stated in this contract for</w:t>
            </w:r>
          </w:p>
          <w:p w:rsidR="001C5E4E" w:rsidRDefault="003E09C0">
            <w:pPr>
              <w:pStyle w:val="TableParagraph"/>
              <w:numPr>
                <w:ilvl w:val="0"/>
                <w:numId w:val="24"/>
              </w:numPr>
              <w:tabs>
                <w:tab w:val="left" w:pos="826"/>
                <w:tab w:val="left" w:pos="827"/>
              </w:tabs>
              <w:spacing w:before="121"/>
              <w:ind w:hanging="688"/>
            </w:pPr>
            <w:r>
              <w:t>the total of the Prices if Option A</w:t>
            </w:r>
            <w:r>
              <w:rPr>
                <w:spacing w:val="-6"/>
              </w:rPr>
              <w:t xml:space="preserve"> </w:t>
            </w:r>
            <w:r>
              <w:t>applies,</w:t>
            </w:r>
          </w:p>
          <w:p w:rsidR="001C5E4E" w:rsidRDefault="003E09C0">
            <w:pPr>
              <w:pStyle w:val="TableParagraph"/>
              <w:numPr>
                <w:ilvl w:val="0"/>
                <w:numId w:val="24"/>
              </w:numPr>
              <w:tabs>
                <w:tab w:val="left" w:pos="826"/>
                <w:tab w:val="left" w:pos="827"/>
              </w:tabs>
              <w:spacing w:before="118"/>
              <w:ind w:hanging="688"/>
            </w:pPr>
            <w:r>
              <w:t>the</w:t>
            </w:r>
            <w:r>
              <w:rPr>
                <w:spacing w:val="8"/>
              </w:rPr>
              <w:t xml:space="preserve"> </w:t>
            </w:r>
            <w:r>
              <w:t>Price</w:t>
            </w:r>
            <w:r>
              <w:rPr>
                <w:spacing w:val="9"/>
              </w:rPr>
              <w:t xml:space="preserve"> </w:t>
            </w:r>
            <w:r>
              <w:t>for</w:t>
            </w:r>
            <w:r>
              <w:rPr>
                <w:spacing w:val="9"/>
              </w:rPr>
              <w:t xml:space="preserve"> </w:t>
            </w:r>
            <w:r>
              <w:t>Services</w:t>
            </w:r>
            <w:r>
              <w:rPr>
                <w:spacing w:val="9"/>
              </w:rPr>
              <w:t xml:space="preserve"> </w:t>
            </w:r>
            <w:r>
              <w:t>Provided</w:t>
            </w:r>
            <w:r>
              <w:rPr>
                <w:spacing w:val="8"/>
              </w:rPr>
              <w:t xml:space="preserve"> </w:t>
            </w:r>
            <w:r>
              <w:t>to</w:t>
            </w:r>
            <w:r>
              <w:rPr>
                <w:spacing w:val="10"/>
              </w:rPr>
              <w:t xml:space="preserve"> </w:t>
            </w:r>
            <w:r>
              <w:t>Date</w:t>
            </w:r>
            <w:r>
              <w:rPr>
                <w:spacing w:val="9"/>
              </w:rPr>
              <w:t xml:space="preserve"> </w:t>
            </w:r>
            <w:r>
              <w:t>and</w:t>
            </w:r>
            <w:r>
              <w:rPr>
                <w:spacing w:val="8"/>
              </w:rPr>
              <w:t xml:space="preserve"> </w:t>
            </w:r>
            <w:r>
              <w:t>the</w:t>
            </w:r>
            <w:r>
              <w:rPr>
                <w:spacing w:val="11"/>
              </w:rPr>
              <w:t xml:space="preserve"> </w:t>
            </w:r>
            <w:r>
              <w:rPr>
                <w:i/>
              </w:rPr>
              <w:t>Consultant</w:t>
            </w:r>
            <w:r>
              <w:t>’s</w:t>
            </w:r>
            <w:r>
              <w:rPr>
                <w:spacing w:val="9"/>
              </w:rPr>
              <w:t xml:space="preserve"> </w:t>
            </w:r>
            <w:r>
              <w:t>share</w:t>
            </w:r>
            <w:r>
              <w:rPr>
                <w:spacing w:val="9"/>
              </w:rPr>
              <w:t xml:space="preserve"> </w:t>
            </w:r>
            <w:r>
              <w:t>if</w:t>
            </w:r>
          </w:p>
          <w:p w:rsidR="001C5E4E" w:rsidRDefault="003E09C0">
            <w:pPr>
              <w:pStyle w:val="TableParagraph"/>
              <w:spacing w:before="1"/>
              <w:ind w:left="826"/>
            </w:pPr>
            <w:r>
              <w:t>Option C applies and</w:t>
            </w:r>
          </w:p>
          <w:p w:rsidR="001C5E4E" w:rsidRDefault="003E09C0">
            <w:pPr>
              <w:pStyle w:val="TableParagraph"/>
              <w:numPr>
                <w:ilvl w:val="0"/>
                <w:numId w:val="24"/>
              </w:numPr>
              <w:tabs>
                <w:tab w:val="left" w:pos="826"/>
                <w:tab w:val="left" w:pos="827"/>
              </w:tabs>
              <w:spacing w:before="120"/>
              <w:ind w:hanging="688"/>
            </w:pPr>
            <w:r>
              <w:t>the Price for Services Provided to Date if Option E</w:t>
            </w:r>
            <w:r>
              <w:rPr>
                <w:spacing w:val="-7"/>
              </w:rPr>
              <w:t xml:space="preserve"> </w:t>
            </w:r>
            <w:r>
              <w:t>applies.</w:t>
            </w:r>
          </w:p>
          <w:p w:rsidR="001C5E4E" w:rsidRDefault="003E09C0">
            <w:pPr>
              <w:pStyle w:val="TableParagraph"/>
              <w:spacing w:before="120"/>
              <w:ind w:left="106" w:right="198"/>
              <w:jc w:val="both"/>
            </w:pPr>
            <w:r>
              <w:t xml:space="preserve">Z24.3 The </w:t>
            </w:r>
            <w:r>
              <w:rPr>
                <w:i/>
              </w:rPr>
              <w:t>Employer</w:t>
            </w:r>
            <w:r>
              <w:t xml:space="preserve">’s liability to the </w:t>
            </w:r>
            <w:r>
              <w:rPr>
                <w:i/>
              </w:rPr>
              <w:t xml:space="preserve">Consultant </w:t>
            </w:r>
            <w:r>
              <w:t xml:space="preserve">is limited to that proportion of the </w:t>
            </w:r>
            <w:r>
              <w:rPr>
                <w:i/>
              </w:rPr>
              <w:t>Consultant</w:t>
            </w:r>
            <w:r>
              <w:t xml:space="preserve">’s losses for which the </w:t>
            </w:r>
            <w:r>
              <w:rPr>
                <w:i/>
              </w:rPr>
              <w:t xml:space="preserve">Employer </w:t>
            </w:r>
            <w:r>
              <w:t>is responsible under this contract.</w:t>
            </w:r>
          </w:p>
        </w:tc>
      </w:tr>
      <w:tr w:rsidR="001C5E4E">
        <w:trPr>
          <w:trHeight w:val="701"/>
        </w:trPr>
        <w:tc>
          <w:tcPr>
            <w:tcW w:w="1457" w:type="dxa"/>
          </w:tcPr>
          <w:p w:rsidR="001C5E4E" w:rsidRDefault="003E09C0">
            <w:pPr>
              <w:pStyle w:val="TableParagraph"/>
              <w:spacing w:before="100"/>
              <w:ind w:right="104"/>
              <w:jc w:val="right"/>
              <w:rPr>
                <w:b/>
              </w:rPr>
            </w:pPr>
            <w:r>
              <w:rPr>
                <w:b/>
              </w:rPr>
              <w:t>Clause Z25</w:t>
            </w:r>
          </w:p>
        </w:tc>
        <w:tc>
          <w:tcPr>
            <w:tcW w:w="7182" w:type="dxa"/>
          </w:tcPr>
          <w:p w:rsidR="001C5E4E" w:rsidRDefault="003E09C0">
            <w:pPr>
              <w:pStyle w:val="TableParagraph"/>
              <w:spacing w:before="100"/>
              <w:ind w:left="106"/>
              <w:rPr>
                <w:b/>
              </w:rPr>
            </w:pPr>
            <w:r>
              <w:rPr>
                <w:b/>
              </w:rPr>
              <w:t>Tax Non-Compliance – Not Used</w:t>
            </w:r>
          </w:p>
        </w:tc>
      </w:tr>
      <w:tr w:rsidR="001C5E4E">
        <w:trPr>
          <w:trHeight w:val="896"/>
        </w:trPr>
        <w:tc>
          <w:tcPr>
            <w:tcW w:w="1457" w:type="dxa"/>
          </w:tcPr>
          <w:p w:rsidR="001C5E4E" w:rsidRDefault="001C5E4E">
            <w:pPr>
              <w:pStyle w:val="TableParagraph"/>
              <w:rPr>
                <w:sz w:val="24"/>
              </w:rPr>
            </w:pPr>
          </w:p>
          <w:p w:rsidR="001C5E4E" w:rsidRDefault="003E09C0">
            <w:pPr>
              <w:pStyle w:val="TableParagraph"/>
              <w:ind w:right="106"/>
              <w:jc w:val="right"/>
              <w:rPr>
                <w:b/>
              </w:rPr>
            </w:pPr>
            <w:r>
              <w:rPr>
                <w:b/>
              </w:rPr>
              <w:t>Clause Z26</w:t>
            </w:r>
          </w:p>
        </w:tc>
        <w:tc>
          <w:tcPr>
            <w:tcW w:w="7182" w:type="dxa"/>
          </w:tcPr>
          <w:p w:rsidR="001C5E4E" w:rsidRDefault="001C5E4E">
            <w:pPr>
              <w:pStyle w:val="TableParagraph"/>
              <w:rPr>
                <w:sz w:val="24"/>
              </w:rPr>
            </w:pPr>
          </w:p>
          <w:p w:rsidR="001C5E4E" w:rsidRDefault="003E09C0">
            <w:pPr>
              <w:pStyle w:val="TableParagraph"/>
              <w:ind w:left="106"/>
              <w:rPr>
                <w:b/>
              </w:rPr>
            </w:pPr>
            <w:r>
              <w:rPr>
                <w:b/>
              </w:rPr>
              <w:t>Quality Management Points – Not Used</w:t>
            </w:r>
          </w:p>
        </w:tc>
      </w:tr>
      <w:tr w:rsidR="001C5E4E">
        <w:trPr>
          <w:trHeight w:val="897"/>
        </w:trPr>
        <w:tc>
          <w:tcPr>
            <w:tcW w:w="1457" w:type="dxa"/>
          </w:tcPr>
          <w:p w:rsidR="001C5E4E" w:rsidRDefault="001C5E4E">
            <w:pPr>
              <w:pStyle w:val="TableParagraph"/>
              <w:spacing w:before="1"/>
              <w:rPr>
                <w:sz w:val="24"/>
              </w:rPr>
            </w:pPr>
          </w:p>
          <w:p w:rsidR="001C5E4E" w:rsidRDefault="003E09C0">
            <w:pPr>
              <w:pStyle w:val="TableParagraph"/>
              <w:ind w:right="106"/>
              <w:jc w:val="right"/>
              <w:rPr>
                <w:b/>
              </w:rPr>
            </w:pPr>
            <w:r>
              <w:rPr>
                <w:b/>
              </w:rPr>
              <w:t>Clause Z27</w:t>
            </w:r>
          </w:p>
        </w:tc>
        <w:tc>
          <w:tcPr>
            <w:tcW w:w="7182" w:type="dxa"/>
          </w:tcPr>
          <w:p w:rsidR="001C5E4E" w:rsidRDefault="001C5E4E">
            <w:pPr>
              <w:pStyle w:val="TableParagraph"/>
              <w:spacing w:before="1"/>
              <w:rPr>
                <w:sz w:val="24"/>
              </w:rPr>
            </w:pPr>
          </w:p>
          <w:p w:rsidR="001C5E4E" w:rsidRDefault="003E09C0">
            <w:pPr>
              <w:pStyle w:val="TableParagraph"/>
              <w:ind w:left="106"/>
              <w:rPr>
                <w:b/>
              </w:rPr>
            </w:pPr>
            <w:r>
              <w:rPr>
                <w:b/>
              </w:rPr>
              <w:t>Transfer of work – not used</w:t>
            </w:r>
          </w:p>
        </w:tc>
      </w:tr>
      <w:tr w:rsidR="001C5E4E">
        <w:trPr>
          <w:trHeight w:val="1226"/>
        </w:trPr>
        <w:tc>
          <w:tcPr>
            <w:tcW w:w="1457" w:type="dxa"/>
          </w:tcPr>
          <w:p w:rsidR="001C5E4E" w:rsidRDefault="001C5E4E">
            <w:pPr>
              <w:pStyle w:val="TableParagraph"/>
              <w:spacing w:before="1"/>
              <w:rPr>
                <w:sz w:val="24"/>
              </w:rPr>
            </w:pPr>
          </w:p>
          <w:p w:rsidR="001C5E4E" w:rsidRDefault="003E09C0">
            <w:pPr>
              <w:pStyle w:val="TableParagraph"/>
              <w:ind w:right="106"/>
              <w:jc w:val="right"/>
              <w:rPr>
                <w:b/>
              </w:rPr>
            </w:pPr>
            <w:r>
              <w:rPr>
                <w:b/>
              </w:rPr>
              <w:t>Clause Z28</w:t>
            </w:r>
          </w:p>
        </w:tc>
        <w:tc>
          <w:tcPr>
            <w:tcW w:w="7182" w:type="dxa"/>
          </w:tcPr>
          <w:p w:rsidR="001C5E4E" w:rsidRDefault="001C5E4E">
            <w:pPr>
              <w:pStyle w:val="TableParagraph"/>
              <w:spacing w:before="1"/>
              <w:rPr>
                <w:sz w:val="24"/>
              </w:rPr>
            </w:pPr>
          </w:p>
          <w:p w:rsidR="001C5E4E" w:rsidRDefault="003E09C0">
            <w:pPr>
              <w:pStyle w:val="TableParagraph"/>
              <w:ind w:left="144"/>
              <w:rPr>
                <w:b/>
              </w:rPr>
            </w:pPr>
            <w:r>
              <w:rPr>
                <w:b/>
              </w:rPr>
              <w:t>Transfer of Undertakings (Protection of Employment) Regulations 2006</w:t>
            </w:r>
          </w:p>
          <w:p w:rsidR="001C5E4E" w:rsidRDefault="003E09C0">
            <w:pPr>
              <w:pStyle w:val="TableParagraph"/>
              <w:spacing w:before="1"/>
              <w:ind w:left="106"/>
              <w:rPr>
                <w:b/>
              </w:rPr>
            </w:pPr>
            <w:r>
              <w:rPr>
                <w:b/>
              </w:rPr>
              <w:t>(“TUPE”) – Not Used</w:t>
            </w:r>
          </w:p>
        </w:tc>
      </w:tr>
      <w:tr w:rsidR="001C5E4E">
        <w:trPr>
          <w:trHeight w:val="2525"/>
        </w:trPr>
        <w:tc>
          <w:tcPr>
            <w:tcW w:w="1457" w:type="dxa"/>
          </w:tcPr>
          <w:p w:rsidR="001C5E4E" w:rsidRDefault="001C5E4E">
            <w:pPr>
              <w:pStyle w:val="TableParagraph"/>
              <w:rPr>
                <w:sz w:val="29"/>
              </w:rPr>
            </w:pPr>
          </w:p>
          <w:p w:rsidR="001C5E4E" w:rsidRDefault="003E09C0">
            <w:pPr>
              <w:pStyle w:val="TableParagraph"/>
              <w:ind w:right="104"/>
              <w:jc w:val="right"/>
              <w:rPr>
                <w:b/>
              </w:rPr>
            </w:pPr>
            <w:r>
              <w:rPr>
                <w:b/>
              </w:rPr>
              <w:t>Clause Z29</w:t>
            </w:r>
          </w:p>
        </w:tc>
        <w:tc>
          <w:tcPr>
            <w:tcW w:w="7182" w:type="dxa"/>
          </w:tcPr>
          <w:p w:rsidR="001C5E4E" w:rsidRDefault="001C5E4E">
            <w:pPr>
              <w:pStyle w:val="TableParagraph"/>
              <w:rPr>
                <w:sz w:val="29"/>
              </w:rPr>
            </w:pPr>
          </w:p>
          <w:p w:rsidR="001C5E4E" w:rsidRDefault="003E09C0">
            <w:pPr>
              <w:pStyle w:val="TableParagraph"/>
              <w:ind w:left="106"/>
              <w:jc w:val="both"/>
              <w:rPr>
                <w:b/>
              </w:rPr>
            </w:pPr>
            <w:r>
              <w:rPr>
                <w:b/>
              </w:rPr>
              <w:t>Extension of the contract</w:t>
            </w:r>
          </w:p>
          <w:p w:rsidR="001C5E4E" w:rsidRDefault="003E09C0">
            <w:pPr>
              <w:pStyle w:val="TableParagraph"/>
              <w:spacing w:before="120"/>
              <w:ind w:left="106" w:right="353"/>
              <w:jc w:val="both"/>
            </w:pPr>
            <w:r>
              <w:t xml:space="preserve">Z29.1 </w:t>
            </w:r>
            <w:r>
              <w:rPr>
                <w:spacing w:val="-3"/>
              </w:rPr>
              <w:t xml:space="preserve">The </w:t>
            </w:r>
            <w:r>
              <w:rPr>
                <w:i/>
                <w:spacing w:val="-3"/>
              </w:rPr>
              <w:t xml:space="preserve">Employer </w:t>
            </w:r>
            <w:r>
              <w:t xml:space="preserve">may </w:t>
            </w:r>
            <w:r>
              <w:rPr>
                <w:spacing w:val="-3"/>
              </w:rPr>
              <w:t xml:space="preserve">notify </w:t>
            </w:r>
            <w:r>
              <w:rPr>
                <w:spacing w:val="-2"/>
              </w:rPr>
              <w:t xml:space="preserve">the </w:t>
            </w:r>
            <w:r>
              <w:rPr>
                <w:i/>
                <w:spacing w:val="-3"/>
              </w:rPr>
              <w:t xml:space="preserve">Consultant </w:t>
            </w:r>
            <w:r>
              <w:rPr>
                <w:spacing w:val="-3"/>
              </w:rPr>
              <w:t xml:space="preserve">that </w:t>
            </w:r>
            <w:r>
              <w:rPr>
                <w:spacing w:val="-2"/>
              </w:rPr>
              <w:t xml:space="preserve">the </w:t>
            </w:r>
            <w:r>
              <w:rPr>
                <w:i/>
                <w:spacing w:val="-3"/>
              </w:rPr>
              <w:t xml:space="preserve">Completion </w:t>
            </w:r>
            <w:r>
              <w:rPr>
                <w:i/>
              </w:rPr>
              <w:t xml:space="preserve">Date </w:t>
            </w:r>
            <w:r>
              <w:t xml:space="preserve">is to be </w:t>
            </w:r>
            <w:r>
              <w:rPr>
                <w:spacing w:val="-3"/>
              </w:rPr>
              <w:t xml:space="preserve">three </w:t>
            </w:r>
            <w:r>
              <w:t xml:space="preserve">years from </w:t>
            </w:r>
            <w:r>
              <w:rPr>
                <w:spacing w:val="-2"/>
              </w:rPr>
              <w:t xml:space="preserve">the </w:t>
            </w:r>
            <w:r>
              <w:rPr>
                <w:spacing w:val="-3"/>
              </w:rPr>
              <w:t xml:space="preserve">contract start date </w:t>
            </w:r>
            <w:r>
              <w:t>(30</w:t>
            </w:r>
            <w:r>
              <w:rPr>
                <w:vertAlign w:val="superscript"/>
              </w:rPr>
              <w:t>th</w:t>
            </w:r>
            <w:r>
              <w:t xml:space="preserve"> </w:t>
            </w:r>
            <w:r>
              <w:rPr>
                <w:spacing w:val="-3"/>
              </w:rPr>
              <w:t xml:space="preserve">April </w:t>
            </w:r>
            <w:r>
              <w:t xml:space="preserve">2024) or </w:t>
            </w:r>
            <w:r>
              <w:rPr>
                <w:spacing w:val="-3"/>
              </w:rPr>
              <w:t xml:space="preserve">plus </w:t>
            </w:r>
            <w:r>
              <w:rPr>
                <w:spacing w:val="-2"/>
              </w:rPr>
              <w:t xml:space="preserve">one </w:t>
            </w:r>
            <w:r>
              <w:t xml:space="preserve">year </w:t>
            </w:r>
            <w:r>
              <w:rPr>
                <w:spacing w:val="-3"/>
              </w:rPr>
              <w:t>(30</w:t>
            </w:r>
            <w:r>
              <w:rPr>
                <w:spacing w:val="-3"/>
                <w:vertAlign w:val="superscript"/>
              </w:rPr>
              <w:t>th</w:t>
            </w:r>
            <w:r>
              <w:rPr>
                <w:spacing w:val="-3"/>
              </w:rPr>
              <w:t xml:space="preserve"> April </w:t>
            </w:r>
            <w:r>
              <w:t xml:space="preserve">2025) or </w:t>
            </w:r>
            <w:r>
              <w:rPr>
                <w:spacing w:val="-3"/>
              </w:rPr>
              <w:t xml:space="preserve">plus </w:t>
            </w:r>
            <w:r>
              <w:rPr>
                <w:spacing w:val="-2"/>
              </w:rPr>
              <w:t xml:space="preserve">one </w:t>
            </w:r>
            <w:r>
              <w:t>year (30</w:t>
            </w:r>
            <w:r>
              <w:rPr>
                <w:vertAlign w:val="superscript"/>
              </w:rPr>
              <w:t>th</w:t>
            </w:r>
            <w:r>
              <w:t xml:space="preserve"> </w:t>
            </w:r>
            <w:r>
              <w:rPr>
                <w:spacing w:val="-3"/>
              </w:rPr>
              <w:t xml:space="preserve">April </w:t>
            </w:r>
            <w:r>
              <w:t>2026)</w:t>
            </w:r>
          </w:p>
          <w:p w:rsidR="001C5E4E" w:rsidRDefault="003E09C0">
            <w:pPr>
              <w:pStyle w:val="TableParagraph"/>
              <w:spacing w:before="119"/>
              <w:ind w:left="106" w:right="285"/>
              <w:jc w:val="both"/>
            </w:pPr>
            <w:r>
              <w:t xml:space="preserve">Z29.2 </w:t>
            </w:r>
            <w:r>
              <w:rPr>
                <w:spacing w:val="-3"/>
              </w:rPr>
              <w:t xml:space="preserve">The </w:t>
            </w:r>
            <w:r>
              <w:rPr>
                <w:i/>
                <w:spacing w:val="-3"/>
              </w:rPr>
              <w:t xml:space="preserve">Employer </w:t>
            </w:r>
            <w:r>
              <w:rPr>
                <w:spacing w:val="-3"/>
              </w:rPr>
              <w:t xml:space="preserve">must notify </w:t>
            </w:r>
            <w:r>
              <w:rPr>
                <w:spacing w:val="-2"/>
              </w:rPr>
              <w:t xml:space="preserve">the </w:t>
            </w:r>
            <w:r>
              <w:rPr>
                <w:i/>
                <w:spacing w:val="-3"/>
              </w:rPr>
              <w:t xml:space="preserve">Consultant </w:t>
            </w:r>
            <w:r>
              <w:rPr>
                <w:i/>
              </w:rPr>
              <w:t xml:space="preserve">of a </w:t>
            </w:r>
            <w:r>
              <w:rPr>
                <w:i/>
                <w:spacing w:val="-3"/>
              </w:rPr>
              <w:t xml:space="preserve">change </w:t>
            </w:r>
            <w:r>
              <w:rPr>
                <w:i/>
              </w:rPr>
              <w:t xml:space="preserve">to </w:t>
            </w:r>
            <w:r>
              <w:rPr>
                <w:i/>
                <w:spacing w:val="-2"/>
              </w:rPr>
              <w:t xml:space="preserve">the </w:t>
            </w:r>
            <w:r>
              <w:rPr>
                <w:i/>
                <w:spacing w:val="-3"/>
              </w:rPr>
              <w:t xml:space="preserve">Completion </w:t>
            </w:r>
            <w:r>
              <w:rPr>
                <w:i/>
              </w:rPr>
              <w:t xml:space="preserve">Date </w:t>
            </w:r>
            <w:r>
              <w:t xml:space="preserve">with a </w:t>
            </w:r>
            <w:r>
              <w:rPr>
                <w:spacing w:val="-3"/>
              </w:rPr>
              <w:t xml:space="preserve">minimum </w:t>
            </w:r>
            <w:r>
              <w:t xml:space="preserve">of 3 </w:t>
            </w:r>
            <w:r>
              <w:rPr>
                <w:spacing w:val="-3"/>
              </w:rPr>
              <w:t>months notice.</w:t>
            </w:r>
          </w:p>
        </w:tc>
      </w:tr>
      <w:tr w:rsidR="001C5E4E">
        <w:trPr>
          <w:trHeight w:val="1202"/>
        </w:trPr>
        <w:tc>
          <w:tcPr>
            <w:tcW w:w="1457" w:type="dxa"/>
          </w:tcPr>
          <w:p w:rsidR="001C5E4E" w:rsidRDefault="001C5E4E">
            <w:pPr>
              <w:pStyle w:val="TableParagraph"/>
              <w:spacing w:before="11"/>
            </w:pPr>
          </w:p>
          <w:p w:rsidR="001C5E4E" w:rsidRDefault="003E09C0">
            <w:pPr>
              <w:pStyle w:val="TableParagraph"/>
              <w:ind w:left="200"/>
              <w:rPr>
                <w:b/>
              </w:rPr>
            </w:pPr>
            <w:r>
              <w:rPr>
                <w:b/>
              </w:rPr>
              <w:t>Clause Z30</w:t>
            </w:r>
          </w:p>
        </w:tc>
        <w:tc>
          <w:tcPr>
            <w:tcW w:w="7182" w:type="dxa"/>
          </w:tcPr>
          <w:p w:rsidR="001C5E4E" w:rsidRDefault="001C5E4E">
            <w:pPr>
              <w:pStyle w:val="TableParagraph"/>
              <w:spacing w:before="11"/>
            </w:pPr>
          </w:p>
          <w:p w:rsidR="001C5E4E" w:rsidRDefault="003E09C0">
            <w:pPr>
              <w:pStyle w:val="TableParagraph"/>
              <w:ind w:left="106"/>
              <w:rPr>
                <w:b/>
              </w:rPr>
            </w:pPr>
            <w:r>
              <w:rPr>
                <w:b/>
              </w:rPr>
              <w:t xml:space="preserve">Changes to </w:t>
            </w:r>
            <w:r>
              <w:rPr>
                <w:b/>
                <w:i/>
              </w:rPr>
              <w:t xml:space="preserve">staff rates </w:t>
            </w:r>
            <w:r>
              <w:rPr>
                <w:b/>
              </w:rPr>
              <w:t>and Subconsultants</w:t>
            </w:r>
          </w:p>
          <w:p w:rsidR="001C5E4E" w:rsidRDefault="003E09C0">
            <w:pPr>
              <w:pStyle w:val="TableParagraph"/>
              <w:tabs>
                <w:tab w:val="left" w:pos="826"/>
              </w:tabs>
              <w:spacing w:before="119" w:line="270" w:lineRule="atLeast"/>
              <w:ind w:left="106" w:right="294"/>
            </w:pPr>
            <w:r>
              <w:t>Z30.1</w:t>
            </w:r>
            <w:r>
              <w:tab/>
            </w:r>
            <w:r>
              <w:rPr>
                <w:spacing w:val="-3"/>
              </w:rPr>
              <w:t xml:space="preserve">When </w:t>
            </w:r>
            <w:r>
              <w:rPr>
                <w:spacing w:val="-2"/>
              </w:rPr>
              <w:t xml:space="preserve">the </w:t>
            </w:r>
            <w:r>
              <w:rPr>
                <w:i/>
                <w:spacing w:val="-3"/>
              </w:rPr>
              <w:t xml:space="preserve">Consultant </w:t>
            </w:r>
            <w:r>
              <w:rPr>
                <w:spacing w:val="-3"/>
              </w:rPr>
              <w:t xml:space="preserve">proposes </w:t>
            </w:r>
            <w:r>
              <w:t xml:space="preserve">a </w:t>
            </w:r>
            <w:r>
              <w:rPr>
                <w:spacing w:val="-3"/>
              </w:rPr>
              <w:t xml:space="preserve">revision </w:t>
            </w:r>
            <w:r>
              <w:t xml:space="preserve">to an </w:t>
            </w:r>
            <w:r>
              <w:rPr>
                <w:spacing w:val="-3"/>
              </w:rPr>
              <w:t xml:space="preserve">existing </w:t>
            </w:r>
            <w:r>
              <w:rPr>
                <w:i/>
                <w:spacing w:val="-3"/>
              </w:rPr>
              <w:t xml:space="preserve">staff </w:t>
            </w:r>
            <w:r>
              <w:rPr>
                <w:i/>
              </w:rPr>
              <w:t xml:space="preserve">rate </w:t>
            </w:r>
            <w:r>
              <w:t xml:space="preserve">or a </w:t>
            </w:r>
            <w:r>
              <w:rPr>
                <w:spacing w:val="-2"/>
              </w:rPr>
              <w:t xml:space="preserve">new </w:t>
            </w:r>
            <w:r>
              <w:rPr>
                <w:i/>
                <w:spacing w:val="-3"/>
              </w:rPr>
              <w:t xml:space="preserve">staff </w:t>
            </w:r>
            <w:r>
              <w:rPr>
                <w:i/>
              </w:rPr>
              <w:t>rate</w:t>
            </w:r>
            <w:r>
              <w:t xml:space="preserve">, </w:t>
            </w:r>
            <w:r>
              <w:rPr>
                <w:spacing w:val="-2"/>
              </w:rPr>
              <w:t xml:space="preserve">the </w:t>
            </w:r>
            <w:r>
              <w:rPr>
                <w:spacing w:val="-3"/>
              </w:rPr>
              <w:t xml:space="preserve">proposal </w:t>
            </w:r>
            <w:r>
              <w:t xml:space="preserve">is </w:t>
            </w:r>
            <w:r>
              <w:rPr>
                <w:spacing w:val="-3"/>
              </w:rPr>
              <w:t xml:space="preserve">accompanied </w:t>
            </w:r>
            <w:r>
              <w:t xml:space="preserve">by a </w:t>
            </w:r>
            <w:r>
              <w:rPr>
                <w:spacing w:val="-3"/>
              </w:rPr>
              <w:t xml:space="preserve">certificate </w:t>
            </w:r>
            <w:r>
              <w:t>from</w:t>
            </w:r>
            <w:r>
              <w:rPr>
                <w:spacing w:val="-32"/>
              </w:rPr>
              <w:t xml:space="preserve"> </w:t>
            </w:r>
            <w:r>
              <w:rPr>
                <w:spacing w:val="-2"/>
              </w:rPr>
              <w:t>the</w:t>
            </w:r>
          </w:p>
        </w:tc>
      </w:tr>
    </w:tbl>
    <w:p w:rsidR="001C5E4E" w:rsidRDefault="001C5E4E">
      <w:pPr>
        <w:spacing w:line="270" w:lineRule="atLeast"/>
        <w:sectPr w:rsidR="001C5E4E">
          <w:pgSz w:w="11910" w:h="16850"/>
          <w:pgMar w:top="1400" w:right="620" w:bottom="1080" w:left="940" w:header="1112" w:footer="892" w:gutter="0"/>
          <w:cols w:space="720"/>
        </w:sectPr>
      </w:pPr>
    </w:p>
    <w:p w:rsidR="001C5E4E" w:rsidRDefault="001C5E4E">
      <w:pPr>
        <w:pStyle w:val="BodyText"/>
        <w:spacing w:before="7"/>
      </w:pPr>
    </w:p>
    <w:p w:rsidR="001C5E4E" w:rsidRDefault="003E09C0">
      <w:pPr>
        <w:pStyle w:val="BodyText"/>
        <w:spacing w:before="56"/>
        <w:ind w:left="2538" w:right="1051"/>
      </w:pPr>
      <w:r>
        <w:rPr>
          <w:i/>
          <w:spacing w:val="-3"/>
        </w:rPr>
        <w:t xml:space="preserve">Consultant’s </w:t>
      </w:r>
      <w:r>
        <w:t xml:space="preserve">(or if </w:t>
      </w:r>
      <w:r>
        <w:rPr>
          <w:spacing w:val="-3"/>
        </w:rPr>
        <w:t xml:space="preserve">appropriate Consortium Member’s) Chief Financial Officer </w:t>
      </w:r>
      <w:r>
        <w:t xml:space="preserve">or </w:t>
      </w:r>
      <w:r>
        <w:rPr>
          <w:spacing w:val="-3"/>
        </w:rPr>
        <w:t xml:space="preserve">Director </w:t>
      </w:r>
      <w:r>
        <w:t xml:space="preserve">of </w:t>
      </w:r>
      <w:r>
        <w:rPr>
          <w:spacing w:val="-3"/>
        </w:rPr>
        <w:t xml:space="preserve">Finance </w:t>
      </w:r>
      <w:r>
        <w:t xml:space="preserve">(or </w:t>
      </w:r>
      <w:r>
        <w:rPr>
          <w:spacing w:val="-3"/>
        </w:rPr>
        <w:t xml:space="preserve">an equivalent officer authorised </w:t>
      </w:r>
      <w:r>
        <w:t xml:space="preserve">to </w:t>
      </w:r>
      <w:r>
        <w:rPr>
          <w:spacing w:val="-3"/>
        </w:rPr>
        <w:t xml:space="preserve">bind </w:t>
      </w:r>
      <w:r>
        <w:rPr>
          <w:spacing w:val="-2"/>
        </w:rPr>
        <w:t xml:space="preserve">the </w:t>
      </w:r>
      <w:r>
        <w:rPr>
          <w:i/>
          <w:spacing w:val="-3"/>
        </w:rPr>
        <w:t xml:space="preserve">Consultant </w:t>
      </w:r>
      <w:r>
        <w:t xml:space="preserve">and </w:t>
      </w:r>
      <w:r>
        <w:rPr>
          <w:spacing w:val="-3"/>
        </w:rPr>
        <w:t xml:space="preserve">agreed </w:t>
      </w:r>
      <w:r>
        <w:t xml:space="preserve">by the </w:t>
      </w:r>
      <w:r>
        <w:rPr>
          <w:i/>
          <w:spacing w:val="-3"/>
        </w:rPr>
        <w:t xml:space="preserve">Employer </w:t>
      </w:r>
      <w:r>
        <w:rPr>
          <w:spacing w:val="-3"/>
        </w:rPr>
        <w:t xml:space="preserve">before </w:t>
      </w:r>
      <w:r>
        <w:rPr>
          <w:spacing w:val="-2"/>
        </w:rPr>
        <w:t xml:space="preserve">the </w:t>
      </w:r>
      <w:r>
        <w:rPr>
          <w:spacing w:val="-3"/>
        </w:rPr>
        <w:t xml:space="preserve">proposal </w:t>
      </w:r>
      <w:r>
        <w:t xml:space="preserve">is </w:t>
      </w:r>
      <w:r>
        <w:rPr>
          <w:spacing w:val="-3"/>
        </w:rPr>
        <w:t xml:space="preserve">issued) confirming that </w:t>
      </w:r>
      <w:r>
        <w:rPr>
          <w:spacing w:val="-2"/>
        </w:rPr>
        <w:t xml:space="preserve">the </w:t>
      </w:r>
      <w:r>
        <w:rPr>
          <w:spacing w:val="-3"/>
        </w:rPr>
        <w:t>proposal</w:t>
      </w:r>
    </w:p>
    <w:p w:rsidR="001C5E4E" w:rsidRDefault="003E09C0">
      <w:pPr>
        <w:pStyle w:val="ListParagraph"/>
        <w:numPr>
          <w:ilvl w:val="0"/>
          <w:numId w:val="23"/>
        </w:numPr>
        <w:tabs>
          <w:tab w:val="left" w:pos="3258"/>
          <w:tab w:val="left" w:pos="3259"/>
        </w:tabs>
        <w:spacing w:before="118"/>
        <w:ind w:left="3258"/>
      </w:pPr>
      <w:r>
        <w:t xml:space="preserve">is </w:t>
      </w:r>
      <w:r>
        <w:rPr>
          <w:spacing w:val="-3"/>
        </w:rPr>
        <w:t xml:space="preserve">accurate and </w:t>
      </w:r>
      <w:r>
        <w:rPr>
          <w:spacing w:val="-2"/>
        </w:rPr>
        <w:t>not</w:t>
      </w:r>
      <w:r>
        <w:rPr>
          <w:spacing w:val="-12"/>
        </w:rPr>
        <w:t xml:space="preserve"> </w:t>
      </w:r>
      <w:r>
        <w:rPr>
          <w:spacing w:val="-3"/>
        </w:rPr>
        <w:t>misleading,</w:t>
      </w:r>
    </w:p>
    <w:p w:rsidR="001C5E4E" w:rsidRDefault="003E09C0">
      <w:pPr>
        <w:pStyle w:val="ListParagraph"/>
        <w:numPr>
          <w:ilvl w:val="0"/>
          <w:numId w:val="23"/>
        </w:numPr>
        <w:tabs>
          <w:tab w:val="left" w:pos="3258"/>
          <w:tab w:val="left" w:pos="3259"/>
        </w:tabs>
        <w:spacing w:before="121"/>
        <w:ind w:right="1074" w:firstLine="0"/>
      </w:pPr>
      <w:r>
        <w:rPr>
          <w:spacing w:val="-3"/>
        </w:rPr>
        <w:t xml:space="preserve">has </w:t>
      </w:r>
      <w:r>
        <w:t xml:space="preserve">been </w:t>
      </w:r>
      <w:r>
        <w:rPr>
          <w:spacing w:val="-3"/>
        </w:rPr>
        <w:t xml:space="preserve">prepared </w:t>
      </w:r>
      <w:r>
        <w:t xml:space="preserve">in </w:t>
      </w:r>
      <w:r>
        <w:rPr>
          <w:spacing w:val="-3"/>
        </w:rPr>
        <w:t xml:space="preserve">conformity </w:t>
      </w:r>
      <w:r>
        <w:t xml:space="preserve">with </w:t>
      </w:r>
      <w:r>
        <w:rPr>
          <w:spacing w:val="-3"/>
        </w:rPr>
        <w:t xml:space="preserve">generally accepted accounting principles within </w:t>
      </w:r>
      <w:r>
        <w:rPr>
          <w:spacing w:val="-2"/>
        </w:rPr>
        <w:t xml:space="preserve">the </w:t>
      </w:r>
      <w:r>
        <w:rPr>
          <w:spacing w:val="-3"/>
        </w:rPr>
        <w:t>United</w:t>
      </w:r>
      <w:r>
        <w:rPr>
          <w:spacing w:val="-8"/>
        </w:rPr>
        <w:t xml:space="preserve"> </w:t>
      </w:r>
      <w:r>
        <w:rPr>
          <w:spacing w:val="-3"/>
        </w:rPr>
        <w:t>Kingdom,</w:t>
      </w:r>
    </w:p>
    <w:p w:rsidR="001C5E4E" w:rsidRDefault="003E09C0">
      <w:pPr>
        <w:pStyle w:val="ListParagraph"/>
        <w:numPr>
          <w:ilvl w:val="0"/>
          <w:numId w:val="23"/>
        </w:numPr>
        <w:tabs>
          <w:tab w:val="left" w:pos="3258"/>
          <w:tab w:val="left" w:pos="3259"/>
        </w:tabs>
        <w:spacing w:before="120"/>
        <w:ind w:left="3258"/>
      </w:pPr>
      <w:r>
        <w:t xml:space="preserve">is a </w:t>
      </w:r>
      <w:r>
        <w:rPr>
          <w:spacing w:val="-3"/>
        </w:rPr>
        <w:t xml:space="preserve">true and fair reflection </w:t>
      </w:r>
      <w:r>
        <w:t xml:space="preserve">of </w:t>
      </w:r>
      <w:r>
        <w:rPr>
          <w:spacing w:val="-2"/>
        </w:rPr>
        <w:t xml:space="preserve">the </w:t>
      </w:r>
      <w:r>
        <w:rPr>
          <w:spacing w:val="-3"/>
        </w:rPr>
        <w:t>information included within</w:t>
      </w:r>
      <w:r>
        <w:rPr>
          <w:spacing w:val="-22"/>
        </w:rPr>
        <w:t xml:space="preserve"> </w:t>
      </w:r>
      <w:r>
        <w:rPr>
          <w:spacing w:val="-2"/>
        </w:rPr>
        <w:t>the</w:t>
      </w:r>
    </w:p>
    <w:p w:rsidR="001C5E4E" w:rsidRDefault="003E09C0">
      <w:pPr>
        <w:ind w:left="2538"/>
        <w:rPr>
          <w:i/>
        </w:rPr>
      </w:pPr>
      <w:r>
        <w:rPr>
          <w:i/>
        </w:rPr>
        <w:t>Consultant’s</w:t>
      </w:r>
    </w:p>
    <w:p w:rsidR="001C5E4E" w:rsidRDefault="003E09C0">
      <w:pPr>
        <w:pStyle w:val="ListParagraph"/>
        <w:numPr>
          <w:ilvl w:val="0"/>
          <w:numId w:val="23"/>
        </w:numPr>
        <w:tabs>
          <w:tab w:val="left" w:pos="3258"/>
          <w:tab w:val="left" w:pos="3259"/>
        </w:tabs>
        <w:spacing w:before="121"/>
        <w:ind w:left="3258"/>
      </w:pPr>
      <w:r>
        <w:rPr>
          <w:spacing w:val="-3"/>
        </w:rPr>
        <w:t>books,</w:t>
      </w:r>
    </w:p>
    <w:p w:rsidR="001C5E4E" w:rsidRDefault="003E09C0">
      <w:pPr>
        <w:pStyle w:val="ListParagraph"/>
        <w:numPr>
          <w:ilvl w:val="0"/>
          <w:numId w:val="23"/>
        </w:numPr>
        <w:tabs>
          <w:tab w:val="left" w:pos="3258"/>
          <w:tab w:val="left" w:pos="3259"/>
        </w:tabs>
        <w:spacing w:before="121"/>
        <w:ind w:left="3258"/>
      </w:pPr>
      <w:r>
        <w:rPr>
          <w:spacing w:val="-3"/>
        </w:rPr>
        <w:t>management and statutory accounts</w:t>
      </w:r>
      <w:r>
        <w:rPr>
          <w:spacing w:val="-10"/>
        </w:rPr>
        <w:t xml:space="preserve"> </w:t>
      </w:r>
      <w:r>
        <w:rPr>
          <w:spacing w:val="-3"/>
        </w:rPr>
        <w:t>and</w:t>
      </w:r>
    </w:p>
    <w:p w:rsidR="001C5E4E" w:rsidRDefault="003E09C0">
      <w:pPr>
        <w:pStyle w:val="ListParagraph"/>
        <w:numPr>
          <w:ilvl w:val="0"/>
          <w:numId w:val="23"/>
        </w:numPr>
        <w:tabs>
          <w:tab w:val="left" w:pos="3258"/>
          <w:tab w:val="left" w:pos="3259"/>
        </w:tabs>
        <w:spacing w:before="120"/>
        <w:ind w:left="3258"/>
      </w:pPr>
      <w:r>
        <w:t xml:space="preserve">other </w:t>
      </w:r>
      <w:r>
        <w:rPr>
          <w:spacing w:val="-3"/>
        </w:rPr>
        <w:t>documents and records</w:t>
      </w:r>
      <w:r>
        <w:rPr>
          <w:spacing w:val="-14"/>
        </w:rPr>
        <w:t xml:space="preserve"> </w:t>
      </w:r>
      <w:r>
        <w:rPr>
          <w:spacing w:val="-3"/>
        </w:rPr>
        <w:t>and</w:t>
      </w:r>
    </w:p>
    <w:p w:rsidR="001C5E4E" w:rsidRDefault="003E09C0">
      <w:pPr>
        <w:pStyle w:val="ListParagraph"/>
        <w:numPr>
          <w:ilvl w:val="0"/>
          <w:numId w:val="23"/>
        </w:numPr>
        <w:tabs>
          <w:tab w:val="left" w:pos="3306"/>
          <w:tab w:val="left" w:pos="3307"/>
        </w:tabs>
        <w:spacing w:before="118"/>
        <w:ind w:left="3306" w:hanging="769"/>
      </w:pPr>
      <w:r>
        <w:rPr>
          <w:spacing w:val="-3"/>
        </w:rPr>
        <w:t xml:space="preserve">complies </w:t>
      </w:r>
      <w:r>
        <w:t xml:space="preserve">with </w:t>
      </w:r>
      <w:r>
        <w:rPr>
          <w:spacing w:val="-3"/>
        </w:rPr>
        <w:t>this</w:t>
      </w:r>
      <w:r>
        <w:rPr>
          <w:spacing w:val="-12"/>
        </w:rPr>
        <w:t xml:space="preserve"> </w:t>
      </w:r>
      <w:r>
        <w:rPr>
          <w:spacing w:val="-3"/>
        </w:rPr>
        <w:t>contract.</w:t>
      </w:r>
    </w:p>
    <w:p w:rsidR="001C5E4E" w:rsidRDefault="003E09C0">
      <w:pPr>
        <w:pStyle w:val="BodyText"/>
        <w:tabs>
          <w:tab w:val="left" w:pos="3258"/>
        </w:tabs>
        <w:spacing w:before="120"/>
        <w:ind w:left="2538" w:right="997"/>
      </w:pPr>
      <w:r>
        <w:t>Z30.2</w:t>
      </w:r>
      <w:r>
        <w:tab/>
        <w:t xml:space="preserve">If a </w:t>
      </w:r>
      <w:r>
        <w:rPr>
          <w:spacing w:val="-3"/>
        </w:rPr>
        <w:t xml:space="preserve">Subconsultant wishes </w:t>
      </w:r>
      <w:r>
        <w:t xml:space="preserve">to </w:t>
      </w:r>
      <w:r>
        <w:rPr>
          <w:spacing w:val="-3"/>
        </w:rPr>
        <w:t xml:space="preserve">propose revisions to </w:t>
      </w:r>
      <w:r>
        <w:t xml:space="preserve">an </w:t>
      </w:r>
      <w:r>
        <w:rPr>
          <w:spacing w:val="-3"/>
        </w:rPr>
        <w:t xml:space="preserve">existing staff </w:t>
      </w:r>
      <w:r>
        <w:t xml:space="preserve">rate or a </w:t>
      </w:r>
      <w:r>
        <w:rPr>
          <w:spacing w:val="-2"/>
        </w:rPr>
        <w:t xml:space="preserve">new </w:t>
      </w:r>
      <w:r>
        <w:rPr>
          <w:spacing w:val="-3"/>
        </w:rPr>
        <w:t xml:space="preserve">staff </w:t>
      </w:r>
      <w:r>
        <w:t xml:space="preserve">rate </w:t>
      </w:r>
      <w:r>
        <w:rPr>
          <w:spacing w:val="-3"/>
        </w:rPr>
        <w:t xml:space="preserve">and </w:t>
      </w:r>
      <w:r>
        <w:rPr>
          <w:spacing w:val="-2"/>
        </w:rPr>
        <w:t xml:space="preserve">the </w:t>
      </w:r>
      <w:r>
        <w:rPr>
          <w:i/>
          <w:spacing w:val="-3"/>
        </w:rPr>
        <w:t xml:space="preserve">Consultant </w:t>
      </w:r>
      <w:r>
        <w:rPr>
          <w:spacing w:val="-3"/>
        </w:rPr>
        <w:t xml:space="preserve">considers </w:t>
      </w:r>
      <w:r>
        <w:t xml:space="preserve">that, in </w:t>
      </w:r>
      <w:r>
        <w:rPr>
          <w:spacing w:val="-3"/>
        </w:rPr>
        <w:t xml:space="preserve">order </w:t>
      </w:r>
      <w:r>
        <w:t xml:space="preserve">to </w:t>
      </w:r>
      <w:r>
        <w:rPr>
          <w:spacing w:val="-3"/>
        </w:rPr>
        <w:t xml:space="preserve">comply </w:t>
      </w:r>
      <w:r>
        <w:t xml:space="preserve">with </w:t>
      </w:r>
      <w:r>
        <w:rPr>
          <w:spacing w:val="-3"/>
        </w:rPr>
        <w:t xml:space="preserve">any </w:t>
      </w:r>
      <w:r>
        <w:t xml:space="preserve">law, </w:t>
      </w:r>
      <w:r>
        <w:rPr>
          <w:spacing w:val="-2"/>
        </w:rPr>
        <w:t xml:space="preserve">the </w:t>
      </w:r>
      <w:r>
        <w:rPr>
          <w:spacing w:val="-3"/>
        </w:rPr>
        <w:t xml:space="preserve">Subconsultant should submit </w:t>
      </w:r>
      <w:r>
        <w:t xml:space="preserve">its </w:t>
      </w:r>
      <w:r>
        <w:rPr>
          <w:spacing w:val="-3"/>
        </w:rPr>
        <w:t xml:space="preserve">proposal directly </w:t>
      </w:r>
      <w:r>
        <w:t xml:space="preserve">to </w:t>
      </w:r>
      <w:r>
        <w:rPr>
          <w:spacing w:val="-2"/>
        </w:rPr>
        <w:t xml:space="preserve">the </w:t>
      </w:r>
      <w:r>
        <w:rPr>
          <w:i/>
          <w:spacing w:val="-3"/>
        </w:rPr>
        <w:t>Employer</w:t>
      </w:r>
      <w:r>
        <w:rPr>
          <w:spacing w:val="-3"/>
        </w:rPr>
        <w:t xml:space="preserve">, </w:t>
      </w:r>
      <w:r>
        <w:rPr>
          <w:spacing w:val="-2"/>
        </w:rPr>
        <w:t xml:space="preserve">the </w:t>
      </w:r>
      <w:r>
        <w:rPr>
          <w:i/>
          <w:spacing w:val="-3"/>
        </w:rPr>
        <w:t xml:space="preserve">Consultant </w:t>
      </w:r>
      <w:r>
        <w:rPr>
          <w:spacing w:val="-3"/>
        </w:rPr>
        <w:t xml:space="preserve">submits </w:t>
      </w:r>
      <w:r>
        <w:t xml:space="preserve">a </w:t>
      </w:r>
      <w:r>
        <w:rPr>
          <w:spacing w:val="-3"/>
        </w:rPr>
        <w:t xml:space="preserve">request </w:t>
      </w:r>
      <w:r>
        <w:t xml:space="preserve">to </w:t>
      </w:r>
      <w:r>
        <w:rPr>
          <w:spacing w:val="-3"/>
        </w:rPr>
        <w:t xml:space="preserve">that effect </w:t>
      </w:r>
      <w:r>
        <w:t xml:space="preserve">to </w:t>
      </w:r>
      <w:r>
        <w:rPr>
          <w:spacing w:val="-2"/>
        </w:rPr>
        <w:t xml:space="preserve">the </w:t>
      </w:r>
      <w:r>
        <w:rPr>
          <w:i/>
          <w:spacing w:val="-3"/>
        </w:rPr>
        <w:t xml:space="preserve">Employer </w:t>
      </w:r>
      <w:r>
        <w:t xml:space="preserve">for </w:t>
      </w:r>
      <w:r>
        <w:rPr>
          <w:spacing w:val="-3"/>
        </w:rPr>
        <w:t xml:space="preserve">acceptance. </w:t>
      </w:r>
      <w:r>
        <w:t xml:space="preserve">A </w:t>
      </w:r>
      <w:r>
        <w:rPr>
          <w:spacing w:val="-3"/>
        </w:rPr>
        <w:t xml:space="preserve">reason </w:t>
      </w:r>
      <w:r>
        <w:t xml:space="preserve">for </w:t>
      </w:r>
      <w:r>
        <w:rPr>
          <w:spacing w:val="-2"/>
        </w:rPr>
        <w:t xml:space="preserve">not </w:t>
      </w:r>
      <w:r>
        <w:rPr>
          <w:spacing w:val="-3"/>
        </w:rPr>
        <w:t xml:space="preserve">accepting </w:t>
      </w:r>
      <w:r>
        <w:rPr>
          <w:spacing w:val="-2"/>
        </w:rPr>
        <w:t xml:space="preserve">the </w:t>
      </w:r>
      <w:r>
        <w:rPr>
          <w:i/>
          <w:spacing w:val="-3"/>
        </w:rPr>
        <w:t xml:space="preserve">Consultant’s </w:t>
      </w:r>
      <w:r>
        <w:rPr>
          <w:spacing w:val="-3"/>
        </w:rPr>
        <w:t xml:space="preserve">request </w:t>
      </w:r>
      <w:r>
        <w:t xml:space="preserve">is </w:t>
      </w:r>
      <w:r>
        <w:rPr>
          <w:spacing w:val="-3"/>
        </w:rPr>
        <w:t xml:space="preserve">that </w:t>
      </w:r>
      <w:r>
        <w:rPr>
          <w:spacing w:val="-2"/>
        </w:rPr>
        <w:t xml:space="preserve">the </w:t>
      </w:r>
      <w:r>
        <w:t xml:space="preserve">law does </w:t>
      </w:r>
      <w:r>
        <w:rPr>
          <w:spacing w:val="-2"/>
        </w:rPr>
        <w:t xml:space="preserve">not </w:t>
      </w:r>
      <w:r>
        <w:rPr>
          <w:spacing w:val="-3"/>
        </w:rPr>
        <w:t xml:space="preserve">require </w:t>
      </w:r>
      <w:r>
        <w:rPr>
          <w:spacing w:val="-2"/>
        </w:rPr>
        <w:t xml:space="preserve">the </w:t>
      </w:r>
      <w:r>
        <w:rPr>
          <w:spacing w:val="-3"/>
        </w:rPr>
        <w:t xml:space="preserve">Subconsultant </w:t>
      </w:r>
      <w:r>
        <w:t xml:space="preserve">to </w:t>
      </w:r>
      <w:r>
        <w:rPr>
          <w:spacing w:val="-3"/>
        </w:rPr>
        <w:t xml:space="preserve">submit </w:t>
      </w:r>
      <w:r>
        <w:t xml:space="preserve">its </w:t>
      </w:r>
      <w:r>
        <w:rPr>
          <w:spacing w:val="-3"/>
        </w:rPr>
        <w:t xml:space="preserve">proposal directly </w:t>
      </w:r>
      <w:r>
        <w:t xml:space="preserve">to </w:t>
      </w:r>
      <w:r>
        <w:rPr>
          <w:spacing w:val="-2"/>
        </w:rPr>
        <w:t xml:space="preserve">the </w:t>
      </w:r>
      <w:r>
        <w:rPr>
          <w:i/>
          <w:spacing w:val="-3"/>
        </w:rPr>
        <w:t>Employer</w:t>
      </w:r>
      <w:r>
        <w:rPr>
          <w:spacing w:val="-3"/>
        </w:rPr>
        <w:t xml:space="preserve">. </w:t>
      </w:r>
      <w:r>
        <w:t xml:space="preserve">If </w:t>
      </w:r>
      <w:r>
        <w:rPr>
          <w:spacing w:val="-2"/>
        </w:rPr>
        <w:t xml:space="preserve">the </w:t>
      </w:r>
      <w:r>
        <w:rPr>
          <w:i/>
          <w:spacing w:val="-3"/>
        </w:rPr>
        <w:t xml:space="preserve">Employer </w:t>
      </w:r>
      <w:r>
        <w:rPr>
          <w:spacing w:val="-3"/>
        </w:rPr>
        <w:t xml:space="preserve">accepts </w:t>
      </w:r>
      <w:r>
        <w:rPr>
          <w:spacing w:val="-2"/>
        </w:rPr>
        <w:t xml:space="preserve">the </w:t>
      </w:r>
      <w:r>
        <w:rPr>
          <w:i/>
          <w:spacing w:val="-3"/>
        </w:rPr>
        <w:t xml:space="preserve">Consultant’s </w:t>
      </w:r>
      <w:r>
        <w:rPr>
          <w:spacing w:val="-3"/>
        </w:rPr>
        <w:t xml:space="preserve">request, </w:t>
      </w:r>
      <w:r>
        <w:rPr>
          <w:spacing w:val="-2"/>
        </w:rPr>
        <w:t xml:space="preserve">the </w:t>
      </w:r>
      <w:r>
        <w:rPr>
          <w:i/>
          <w:spacing w:val="-3"/>
        </w:rPr>
        <w:t xml:space="preserve">Consultant </w:t>
      </w:r>
      <w:r>
        <w:rPr>
          <w:spacing w:val="-3"/>
        </w:rPr>
        <w:t xml:space="preserve">directs </w:t>
      </w:r>
      <w:r>
        <w:rPr>
          <w:spacing w:val="-2"/>
        </w:rPr>
        <w:t xml:space="preserve">the </w:t>
      </w:r>
      <w:r>
        <w:rPr>
          <w:spacing w:val="-3"/>
        </w:rPr>
        <w:t xml:space="preserve">Subconsultant </w:t>
      </w:r>
      <w:r>
        <w:t xml:space="preserve">to </w:t>
      </w:r>
      <w:r>
        <w:rPr>
          <w:spacing w:val="-3"/>
        </w:rPr>
        <w:t xml:space="preserve">submit </w:t>
      </w:r>
      <w:r>
        <w:t xml:space="preserve">its </w:t>
      </w:r>
      <w:r>
        <w:rPr>
          <w:spacing w:val="-3"/>
        </w:rPr>
        <w:t xml:space="preserve">proposal directly </w:t>
      </w:r>
      <w:r>
        <w:t xml:space="preserve">to </w:t>
      </w:r>
      <w:r>
        <w:rPr>
          <w:spacing w:val="-2"/>
        </w:rPr>
        <w:t>the</w:t>
      </w:r>
      <w:r>
        <w:rPr>
          <w:spacing w:val="-7"/>
        </w:rPr>
        <w:t xml:space="preserve"> </w:t>
      </w:r>
      <w:r>
        <w:rPr>
          <w:i/>
          <w:spacing w:val="-3"/>
        </w:rPr>
        <w:t>Employer</w:t>
      </w:r>
      <w:r>
        <w:rPr>
          <w:spacing w:val="-3"/>
        </w:rPr>
        <w:t>.</w:t>
      </w:r>
    </w:p>
    <w:p w:rsidR="001C5E4E" w:rsidRDefault="003E09C0">
      <w:pPr>
        <w:pStyle w:val="BodyText"/>
        <w:tabs>
          <w:tab w:val="left" w:pos="3258"/>
        </w:tabs>
        <w:spacing w:before="119"/>
        <w:ind w:left="2538"/>
      </w:pPr>
      <w:r>
        <w:t>Z30.3</w:t>
      </w:r>
      <w:r>
        <w:tab/>
      </w:r>
      <w:r>
        <w:rPr>
          <w:spacing w:val="-3"/>
        </w:rPr>
        <w:t xml:space="preserve">Where, </w:t>
      </w:r>
      <w:r>
        <w:t xml:space="preserve">in </w:t>
      </w:r>
      <w:r>
        <w:rPr>
          <w:spacing w:val="-3"/>
        </w:rPr>
        <w:t xml:space="preserve">order </w:t>
      </w:r>
      <w:r>
        <w:t xml:space="preserve">to </w:t>
      </w:r>
      <w:r>
        <w:rPr>
          <w:spacing w:val="-3"/>
        </w:rPr>
        <w:t xml:space="preserve">verify </w:t>
      </w:r>
      <w:r>
        <w:t xml:space="preserve">an </w:t>
      </w:r>
      <w:r>
        <w:rPr>
          <w:spacing w:val="-3"/>
        </w:rPr>
        <w:t xml:space="preserve">invoice submitted </w:t>
      </w:r>
      <w:r>
        <w:t xml:space="preserve">by </w:t>
      </w:r>
      <w:r>
        <w:rPr>
          <w:spacing w:val="-2"/>
        </w:rPr>
        <w:t xml:space="preserve">the </w:t>
      </w:r>
      <w:r>
        <w:rPr>
          <w:i/>
          <w:spacing w:val="-4"/>
        </w:rPr>
        <w:t>Consultant</w:t>
      </w:r>
      <w:r>
        <w:rPr>
          <w:spacing w:val="-4"/>
        </w:rPr>
        <w:t>,</w:t>
      </w:r>
      <w:r>
        <w:rPr>
          <w:spacing w:val="-18"/>
        </w:rPr>
        <w:t xml:space="preserve"> </w:t>
      </w:r>
      <w:r>
        <w:rPr>
          <w:spacing w:val="-2"/>
        </w:rPr>
        <w:t>the</w:t>
      </w:r>
    </w:p>
    <w:p w:rsidR="001C5E4E" w:rsidRDefault="003E09C0">
      <w:pPr>
        <w:spacing w:before="1"/>
        <w:ind w:left="2538"/>
      </w:pPr>
      <w:r>
        <w:rPr>
          <w:i/>
        </w:rPr>
        <w:t xml:space="preserve">Employer </w:t>
      </w:r>
      <w:r>
        <w:t>requires a Subconsultant to provide</w:t>
      </w:r>
    </w:p>
    <w:p w:rsidR="001C5E4E" w:rsidRDefault="003E09C0">
      <w:pPr>
        <w:pStyle w:val="ListParagraph"/>
        <w:numPr>
          <w:ilvl w:val="0"/>
          <w:numId w:val="23"/>
        </w:numPr>
        <w:tabs>
          <w:tab w:val="left" w:pos="3258"/>
          <w:tab w:val="left" w:pos="3259"/>
        </w:tabs>
        <w:spacing w:before="120"/>
        <w:ind w:left="3258"/>
      </w:pPr>
      <w:r>
        <w:rPr>
          <w:spacing w:val="-3"/>
        </w:rPr>
        <w:t xml:space="preserve">records </w:t>
      </w:r>
      <w:r>
        <w:t xml:space="preserve">of </w:t>
      </w:r>
      <w:r>
        <w:rPr>
          <w:spacing w:val="-3"/>
        </w:rPr>
        <w:t xml:space="preserve">any Time Charge and expenses incurred </w:t>
      </w:r>
      <w:r>
        <w:t>by it</w:t>
      </w:r>
      <w:r>
        <w:rPr>
          <w:spacing w:val="-20"/>
        </w:rPr>
        <w:t xml:space="preserve"> </w:t>
      </w:r>
      <w:r>
        <w:t>or</w:t>
      </w:r>
    </w:p>
    <w:p w:rsidR="001C5E4E" w:rsidRDefault="003E09C0">
      <w:pPr>
        <w:pStyle w:val="ListParagraph"/>
        <w:numPr>
          <w:ilvl w:val="0"/>
          <w:numId w:val="23"/>
        </w:numPr>
        <w:tabs>
          <w:tab w:val="left" w:pos="3258"/>
          <w:tab w:val="left" w:pos="3259"/>
        </w:tabs>
        <w:spacing w:before="121"/>
        <w:ind w:right="1527" w:firstLine="0"/>
      </w:pPr>
      <w:r>
        <w:t xml:space="preserve">a </w:t>
      </w:r>
      <w:r>
        <w:rPr>
          <w:spacing w:val="-3"/>
        </w:rPr>
        <w:t xml:space="preserve">certificate that </w:t>
      </w:r>
      <w:r>
        <w:t xml:space="preserve">its </w:t>
      </w:r>
      <w:r>
        <w:rPr>
          <w:spacing w:val="-3"/>
        </w:rPr>
        <w:t xml:space="preserve">invoice and records </w:t>
      </w:r>
      <w:r>
        <w:t xml:space="preserve">of </w:t>
      </w:r>
      <w:r>
        <w:rPr>
          <w:spacing w:val="-3"/>
        </w:rPr>
        <w:t xml:space="preserve">any </w:t>
      </w:r>
      <w:r>
        <w:t xml:space="preserve">Time </w:t>
      </w:r>
      <w:r>
        <w:rPr>
          <w:spacing w:val="-4"/>
        </w:rPr>
        <w:t xml:space="preserve">Charge </w:t>
      </w:r>
      <w:r>
        <w:rPr>
          <w:spacing w:val="-3"/>
        </w:rPr>
        <w:t xml:space="preserve">and expenses incurred </w:t>
      </w:r>
      <w:r>
        <w:t xml:space="preserve">by it are </w:t>
      </w:r>
      <w:r>
        <w:rPr>
          <w:spacing w:val="-3"/>
        </w:rPr>
        <w:t xml:space="preserve">accurate and </w:t>
      </w:r>
      <w:r>
        <w:rPr>
          <w:spacing w:val="-2"/>
        </w:rPr>
        <w:t>not</w:t>
      </w:r>
      <w:r>
        <w:rPr>
          <w:spacing w:val="-17"/>
        </w:rPr>
        <w:t xml:space="preserve"> </w:t>
      </w:r>
      <w:r>
        <w:rPr>
          <w:spacing w:val="-3"/>
        </w:rPr>
        <w:t>misleading</w:t>
      </w:r>
    </w:p>
    <w:p w:rsidR="001C5E4E" w:rsidRDefault="003E09C0">
      <w:pPr>
        <w:pStyle w:val="BodyText"/>
        <w:spacing w:before="120"/>
        <w:ind w:left="2538" w:right="997"/>
      </w:pPr>
      <w:r>
        <w:rPr>
          <w:spacing w:val="-3"/>
        </w:rPr>
        <w:t xml:space="preserve">and </w:t>
      </w:r>
      <w:r>
        <w:rPr>
          <w:spacing w:val="-2"/>
        </w:rPr>
        <w:t xml:space="preserve">the </w:t>
      </w:r>
      <w:r>
        <w:rPr>
          <w:i/>
          <w:spacing w:val="-3"/>
        </w:rPr>
        <w:t xml:space="preserve">Consultant </w:t>
      </w:r>
      <w:r>
        <w:rPr>
          <w:spacing w:val="-3"/>
        </w:rPr>
        <w:t xml:space="preserve">considers that, </w:t>
      </w:r>
      <w:r>
        <w:t xml:space="preserve">in </w:t>
      </w:r>
      <w:r>
        <w:rPr>
          <w:spacing w:val="-3"/>
        </w:rPr>
        <w:t xml:space="preserve">order </w:t>
      </w:r>
      <w:r>
        <w:t xml:space="preserve">to </w:t>
      </w:r>
      <w:r>
        <w:rPr>
          <w:spacing w:val="-3"/>
        </w:rPr>
        <w:t xml:space="preserve">comply </w:t>
      </w:r>
      <w:r>
        <w:t xml:space="preserve">with </w:t>
      </w:r>
      <w:r>
        <w:rPr>
          <w:spacing w:val="-3"/>
        </w:rPr>
        <w:t xml:space="preserve">any </w:t>
      </w:r>
      <w:r>
        <w:t xml:space="preserve">law, </w:t>
      </w:r>
      <w:r>
        <w:rPr>
          <w:spacing w:val="-2"/>
        </w:rPr>
        <w:t xml:space="preserve">the </w:t>
      </w:r>
      <w:r>
        <w:rPr>
          <w:spacing w:val="-3"/>
        </w:rPr>
        <w:t xml:space="preserve">Subconsultant should submit </w:t>
      </w:r>
      <w:r>
        <w:t xml:space="preserve">its </w:t>
      </w:r>
      <w:r>
        <w:rPr>
          <w:spacing w:val="-3"/>
        </w:rPr>
        <w:t xml:space="preserve">records and certificate directly </w:t>
      </w:r>
      <w:r>
        <w:t xml:space="preserve">to </w:t>
      </w:r>
      <w:r>
        <w:rPr>
          <w:spacing w:val="-2"/>
        </w:rPr>
        <w:t xml:space="preserve">the </w:t>
      </w:r>
      <w:r>
        <w:rPr>
          <w:i/>
          <w:spacing w:val="-3"/>
        </w:rPr>
        <w:t>Employer</w:t>
      </w:r>
      <w:r>
        <w:rPr>
          <w:spacing w:val="-3"/>
        </w:rPr>
        <w:t xml:space="preserve">, </w:t>
      </w:r>
      <w:r>
        <w:rPr>
          <w:spacing w:val="-2"/>
        </w:rPr>
        <w:t xml:space="preserve">the </w:t>
      </w:r>
      <w:r>
        <w:rPr>
          <w:i/>
          <w:spacing w:val="-3"/>
        </w:rPr>
        <w:t xml:space="preserve">Consultant </w:t>
      </w:r>
      <w:r>
        <w:rPr>
          <w:spacing w:val="-3"/>
        </w:rPr>
        <w:t xml:space="preserve">submits </w:t>
      </w:r>
      <w:r>
        <w:t xml:space="preserve">a </w:t>
      </w:r>
      <w:r>
        <w:rPr>
          <w:spacing w:val="-3"/>
        </w:rPr>
        <w:t xml:space="preserve">request </w:t>
      </w:r>
      <w:r>
        <w:t xml:space="preserve">to </w:t>
      </w:r>
      <w:r>
        <w:rPr>
          <w:spacing w:val="-3"/>
        </w:rPr>
        <w:t xml:space="preserve">that effect </w:t>
      </w:r>
      <w:r>
        <w:t xml:space="preserve">to </w:t>
      </w:r>
      <w:r>
        <w:rPr>
          <w:spacing w:val="-2"/>
        </w:rPr>
        <w:t xml:space="preserve">the </w:t>
      </w:r>
      <w:r>
        <w:rPr>
          <w:i/>
          <w:spacing w:val="-3"/>
        </w:rPr>
        <w:t xml:space="preserve">Employer </w:t>
      </w:r>
      <w:r>
        <w:t xml:space="preserve">for </w:t>
      </w:r>
      <w:r>
        <w:rPr>
          <w:spacing w:val="-3"/>
        </w:rPr>
        <w:t xml:space="preserve">acceptance.  </w:t>
      </w:r>
      <w:r>
        <w:t xml:space="preserve">A </w:t>
      </w:r>
      <w:r>
        <w:rPr>
          <w:spacing w:val="-3"/>
        </w:rPr>
        <w:t xml:space="preserve">reason </w:t>
      </w:r>
      <w:r>
        <w:t xml:space="preserve">for </w:t>
      </w:r>
      <w:r>
        <w:rPr>
          <w:spacing w:val="-2"/>
        </w:rPr>
        <w:t xml:space="preserve">not </w:t>
      </w:r>
      <w:r>
        <w:rPr>
          <w:spacing w:val="-3"/>
        </w:rPr>
        <w:t xml:space="preserve">accepting </w:t>
      </w:r>
      <w:r>
        <w:rPr>
          <w:spacing w:val="-2"/>
        </w:rPr>
        <w:t xml:space="preserve">the </w:t>
      </w:r>
      <w:r>
        <w:rPr>
          <w:i/>
          <w:spacing w:val="-3"/>
        </w:rPr>
        <w:t xml:space="preserve">Consultant’s </w:t>
      </w:r>
      <w:r>
        <w:rPr>
          <w:spacing w:val="-3"/>
        </w:rPr>
        <w:t xml:space="preserve">request </w:t>
      </w:r>
      <w:r>
        <w:t xml:space="preserve">is </w:t>
      </w:r>
      <w:r>
        <w:rPr>
          <w:spacing w:val="-3"/>
        </w:rPr>
        <w:t xml:space="preserve">that </w:t>
      </w:r>
      <w:r>
        <w:rPr>
          <w:spacing w:val="-2"/>
        </w:rPr>
        <w:t xml:space="preserve">the </w:t>
      </w:r>
      <w:r>
        <w:t xml:space="preserve">law does </w:t>
      </w:r>
      <w:r>
        <w:rPr>
          <w:spacing w:val="-2"/>
        </w:rPr>
        <w:t xml:space="preserve">not </w:t>
      </w:r>
      <w:r>
        <w:rPr>
          <w:spacing w:val="-3"/>
        </w:rPr>
        <w:t xml:space="preserve">require </w:t>
      </w:r>
      <w:r>
        <w:rPr>
          <w:spacing w:val="-2"/>
        </w:rPr>
        <w:t xml:space="preserve">the </w:t>
      </w:r>
      <w:r>
        <w:rPr>
          <w:spacing w:val="-3"/>
        </w:rPr>
        <w:t xml:space="preserve">Subconsultant </w:t>
      </w:r>
      <w:r>
        <w:t xml:space="preserve">to </w:t>
      </w:r>
      <w:r>
        <w:rPr>
          <w:spacing w:val="-3"/>
        </w:rPr>
        <w:t xml:space="preserve">submit </w:t>
      </w:r>
      <w:r>
        <w:t xml:space="preserve">its </w:t>
      </w:r>
      <w:r>
        <w:rPr>
          <w:spacing w:val="-3"/>
        </w:rPr>
        <w:t xml:space="preserve">records and certificate directly </w:t>
      </w:r>
      <w:r>
        <w:t xml:space="preserve">to </w:t>
      </w:r>
      <w:r>
        <w:rPr>
          <w:spacing w:val="-2"/>
        </w:rPr>
        <w:t xml:space="preserve">the </w:t>
      </w:r>
      <w:r>
        <w:rPr>
          <w:i/>
          <w:spacing w:val="-3"/>
        </w:rPr>
        <w:t>Employer</w:t>
      </w:r>
      <w:r>
        <w:rPr>
          <w:spacing w:val="-3"/>
        </w:rPr>
        <w:t xml:space="preserve">. </w:t>
      </w:r>
      <w:r>
        <w:t xml:space="preserve">If </w:t>
      </w:r>
      <w:r>
        <w:rPr>
          <w:spacing w:val="-2"/>
        </w:rPr>
        <w:t xml:space="preserve">the </w:t>
      </w:r>
      <w:r>
        <w:rPr>
          <w:i/>
          <w:spacing w:val="-3"/>
        </w:rPr>
        <w:t xml:space="preserve">Employer </w:t>
      </w:r>
      <w:r>
        <w:rPr>
          <w:spacing w:val="-3"/>
        </w:rPr>
        <w:t xml:space="preserve">accepts </w:t>
      </w:r>
      <w:r>
        <w:rPr>
          <w:spacing w:val="-2"/>
        </w:rPr>
        <w:t xml:space="preserve">the </w:t>
      </w:r>
      <w:r>
        <w:rPr>
          <w:i/>
          <w:spacing w:val="-3"/>
        </w:rPr>
        <w:t xml:space="preserve">Consultant’s </w:t>
      </w:r>
      <w:r>
        <w:rPr>
          <w:spacing w:val="-3"/>
        </w:rPr>
        <w:t xml:space="preserve">request, </w:t>
      </w:r>
      <w:r>
        <w:rPr>
          <w:spacing w:val="-2"/>
        </w:rPr>
        <w:t xml:space="preserve">the </w:t>
      </w:r>
      <w:r>
        <w:rPr>
          <w:i/>
          <w:spacing w:val="-3"/>
        </w:rPr>
        <w:t xml:space="preserve">Consultant </w:t>
      </w:r>
      <w:r>
        <w:t xml:space="preserve">directs </w:t>
      </w:r>
      <w:r>
        <w:rPr>
          <w:spacing w:val="-2"/>
        </w:rPr>
        <w:t xml:space="preserve">the </w:t>
      </w:r>
      <w:r>
        <w:rPr>
          <w:spacing w:val="-3"/>
        </w:rPr>
        <w:t xml:space="preserve">Subconsultant </w:t>
      </w:r>
      <w:r>
        <w:t xml:space="preserve">to </w:t>
      </w:r>
      <w:r>
        <w:rPr>
          <w:spacing w:val="-3"/>
        </w:rPr>
        <w:t xml:space="preserve">submit </w:t>
      </w:r>
      <w:r>
        <w:t xml:space="preserve">its </w:t>
      </w:r>
      <w:r>
        <w:rPr>
          <w:spacing w:val="-3"/>
        </w:rPr>
        <w:t xml:space="preserve">records and certificate directly </w:t>
      </w:r>
      <w:r>
        <w:t xml:space="preserve">to </w:t>
      </w:r>
      <w:r>
        <w:rPr>
          <w:spacing w:val="-2"/>
        </w:rPr>
        <w:t>the</w:t>
      </w:r>
      <w:r>
        <w:rPr>
          <w:spacing w:val="-7"/>
        </w:rPr>
        <w:t xml:space="preserve"> </w:t>
      </w:r>
      <w:r>
        <w:rPr>
          <w:i/>
          <w:spacing w:val="-3"/>
        </w:rPr>
        <w:t>Employer</w:t>
      </w:r>
      <w:r>
        <w:rPr>
          <w:spacing w:val="-3"/>
        </w:rPr>
        <w:t>.</w:t>
      </w:r>
    </w:p>
    <w:p w:rsidR="001C5E4E" w:rsidRDefault="003E09C0">
      <w:pPr>
        <w:pStyle w:val="BodyText"/>
        <w:tabs>
          <w:tab w:val="left" w:pos="3258"/>
        </w:tabs>
        <w:spacing w:before="120"/>
        <w:ind w:left="2538" w:right="1717"/>
      </w:pPr>
      <w:r>
        <w:t>Z30.4</w:t>
      </w:r>
      <w:r>
        <w:tab/>
      </w:r>
      <w:r>
        <w:rPr>
          <w:spacing w:val="-3"/>
        </w:rPr>
        <w:t xml:space="preserve">The </w:t>
      </w:r>
      <w:r>
        <w:rPr>
          <w:i/>
          <w:spacing w:val="-3"/>
        </w:rPr>
        <w:t xml:space="preserve">Consultant </w:t>
      </w:r>
      <w:r>
        <w:rPr>
          <w:spacing w:val="-3"/>
        </w:rPr>
        <w:t xml:space="preserve">includes </w:t>
      </w:r>
      <w:r>
        <w:t xml:space="preserve">in </w:t>
      </w:r>
      <w:r>
        <w:rPr>
          <w:spacing w:val="-2"/>
        </w:rPr>
        <w:t xml:space="preserve">the </w:t>
      </w:r>
      <w:r>
        <w:rPr>
          <w:spacing w:val="-3"/>
        </w:rPr>
        <w:t xml:space="preserve">conditions </w:t>
      </w:r>
      <w:r>
        <w:t xml:space="preserve">of </w:t>
      </w:r>
      <w:r>
        <w:rPr>
          <w:spacing w:val="-3"/>
        </w:rPr>
        <w:t xml:space="preserve">contract for </w:t>
      </w:r>
      <w:r>
        <w:t xml:space="preserve">each </w:t>
      </w:r>
      <w:r>
        <w:rPr>
          <w:spacing w:val="-3"/>
        </w:rPr>
        <w:t>Subconsultant</w:t>
      </w:r>
    </w:p>
    <w:p w:rsidR="001C5E4E" w:rsidRDefault="003E09C0">
      <w:pPr>
        <w:pStyle w:val="ListParagraph"/>
        <w:numPr>
          <w:ilvl w:val="0"/>
          <w:numId w:val="23"/>
        </w:numPr>
        <w:tabs>
          <w:tab w:val="left" w:pos="3258"/>
          <w:tab w:val="left" w:pos="3259"/>
        </w:tabs>
        <w:spacing w:before="121"/>
        <w:ind w:left="3258"/>
      </w:pPr>
      <w:r>
        <w:rPr>
          <w:spacing w:val="-3"/>
        </w:rPr>
        <w:t xml:space="preserve">provisions substantially </w:t>
      </w:r>
      <w:r>
        <w:t xml:space="preserve">similar to </w:t>
      </w:r>
      <w:r>
        <w:rPr>
          <w:spacing w:val="-3"/>
        </w:rPr>
        <w:t xml:space="preserve">those </w:t>
      </w:r>
      <w:r>
        <w:t xml:space="preserve">set </w:t>
      </w:r>
      <w:r>
        <w:rPr>
          <w:spacing w:val="-2"/>
        </w:rPr>
        <w:t xml:space="preserve">out </w:t>
      </w:r>
      <w:r>
        <w:t xml:space="preserve">in </w:t>
      </w:r>
      <w:r>
        <w:rPr>
          <w:spacing w:val="-3"/>
        </w:rPr>
        <w:t>clause</w:t>
      </w:r>
      <w:r>
        <w:rPr>
          <w:spacing w:val="-30"/>
        </w:rPr>
        <w:t xml:space="preserve"> </w:t>
      </w:r>
      <w:r>
        <w:t>Z30.1,</w:t>
      </w:r>
    </w:p>
    <w:p w:rsidR="001C5E4E" w:rsidRDefault="003E09C0">
      <w:pPr>
        <w:pStyle w:val="ListParagraph"/>
        <w:numPr>
          <w:ilvl w:val="0"/>
          <w:numId w:val="23"/>
        </w:numPr>
        <w:tabs>
          <w:tab w:val="left" w:pos="3258"/>
          <w:tab w:val="left" w:pos="3259"/>
        </w:tabs>
        <w:spacing w:before="120"/>
        <w:ind w:right="989" w:firstLine="0"/>
      </w:pPr>
      <w:r>
        <w:t xml:space="preserve">a </w:t>
      </w:r>
      <w:r>
        <w:rPr>
          <w:spacing w:val="-3"/>
        </w:rPr>
        <w:t xml:space="preserve">right </w:t>
      </w:r>
      <w:r>
        <w:t xml:space="preserve">for </w:t>
      </w:r>
      <w:r>
        <w:rPr>
          <w:spacing w:val="-2"/>
        </w:rPr>
        <w:t xml:space="preserve">the </w:t>
      </w:r>
      <w:r>
        <w:rPr>
          <w:i/>
          <w:spacing w:val="-3"/>
        </w:rPr>
        <w:t xml:space="preserve">Employer </w:t>
      </w:r>
      <w:r>
        <w:t xml:space="preserve">to </w:t>
      </w:r>
      <w:r>
        <w:rPr>
          <w:spacing w:val="-3"/>
        </w:rPr>
        <w:t xml:space="preserve">audit any records and certificates provided </w:t>
      </w:r>
      <w:r>
        <w:t xml:space="preserve">by </w:t>
      </w:r>
      <w:r>
        <w:rPr>
          <w:spacing w:val="-2"/>
        </w:rPr>
        <w:t xml:space="preserve">the </w:t>
      </w:r>
      <w:r>
        <w:rPr>
          <w:spacing w:val="-3"/>
        </w:rPr>
        <w:t>Subconsultant under this clause</w:t>
      </w:r>
      <w:r>
        <w:rPr>
          <w:spacing w:val="-12"/>
        </w:rPr>
        <w:t xml:space="preserve"> </w:t>
      </w:r>
      <w:r>
        <w:t>Z30,</w:t>
      </w:r>
    </w:p>
    <w:p w:rsidR="001C5E4E" w:rsidRDefault="003E09C0">
      <w:pPr>
        <w:pStyle w:val="ListParagraph"/>
        <w:numPr>
          <w:ilvl w:val="0"/>
          <w:numId w:val="23"/>
        </w:numPr>
        <w:tabs>
          <w:tab w:val="left" w:pos="3258"/>
          <w:tab w:val="left" w:pos="3259"/>
        </w:tabs>
        <w:spacing w:before="120"/>
        <w:ind w:right="1061" w:firstLine="0"/>
      </w:pPr>
      <w:r>
        <w:t xml:space="preserve">an </w:t>
      </w:r>
      <w:r>
        <w:rPr>
          <w:spacing w:val="-3"/>
        </w:rPr>
        <w:t xml:space="preserve">obligation </w:t>
      </w:r>
      <w:r>
        <w:t xml:space="preserve">on </w:t>
      </w:r>
      <w:r>
        <w:rPr>
          <w:spacing w:val="-2"/>
        </w:rPr>
        <w:t xml:space="preserve">the </w:t>
      </w:r>
      <w:r>
        <w:rPr>
          <w:spacing w:val="-3"/>
        </w:rPr>
        <w:t xml:space="preserve">Subconsultant </w:t>
      </w:r>
      <w:r>
        <w:t xml:space="preserve">to </w:t>
      </w:r>
      <w:r>
        <w:rPr>
          <w:spacing w:val="-3"/>
        </w:rPr>
        <w:t xml:space="preserve">discuss directly </w:t>
      </w:r>
      <w:r>
        <w:t xml:space="preserve">with </w:t>
      </w:r>
      <w:r>
        <w:rPr>
          <w:spacing w:val="-2"/>
        </w:rPr>
        <w:t xml:space="preserve">the </w:t>
      </w:r>
      <w:r>
        <w:rPr>
          <w:i/>
          <w:spacing w:val="-3"/>
        </w:rPr>
        <w:t xml:space="preserve">Employer </w:t>
      </w:r>
      <w:r>
        <w:rPr>
          <w:spacing w:val="-3"/>
        </w:rPr>
        <w:t xml:space="preserve">any concerns that </w:t>
      </w:r>
      <w:r>
        <w:rPr>
          <w:spacing w:val="-2"/>
        </w:rPr>
        <w:t xml:space="preserve">the </w:t>
      </w:r>
      <w:r>
        <w:rPr>
          <w:i/>
          <w:spacing w:val="-3"/>
        </w:rPr>
        <w:t xml:space="preserve">Employer </w:t>
      </w:r>
      <w:r>
        <w:t xml:space="preserve">may </w:t>
      </w:r>
      <w:r>
        <w:rPr>
          <w:spacing w:val="-3"/>
        </w:rPr>
        <w:t xml:space="preserve">have </w:t>
      </w:r>
      <w:r>
        <w:t xml:space="preserve">as </w:t>
      </w:r>
      <w:r>
        <w:rPr>
          <w:spacing w:val="-3"/>
        </w:rPr>
        <w:t xml:space="preserve">to </w:t>
      </w:r>
      <w:r>
        <w:rPr>
          <w:spacing w:val="-2"/>
        </w:rPr>
        <w:t xml:space="preserve">the </w:t>
      </w:r>
      <w:r>
        <w:rPr>
          <w:spacing w:val="-3"/>
        </w:rPr>
        <w:t xml:space="preserve">accuracy </w:t>
      </w:r>
      <w:r>
        <w:t xml:space="preserve">of </w:t>
      </w:r>
      <w:r>
        <w:rPr>
          <w:spacing w:val="-3"/>
        </w:rPr>
        <w:t xml:space="preserve">any records and certificates provided </w:t>
      </w:r>
      <w:r>
        <w:t xml:space="preserve">by </w:t>
      </w:r>
      <w:r>
        <w:rPr>
          <w:spacing w:val="-2"/>
        </w:rPr>
        <w:t>the</w:t>
      </w:r>
      <w:r>
        <w:rPr>
          <w:spacing w:val="-13"/>
        </w:rPr>
        <w:t xml:space="preserve"> </w:t>
      </w:r>
      <w:r>
        <w:rPr>
          <w:spacing w:val="-3"/>
        </w:rPr>
        <w:t>Subconsultant,</w:t>
      </w:r>
    </w:p>
    <w:p w:rsidR="001C5E4E" w:rsidRDefault="001C5E4E">
      <w:pPr>
        <w:sectPr w:rsidR="001C5E4E">
          <w:pgSz w:w="11910" w:h="16850"/>
          <w:pgMar w:top="1400" w:right="620" w:bottom="1080" w:left="940" w:header="1112" w:footer="892" w:gutter="0"/>
          <w:cols w:space="720"/>
        </w:sectPr>
      </w:pPr>
    </w:p>
    <w:p w:rsidR="001C5E4E" w:rsidRDefault="001C5E4E">
      <w:pPr>
        <w:pStyle w:val="BodyText"/>
        <w:rPr>
          <w:sz w:val="20"/>
        </w:rPr>
      </w:pPr>
    </w:p>
    <w:p w:rsidR="001C5E4E" w:rsidRDefault="001C5E4E">
      <w:pPr>
        <w:pStyle w:val="BodyText"/>
        <w:spacing w:before="9"/>
        <w:rPr>
          <w:sz w:val="10"/>
        </w:rPr>
      </w:pPr>
    </w:p>
    <w:tbl>
      <w:tblPr>
        <w:tblW w:w="0" w:type="auto"/>
        <w:tblInd w:w="1186" w:type="dxa"/>
        <w:tblLayout w:type="fixed"/>
        <w:tblCellMar>
          <w:left w:w="0" w:type="dxa"/>
          <w:right w:w="0" w:type="dxa"/>
        </w:tblCellMar>
        <w:tblLook w:val="01E0" w:firstRow="1" w:lastRow="1" w:firstColumn="1" w:lastColumn="1" w:noHBand="0" w:noVBand="0"/>
      </w:tblPr>
      <w:tblGrid>
        <w:gridCol w:w="1253"/>
        <w:gridCol w:w="7181"/>
      </w:tblGrid>
      <w:tr w:rsidR="001C5E4E">
        <w:trPr>
          <w:trHeight w:val="2484"/>
        </w:trPr>
        <w:tc>
          <w:tcPr>
            <w:tcW w:w="1253" w:type="dxa"/>
          </w:tcPr>
          <w:p w:rsidR="001C5E4E" w:rsidRDefault="001C5E4E">
            <w:pPr>
              <w:pStyle w:val="TableParagraph"/>
              <w:rPr>
                <w:rFonts w:ascii="Times New Roman"/>
              </w:rPr>
            </w:pPr>
          </w:p>
        </w:tc>
        <w:tc>
          <w:tcPr>
            <w:tcW w:w="7181" w:type="dxa"/>
          </w:tcPr>
          <w:p w:rsidR="001C5E4E" w:rsidRDefault="003E09C0">
            <w:pPr>
              <w:pStyle w:val="TableParagraph"/>
              <w:numPr>
                <w:ilvl w:val="0"/>
                <w:numId w:val="22"/>
              </w:numPr>
              <w:tabs>
                <w:tab w:val="left" w:pos="826"/>
                <w:tab w:val="left" w:pos="827"/>
              </w:tabs>
              <w:spacing w:line="224" w:lineRule="exact"/>
              <w:ind w:left="826"/>
            </w:pPr>
            <w:r>
              <w:t xml:space="preserve">a </w:t>
            </w:r>
            <w:r>
              <w:rPr>
                <w:spacing w:val="-3"/>
              </w:rPr>
              <w:t xml:space="preserve">right </w:t>
            </w:r>
            <w:r>
              <w:t xml:space="preserve">for </w:t>
            </w:r>
            <w:r>
              <w:rPr>
                <w:spacing w:val="-2"/>
              </w:rPr>
              <w:t xml:space="preserve">the </w:t>
            </w:r>
            <w:r>
              <w:rPr>
                <w:i/>
                <w:spacing w:val="-3"/>
              </w:rPr>
              <w:t xml:space="preserve">Consultant </w:t>
            </w:r>
            <w:r>
              <w:t xml:space="preserve">to recover </w:t>
            </w:r>
            <w:r>
              <w:rPr>
                <w:spacing w:val="-3"/>
              </w:rPr>
              <w:t xml:space="preserve">from </w:t>
            </w:r>
            <w:r>
              <w:rPr>
                <w:spacing w:val="-2"/>
              </w:rPr>
              <w:t xml:space="preserve">the </w:t>
            </w:r>
            <w:r>
              <w:rPr>
                <w:spacing w:val="-3"/>
              </w:rPr>
              <w:t xml:space="preserve">Subconsultant </w:t>
            </w:r>
            <w:r>
              <w:t>(or</w:t>
            </w:r>
            <w:r>
              <w:rPr>
                <w:spacing w:val="-33"/>
              </w:rPr>
              <w:t xml:space="preserve"> </w:t>
            </w:r>
            <w:r>
              <w:t>to</w:t>
            </w:r>
          </w:p>
          <w:p w:rsidR="001C5E4E" w:rsidRDefault="003E09C0">
            <w:pPr>
              <w:pStyle w:val="TableParagraph"/>
              <w:ind w:left="106" w:right="209"/>
            </w:pPr>
            <w:r>
              <w:rPr>
                <w:spacing w:val="-3"/>
              </w:rPr>
              <w:t xml:space="preserve">deduct </w:t>
            </w:r>
            <w:r>
              <w:t xml:space="preserve">from </w:t>
            </w:r>
            <w:r>
              <w:rPr>
                <w:spacing w:val="-3"/>
              </w:rPr>
              <w:t xml:space="preserve">any amount that would otherwise </w:t>
            </w:r>
            <w:r>
              <w:t xml:space="preserve">be </w:t>
            </w:r>
            <w:r>
              <w:rPr>
                <w:spacing w:val="-3"/>
              </w:rPr>
              <w:t xml:space="preserve">due </w:t>
            </w:r>
            <w:r>
              <w:t xml:space="preserve">to </w:t>
            </w:r>
            <w:r>
              <w:rPr>
                <w:spacing w:val="-2"/>
              </w:rPr>
              <w:t xml:space="preserve">the </w:t>
            </w:r>
            <w:r>
              <w:rPr>
                <w:spacing w:val="-3"/>
              </w:rPr>
              <w:t xml:space="preserve">Subconsultant) </w:t>
            </w:r>
            <w:r>
              <w:rPr>
                <w:spacing w:val="-2"/>
              </w:rPr>
              <w:t xml:space="preserve">the </w:t>
            </w:r>
            <w:r>
              <w:rPr>
                <w:spacing w:val="-3"/>
              </w:rPr>
              <w:t xml:space="preserve">amount </w:t>
            </w:r>
            <w:r>
              <w:t xml:space="preserve">of </w:t>
            </w:r>
            <w:r>
              <w:rPr>
                <w:spacing w:val="-3"/>
              </w:rPr>
              <w:t xml:space="preserve">any overpayment identified </w:t>
            </w:r>
            <w:r>
              <w:t xml:space="preserve">by </w:t>
            </w:r>
            <w:r>
              <w:rPr>
                <w:spacing w:val="-2"/>
              </w:rPr>
              <w:t xml:space="preserve">the </w:t>
            </w:r>
            <w:r>
              <w:rPr>
                <w:i/>
                <w:spacing w:val="-3"/>
              </w:rPr>
              <w:t xml:space="preserve">Employer </w:t>
            </w:r>
            <w:r>
              <w:t xml:space="preserve">as a </w:t>
            </w:r>
            <w:r>
              <w:rPr>
                <w:spacing w:val="-3"/>
              </w:rPr>
              <w:t xml:space="preserve">result </w:t>
            </w:r>
            <w:r>
              <w:t xml:space="preserve">of its </w:t>
            </w:r>
            <w:r>
              <w:rPr>
                <w:spacing w:val="-3"/>
              </w:rPr>
              <w:t xml:space="preserve">audits and discussions </w:t>
            </w:r>
            <w:r>
              <w:t xml:space="preserve">with </w:t>
            </w:r>
            <w:r>
              <w:rPr>
                <w:spacing w:val="-2"/>
              </w:rPr>
              <w:t xml:space="preserve">the </w:t>
            </w:r>
            <w:r>
              <w:rPr>
                <w:spacing w:val="-3"/>
              </w:rPr>
              <w:t xml:space="preserve">Subconsultant </w:t>
            </w:r>
            <w:r>
              <w:t>and</w:t>
            </w:r>
          </w:p>
          <w:p w:rsidR="001C5E4E" w:rsidRDefault="003E09C0">
            <w:pPr>
              <w:pStyle w:val="TableParagraph"/>
              <w:numPr>
                <w:ilvl w:val="0"/>
                <w:numId w:val="22"/>
              </w:numPr>
              <w:tabs>
                <w:tab w:val="left" w:pos="826"/>
                <w:tab w:val="left" w:pos="827"/>
              </w:tabs>
              <w:spacing w:before="119"/>
              <w:ind w:right="414" w:firstLine="0"/>
            </w:pPr>
            <w:r>
              <w:t xml:space="preserve">an </w:t>
            </w:r>
            <w:r>
              <w:rPr>
                <w:spacing w:val="-3"/>
              </w:rPr>
              <w:t xml:space="preserve">acknowledgment </w:t>
            </w:r>
            <w:r>
              <w:t xml:space="preserve">from </w:t>
            </w:r>
            <w:r>
              <w:rPr>
                <w:spacing w:val="-3"/>
              </w:rPr>
              <w:t xml:space="preserve">the Subconsultant that </w:t>
            </w:r>
            <w:r>
              <w:rPr>
                <w:spacing w:val="-2"/>
              </w:rPr>
              <w:t xml:space="preserve">the </w:t>
            </w:r>
            <w:r>
              <w:rPr>
                <w:i/>
                <w:spacing w:val="-3"/>
              </w:rPr>
              <w:t xml:space="preserve">Employer </w:t>
            </w:r>
            <w:r>
              <w:t xml:space="preserve">may </w:t>
            </w:r>
            <w:r>
              <w:rPr>
                <w:spacing w:val="-3"/>
              </w:rPr>
              <w:t xml:space="preserve">enforce these provisions directly against </w:t>
            </w:r>
            <w:r>
              <w:rPr>
                <w:spacing w:val="-2"/>
              </w:rPr>
              <w:t xml:space="preserve">the </w:t>
            </w:r>
            <w:r>
              <w:rPr>
                <w:spacing w:val="-3"/>
              </w:rPr>
              <w:t xml:space="preserve">Subconsultant under </w:t>
            </w:r>
            <w:r>
              <w:rPr>
                <w:spacing w:val="-2"/>
              </w:rPr>
              <w:t xml:space="preserve">the </w:t>
            </w:r>
            <w:r>
              <w:rPr>
                <w:spacing w:val="-3"/>
              </w:rPr>
              <w:t xml:space="preserve">Contracts (Rights </w:t>
            </w:r>
            <w:r>
              <w:t xml:space="preserve">of </w:t>
            </w:r>
            <w:r>
              <w:rPr>
                <w:spacing w:val="-3"/>
              </w:rPr>
              <w:t xml:space="preserve">Third Parties) </w:t>
            </w:r>
            <w:r>
              <w:t>Act</w:t>
            </w:r>
            <w:r>
              <w:rPr>
                <w:spacing w:val="-17"/>
              </w:rPr>
              <w:t xml:space="preserve"> </w:t>
            </w:r>
            <w:r>
              <w:t>1999.</w:t>
            </w:r>
          </w:p>
        </w:tc>
      </w:tr>
      <w:tr w:rsidR="001C5E4E">
        <w:trPr>
          <w:trHeight w:val="1092"/>
        </w:trPr>
        <w:tc>
          <w:tcPr>
            <w:tcW w:w="1253" w:type="dxa"/>
          </w:tcPr>
          <w:p w:rsidR="001C5E4E" w:rsidRDefault="001C5E4E">
            <w:pPr>
              <w:pStyle w:val="TableParagraph"/>
            </w:pPr>
          </w:p>
          <w:p w:rsidR="001C5E4E" w:rsidRDefault="001C5E4E">
            <w:pPr>
              <w:pStyle w:val="TableParagraph"/>
              <w:rPr>
                <w:sz w:val="18"/>
              </w:rPr>
            </w:pPr>
          </w:p>
          <w:p w:rsidR="001C5E4E" w:rsidRDefault="003E09C0">
            <w:pPr>
              <w:pStyle w:val="TableParagraph"/>
              <w:ind w:right="104"/>
              <w:jc w:val="right"/>
              <w:rPr>
                <w:b/>
              </w:rPr>
            </w:pPr>
            <w:r>
              <w:rPr>
                <w:b/>
              </w:rPr>
              <w:t>Clause Z31</w:t>
            </w:r>
          </w:p>
        </w:tc>
        <w:tc>
          <w:tcPr>
            <w:tcW w:w="7181" w:type="dxa"/>
          </w:tcPr>
          <w:p w:rsidR="001C5E4E" w:rsidRDefault="001C5E4E">
            <w:pPr>
              <w:pStyle w:val="TableParagraph"/>
            </w:pPr>
          </w:p>
          <w:p w:rsidR="001C5E4E" w:rsidRDefault="001C5E4E">
            <w:pPr>
              <w:pStyle w:val="TableParagraph"/>
              <w:rPr>
                <w:sz w:val="18"/>
              </w:rPr>
            </w:pPr>
          </w:p>
          <w:p w:rsidR="001C5E4E" w:rsidRDefault="003E09C0">
            <w:pPr>
              <w:pStyle w:val="TableParagraph"/>
              <w:ind w:left="106"/>
              <w:rPr>
                <w:b/>
              </w:rPr>
            </w:pPr>
            <w:r>
              <w:rPr>
                <w:b/>
              </w:rPr>
              <w:t>Payment options – Not Used</w:t>
            </w:r>
          </w:p>
        </w:tc>
      </w:tr>
      <w:tr w:rsidR="001C5E4E">
        <w:trPr>
          <w:trHeight w:val="4433"/>
        </w:trPr>
        <w:tc>
          <w:tcPr>
            <w:tcW w:w="1253" w:type="dxa"/>
          </w:tcPr>
          <w:p w:rsidR="001C5E4E" w:rsidRDefault="001C5E4E">
            <w:pPr>
              <w:pStyle w:val="TableParagraph"/>
              <w:spacing w:before="1"/>
              <w:rPr>
                <w:sz w:val="24"/>
              </w:rPr>
            </w:pPr>
          </w:p>
          <w:p w:rsidR="001C5E4E" w:rsidRDefault="003E09C0">
            <w:pPr>
              <w:pStyle w:val="TableParagraph"/>
              <w:spacing w:before="1"/>
              <w:ind w:right="104"/>
              <w:jc w:val="right"/>
              <w:rPr>
                <w:b/>
              </w:rPr>
            </w:pPr>
            <w:r>
              <w:rPr>
                <w:b/>
              </w:rPr>
              <w:t>Clause Z32</w:t>
            </w:r>
          </w:p>
        </w:tc>
        <w:tc>
          <w:tcPr>
            <w:tcW w:w="7181" w:type="dxa"/>
          </w:tcPr>
          <w:p w:rsidR="001C5E4E" w:rsidRDefault="001C5E4E">
            <w:pPr>
              <w:pStyle w:val="TableParagraph"/>
              <w:spacing w:before="1"/>
              <w:rPr>
                <w:sz w:val="24"/>
              </w:rPr>
            </w:pPr>
          </w:p>
          <w:p w:rsidR="001C5E4E" w:rsidRDefault="003E09C0">
            <w:pPr>
              <w:pStyle w:val="TableParagraph"/>
              <w:spacing w:before="1"/>
              <w:ind w:left="106"/>
              <w:rPr>
                <w:b/>
              </w:rPr>
            </w:pPr>
            <w:r>
              <w:rPr>
                <w:b/>
              </w:rPr>
              <w:t>Insurance cover</w:t>
            </w:r>
          </w:p>
          <w:p w:rsidR="001C5E4E" w:rsidRDefault="003E09C0">
            <w:pPr>
              <w:pStyle w:val="TableParagraph"/>
              <w:spacing w:before="117"/>
              <w:ind w:left="106" w:right="209"/>
            </w:pPr>
            <w:r>
              <w:t xml:space="preserve">Z32.1 All </w:t>
            </w:r>
            <w:r>
              <w:rPr>
                <w:spacing w:val="-3"/>
              </w:rPr>
              <w:t xml:space="preserve">insurances required </w:t>
            </w:r>
            <w:r>
              <w:t xml:space="preserve">to be </w:t>
            </w:r>
            <w:r>
              <w:rPr>
                <w:spacing w:val="-3"/>
              </w:rPr>
              <w:t xml:space="preserve">effected and maintained under this contract </w:t>
            </w:r>
            <w:r>
              <w:t xml:space="preserve">are </w:t>
            </w:r>
            <w:r>
              <w:rPr>
                <w:spacing w:val="-3"/>
              </w:rPr>
              <w:t xml:space="preserve">placed </w:t>
            </w:r>
            <w:r>
              <w:t xml:space="preserve">with </w:t>
            </w:r>
            <w:r>
              <w:rPr>
                <w:spacing w:val="-3"/>
              </w:rPr>
              <w:t xml:space="preserve">reputable insurers, </w:t>
            </w:r>
            <w:r>
              <w:t xml:space="preserve">to whom </w:t>
            </w:r>
            <w:r>
              <w:rPr>
                <w:spacing w:val="-3"/>
              </w:rPr>
              <w:t xml:space="preserve">the </w:t>
            </w:r>
            <w:r>
              <w:t xml:space="preserve">other </w:t>
            </w:r>
            <w:r>
              <w:rPr>
                <w:spacing w:val="-3"/>
              </w:rPr>
              <w:t xml:space="preserve">party has </w:t>
            </w:r>
            <w:r>
              <w:t xml:space="preserve">no </w:t>
            </w:r>
            <w:r>
              <w:rPr>
                <w:spacing w:val="-3"/>
              </w:rPr>
              <w:t xml:space="preserve">reasonable objection and </w:t>
            </w:r>
            <w:r>
              <w:t xml:space="preserve">upon </w:t>
            </w:r>
            <w:r>
              <w:rPr>
                <w:spacing w:val="-3"/>
              </w:rPr>
              <w:t xml:space="preserve">customary and usual </w:t>
            </w:r>
            <w:r>
              <w:t xml:space="preserve">terms </w:t>
            </w:r>
            <w:r>
              <w:rPr>
                <w:spacing w:val="-3"/>
              </w:rPr>
              <w:t xml:space="preserve">prevailing </w:t>
            </w:r>
            <w:r>
              <w:t xml:space="preserve">for </w:t>
            </w:r>
            <w:r>
              <w:rPr>
                <w:spacing w:val="-2"/>
              </w:rPr>
              <w:t xml:space="preserve">the </w:t>
            </w:r>
            <w:r>
              <w:t xml:space="preserve">time </w:t>
            </w:r>
            <w:r>
              <w:rPr>
                <w:spacing w:val="-3"/>
              </w:rPr>
              <w:t xml:space="preserve">being </w:t>
            </w:r>
            <w:r>
              <w:t xml:space="preserve">in </w:t>
            </w:r>
            <w:r>
              <w:rPr>
                <w:spacing w:val="-2"/>
              </w:rPr>
              <w:t xml:space="preserve">the </w:t>
            </w:r>
            <w:r>
              <w:rPr>
                <w:spacing w:val="-3"/>
              </w:rPr>
              <w:t xml:space="preserve">insurance </w:t>
            </w:r>
            <w:r>
              <w:t xml:space="preserve">market. </w:t>
            </w:r>
            <w:r>
              <w:rPr>
                <w:spacing w:val="-3"/>
              </w:rPr>
              <w:t xml:space="preserve">The said </w:t>
            </w:r>
            <w:r>
              <w:t xml:space="preserve">terms </w:t>
            </w:r>
            <w:r>
              <w:rPr>
                <w:spacing w:val="-3"/>
              </w:rPr>
              <w:t xml:space="preserve">and conditions </w:t>
            </w:r>
            <w:r>
              <w:t xml:space="preserve">do </w:t>
            </w:r>
            <w:r>
              <w:rPr>
                <w:spacing w:val="-2"/>
              </w:rPr>
              <w:t xml:space="preserve">not </w:t>
            </w:r>
            <w:r>
              <w:rPr>
                <w:spacing w:val="-3"/>
              </w:rPr>
              <w:t xml:space="preserve">include any </w:t>
            </w:r>
            <w:r>
              <w:t xml:space="preserve">term or </w:t>
            </w:r>
            <w:r>
              <w:rPr>
                <w:spacing w:val="-3"/>
              </w:rPr>
              <w:t xml:space="preserve">condition </w:t>
            </w:r>
            <w:r>
              <w:t xml:space="preserve">to </w:t>
            </w:r>
            <w:r>
              <w:rPr>
                <w:spacing w:val="-2"/>
              </w:rPr>
              <w:t xml:space="preserve">the </w:t>
            </w:r>
            <w:r>
              <w:rPr>
                <w:spacing w:val="-3"/>
              </w:rPr>
              <w:t xml:space="preserve">effect that any insured must discharge any liability before being </w:t>
            </w:r>
            <w:r>
              <w:t xml:space="preserve">entitled to </w:t>
            </w:r>
            <w:r>
              <w:rPr>
                <w:spacing w:val="-3"/>
              </w:rPr>
              <w:t xml:space="preserve">recover from </w:t>
            </w:r>
            <w:r>
              <w:rPr>
                <w:spacing w:val="-2"/>
              </w:rPr>
              <w:t xml:space="preserve">the </w:t>
            </w:r>
            <w:r>
              <w:rPr>
                <w:spacing w:val="-3"/>
              </w:rPr>
              <w:t xml:space="preserve">insurers, </w:t>
            </w:r>
            <w:r>
              <w:t xml:space="preserve">or </w:t>
            </w:r>
            <w:r>
              <w:rPr>
                <w:spacing w:val="-3"/>
              </w:rPr>
              <w:t xml:space="preserve">any </w:t>
            </w:r>
            <w:r>
              <w:t xml:space="preserve">other term or </w:t>
            </w:r>
            <w:r>
              <w:rPr>
                <w:spacing w:val="-3"/>
              </w:rPr>
              <w:t xml:space="preserve">condition which might adversely affect </w:t>
            </w:r>
            <w:r>
              <w:rPr>
                <w:spacing w:val="-2"/>
              </w:rPr>
              <w:t xml:space="preserve">the </w:t>
            </w:r>
            <w:r>
              <w:rPr>
                <w:spacing w:val="-3"/>
              </w:rPr>
              <w:t xml:space="preserve">rights </w:t>
            </w:r>
            <w:r>
              <w:t xml:space="preserve">of </w:t>
            </w:r>
            <w:r>
              <w:rPr>
                <w:spacing w:val="-3"/>
              </w:rPr>
              <w:t xml:space="preserve">any person </w:t>
            </w:r>
            <w:r>
              <w:t xml:space="preserve">to recover </w:t>
            </w:r>
            <w:r>
              <w:rPr>
                <w:spacing w:val="-3"/>
              </w:rPr>
              <w:t xml:space="preserve">from </w:t>
            </w:r>
            <w:r>
              <w:rPr>
                <w:spacing w:val="-2"/>
              </w:rPr>
              <w:t xml:space="preserve">the </w:t>
            </w:r>
            <w:r>
              <w:rPr>
                <w:spacing w:val="-3"/>
              </w:rPr>
              <w:t xml:space="preserve">insurers pursuant </w:t>
            </w:r>
            <w:r>
              <w:t xml:space="preserve">to </w:t>
            </w:r>
            <w:r>
              <w:rPr>
                <w:spacing w:val="-2"/>
              </w:rPr>
              <w:t xml:space="preserve">the </w:t>
            </w:r>
            <w:r>
              <w:rPr>
                <w:spacing w:val="-3"/>
              </w:rPr>
              <w:t xml:space="preserve">Third Parties (Rights Against Insurers) </w:t>
            </w:r>
            <w:r>
              <w:t xml:space="preserve">Act 1930, </w:t>
            </w:r>
            <w:r>
              <w:rPr>
                <w:spacing w:val="-3"/>
              </w:rPr>
              <w:t xml:space="preserve">Third Parties (Rights Against Insurers) </w:t>
            </w:r>
            <w:r>
              <w:t xml:space="preserve">Act 2010 or </w:t>
            </w:r>
            <w:r>
              <w:rPr>
                <w:spacing w:val="-2"/>
              </w:rPr>
              <w:t xml:space="preserve">the </w:t>
            </w:r>
            <w:r>
              <w:rPr>
                <w:spacing w:val="-3"/>
              </w:rPr>
              <w:t xml:space="preserve">Third Parties (Rights Against Insurers) </w:t>
            </w:r>
            <w:r>
              <w:t xml:space="preserve">Act </w:t>
            </w:r>
            <w:r>
              <w:rPr>
                <w:spacing w:val="-3"/>
              </w:rPr>
              <w:t xml:space="preserve">(Northern Ireland) Order </w:t>
            </w:r>
            <w:r>
              <w:t xml:space="preserve">1930 as </w:t>
            </w:r>
            <w:r>
              <w:rPr>
                <w:spacing w:val="-3"/>
              </w:rPr>
              <w:t xml:space="preserve">amended </w:t>
            </w:r>
            <w:r>
              <w:t xml:space="preserve">by </w:t>
            </w:r>
            <w:r>
              <w:rPr>
                <w:spacing w:val="-2"/>
              </w:rPr>
              <w:t xml:space="preserve">the </w:t>
            </w:r>
            <w:r>
              <w:rPr>
                <w:spacing w:val="-3"/>
              </w:rPr>
              <w:t xml:space="preserve">Insolvency (Northern Ireland) </w:t>
            </w:r>
            <w:r>
              <w:t>Order</w:t>
            </w:r>
            <w:r>
              <w:rPr>
                <w:spacing w:val="-19"/>
              </w:rPr>
              <w:t xml:space="preserve"> </w:t>
            </w:r>
            <w:r>
              <w:t>1989.</w:t>
            </w:r>
          </w:p>
          <w:p w:rsidR="001C5E4E" w:rsidRDefault="003E09C0">
            <w:pPr>
              <w:pStyle w:val="TableParagraph"/>
              <w:spacing w:before="121"/>
              <w:ind w:left="106" w:right="282"/>
            </w:pPr>
            <w:r>
              <w:t xml:space="preserve">Z32.2 </w:t>
            </w:r>
            <w:r>
              <w:rPr>
                <w:spacing w:val="-3"/>
              </w:rPr>
              <w:t xml:space="preserve">Nothing </w:t>
            </w:r>
            <w:r>
              <w:t xml:space="preserve">in </w:t>
            </w:r>
            <w:r>
              <w:rPr>
                <w:spacing w:val="-3"/>
              </w:rPr>
              <w:t xml:space="preserve">this clause relieves </w:t>
            </w:r>
            <w:r>
              <w:rPr>
                <w:spacing w:val="-2"/>
              </w:rPr>
              <w:t xml:space="preserve">the </w:t>
            </w:r>
            <w:r>
              <w:rPr>
                <w:i/>
                <w:spacing w:val="-3"/>
              </w:rPr>
              <w:t xml:space="preserve">Consultant </w:t>
            </w:r>
            <w:r>
              <w:t xml:space="preserve">from </w:t>
            </w:r>
            <w:r>
              <w:rPr>
                <w:spacing w:val="-3"/>
              </w:rPr>
              <w:t xml:space="preserve">any </w:t>
            </w:r>
            <w:r>
              <w:t xml:space="preserve">of its </w:t>
            </w:r>
            <w:r>
              <w:rPr>
                <w:spacing w:val="-3"/>
              </w:rPr>
              <w:t>obligations and liabilities under this contract.</w:t>
            </w:r>
          </w:p>
        </w:tc>
      </w:tr>
      <w:tr w:rsidR="001C5E4E">
        <w:trPr>
          <w:trHeight w:val="5318"/>
        </w:trPr>
        <w:tc>
          <w:tcPr>
            <w:tcW w:w="1253" w:type="dxa"/>
          </w:tcPr>
          <w:p w:rsidR="001C5E4E" w:rsidRDefault="003E09C0">
            <w:pPr>
              <w:pStyle w:val="TableParagraph"/>
              <w:spacing w:before="100"/>
              <w:ind w:right="104"/>
              <w:jc w:val="right"/>
              <w:rPr>
                <w:b/>
              </w:rPr>
            </w:pPr>
            <w:r>
              <w:rPr>
                <w:b/>
              </w:rPr>
              <w:t>Clause Z33</w:t>
            </w:r>
          </w:p>
        </w:tc>
        <w:tc>
          <w:tcPr>
            <w:tcW w:w="7181" w:type="dxa"/>
          </w:tcPr>
          <w:p w:rsidR="001C5E4E" w:rsidRDefault="003E09C0">
            <w:pPr>
              <w:pStyle w:val="TableParagraph"/>
              <w:spacing w:before="100"/>
              <w:ind w:left="106"/>
              <w:jc w:val="both"/>
              <w:rPr>
                <w:b/>
              </w:rPr>
            </w:pPr>
            <w:r>
              <w:rPr>
                <w:b/>
              </w:rPr>
              <w:t>Professional indemnity insurance</w:t>
            </w:r>
          </w:p>
          <w:p w:rsidR="001C5E4E" w:rsidRDefault="003E09C0">
            <w:pPr>
              <w:pStyle w:val="TableParagraph"/>
              <w:spacing w:before="120"/>
              <w:ind w:left="106" w:right="198"/>
              <w:jc w:val="both"/>
            </w:pPr>
            <w:r>
              <w:t xml:space="preserve">Z33.1 If required to obtain </w:t>
            </w:r>
            <w:r>
              <w:rPr>
                <w:i/>
              </w:rPr>
              <w:t>professional indemnity insurance</w:t>
            </w:r>
            <w:r>
              <w:t xml:space="preserve">, the </w:t>
            </w:r>
            <w:r>
              <w:rPr>
                <w:i/>
              </w:rPr>
              <w:t xml:space="preserve">Consultant </w:t>
            </w:r>
            <w:r>
              <w:t xml:space="preserve">obtains and maintains the </w:t>
            </w:r>
            <w:r>
              <w:rPr>
                <w:i/>
              </w:rPr>
              <w:t xml:space="preserve">professional indemnity insurance </w:t>
            </w:r>
            <w:r>
              <w:t xml:space="preserve">upon customary and usual terms and conditions prevailing for the time being in the insurance market, and with reputable insurers lawfully carrying on such insurance business on the basis and in an amount not less than that stated in the Contract Data, provided always that such insurance is available at commercially reasonable rates. The said terms and conditions do not include any term or condition to the effect that the </w:t>
            </w:r>
            <w:r>
              <w:rPr>
                <w:i/>
              </w:rPr>
              <w:t xml:space="preserve">Consultant </w:t>
            </w:r>
            <w:r>
              <w:t>must discharge any liability before being entitled to recover from the insurers, or any other term or condition which might adversely affect the rights of any person to recover from the insurers pursuant to the Third Parties (Rights Against Insurers) Act 1930</w:t>
            </w:r>
            <w:r>
              <w:rPr>
                <w:spacing w:val="-10"/>
              </w:rPr>
              <w:t xml:space="preserve"> </w:t>
            </w:r>
            <w:r>
              <w:t>or</w:t>
            </w:r>
            <w:r>
              <w:rPr>
                <w:spacing w:val="-11"/>
              </w:rPr>
              <w:t xml:space="preserve"> </w:t>
            </w:r>
            <w:r>
              <w:t>the</w:t>
            </w:r>
            <w:r>
              <w:rPr>
                <w:spacing w:val="-10"/>
              </w:rPr>
              <w:t xml:space="preserve"> </w:t>
            </w:r>
            <w:r>
              <w:t>Third</w:t>
            </w:r>
            <w:r>
              <w:rPr>
                <w:spacing w:val="-9"/>
              </w:rPr>
              <w:t xml:space="preserve"> </w:t>
            </w:r>
            <w:r>
              <w:t>Parties</w:t>
            </w:r>
            <w:r>
              <w:rPr>
                <w:spacing w:val="-10"/>
              </w:rPr>
              <w:t xml:space="preserve"> </w:t>
            </w:r>
            <w:r>
              <w:t>(Rights</w:t>
            </w:r>
            <w:r>
              <w:rPr>
                <w:spacing w:val="-8"/>
              </w:rPr>
              <w:t xml:space="preserve"> </w:t>
            </w:r>
            <w:r>
              <w:t>Against</w:t>
            </w:r>
            <w:r>
              <w:rPr>
                <w:spacing w:val="-8"/>
              </w:rPr>
              <w:t xml:space="preserve"> </w:t>
            </w:r>
            <w:r>
              <w:t>Insurers)</w:t>
            </w:r>
            <w:r>
              <w:rPr>
                <w:spacing w:val="-10"/>
              </w:rPr>
              <w:t xml:space="preserve"> </w:t>
            </w:r>
            <w:r>
              <w:t>Act</w:t>
            </w:r>
            <w:r>
              <w:rPr>
                <w:spacing w:val="-11"/>
              </w:rPr>
              <w:t xml:space="preserve"> </w:t>
            </w:r>
            <w:r>
              <w:t>(Northern</w:t>
            </w:r>
            <w:r>
              <w:rPr>
                <w:spacing w:val="-11"/>
              </w:rPr>
              <w:t xml:space="preserve"> </w:t>
            </w:r>
            <w:r>
              <w:t>Ireland)</w:t>
            </w:r>
            <w:r>
              <w:rPr>
                <w:spacing w:val="-10"/>
              </w:rPr>
              <w:t xml:space="preserve"> </w:t>
            </w:r>
            <w:r>
              <w:t>1930 as amended by the Insolvency (Northern Ireland) Order</w:t>
            </w:r>
            <w:r>
              <w:rPr>
                <w:spacing w:val="-6"/>
              </w:rPr>
              <w:t xml:space="preserve"> </w:t>
            </w:r>
            <w:r>
              <w:t>1989.</w:t>
            </w:r>
          </w:p>
          <w:p w:rsidR="001C5E4E" w:rsidRDefault="001C5E4E">
            <w:pPr>
              <w:pStyle w:val="TableParagraph"/>
              <w:spacing w:before="10"/>
              <w:rPr>
                <w:sz w:val="21"/>
              </w:rPr>
            </w:pPr>
          </w:p>
          <w:p w:rsidR="001C5E4E" w:rsidRDefault="003E09C0">
            <w:pPr>
              <w:pStyle w:val="TableParagraph"/>
              <w:spacing w:line="270" w:lineRule="atLeast"/>
              <w:ind w:left="106" w:right="197"/>
              <w:jc w:val="both"/>
            </w:pPr>
            <w:r>
              <w:t xml:space="preserve">Z33.2 The </w:t>
            </w:r>
            <w:r>
              <w:rPr>
                <w:i/>
              </w:rPr>
              <w:t xml:space="preserve">Consultant </w:t>
            </w:r>
            <w:r>
              <w:t xml:space="preserve">does not without the prior written approval of the </w:t>
            </w:r>
            <w:r>
              <w:rPr>
                <w:i/>
              </w:rPr>
              <w:t xml:space="preserve">Employer </w:t>
            </w:r>
            <w:r>
              <w:t xml:space="preserve">settle or compromise with the insurers any claim which the </w:t>
            </w:r>
            <w:r>
              <w:rPr>
                <w:i/>
              </w:rPr>
              <w:t xml:space="preserve">Consultant </w:t>
            </w:r>
            <w:r>
              <w:t xml:space="preserve">may have against the insurers and which relates to a claim by the </w:t>
            </w:r>
            <w:r>
              <w:rPr>
                <w:i/>
              </w:rPr>
              <w:t>Employer</w:t>
            </w:r>
            <w:r>
              <w:rPr>
                <w:i/>
                <w:spacing w:val="-3"/>
              </w:rPr>
              <w:t xml:space="preserve"> </w:t>
            </w:r>
            <w:r>
              <w:t>against</w:t>
            </w:r>
            <w:r>
              <w:rPr>
                <w:spacing w:val="-5"/>
              </w:rPr>
              <w:t xml:space="preserve"> </w:t>
            </w:r>
            <w:r>
              <w:t>the</w:t>
            </w:r>
            <w:r>
              <w:rPr>
                <w:spacing w:val="-3"/>
              </w:rPr>
              <w:t xml:space="preserve"> </w:t>
            </w:r>
            <w:r>
              <w:rPr>
                <w:i/>
              </w:rPr>
              <w:t>Consultant</w:t>
            </w:r>
            <w:r>
              <w:t>,</w:t>
            </w:r>
            <w:r>
              <w:rPr>
                <w:spacing w:val="-3"/>
              </w:rPr>
              <w:t xml:space="preserve"> </w:t>
            </w:r>
            <w:r>
              <w:t>nor</w:t>
            </w:r>
            <w:r>
              <w:rPr>
                <w:spacing w:val="-3"/>
              </w:rPr>
              <w:t xml:space="preserve"> </w:t>
            </w:r>
            <w:r>
              <w:t>by</w:t>
            </w:r>
            <w:r>
              <w:rPr>
                <w:spacing w:val="-4"/>
              </w:rPr>
              <w:t xml:space="preserve"> </w:t>
            </w:r>
            <w:r>
              <w:t>any</w:t>
            </w:r>
            <w:r>
              <w:rPr>
                <w:spacing w:val="-3"/>
              </w:rPr>
              <w:t xml:space="preserve"> </w:t>
            </w:r>
            <w:r>
              <w:t>act</w:t>
            </w:r>
            <w:r>
              <w:rPr>
                <w:spacing w:val="-3"/>
              </w:rPr>
              <w:t xml:space="preserve"> </w:t>
            </w:r>
            <w:r>
              <w:t>or</w:t>
            </w:r>
            <w:r>
              <w:rPr>
                <w:spacing w:val="-3"/>
              </w:rPr>
              <w:t xml:space="preserve"> </w:t>
            </w:r>
            <w:r>
              <w:t>omission</w:t>
            </w:r>
            <w:r>
              <w:rPr>
                <w:spacing w:val="-4"/>
              </w:rPr>
              <w:t xml:space="preserve"> </w:t>
            </w:r>
            <w:r>
              <w:t>lose</w:t>
            </w:r>
            <w:r>
              <w:rPr>
                <w:spacing w:val="-4"/>
              </w:rPr>
              <w:t xml:space="preserve"> </w:t>
            </w:r>
            <w:r>
              <w:t>or</w:t>
            </w:r>
            <w:r>
              <w:rPr>
                <w:spacing w:val="-3"/>
              </w:rPr>
              <w:t xml:space="preserve"> </w:t>
            </w:r>
            <w:r>
              <w:t>prejudice</w:t>
            </w:r>
          </w:p>
        </w:tc>
      </w:tr>
    </w:tbl>
    <w:p w:rsidR="001C5E4E" w:rsidRDefault="001C5E4E">
      <w:pPr>
        <w:spacing w:line="270" w:lineRule="atLeast"/>
        <w:jc w:val="both"/>
        <w:sectPr w:rsidR="001C5E4E">
          <w:pgSz w:w="11910" w:h="16850"/>
          <w:pgMar w:top="1400" w:right="620" w:bottom="1080" w:left="940" w:header="1112" w:footer="892" w:gutter="0"/>
          <w:cols w:space="720"/>
        </w:sectPr>
      </w:pPr>
    </w:p>
    <w:p w:rsidR="001C5E4E" w:rsidRDefault="001C5E4E">
      <w:pPr>
        <w:pStyle w:val="BodyText"/>
        <w:rPr>
          <w:sz w:val="20"/>
        </w:rPr>
      </w:pPr>
    </w:p>
    <w:p w:rsidR="001C5E4E" w:rsidRDefault="001C5E4E">
      <w:pPr>
        <w:pStyle w:val="BodyText"/>
        <w:spacing w:before="9"/>
        <w:rPr>
          <w:sz w:val="10"/>
        </w:rPr>
      </w:pPr>
    </w:p>
    <w:tbl>
      <w:tblPr>
        <w:tblW w:w="0" w:type="auto"/>
        <w:tblInd w:w="1186" w:type="dxa"/>
        <w:tblLayout w:type="fixed"/>
        <w:tblCellMar>
          <w:left w:w="0" w:type="dxa"/>
          <w:right w:w="0" w:type="dxa"/>
        </w:tblCellMar>
        <w:tblLook w:val="01E0" w:firstRow="1" w:lastRow="1" w:firstColumn="1" w:lastColumn="1" w:noHBand="0" w:noVBand="0"/>
      </w:tblPr>
      <w:tblGrid>
        <w:gridCol w:w="1253"/>
        <w:gridCol w:w="7182"/>
      </w:tblGrid>
      <w:tr w:rsidR="001C5E4E">
        <w:trPr>
          <w:trHeight w:val="6660"/>
        </w:trPr>
        <w:tc>
          <w:tcPr>
            <w:tcW w:w="1253" w:type="dxa"/>
          </w:tcPr>
          <w:p w:rsidR="001C5E4E" w:rsidRDefault="001C5E4E">
            <w:pPr>
              <w:pStyle w:val="TableParagraph"/>
              <w:rPr>
                <w:rFonts w:ascii="Times New Roman"/>
              </w:rPr>
            </w:pPr>
          </w:p>
        </w:tc>
        <w:tc>
          <w:tcPr>
            <w:tcW w:w="7182" w:type="dxa"/>
          </w:tcPr>
          <w:p w:rsidR="001C5E4E" w:rsidRDefault="003E09C0">
            <w:pPr>
              <w:pStyle w:val="TableParagraph"/>
              <w:spacing w:line="224" w:lineRule="exact"/>
              <w:ind w:left="106"/>
            </w:pPr>
            <w:r>
              <w:t xml:space="preserve">the </w:t>
            </w:r>
            <w:r>
              <w:rPr>
                <w:i/>
              </w:rPr>
              <w:t>Consultant</w:t>
            </w:r>
            <w:r>
              <w:t>’s right to make or proceed with such a claim against the</w:t>
            </w:r>
          </w:p>
          <w:p w:rsidR="001C5E4E" w:rsidRDefault="003E09C0">
            <w:pPr>
              <w:pStyle w:val="TableParagraph"/>
              <w:spacing w:line="267" w:lineRule="exact"/>
              <w:ind w:left="106"/>
            </w:pPr>
            <w:r>
              <w:t>insurers.</w:t>
            </w:r>
          </w:p>
          <w:p w:rsidR="001C5E4E" w:rsidRDefault="001C5E4E">
            <w:pPr>
              <w:pStyle w:val="TableParagraph"/>
            </w:pPr>
          </w:p>
          <w:p w:rsidR="001C5E4E" w:rsidRDefault="003E09C0">
            <w:pPr>
              <w:pStyle w:val="TableParagraph"/>
              <w:ind w:left="106" w:right="198"/>
              <w:jc w:val="both"/>
            </w:pPr>
            <w:r>
              <w:t xml:space="preserve">Z33.3 The </w:t>
            </w:r>
            <w:r>
              <w:rPr>
                <w:i/>
              </w:rPr>
              <w:t xml:space="preserve">Consultant </w:t>
            </w:r>
            <w:r>
              <w:t xml:space="preserve">immediately informs the </w:t>
            </w:r>
            <w:r>
              <w:rPr>
                <w:i/>
              </w:rPr>
              <w:t xml:space="preserve">Employer </w:t>
            </w:r>
            <w:r>
              <w:t xml:space="preserve">if the </w:t>
            </w:r>
            <w:r>
              <w:rPr>
                <w:i/>
              </w:rPr>
              <w:t xml:space="preserve">professional indemnity insurance </w:t>
            </w:r>
            <w:r>
              <w:t xml:space="preserve">ceases to be available at rates and on terms that the </w:t>
            </w:r>
            <w:r>
              <w:rPr>
                <w:i/>
              </w:rPr>
              <w:t xml:space="preserve">Consultant </w:t>
            </w:r>
            <w:r>
              <w:t xml:space="preserve">considers to be commercially reasonable. Any increased or additional premium required by insurers by reason of the </w:t>
            </w:r>
            <w:r>
              <w:rPr>
                <w:i/>
              </w:rPr>
              <w:t>Consultant</w:t>
            </w:r>
            <w:r>
              <w:t xml:space="preserve">’s own claims record or other acts, omissions, matters or things particular to the </w:t>
            </w:r>
            <w:r>
              <w:rPr>
                <w:i/>
              </w:rPr>
              <w:t xml:space="preserve">Consultant </w:t>
            </w:r>
            <w:r>
              <w:t>is deemed to be within commercially reasonable rates.</w:t>
            </w:r>
          </w:p>
          <w:p w:rsidR="001C5E4E" w:rsidRDefault="001C5E4E">
            <w:pPr>
              <w:pStyle w:val="TableParagraph"/>
              <w:spacing w:before="2"/>
            </w:pPr>
          </w:p>
          <w:p w:rsidR="001C5E4E" w:rsidRDefault="003E09C0">
            <w:pPr>
              <w:pStyle w:val="TableParagraph"/>
              <w:ind w:left="106" w:right="197"/>
              <w:jc w:val="both"/>
            </w:pPr>
            <w:r>
              <w:t xml:space="preserve">Z33.4 The </w:t>
            </w:r>
            <w:r>
              <w:rPr>
                <w:i/>
              </w:rPr>
              <w:t xml:space="preserve">Consultant </w:t>
            </w:r>
            <w:r>
              <w:t xml:space="preserve">co-operates fully with any measures reasonably required by the </w:t>
            </w:r>
            <w:r>
              <w:rPr>
                <w:i/>
              </w:rPr>
              <w:t xml:space="preserve">Employer </w:t>
            </w:r>
            <w:r>
              <w:t xml:space="preserve">including (without limitation) completing any proposals for insurance and associated documents, maintaining such insurance at rates above commercially reasonable rates if the </w:t>
            </w:r>
            <w:r>
              <w:rPr>
                <w:i/>
              </w:rPr>
              <w:t xml:space="preserve">Employer </w:t>
            </w:r>
            <w:r>
              <w:t xml:space="preserve">undertakes in writing to reimburse the </w:t>
            </w:r>
            <w:r>
              <w:rPr>
                <w:i/>
              </w:rPr>
              <w:t xml:space="preserve">Consultant </w:t>
            </w:r>
            <w:r>
              <w:t xml:space="preserve">in respect of the net cost of such insurance to the </w:t>
            </w:r>
            <w:r>
              <w:rPr>
                <w:i/>
              </w:rPr>
              <w:t xml:space="preserve">Consultant </w:t>
            </w:r>
            <w:r>
              <w:t xml:space="preserve">above commercially reasonable rates or, if the </w:t>
            </w:r>
            <w:r>
              <w:rPr>
                <w:i/>
              </w:rPr>
              <w:t xml:space="preserve">Employer </w:t>
            </w:r>
            <w:r>
              <w:t>effects such insurance at rates at or above commercially reasonable</w:t>
            </w:r>
            <w:r>
              <w:rPr>
                <w:spacing w:val="-5"/>
              </w:rPr>
              <w:t xml:space="preserve"> </w:t>
            </w:r>
            <w:r>
              <w:t>rates,</w:t>
            </w:r>
            <w:r>
              <w:rPr>
                <w:spacing w:val="-6"/>
              </w:rPr>
              <w:t xml:space="preserve"> </w:t>
            </w:r>
            <w:r>
              <w:t>reimbursing</w:t>
            </w:r>
            <w:r>
              <w:rPr>
                <w:spacing w:val="-5"/>
              </w:rPr>
              <w:t xml:space="preserve"> </w:t>
            </w:r>
            <w:r>
              <w:t>the</w:t>
            </w:r>
            <w:r>
              <w:rPr>
                <w:spacing w:val="-5"/>
              </w:rPr>
              <w:t xml:space="preserve"> </w:t>
            </w:r>
            <w:r>
              <w:rPr>
                <w:i/>
              </w:rPr>
              <w:t>Employer</w:t>
            </w:r>
            <w:r>
              <w:rPr>
                <w:i/>
                <w:spacing w:val="-3"/>
              </w:rPr>
              <w:t xml:space="preserve"> </w:t>
            </w:r>
            <w:r>
              <w:t>in</w:t>
            </w:r>
            <w:r>
              <w:rPr>
                <w:spacing w:val="-7"/>
              </w:rPr>
              <w:t xml:space="preserve"> </w:t>
            </w:r>
            <w:r>
              <w:t>respect</w:t>
            </w:r>
            <w:r>
              <w:rPr>
                <w:spacing w:val="-6"/>
              </w:rPr>
              <w:t xml:space="preserve"> </w:t>
            </w:r>
            <w:r>
              <w:t>of</w:t>
            </w:r>
            <w:r>
              <w:rPr>
                <w:spacing w:val="-6"/>
              </w:rPr>
              <w:t xml:space="preserve"> </w:t>
            </w:r>
            <w:r>
              <w:t>what</w:t>
            </w:r>
            <w:r>
              <w:rPr>
                <w:spacing w:val="-7"/>
              </w:rPr>
              <w:t xml:space="preserve"> </w:t>
            </w:r>
            <w:r>
              <w:t>the</w:t>
            </w:r>
            <w:r>
              <w:rPr>
                <w:spacing w:val="-6"/>
              </w:rPr>
              <w:t xml:space="preserve"> </w:t>
            </w:r>
            <w:r>
              <w:t>net</w:t>
            </w:r>
            <w:r>
              <w:rPr>
                <w:spacing w:val="-5"/>
              </w:rPr>
              <w:t xml:space="preserve"> </w:t>
            </w:r>
            <w:r>
              <w:t>cost</w:t>
            </w:r>
            <w:r>
              <w:rPr>
                <w:spacing w:val="-4"/>
              </w:rPr>
              <w:t xml:space="preserve"> </w:t>
            </w:r>
            <w:r>
              <w:t>of such</w:t>
            </w:r>
            <w:r>
              <w:rPr>
                <w:spacing w:val="-5"/>
              </w:rPr>
              <w:t xml:space="preserve"> </w:t>
            </w:r>
            <w:r>
              <w:t>insurance</w:t>
            </w:r>
            <w:r>
              <w:rPr>
                <w:spacing w:val="-5"/>
              </w:rPr>
              <w:t xml:space="preserve"> </w:t>
            </w:r>
            <w:r>
              <w:t>to</w:t>
            </w:r>
            <w:r>
              <w:rPr>
                <w:spacing w:val="-4"/>
              </w:rPr>
              <w:t xml:space="preserve"> </w:t>
            </w:r>
            <w:r>
              <w:t>the</w:t>
            </w:r>
            <w:r>
              <w:rPr>
                <w:spacing w:val="-6"/>
              </w:rPr>
              <w:t xml:space="preserve"> </w:t>
            </w:r>
            <w:r>
              <w:rPr>
                <w:i/>
              </w:rPr>
              <w:t>Employer</w:t>
            </w:r>
            <w:r>
              <w:rPr>
                <w:i/>
                <w:spacing w:val="-4"/>
              </w:rPr>
              <w:t xml:space="preserve"> </w:t>
            </w:r>
            <w:r>
              <w:t>would</w:t>
            </w:r>
            <w:r>
              <w:rPr>
                <w:spacing w:val="-7"/>
              </w:rPr>
              <w:t xml:space="preserve"> </w:t>
            </w:r>
            <w:r>
              <w:t>have</w:t>
            </w:r>
            <w:r>
              <w:rPr>
                <w:spacing w:val="-5"/>
              </w:rPr>
              <w:t xml:space="preserve"> </w:t>
            </w:r>
            <w:r>
              <w:t>been</w:t>
            </w:r>
            <w:r>
              <w:rPr>
                <w:spacing w:val="-4"/>
              </w:rPr>
              <w:t xml:space="preserve"> </w:t>
            </w:r>
            <w:r>
              <w:t>at</w:t>
            </w:r>
            <w:r>
              <w:rPr>
                <w:spacing w:val="-6"/>
              </w:rPr>
              <w:t xml:space="preserve"> </w:t>
            </w:r>
            <w:r>
              <w:t>commercially</w:t>
            </w:r>
            <w:r>
              <w:rPr>
                <w:spacing w:val="-3"/>
              </w:rPr>
              <w:t xml:space="preserve"> </w:t>
            </w:r>
            <w:r>
              <w:t>reasonable rates.</w:t>
            </w:r>
          </w:p>
          <w:p w:rsidR="001C5E4E" w:rsidRDefault="003E09C0">
            <w:pPr>
              <w:pStyle w:val="TableParagraph"/>
              <w:spacing w:before="118"/>
              <w:ind w:left="106" w:right="199"/>
              <w:jc w:val="both"/>
              <w:rPr>
                <w:i/>
              </w:rPr>
            </w:pPr>
            <w:r>
              <w:t xml:space="preserve">Z33.5 The above obligation in respect of </w:t>
            </w:r>
            <w:r>
              <w:rPr>
                <w:i/>
              </w:rPr>
              <w:t xml:space="preserve">professional indemnity insurance </w:t>
            </w:r>
            <w:r>
              <w:t xml:space="preserve">continues notwithstanding termination of the </w:t>
            </w:r>
            <w:r>
              <w:rPr>
                <w:i/>
              </w:rPr>
              <w:t>Consultant</w:t>
            </w:r>
            <w:r>
              <w:t xml:space="preserve">’s employment under this contract for any reason whatsoever, including (without limitation) breach by the </w:t>
            </w:r>
            <w:r>
              <w:rPr>
                <w:i/>
              </w:rPr>
              <w:t>Employer.</w:t>
            </w:r>
          </w:p>
        </w:tc>
      </w:tr>
      <w:tr w:rsidR="001C5E4E">
        <w:trPr>
          <w:trHeight w:val="5988"/>
        </w:trPr>
        <w:tc>
          <w:tcPr>
            <w:tcW w:w="1253" w:type="dxa"/>
          </w:tcPr>
          <w:p w:rsidR="001C5E4E" w:rsidRDefault="003E09C0">
            <w:pPr>
              <w:pStyle w:val="TableParagraph"/>
              <w:spacing w:before="100"/>
              <w:ind w:right="104"/>
              <w:jc w:val="right"/>
              <w:rPr>
                <w:b/>
              </w:rPr>
            </w:pPr>
            <w:r>
              <w:rPr>
                <w:b/>
              </w:rPr>
              <w:t>Clause Z34</w:t>
            </w:r>
          </w:p>
        </w:tc>
        <w:tc>
          <w:tcPr>
            <w:tcW w:w="7182" w:type="dxa"/>
          </w:tcPr>
          <w:p w:rsidR="001C5E4E" w:rsidRDefault="003E09C0">
            <w:pPr>
              <w:pStyle w:val="TableParagraph"/>
              <w:spacing w:before="100"/>
              <w:ind w:left="106"/>
              <w:jc w:val="both"/>
              <w:rPr>
                <w:b/>
              </w:rPr>
            </w:pPr>
            <w:r>
              <w:rPr>
                <w:b/>
              </w:rPr>
              <w:t>Termination and omission of work</w:t>
            </w:r>
          </w:p>
          <w:p w:rsidR="001C5E4E" w:rsidRDefault="003E09C0">
            <w:pPr>
              <w:pStyle w:val="TableParagraph"/>
              <w:spacing w:before="120"/>
              <w:ind w:left="106" w:right="199"/>
              <w:jc w:val="both"/>
            </w:pPr>
            <w:r>
              <w:t xml:space="preserve">Z34.1 If the </w:t>
            </w:r>
            <w:r>
              <w:rPr>
                <w:i/>
              </w:rPr>
              <w:t xml:space="preserve">Employer </w:t>
            </w:r>
            <w:r>
              <w:t xml:space="preserve">instructs a change to the Scope which involves the omission of part of the services, the </w:t>
            </w:r>
            <w:r>
              <w:rPr>
                <w:i/>
              </w:rPr>
              <w:t xml:space="preserve">Employer </w:t>
            </w:r>
            <w:r>
              <w:t xml:space="preserve">may engage other people to carry out the part omitted. The instruction is assessed as a compensation event, except that if the instruction is given for insolvency or a default by the </w:t>
            </w:r>
            <w:r>
              <w:rPr>
                <w:i/>
              </w:rPr>
              <w:t>Consultant</w:t>
            </w:r>
            <w:r>
              <w:t xml:space="preserve">, the assessment includes a deduction of the forecast additional cost to the </w:t>
            </w:r>
            <w:r>
              <w:rPr>
                <w:i/>
              </w:rPr>
              <w:t xml:space="preserve">Employer </w:t>
            </w:r>
            <w:r>
              <w:t>of completing the services.</w:t>
            </w:r>
          </w:p>
          <w:p w:rsidR="001C5E4E" w:rsidRDefault="003E09C0">
            <w:pPr>
              <w:pStyle w:val="TableParagraph"/>
              <w:spacing w:before="120"/>
              <w:ind w:left="106"/>
              <w:jc w:val="both"/>
            </w:pPr>
            <w:r>
              <w:t>Z34.2 The following is added at the end of the first bullet point in clause</w:t>
            </w:r>
          </w:p>
          <w:p w:rsidR="001C5E4E" w:rsidRDefault="003E09C0">
            <w:pPr>
              <w:pStyle w:val="TableParagraph"/>
              <w:ind w:left="106"/>
              <w:jc w:val="both"/>
              <w:rPr>
                <w:i/>
              </w:rPr>
            </w:pPr>
            <w:r>
              <w:t xml:space="preserve">91.1 of the </w:t>
            </w:r>
            <w:r>
              <w:rPr>
                <w:i/>
              </w:rPr>
              <w:t>conditions of contract:</w:t>
            </w:r>
          </w:p>
          <w:p w:rsidR="001C5E4E" w:rsidRDefault="003E09C0">
            <w:pPr>
              <w:pStyle w:val="TableParagraph"/>
              <w:spacing w:before="120"/>
              <w:ind w:left="106"/>
              <w:jc w:val="both"/>
            </w:pPr>
            <w:r>
              <w:t xml:space="preserve">“unless instructed otherwise by the </w:t>
            </w:r>
            <w:r>
              <w:rPr>
                <w:i/>
              </w:rPr>
              <w:t>Employer</w:t>
            </w:r>
            <w:r>
              <w:t>”.</w:t>
            </w:r>
          </w:p>
          <w:p w:rsidR="001C5E4E" w:rsidRDefault="003E09C0">
            <w:pPr>
              <w:pStyle w:val="TableParagraph"/>
              <w:spacing w:before="120"/>
              <w:ind w:left="106" w:right="197"/>
              <w:jc w:val="both"/>
            </w:pPr>
            <w:r>
              <w:t xml:space="preserve">Z34.3 The following are treated as a substantial failure by the </w:t>
            </w:r>
            <w:r>
              <w:rPr>
                <w:i/>
              </w:rPr>
              <w:t xml:space="preserve">Consultant </w:t>
            </w:r>
            <w:r>
              <w:t>to comply with his</w:t>
            </w:r>
            <w:r>
              <w:rPr>
                <w:spacing w:val="-5"/>
              </w:rPr>
              <w:t xml:space="preserve"> </w:t>
            </w:r>
            <w:r>
              <w:t>obligations</w:t>
            </w:r>
          </w:p>
          <w:p w:rsidR="001C5E4E" w:rsidRDefault="003E09C0">
            <w:pPr>
              <w:pStyle w:val="TableParagraph"/>
              <w:numPr>
                <w:ilvl w:val="0"/>
                <w:numId w:val="21"/>
              </w:numPr>
              <w:tabs>
                <w:tab w:val="left" w:pos="826"/>
                <w:tab w:val="left" w:pos="827"/>
              </w:tabs>
              <w:spacing w:before="121"/>
              <w:ind w:right="199" w:firstLine="0"/>
              <w:jc w:val="both"/>
              <w:rPr>
                <w:i/>
              </w:rPr>
            </w:pPr>
            <w:r>
              <w:t>a</w:t>
            </w:r>
            <w:r>
              <w:rPr>
                <w:spacing w:val="-7"/>
              </w:rPr>
              <w:t xml:space="preserve"> </w:t>
            </w:r>
            <w:r>
              <w:t>key</w:t>
            </w:r>
            <w:r>
              <w:rPr>
                <w:spacing w:val="-6"/>
              </w:rPr>
              <w:t xml:space="preserve"> </w:t>
            </w:r>
            <w:r>
              <w:t>resource</w:t>
            </w:r>
            <w:r>
              <w:rPr>
                <w:spacing w:val="-6"/>
              </w:rPr>
              <w:t xml:space="preserve"> </w:t>
            </w:r>
            <w:r>
              <w:t>needed</w:t>
            </w:r>
            <w:r>
              <w:rPr>
                <w:spacing w:val="-7"/>
              </w:rPr>
              <w:t xml:space="preserve"> </w:t>
            </w:r>
            <w:r>
              <w:t>by</w:t>
            </w:r>
            <w:r>
              <w:rPr>
                <w:spacing w:val="-8"/>
              </w:rPr>
              <w:t xml:space="preserve"> </w:t>
            </w:r>
            <w:r>
              <w:t>the</w:t>
            </w:r>
            <w:r>
              <w:rPr>
                <w:spacing w:val="-7"/>
              </w:rPr>
              <w:t xml:space="preserve"> </w:t>
            </w:r>
            <w:r>
              <w:rPr>
                <w:i/>
              </w:rPr>
              <w:t>Consultan</w:t>
            </w:r>
            <w:r>
              <w:t>t</w:t>
            </w:r>
            <w:r>
              <w:rPr>
                <w:spacing w:val="-8"/>
              </w:rPr>
              <w:t xml:space="preserve"> </w:t>
            </w:r>
            <w:r>
              <w:t>to</w:t>
            </w:r>
            <w:r>
              <w:rPr>
                <w:spacing w:val="-6"/>
              </w:rPr>
              <w:t xml:space="preserve"> </w:t>
            </w:r>
            <w:r>
              <w:t>Provide</w:t>
            </w:r>
            <w:r>
              <w:rPr>
                <w:spacing w:val="-6"/>
              </w:rPr>
              <w:t xml:space="preserve"> </w:t>
            </w:r>
            <w:r>
              <w:t>the</w:t>
            </w:r>
            <w:r>
              <w:rPr>
                <w:spacing w:val="-6"/>
              </w:rPr>
              <w:t xml:space="preserve"> </w:t>
            </w:r>
            <w:r>
              <w:t>Services</w:t>
            </w:r>
            <w:r>
              <w:rPr>
                <w:spacing w:val="-8"/>
              </w:rPr>
              <w:t xml:space="preserve"> </w:t>
            </w:r>
            <w:r>
              <w:t>is</w:t>
            </w:r>
            <w:r>
              <w:rPr>
                <w:spacing w:val="-7"/>
              </w:rPr>
              <w:t xml:space="preserve"> </w:t>
            </w:r>
            <w:r>
              <w:t>no longer</w:t>
            </w:r>
            <w:r>
              <w:rPr>
                <w:spacing w:val="-4"/>
              </w:rPr>
              <w:t xml:space="preserve"> </w:t>
            </w:r>
            <w:r>
              <w:t>available</w:t>
            </w:r>
            <w:r>
              <w:rPr>
                <w:spacing w:val="-7"/>
              </w:rPr>
              <w:t xml:space="preserve"> </w:t>
            </w:r>
            <w:r>
              <w:t>and</w:t>
            </w:r>
            <w:r>
              <w:rPr>
                <w:spacing w:val="-5"/>
              </w:rPr>
              <w:t xml:space="preserve"> </w:t>
            </w:r>
            <w:r>
              <w:t>the</w:t>
            </w:r>
            <w:r>
              <w:rPr>
                <w:spacing w:val="-3"/>
              </w:rPr>
              <w:t xml:space="preserve"> </w:t>
            </w:r>
            <w:r>
              <w:rPr>
                <w:i/>
              </w:rPr>
              <w:t>Consultant</w:t>
            </w:r>
            <w:r>
              <w:rPr>
                <w:i/>
                <w:spacing w:val="-3"/>
              </w:rPr>
              <w:t xml:space="preserve"> </w:t>
            </w:r>
            <w:r>
              <w:t>does</w:t>
            </w:r>
            <w:r>
              <w:rPr>
                <w:spacing w:val="-3"/>
              </w:rPr>
              <w:t xml:space="preserve"> </w:t>
            </w:r>
            <w:r>
              <w:t>not</w:t>
            </w:r>
            <w:r>
              <w:rPr>
                <w:spacing w:val="-6"/>
              </w:rPr>
              <w:t xml:space="preserve"> </w:t>
            </w:r>
            <w:r>
              <w:t>propose</w:t>
            </w:r>
            <w:r>
              <w:rPr>
                <w:spacing w:val="-9"/>
              </w:rPr>
              <w:t xml:space="preserve"> </w:t>
            </w:r>
            <w:r>
              <w:t>an</w:t>
            </w:r>
            <w:r>
              <w:rPr>
                <w:spacing w:val="-5"/>
              </w:rPr>
              <w:t xml:space="preserve"> </w:t>
            </w:r>
            <w:r>
              <w:t>alternative</w:t>
            </w:r>
            <w:r>
              <w:rPr>
                <w:spacing w:val="-6"/>
              </w:rPr>
              <w:t xml:space="preserve"> </w:t>
            </w:r>
            <w:r>
              <w:t>resource acceptable to the</w:t>
            </w:r>
            <w:r>
              <w:rPr>
                <w:spacing w:val="-2"/>
              </w:rPr>
              <w:t xml:space="preserve"> </w:t>
            </w:r>
            <w:r>
              <w:rPr>
                <w:i/>
              </w:rPr>
              <w:t>Employer</w:t>
            </w:r>
          </w:p>
          <w:p w:rsidR="001C5E4E" w:rsidRDefault="003E09C0">
            <w:pPr>
              <w:pStyle w:val="TableParagraph"/>
              <w:numPr>
                <w:ilvl w:val="0"/>
                <w:numId w:val="21"/>
              </w:numPr>
              <w:tabs>
                <w:tab w:val="left" w:pos="275"/>
              </w:tabs>
              <w:spacing w:before="121"/>
              <w:ind w:right="197" w:firstLine="0"/>
              <w:jc w:val="both"/>
            </w:pPr>
            <w:r>
              <w:t>progress and performance will be formally reviewed quarterly, however in instances</w:t>
            </w:r>
            <w:r>
              <w:rPr>
                <w:spacing w:val="-14"/>
              </w:rPr>
              <w:t xml:space="preserve"> </w:t>
            </w:r>
            <w:r>
              <w:t>where</w:t>
            </w:r>
            <w:r>
              <w:rPr>
                <w:spacing w:val="-1"/>
              </w:rPr>
              <w:t xml:space="preserve"> </w:t>
            </w:r>
            <w:r>
              <w:t>there</w:t>
            </w:r>
            <w:r>
              <w:rPr>
                <w:spacing w:val="-11"/>
              </w:rPr>
              <w:t xml:space="preserve"> </w:t>
            </w:r>
            <w:r>
              <w:t>are</w:t>
            </w:r>
            <w:r>
              <w:rPr>
                <w:spacing w:val="-13"/>
              </w:rPr>
              <w:t xml:space="preserve"> </w:t>
            </w:r>
            <w:r>
              <w:t>significant</w:t>
            </w:r>
            <w:r>
              <w:rPr>
                <w:spacing w:val="-11"/>
              </w:rPr>
              <w:t xml:space="preserve"> </w:t>
            </w:r>
            <w:r>
              <w:t>deviations</w:t>
            </w:r>
            <w:r>
              <w:rPr>
                <w:spacing w:val="-14"/>
              </w:rPr>
              <w:t xml:space="preserve"> </w:t>
            </w:r>
            <w:r>
              <w:t>from</w:t>
            </w:r>
            <w:r>
              <w:rPr>
                <w:spacing w:val="-13"/>
              </w:rPr>
              <w:t xml:space="preserve"> </w:t>
            </w:r>
            <w:r>
              <w:t>the</w:t>
            </w:r>
            <w:r>
              <w:rPr>
                <w:spacing w:val="-11"/>
              </w:rPr>
              <w:t xml:space="preserve"> </w:t>
            </w:r>
            <w:r>
              <w:t>agreed</w:t>
            </w:r>
            <w:r>
              <w:rPr>
                <w:spacing w:val="-11"/>
              </w:rPr>
              <w:t xml:space="preserve"> </w:t>
            </w:r>
            <w:r>
              <w:t>delivery</w:t>
            </w:r>
            <w:r>
              <w:rPr>
                <w:spacing w:val="-11"/>
              </w:rPr>
              <w:t xml:space="preserve"> </w:t>
            </w:r>
            <w:r>
              <w:t>plan weekly or monthly reporting may be</w:t>
            </w:r>
            <w:r>
              <w:rPr>
                <w:spacing w:val="-8"/>
              </w:rPr>
              <w:t xml:space="preserve"> </w:t>
            </w:r>
            <w:r>
              <w:t>required.</w:t>
            </w:r>
          </w:p>
        </w:tc>
      </w:tr>
      <w:tr w:rsidR="001C5E4E">
        <w:trPr>
          <w:trHeight w:val="559"/>
        </w:trPr>
        <w:tc>
          <w:tcPr>
            <w:tcW w:w="1253" w:type="dxa"/>
          </w:tcPr>
          <w:p w:rsidR="001C5E4E" w:rsidRDefault="001C5E4E">
            <w:pPr>
              <w:pStyle w:val="TableParagraph"/>
              <w:spacing w:before="1"/>
              <w:rPr>
                <w:sz w:val="24"/>
              </w:rPr>
            </w:pPr>
          </w:p>
          <w:p w:rsidR="001C5E4E" w:rsidRDefault="003E09C0">
            <w:pPr>
              <w:pStyle w:val="TableParagraph"/>
              <w:spacing w:line="245" w:lineRule="exact"/>
              <w:ind w:right="104"/>
              <w:jc w:val="right"/>
              <w:rPr>
                <w:b/>
              </w:rPr>
            </w:pPr>
            <w:r>
              <w:rPr>
                <w:b/>
              </w:rPr>
              <w:t>Clause Z35</w:t>
            </w:r>
          </w:p>
        </w:tc>
        <w:tc>
          <w:tcPr>
            <w:tcW w:w="7182" w:type="dxa"/>
          </w:tcPr>
          <w:p w:rsidR="001C5E4E" w:rsidRDefault="001C5E4E">
            <w:pPr>
              <w:pStyle w:val="TableParagraph"/>
              <w:spacing w:before="1"/>
              <w:rPr>
                <w:sz w:val="24"/>
              </w:rPr>
            </w:pPr>
          </w:p>
          <w:p w:rsidR="001C5E4E" w:rsidRDefault="003E09C0">
            <w:pPr>
              <w:pStyle w:val="TableParagraph"/>
              <w:spacing w:line="245" w:lineRule="exact"/>
              <w:ind w:left="106"/>
              <w:rPr>
                <w:b/>
              </w:rPr>
            </w:pPr>
            <w:r>
              <w:rPr>
                <w:b/>
              </w:rPr>
              <w:t>Not Used</w:t>
            </w:r>
          </w:p>
        </w:tc>
      </w:tr>
    </w:tbl>
    <w:p w:rsidR="001C5E4E" w:rsidRDefault="001C5E4E">
      <w:pPr>
        <w:spacing w:line="245" w:lineRule="exact"/>
        <w:sectPr w:rsidR="001C5E4E">
          <w:pgSz w:w="11910" w:h="16850"/>
          <w:pgMar w:top="1400" w:right="620" w:bottom="1080" w:left="940" w:header="1112" w:footer="892" w:gutter="0"/>
          <w:cols w:space="720"/>
        </w:sectPr>
      </w:pPr>
    </w:p>
    <w:p w:rsidR="001C5E4E" w:rsidRDefault="001C5E4E">
      <w:pPr>
        <w:pStyle w:val="BodyText"/>
        <w:rPr>
          <w:sz w:val="20"/>
        </w:rPr>
      </w:pPr>
    </w:p>
    <w:p w:rsidR="001C5E4E" w:rsidRDefault="001C5E4E">
      <w:pPr>
        <w:pStyle w:val="BodyText"/>
        <w:spacing w:before="7"/>
        <w:rPr>
          <w:sz w:val="20"/>
        </w:rPr>
      </w:pPr>
    </w:p>
    <w:tbl>
      <w:tblPr>
        <w:tblW w:w="0" w:type="auto"/>
        <w:tblInd w:w="1186" w:type="dxa"/>
        <w:tblLayout w:type="fixed"/>
        <w:tblCellMar>
          <w:left w:w="0" w:type="dxa"/>
          <w:right w:w="0" w:type="dxa"/>
        </w:tblCellMar>
        <w:tblLook w:val="01E0" w:firstRow="1" w:lastRow="1" w:firstColumn="1" w:lastColumn="1" w:noHBand="0" w:noVBand="0"/>
      </w:tblPr>
      <w:tblGrid>
        <w:gridCol w:w="1253"/>
        <w:gridCol w:w="7182"/>
      </w:tblGrid>
      <w:tr w:rsidR="001C5E4E">
        <w:trPr>
          <w:trHeight w:val="6010"/>
        </w:trPr>
        <w:tc>
          <w:tcPr>
            <w:tcW w:w="1253" w:type="dxa"/>
          </w:tcPr>
          <w:p w:rsidR="001C5E4E" w:rsidRDefault="003E09C0">
            <w:pPr>
              <w:pStyle w:val="TableParagraph"/>
              <w:spacing w:line="225" w:lineRule="exact"/>
              <w:ind w:right="104"/>
              <w:jc w:val="right"/>
              <w:rPr>
                <w:b/>
              </w:rPr>
            </w:pPr>
            <w:r>
              <w:rPr>
                <w:b/>
              </w:rPr>
              <w:t>Clause Z36</w:t>
            </w:r>
          </w:p>
        </w:tc>
        <w:tc>
          <w:tcPr>
            <w:tcW w:w="7182" w:type="dxa"/>
          </w:tcPr>
          <w:p w:rsidR="001C5E4E" w:rsidRDefault="003E09C0">
            <w:pPr>
              <w:pStyle w:val="TableParagraph"/>
              <w:spacing w:line="225" w:lineRule="exact"/>
              <w:ind w:left="106"/>
              <w:jc w:val="both"/>
              <w:rPr>
                <w:b/>
              </w:rPr>
            </w:pPr>
            <w:r>
              <w:rPr>
                <w:b/>
              </w:rPr>
              <w:t>Termination – PCRs, Regulation 73</w:t>
            </w:r>
          </w:p>
          <w:p w:rsidR="001C5E4E" w:rsidRDefault="003E09C0">
            <w:pPr>
              <w:pStyle w:val="TableParagraph"/>
              <w:spacing w:before="118"/>
              <w:ind w:left="106" w:right="200"/>
              <w:jc w:val="both"/>
            </w:pPr>
            <w:r>
              <w:t>Z36.1</w:t>
            </w:r>
            <w:r>
              <w:rPr>
                <w:spacing w:val="-5"/>
              </w:rPr>
              <w:t xml:space="preserve"> </w:t>
            </w:r>
            <w:r>
              <w:t>The</w:t>
            </w:r>
            <w:r>
              <w:rPr>
                <w:spacing w:val="-3"/>
              </w:rPr>
              <w:t xml:space="preserve"> </w:t>
            </w:r>
            <w:r>
              <w:rPr>
                <w:i/>
              </w:rPr>
              <w:t>Employer</w:t>
            </w:r>
            <w:r>
              <w:rPr>
                <w:i/>
                <w:spacing w:val="-8"/>
              </w:rPr>
              <w:t xml:space="preserve"> </w:t>
            </w:r>
            <w:r>
              <w:t>may</w:t>
            </w:r>
            <w:r>
              <w:rPr>
                <w:spacing w:val="-6"/>
              </w:rPr>
              <w:t xml:space="preserve"> </w:t>
            </w:r>
            <w:r>
              <w:t>terminate</w:t>
            </w:r>
            <w:r>
              <w:rPr>
                <w:spacing w:val="-6"/>
              </w:rPr>
              <w:t xml:space="preserve"> </w:t>
            </w:r>
            <w:r>
              <w:t>the</w:t>
            </w:r>
            <w:r>
              <w:rPr>
                <w:spacing w:val="-6"/>
              </w:rPr>
              <w:t xml:space="preserve"> </w:t>
            </w:r>
            <w:r>
              <w:rPr>
                <w:i/>
              </w:rPr>
              <w:t>Consultant</w:t>
            </w:r>
            <w:r>
              <w:t>‘s</w:t>
            </w:r>
            <w:r>
              <w:rPr>
                <w:spacing w:val="-7"/>
              </w:rPr>
              <w:t xml:space="preserve"> </w:t>
            </w:r>
            <w:r>
              <w:t>obligation</w:t>
            </w:r>
            <w:r>
              <w:rPr>
                <w:spacing w:val="-6"/>
              </w:rPr>
              <w:t xml:space="preserve"> </w:t>
            </w:r>
            <w:r>
              <w:t>to</w:t>
            </w:r>
            <w:r>
              <w:rPr>
                <w:spacing w:val="-5"/>
              </w:rPr>
              <w:t xml:space="preserve"> </w:t>
            </w:r>
            <w:r>
              <w:t>Provide</w:t>
            </w:r>
            <w:r>
              <w:rPr>
                <w:spacing w:val="-4"/>
              </w:rPr>
              <w:t xml:space="preserve"> </w:t>
            </w:r>
            <w:r>
              <w:t xml:space="preserve">the Services if one of the mandatory or discretionary grounds for exclusion referred to in regulation 57 of the Public Contracts Regulations 2015 applied to the </w:t>
            </w:r>
            <w:r>
              <w:rPr>
                <w:i/>
              </w:rPr>
              <w:t xml:space="preserve">Consultant </w:t>
            </w:r>
            <w:r>
              <w:t xml:space="preserve">at the Contract Date. This is treated as a termination because of a substantial failure of the </w:t>
            </w:r>
            <w:r>
              <w:rPr>
                <w:i/>
              </w:rPr>
              <w:t xml:space="preserve">Consultant </w:t>
            </w:r>
            <w:r>
              <w:t>to comply with his obligations.</w:t>
            </w:r>
          </w:p>
          <w:p w:rsidR="001C5E4E" w:rsidRDefault="003E09C0">
            <w:pPr>
              <w:pStyle w:val="TableParagraph"/>
              <w:spacing w:before="121"/>
              <w:ind w:left="106"/>
              <w:jc w:val="both"/>
            </w:pPr>
            <w:r>
              <w:t xml:space="preserve">Z36.2 The </w:t>
            </w:r>
            <w:r>
              <w:rPr>
                <w:i/>
              </w:rPr>
              <w:t xml:space="preserve">Employer </w:t>
            </w:r>
            <w:r>
              <w:t xml:space="preserve">may terminate the </w:t>
            </w:r>
            <w:r>
              <w:rPr>
                <w:i/>
              </w:rPr>
              <w:t>Consultant</w:t>
            </w:r>
            <w:r>
              <w:t>‘s obligation to Provide</w:t>
            </w:r>
          </w:p>
          <w:p w:rsidR="001C5E4E" w:rsidRDefault="003E09C0">
            <w:pPr>
              <w:pStyle w:val="TableParagraph"/>
              <w:ind w:left="106"/>
              <w:jc w:val="both"/>
            </w:pPr>
            <w:r>
              <w:t>the Services if</w:t>
            </w:r>
          </w:p>
          <w:p w:rsidR="001C5E4E" w:rsidRDefault="003E09C0">
            <w:pPr>
              <w:pStyle w:val="TableParagraph"/>
              <w:numPr>
                <w:ilvl w:val="0"/>
                <w:numId w:val="20"/>
              </w:numPr>
              <w:tabs>
                <w:tab w:val="left" w:pos="390"/>
              </w:tabs>
              <w:spacing w:before="121" w:line="264" w:lineRule="auto"/>
              <w:ind w:right="197"/>
              <w:jc w:val="both"/>
            </w:pPr>
            <w:r>
              <w:t>this contract has been subject to substantial modification which would have required a new procurement procedure pursuant to regulation 72</w:t>
            </w:r>
            <w:r>
              <w:rPr>
                <w:spacing w:val="-30"/>
              </w:rPr>
              <w:t xml:space="preserve"> </w:t>
            </w:r>
            <w:r>
              <w:t>of the Public Contracts Regulations 2015</w:t>
            </w:r>
            <w:r>
              <w:rPr>
                <w:spacing w:val="-9"/>
              </w:rPr>
              <w:t xml:space="preserve"> </w:t>
            </w:r>
            <w:r>
              <w:t>or</w:t>
            </w:r>
          </w:p>
          <w:p w:rsidR="001C5E4E" w:rsidRDefault="003E09C0">
            <w:pPr>
              <w:pStyle w:val="TableParagraph"/>
              <w:numPr>
                <w:ilvl w:val="0"/>
                <w:numId w:val="20"/>
              </w:numPr>
              <w:tabs>
                <w:tab w:val="left" w:pos="390"/>
              </w:tabs>
              <w:spacing w:before="120" w:line="264" w:lineRule="auto"/>
              <w:ind w:right="200"/>
              <w:jc w:val="both"/>
            </w:pPr>
            <w:r>
              <w:t>the Court of Justice of the European Union declares, in a procedure</w:t>
            </w:r>
            <w:r>
              <w:rPr>
                <w:spacing w:val="-25"/>
              </w:rPr>
              <w:t xml:space="preserve"> </w:t>
            </w:r>
            <w:r>
              <w:t>under Article</w:t>
            </w:r>
            <w:r>
              <w:rPr>
                <w:spacing w:val="-3"/>
              </w:rPr>
              <w:t xml:space="preserve"> </w:t>
            </w:r>
            <w:r>
              <w:t>258</w:t>
            </w:r>
            <w:r>
              <w:rPr>
                <w:spacing w:val="-4"/>
              </w:rPr>
              <w:t xml:space="preserve"> </w:t>
            </w:r>
            <w:r>
              <w:t>of</w:t>
            </w:r>
            <w:r>
              <w:rPr>
                <w:spacing w:val="-2"/>
              </w:rPr>
              <w:t xml:space="preserve"> </w:t>
            </w:r>
            <w:r>
              <w:t>the</w:t>
            </w:r>
            <w:r>
              <w:rPr>
                <w:spacing w:val="-2"/>
              </w:rPr>
              <w:t xml:space="preserve"> </w:t>
            </w:r>
            <w:r>
              <w:t>Treaty</w:t>
            </w:r>
            <w:r>
              <w:rPr>
                <w:spacing w:val="-5"/>
              </w:rPr>
              <w:t xml:space="preserve"> </w:t>
            </w:r>
            <w:r>
              <w:t>on</w:t>
            </w:r>
            <w:r>
              <w:rPr>
                <w:spacing w:val="-5"/>
              </w:rPr>
              <w:t xml:space="preserve"> </w:t>
            </w:r>
            <w:r>
              <w:t>the</w:t>
            </w:r>
            <w:r>
              <w:rPr>
                <w:spacing w:val="-2"/>
              </w:rPr>
              <w:t xml:space="preserve"> </w:t>
            </w:r>
            <w:r>
              <w:t>Functioning</w:t>
            </w:r>
            <w:r>
              <w:rPr>
                <w:spacing w:val="-3"/>
              </w:rPr>
              <w:t xml:space="preserve"> </w:t>
            </w:r>
            <w:r>
              <w:t>of</w:t>
            </w:r>
            <w:r>
              <w:rPr>
                <w:spacing w:val="-3"/>
              </w:rPr>
              <w:t xml:space="preserve"> </w:t>
            </w:r>
            <w:r>
              <w:t>the</w:t>
            </w:r>
            <w:r>
              <w:rPr>
                <w:spacing w:val="-2"/>
              </w:rPr>
              <w:t xml:space="preserve"> </w:t>
            </w:r>
            <w:r>
              <w:t>European</w:t>
            </w:r>
            <w:r>
              <w:rPr>
                <w:spacing w:val="-3"/>
              </w:rPr>
              <w:t xml:space="preserve"> </w:t>
            </w:r>
            <w:r>
              <w:t>Union,</w:t>
            </w:r>
            <w:r>
              <w:rPr>
                <w:spacing w:val="-4"/>
              </w:rPr>
              <w:t xml:space="preserve"> </w:t>
            </w:r>
            <w:r>
              <w:t>that</w:t>
            </w:r>
            <w:r>
              <w:rPr>
                <w:spacing w:val="-3"/>
              </w:rPr>
              <w:t xml:space="preserve"> </w:t>
            </w:r>
            <w:r>
              <w:t>a serious</w:t>
            </w:r>
            <w:r>
              <w:rPr>
                <w:spacing w:val="-11"/>
              </w:rPr>
              <w:t xml:space="preserve"> </w:t>
            </w:r>
            <w:r>
              <w:t>infringement</w:t>
            </w:r>
            <w:r>
              <w:rPr>
                <w:spacing w:val="-12"/>
              </w:rPr>
              <w:t xml:space="preserve"> </w:t>
            </w:r>
            <w:r>
              <w:t>of</w:t>
            </w:r>
            <w:r>
              <w:rPr>
                <w:spacing w:val="-12"/>
              </w:rPr>
              <w:t xml:space="preserve"> </w:t>
            </w:r>
            <w:r>
              <w:t>the</w:t>
            </w:r>
            <w:r>
              <w:rPr>
                <w:spacing w:val="-12"/>
              </w:rPr>
              <w:t xml:space="preserve"> </w:t>
            </w:r>
            <w:r>
              <w:t>obligations</w:t>
            </w:r>
            <w:r>
              <w:rPr>
                <w:spacing w:val="-11"/>
              </w:rPr>
              <w:t xml:space="preserve"> </w:t>
            </w:r>
            <w:r>
              <w:t>under</w:t>
            </w:r>
            <w:r>
              <w:rPr>
                <w:spacing w:val="-10"/>
              </w:rPr>
              <w:t xml:space="preserve"> </w:t>
            </w:r>
            <w:r>
              <w:t>the</w:t>
            </w:r>
            <w:r>
              <w:rPr>
                <w:spacing w:val="-11"/>
              </w:rPr>
              <w:t xml:space="preserve"> </w:t>
            </w:r>
            <w:r>
              <w:t>European</w:t>
            </w:r>
            <w:r>
              <w:rPr>
                <w:spacing w:val="-11"/>
              </w:rPr>
              <w:t xml:space="preserve"> </w:t>
            </w:r>
            <w:r>
              <w:t>Union</w:t>
            </w:r>
            <w:r>
              <w:rPr>
                <w:spacing w:val="-12"/>
              </w:rPr>
              <w:t xml:space="preserve"> </w:t>
            </w:r>
            <w:r>
              <w:t>Treaties and the Public Contracts Directive has</w:t>
            </w:r>
            <w:r>
              <w:rPr>
                <w:spacing w:val="-8"/>
              </w:rPr>
              <w:t xml:space="preserve"> </w:t>
            </w:r>
            <w:r>
              <w:t>occurred.</w:t>
            </w:r>
          </w:p>
          <w:p w:rsidR="001C5E4E" w:rsidRDefault="003E09C0">
            <w:pPr>
              <w:pStyle w:val="TableParagraph"/>
              <w:spacing w:before="119"/>
              <w:ind w:left="106" w:right="198"/>
              <w:jc w:val="both"/>
            </w:pPr>
            <w:r>
              <w:t xml:space="preserve">If the modification or infringement was due to a default by the </w:t>
            </w:r>
            <w:r>
              <w:rPr>
                <w:i/>
              </w:rPr>
              <w:t>Consultant</w:t>
            </w:r>
            <w:r>
              <w:t xml:space="preserve">, this is treated as a termination because of a substantial failure of the </w:t>
            </w:r>
            <w:r>
              <w:rPr>
                <w:i/>
              </w:rPr>
              <w:t xml:space="preserve">Consultant </w:t>
            </w:r>
            <w:r>
              <w:t>to comply with his obligations.</w:t>
            </w:r>
          </w:p>
        </w:tc>
      </w:tr>
      <w:tr w:rsidR="001C5E4E">
        <w:trPr>
          <w:trHeight w:val="1970"/>
        </w:trPr>
        <w:tc>
          <w:tcPr>
            <w:tcW w:w="1253" w:type="dxa"/>
          </w:tcPr>
          <w:p w:rsidR="001C5E4E" w:rsidRDefault="003E09C0">
            <w:pPr>
              <w:pStyle w:val="TableParagraph"/>
              <w:spacing w:before="100"/>
              <w:ind w:right="104"/>
              <w:jc w:val="right"/>
              <w:rPr>
                <w:b/>
              </w:rPr>
            </w:pPr>
            <w:r>
              <w:rPr>
                <w:b/>
              </w:rPr>
              <w:t>Clause Z37</w:t>
            </w:r>
          </w:p>
        </w:tc>
        <w:tc>
          <w:tcPr>
            <w:tcW w:w="7182" w:type="dxa"/>
          </w:tcPr>
          <w:p w:rsidR="001C5E4E" w:rsidRDefault="003E09C0">
            <w:pPr>
              <w:pStyle w:val="TableParagraph"/>
              <w:spacing w:before="100"/>
              <w:ind w:left="106"/>
              <w:jc w:val="both"/>
              <w:rPr>
                <w:b/>
              </w:rPr>
            </w:pPr>
            <w:r>
              <w:rPr>
                <w:b/>
              </w:rPr>
              <w:t>Value Added Tax (VAT) Recovery</w:t>
            </w:r>
          </w:p>
          <w:p w:rsidR="001C5E4E" w:rsidRDefault="003E09C0">
            <w:pPr>
              <w:pStyle w:val="TableParagraph"/>
              <w:spacing w:before="120"/>
              <w:ind w:left="106" w:right="199"/>
              <w:jc w:val="both"/>
            </w:pPr>
            <w:r>
              <w:t>Z37.1</w:t>
            </w:r>
            <w:r>
              <w:rPr>
                <w:spacing w:val="-10"/>
              </w:rPr>
              <w:t xml:space="preserve"> </w:t>
            </w:r>
            <w:r>
              <w:t>Where</w:t>
            </w:r>
            <w:r>
              <w:rPr>
                <w:spacing w:val="-9"/>
              </w:rPr>
              <w:t xml:space="preserve"> </w:t>
            </w:r>
            <w:r>
              <w:t>under</w:t>
            </w:r>
            <w:r>
              <w:rPr>
                <w:spacing w:val="-10"/>
              </w:rPr>
              <w:t xml:space="preserve"> </w:t>
            </w:r>
            <w:r>
              <w:t>this</w:t>
            </w:r>
            <w:r>
              <w:rPr>
                <w:spacing w:val="-7"/>
              </w:rPr>
              <w:t xml:space="preserve"> </w:t>
            </w:r>
            <w:r>
              <w:t>contract</w:t>
            </w:r>
            <w:r>
              <w:rPr>
                <w:spacing w:val="-10"/>
              </w:rPr>
              <w:t xml:space="preserve"> </w:t>
            </w:r>
            <w:r>
              <w:t>any</w:t>
            </w:r>
            <w:r>
              <w:rPr>
                <w:spacing w:val="-8"/>
              </w:rPr>
              <w:t xml:space="preserve"> </w:t>
            </w:r>
            <w:r>
              <w:t>amount</w:t>
            </w:r>
            <w:r>
              <w:rPr>
                <w:spacing w:val="-10"/>
              </w:rPr>
              <w:t xml:space="preserve"> </w:t>
            </w:r>
            <w:r>
              <w:t>is</w:t>
            </w:r>
            <w:r>
              <w:rPr>
                <w:spacing w:val="-10"/>
              </w:rPr>
              <w:t xml:space="preserve"> </w:t>
            </w:r>
            <w:r>
              <w:t>calculated</w:t>
            </w:r>
            <w:r>
              <w:rPr>
                <w:spacing w:val="-8"/>
              </w:rPr>
              <w:t xml:space="preserve"> </w:t>
            </w:r>
            <w:r>
              <w:t>by</w:t>
            </w:r>
            <w:r>
              <w:rPr>
                <w:spacing w:val="-8"/>
              </w:rPr>
              <w:t xml:space="preserve"> </w:t>
            </w:r>
            <w:r>
              <w:t>reference</w:t>
            </w:r>
            <w:r>
              <w:rPr>
                <w:spacing w:val="-10"/>
              </w:rPr>
              <w:t xml:space="preserve"> </w:t>
            </w:r>
            <w:r>
              <w:t>to</w:t>
            </w:r>
            <w:r>
              <w:rPr>
                <w:spacing w:val="-8"/>
              </w:rPr>
              <w:t xml:space="preserve"> </w:t>
            </w:r>
            <w:r>
              <w:t>any sum which has been or may be incurred by any person, the amount shall include any VAT in respect of that amount only to the extent that such VAT</w:t>
            </w:r>
            <w:r>
              <w:rPr>
                <w:spacing w:val="-32"/>
              </w:rPr>
              <w:t xml:space="preserve"> </w:t>
            </w:r>
            <w:r>
              <w:t>is not recoverable as input tax by that person (or a member of the same VAT group) whether by set off or</w:t>
            </w:r>
            <w:r>
              <w:rPr>
                <w:spacing w:val="-6"/>
              </w:rPr>
              <w:t xml:space="preserve"> </w:t>
            </w:r>
            <w:r>
              <w:t>repayment.</w:t>
            </w:r>
          </w:p>
        </w:tc>
      </w:tr>
      <w:tr w:rsidR="001C5E4E">
        <w:trPr>
          <w:trHeight w:val="5059"/>
        </w:trPr>
        <w:tc>
          <w:tcPr>
            <w:tcW w:w="1253" w:type="dxa"/>
          </w:tcPr>
          <w:p w:rsidR="001C5E4E" w:rsidRDefault="003E09C0">
            <w:pPr>
              <w:pStyle w:val="TableParagraph"/>
              <w:spacing w:before="100"/>
              <w:ind w:right="104"/>
              <w:jc w:val="right"/>
              <w:rPr>
                <w:b/>
              </w:rPr>
            </w:pPr>
            <w:r>
              <w:rPr>
                <w:b/>
              </w:rPr>
              <w:t>Clause Z38</w:t>
            </w:r>
          </w:p>
        </w:tc>
        <w:tc>
          <w:tcPr>
            <w:tcW w:w="7182" w:type="dxa"/>
          </w:tcPr>
          <w:p w:rsidR="001C5E4E" w:rsidRDefault="003E09C0">
            <w:pPr>
              <w:pStyle w:val="TableParagraph"/>
              <w:spacing w:before="100"/>
              <w:ind w:left="106"/>
              <w:jc w:val="both"/>
              <w:rPr>
                <w:b/>
              </w:rPr>
            </w:pPr>
            <w:r>
              <w:rPr>
                <w:b/>
              </w:rPr>
              <w:t>Tax Arrangements of Public Appointees</w:t>
            </w:r>
          </w:p>
          <w:p w:rsidR="001C5E4E" w:rsidRDefault="003E09C0">
            <w:pPr>
              <w:pStyle w:val="TableParagraph"/>
              <w:spacing w:before="146"/>
              <w:ind w:left="106"/>
              <w:jc w:val="both"/>
            </w:pPr>
            <w:r>
              <w:t>Z38.1 For the purposes of this clause</w:t>
            </w:r>
          </w:p>
          <w:p w:rsidR="001C5E4E" w:rsidRDefault="003E09C0">
            <w:pPr>
              <w:pStyle w:val="TableParagraph"/>
              <w:numPr>
                <w:ilvl w:val="0"/>
                <w:numId w:val="19"/>
              </w:numPr>
              <w:tabs>
                <w:tab w:val="left" w:pos="599"/>
              </w:tabs>
              <w:spacing w:before="147" w:line="264" w:lineRule="auto"/>
              <w:ind w:right="197"/>
              <w:jc w:val="both"/>
            </w:pPr>
            <w:r>
              <w:rPr>
                <w:b/>
              </w:rPr>
              <w:t xml:space="preserve">Associated Company </w:t>
            </w:r>
            <w:r>
              <w:t>is any company, corporation, partnership, joint venture</w:t>
            </w:r>
            <w:r>
              <w:rPr>
                <w:spacing w:val="-11"/>
              </w:rPr>
              <w:t xml:space="preserve"> </w:t>
            </w:r>
            <w:r>
              <w:t>or</w:t>
            </w:r>
            <w:r>
              <w:rPr>
                <w:spacing w:val="-12"/>
              </w:rPr>
              <w:t xml:space="preserve"> </w:t>
            </w:r>
            <w:r>
              <w:t>other</w:t>
            </w:r>
            <w:r>
              <w:rPr>
                <w:spacing w:val="-11"/>
              </w:rPr>
              <w:t xml:space="preserve"> </w:t>
            </w:r>
            <w:r>
              <w:t>entity</w:t>
            </w:r>
            <w:r>
              <w:rPr>
                <w:spacing w:val="-9"/>
              </w:rPr>
              <w:t xml:space="preserve"> </w:t>
            </w:r>
            <w:r>
              <w:t>which</w:t>
            </w:r>
            <w:r>
              <w:rPr>
                <w:spacing w:val="-10"/>
              </w:rPr>
              <w:t xml:space="preserve"> </w:t>
            </w:r>
            <w:r>
              <w:t>directly</w:t>
            </w:r>
            <w:r>
              <w:rPr>
                <w:spacing w:val="-10"/>
              </w:rPr>
              <w:t xml:space="preserve"> </w:t>
            </w:r>
            <w:r>
              <w:t>or</w:t>
            </w:r>
            <w:r>
              <w:rPr>
                <w:spacing w:val="-9"/>
              </w:rPr>
              <w:t xml:space="preserve"> </w:t>
            </w:r>
            <w:r>
              <w:t>indirectly</w:t>
            </w:r>
            <w:r>
              <w:rPr>
                <w:spacing w:val="-9"/>
              </w:rPr>
              <w:t xml:space="preserve"> </w:t>
            </w:r>
            <w:r>
              <w:t>controls,</w:t>
            </w:r>
            <w:r>
              <w:rPr>
                <w:spacing w:val="-9"/>
              </w:rPr>
              <w:t xml:space="preserve"> </w:t>
            </w:r>
            <w:r>
              <w:t>is</w:t>
            </w:r>
            <w:r>
              <w:rPr>
                <w:spacing w:val="-12"/>
              </w:rPr>
              <w:t xml:space="preserve"> </w:t>
            </w:r>
            <w:r>
              <w:t xml:space="preserve">controlled by or is under common control with the </w:t>
            </w:r>
            <w:r>
              <w:rPr>
                <w:i/>
              </w:rPr>
              <w:t>Consultant</w:t>
            </w:r>
            <w:r>
              <w:t>. The word</w:t>
            </w:r>
            <w:r>
              <w:rPr>
                <w:spacing w:val="-37"/>
              </w:rPr>
              <w:t xml:space="preserve"> </w:t>
            </w:r>
            <w:r>
              <w:t>“control” in this context means the ability or entitlement to exercise, directly or indirectly, at least 50 per cent of the voting rights attributable to the shares or other interest in the controlled company, corporation, partnership, joint venture or other</w:t>
            </w:r>
            <w:r>
              <w:rPr>
                <w:spacing w:val="-6"/>
              </w:rPr>
              <w:t xml:space="preserve"> </w:t>
            </w:r>
            <w:r>
              <w:t>entity.</w:t>
            </w:r>
          </w:p>
          <w:p w:rsidR="001C5E4E" w:rsidRDefault="003E09C0">
            <w:pPr>
              <w:pStyle w:val="TableParagraph"/>
              <w:numPr>
                <w:ilvl w:val="0"/>
                <w:numId w:val="19"/>
              </w:numPr>
              <w:tabs>
                <w:tab w:val="left" w:pos="599"/>
              </w:tabs>
              <w:spacing w:before="2" w:line="264" w:lineRule="auto"/>
              <w:ind w:right="197"/>
              <w:jc w:val="both"/>
            </w:pPr>
            <w:r>
              <w:rPr>
                <w:b/>
              </w:rPr>
              <w:t xml:space="preserve">Staff </w:t>
            </w:r>
            <w:r>
              <w:t xml:space="preserve">are individuals (other than direct employees of the </w:t>
            </w:r>
            <w:r>
              <w:rPr>
                <w:i/>
              </w:rPr>
              <w:t>Consultant</w:t>
            </w:r>
            <w:r>
              <w:t xml:space="preserve">, an Associated Company or any Subconsultant) made available by the </w:t>
            </w:r>
            <w:r>
              <w:rPr>
                <w:i/>
              </w:rPr>
              <w:t xml:space="preserve">Consultant </w:t>
            </w:r>
            <w:r>
              <w:t xml:space="preserve">to the </w:t>
            </w:r>
            <w:r>
              <w:rPr>
                <w:i/>
              </w:rPr>
              <w:t xml:space="preserve">Employer </w:t>
            </w:r>
            <w:r>
              <w:t>for the purpose of Providing the</w:t>
            </w:r>
            <w:r>
              <w:rPr>
                <w:spacing w:val="-18"/>
              </w:rPr>
              <w:t xml:space="preserve"> </w:t>
            </w:r>
            <w:r>
              <w:t>Services.</w:t>
            </w:r>
          </w:p>
          <w:p w:rsidR="001C5E4E" w:rsidRDefault="001C5E4E">
            <w:pPr>
              <w:pStyle w:val="TableParagraph"/>
              <w:spacing w:before="4"/>
            </w:pPr>
          </w:p>
          <w:p w:rsidR="001C5E4E" w:rsidRDefault="003E09C0">
            <w:pPr>
              <w:pStyle w:val="TableParagraph"/>
              <w:spacing w:before="1" w:line="290" w:lineRule="atLeast"/>
              <w:ind w:left="106" w:right="197" w:firstLine="33"/>
              <w:jc w:val="both"/>
            </w:pPr>
            <w:r>
              <w:t xml:space="preserve">Z38.2 Where any Staff are liable to be taxed in the United Kingdom in respect of consideration received under this contract, the </w:t>
            </w:r>
            <w:r>
              <w:rPr>
                <w:i/>
              </w:rPr>
              <w:t xml:space="preserve">Consultant </w:t>
            </w:r>
            <w:r>
              <w:t>complies, and procures that the Staff comply, with the Income Tax (Earnings</w:t>
            </w:r>
          </w:p>
        </w:tc>
      </w:tr>
    </w:tbl>
    <w:p w:rsidR="001C5E4E" w:rsidRDefault="001C5E4E">
      <w:pPr>
        <w:spacing w:line="290" w:lineRule="atLeast"/>
        <w:jc w:val="both"/>
        <w:sectPr w:rsidR="001C5E4E">
          <w:pgSz w:w="11910" w:h="16850"/>
          <w:pgMar w:top="1400" w:right="620" w:bottom="1080" w:left="940" w:header="1112" w:footer="892" w:gutter="0"/>
          <w:cols w:space="720"/>
        </w:sectPr>
      </w:pPr>
    </w:p>
    <w:p w:rsidR="001C5E4E" w:rsidRDefault="001C5E4E">
      <w:pPr>
        <w:pStyle w:val="BodyText"/>
        <w:rPr>
          <w:sz w:val="20"/>
        </w:rPr>
      </w:pPr>
    </w:p>
    <w:p w:rsidR="001C5E4E" w:rsidRDefault="001C5E4E">
      <w:pPr>
        <w:pStyle w:val="BodyText"/>
        <w:spacing w:before="9"/>
        <w:rPr>
          <w:sz w:val="10"/>
        </w:rPr>
      </w:pPr>
    </w:p>
    <w:tbl>
      <w:tblPr>
        <w:tblW w:w="0" w:type="auto"/>
        <w:tblInd w:w="1186" w:type="dxa"/>
        <w:tblLayout w:type="fixed"/>
        <w:tblCellMar>
          <w:left w:w="0" w:type="dxa"/>
          <w:right w:w="0" w:type="dxa"/>
        </w:tblCellMar>
        <w:tblLook w:val="01E0" w:firstRow="1" w:lastRow="1" w:firstColumn="1" w:lastColumn="1" w:noHBand="0" w:noVBand="0"/>
      </w:tblPr>
      <w:tblGrid>
        <w:gridCol w:w="1253"/>
        <w:gridCol w:w="7182"/>
      </w:tblGrid>
      <w:tr w:rsidR="001C5E4E">
        <w:trPr>
          <w:trHeight w:val="10447"/>
        </w:trPr>
        <w:tc>
          <w:tcPr>
            <w:tcW w:w="1253" w:type="dxa"/>
          </w:tcPr>
          <w:p w:rsidR="001C5E4E" w:rsidRDefault="001C5E4E">
            <w:pPr>
              <w:pStyle w:val="TableParagraph"/>
              <w:rPr>
                <w:rFonts w:ascii="Times New Roman"/>
              </w:rPr>
            </w:pPr>
          </w:p>
        </w:tc>
        <w:tc>
          <w:tcPr>
            <w:tcW w:w="7182" w:type="dxa"/>
          </w:tcPr>
          <w:p w:rsidR="001C5E4E" w:rsidRDefault="003E09C0">
            <w:pPr>
              <w:pStyle w:val="TableParagraph"/>
              <w:spacing w:line="225" w:lineRule="exact"/>
              <w:ind w:left="106"/>
              <w:jc w:val="both"/>
            </w:pPr>
            <w:r>
              <w:t>and Pensions) Act 2003 and all other statutes and regulations relating to</w:t>
            </w:r>
          </w:p>
          <w:p w:rsidR="001C5E4E" w:rsidRDefault="003E09C0">
            <w:pPr>
              <w:pStyle w:val="TableParagraph"/>
              <w:spacing w:before="26"/>
              <w:ind w:left="106"/>
              <w:jc w:val="both"/>
            </w:pPr>
            <w:r>
              <w:t>income tax in respect of that consideration.</w:t>
            </w:r>
          </w:p>
          <w:p w:rsidR="001C5E4E" w:rsidRDefault="003E09C0">
            <w:pPr>
              <w:pStyle w:val="TableParagraph"/>
              <w:spacing w:before="147" w:line="264" w:lineRule="auto"/>
              <w:ind w:left="106" w:right="199" w:firstLine="67"/>
              <w:jc w:val="both"/>
            </w:pPr>
            <w:r>
              <w:t xml:space="preserve">Z38.3 Where any Staff are liable to National Insurance Contributions (NICs) in respect of consideration received under this contract, the </w:t>
            </w:r>
            <w:r>
              <w:rPr>
                <w:i/>
              </w:rPr>
              <w:t xml:space="preserve">Consultant </w:t>
            </w:r>
            <w:r>
              <w:t>complies, and procures that the Staff comply, with the Social Security Contributions and Benefits Act 1992 and all other statutes and regulations relating to NICs in respect of that consideration.</w:t>
            </w:r>
          </w:p>
          <w:p w:rsidR="001C5E4E" w:rsidRDefault="003E09C0">
            <w:pPr>
              <w:pStyle w:val="TableParagraph"/>
              <w:spacing w:before="119" w:line="264" w:lineRule="auto"/>
              <w:ind w:left="173" w:right="201"/>
              <w:jc w:val="both"/>
            </w:pPr>
            <w:r>
              <w:t xml:space="preserve">Z38.4 The </w:t>
            </w:r>
            <w:r>
              <w:rPr>
                <w:i/>
              </w:rPr>
              <w:t xml:space="preserve">Employer </w:t>
            </w:r>
            <w:r>
              <w:t xml:space="preserve">may, at any time during the term of this contract, request the </w:t>
            </w:r>
            <w:r>
              <w:rPr>
                <w:i/>
              </w:rPr>
              <w:t xml:space="preserve">Consultant </w:t>
            </w:r>
            <w:r>
              <w:t>to provide information to demonstrate either how any</w:t>
            </w:r>
            <w:r>
              <w:rPr>
                <w:spacing w:val="-4"/>
              </w:rPr>
              <w:t xml:space="preserve"> </w:t>
            </w:r>
            <w:r>
              <w:t>member</w:t>
            </w:r>
            <w:r>
              <w:rPr>
                <w:spacing w:val="-5"/>
              </w:rPr>
              <w:t xml:space="preserve"> </w:t>
            </w:r>
            <w:r>
              <w:t>of</w:t>
            </w:r>
            <w:r>
              <w:rPr>
                <w:spacing w:val="-2"/>
              </w:rPr>
              <w:t xml:space="preserve"> </w:t>
            </w:r>
            <w:r>
              <w:t>Staff</w:t>
            </w:r>
            <w:r>
              <w:rPr>
                <w:spacing w:val="-1"/>
              </w:rPr>
              <w:t xml:space="preserve"> </w:t>
            </w:r>
            <w:r>
              <w:t>is</w:t>
            </w:r>
            <w:r>
              <w:rPr>
                <w:spacing w:val="-4"/>
              </w:rPr>
              <w:t xml:space="preserve"> </w:t>
            </w:r>
            <w:r>
              <w:t>complying</w:t>
            </w:r>
            <w:r>
              <w:rPr>
                <w:spacing w:val="-3"/>
              </w:rPr>
              <w:t xml:space="preserve"> </w:t>
            </w:r>
            <w:r>
              <w:t>with</w:t>
            </w:r>
            <w:r>
              <w:rPr>
                <w:spacing w:val="-4"/>
              </w:rPr>
              <w:t xml:space="preserve"> </w:t>
            </w:r>
            <w:r>
              <w:t>clauses</w:t>
            </w:r>
            <w:r>
              <w:rPr>
                <w:spacing w:val="-1"/>
              </w:rPr>
              <w:t xml:space="preserve"> </w:t>
            </w:r>
            <w:r>
              <w:t>Z38.2</w:t>
            </w:r>
            <w:r>
              <w:rPr>
                <w:spacing w:val="-4"/>
              </w:rPr>
              <w:t xml:space="preserve"> </w:t>
            </w:r>
            <w:r>
              <w:t>and</w:t>
            </w:r>
            <w:r>
              <w:rPr>
                <w:spacing w:val="-2"/>
              </w:rPr>
              <w:t xml:space="preserve"> </w:t>
            </w:r>
            <w:r>
              <w:t>Z38.3</w:t>
            </w:r>
            <w:r>
              <w:rPr>
                <w:spacing w:val="-3"/>
              </w:rPr>
              <w:t xml:space="preserve"> </w:t>
            </w:r>
            <w:r>
              <w:t>or</w:t>
            </w:r>
            <w:r>
              <w:rPr>
                <w:spacing w:val="-5"/>
              </w:rPr>
              <w:t xml:space="preserve"> </w:t>
            </w:r>
            <w:r>
              <w:t>why</w:t>
            </w:r>
            <w:r>
              <w:rPr>
                <w:spacing w:val="-3"/>
              </w:rPr>
              <w:t xml:space="preserve"> </w:t>
            </w:r>
            <w:r>
              <w:t>those clauses do not apply to</w:t>
            </w:r>
            <w:r>
              <w:rPr>
                <w:spacing w:val="-2"/>
              </w:rPr>
              <w:t xml:space="preserve"> </w:t>
            </w:r>
            <w:r>
              <w:t>it.</w:t>
            </w:r>
          </w:p>
          <w:p w:rsidR="001C5E4E" w:rsidRDefault="003E09C0">
            <w:pPr>
              <w:pStyle w:val="TableParagraph"/>
              <w:spacing w:before="122" w:line="264" w:lineRule="auto"/>
              <w:ind w:left="173" w:right="202"/>
              <w:jc w:val="both"/>
            </w:pPr>
            <w:r>
              <w:t xml:space="preserve">Z38.5 If the </w:t>
            </w:r>
            <w:r>
              <w:rPr>
                <w:i/>
              </w:rPr>
              <w:t xml:space="preserve">Consultant </w:t>
            </w:r>
            <w:r>
              <w:t>fails to provide information in response to a request under clause Z38.4</w:t>
            </w:r>
          </w:p>
          <w:p w:rsidR="001C5E4E" w:rsidRDefault="003E09C0">
            <w:pPr>
              <w:pStyle w:val="TableParagraph"/>
              <w:numPr>
                <w:ilvl w:val="0"/>
                <w:numId w:val="18"/>
              </w:numPr>
              <w:tabs>
                <w:tab w:val="left" w:pos="599"/>
              </w:tabs>
              <w:spacing w:before="120"/>
              <w:jc w:val="both"/>
            </w:pPr>
            <w:r>
              <w:t xml:space="preserve">within the </w:t>
            </w:r>
            <w:r>
              <w:rPr>
                <w:i/>
              </w:rPr>
              <w:t>period for reply</w:t>
            </w:r>
            <w:r>
              <w:rPr>
                <w:i/>
                <w:spacing w:val="-6"/>
              </w:rPr>
              <w:t xml:space="preserve"> </w:t>
            </w:r>
            <w:r>
              <w:t>or</w:t>
            </w:r>
          </w:p>
          <w:p w:rsidR="001C5E4E" w:rsidRDefault="003E09C0">
            <w:pPr>
              <w:pStyle w:val="TableParagraph"/>
              <w:numPr>
                <w:ilvl w:val="0"/>
                <w:numId w:val="18"/>
              </w:numPr>
              <w:tabs>
                <w:tab w:val="left" w:pos="599"/>
              </w:tabs>
              <w:spacing w:before="27" w:line="264" w:lineRule="auto"/>
              <w:ind w:right="200"/>
              <w:jc w:val="both"/>
            </w:pPr>
            <w:r>
              <w:t>which adequately demonstrates either how any member of Staff is complying with clauses Z38.2 and Z38.3 or why those clauses do not apply to it</w:t>
            </w:r>
          </w:p>
          <w:p w:rsidR="001C5E4E" w:rsidRDefault="003E09C0">
            <w:pPr>
              <w:pStyle w:val="TableParagraph"/>
              <w:spacing w:line="268" w:lineRule="exact"/>
              <w:ind w:left="106"/>
              <w:jc w:val="both"/>
            </w:pPr>
            <w:r>
              <w:t xml:space="preserve">the </w:t>
            </w:r>
            <w:r>
              <w:rPr>
                <w:i/>
              </w:rPr>
              <w:t xml:space="preserve">Employer </w:t>
            </w:r>
            <w:r>
              <w:t>may</w:t>
            </w:r>
          </w:p>
          <w:p w:rsidR="001C5E4E" w:rsidRDefault="003E09C0">
            <w:pPr>
              <w:pStyle w:val="TableParagraph"/>
              <w:numPr>
                <w:ilvl w:val="0"/>
                <w:numId w:val="18"/>
              </w:numPr>
              <w:tabs>
                <w:tab w:val="left" w:pos="599"/>
              </w:tabs>
              <w:spacing w:before="147" w:line="264" w:lineRule="auto"/>
              <w:ind w:right="202"/>
              <w:jc w:val="both"/>
            </w:pPr>
            <w:r>
              <w:t xml:space="preserve">treat such failure as a substantial failure by the </w:t>
            </w:r>
            <w:r>
              <w:rPr>
                <w:i/>
              </w:rPr>
              <w:t xml:space="preserve">Consultant </w:t>
            </w:r>
            <w:r>
              <w:t>to comply with his obligations</w:t>
            </w:r>
            <w:r>
              <w:rPr>
                <w:spacing w:val="-5"/>
              </w:rPr>
              <w:t xml:space="preserve"> </w:t>
            </w:r>
            <w:r>
              <w:t>or</w:t>
            </w:r>
          </w:p>
          <w:p w:rsidR="001C5E4E" w:rsidRDefault="003E09C0">
            <w:pPr>
              <w:pStyle w:val="TableParagraph"/>
              <w:numPr>
                <w:ilvl w:val="0"/>
                <w:numId w:val="18"/>
              </w:numPr>
              <w:tabs>
                <w:tab w:val="left" w:pos="599"/>
              </w:tabs>
              <w:spacing w:line="280" w:lineRule="exact"/>
              <w:jc w:val="both"/>
            </w:pPr>
            <w:r>
              <w:t xml:space="preserve">instruct the </w:t>
            </w:r>
            <w:r>
              <w:rPr>
                <w:i/>
              </w:rPr>
              <w:t xml:space="preserve">Consultant </w:t>
            </w:r>
            <w:r>
              <w:t>to replace the relevant member of</w:t>
            </w:r>
            <w:r>
              <w:rPr>
                <w:spacing w:val="-13"/>
              </w:rPr>
              <w:t xml:space="preserve"> </w:t>
            </w:r>
            <w:r>
              <w:t>Staff</w:t>
            </w:r>
          </w:p>
          <w:p w:rsidR="001C5E4E" w:rsidRDefault="001C5E4E">
            <w:pPr>
              <w:pStyle w:val="TableParagraph"/>
              <w:spacing w:before="5"/>
              <w:rPr>
                <w:sz w:val="26"/>
              </w:rPr>
            </w:pPr>
          </w:p>
          <w:p w:rsidR="001C5E4E" w:rsidRDefault="003E09C0">
            <w:pPr>
              <w:pStyle w:val="TableParagraph"/>
              <w:spacing w:line="264" w:lineRule="auto"/>
              <w:ind w:left="106" w:right="198"/>
              <w:jc w:val="both"/>
            </w:pPr>
            <w:r>
              <w:t xml:space="preserve">Z38.6 If the </w:t>
            </w:r>
            <w:r>
              <w:rPr>
                <w:i/>
              </w:rPr>
              <w:t xml:space="preserve">Employer </w:t>
            </w:r>
            <w:r>
              <w:t>receives or identifies information through any means which demonstrates that a member of Staff is not complying with clauses Z38.2</w:t>
            </w:r>
            <w:r>
              <w:rPr>
                <w:spacing w:val="-14"/>
              </w:rPr>
              <w:t xml:space="preserve"> </w:t>
            </w:r>
            <w:r>
              <w:t>and</w:t>
            </w:r>
            <w:r>
              <w:rPr>
                <w:spacing w:val="-15"/>
              </w:rPr>
              <w:t xml:space="preserve"> </w:t>
            </w:r>
            <w:r>
              <w:t>Z38.3,</w:t>
            </w:r>
            <w:r>
              <w:rPr>
                <w:spacing w:val="-14"/>
              </w:rPr>
              <w:t xml:space="preserve"> </w:t>
            </w:r>
            <w:r>
              <w:t>the</w:t>
            </w:r>
            <w:r>
              <w:rPr>
                <w:spacing w:val="-15"/>
              </w:rPr>
              <w:t xml:space="preserve"> </w:t>
            </w:r>
            <w:r>
              <w:rPr>
                <w:i/>
              </w:rPr>
              <w:t>Employer</w:t>
            </w:r>
            <w:r>
              <w:rPr>
                <w:i/>
                <w:spacing w:val="-16"/>
              </w:rPr>
              <w:t xml:space="preserve"> </w:t>
            </w:r>
            <w:r>
              <w:t>may</w:t>
            </w:r>
            <w:r>
              <w:rPr>
                <w:spacing w:val="-16"/>
              </w:rPr>
              <w:t xml:space="preserve"> </w:t>
            </w:r>
            <w:r>
              <w:t>treat</w:t>
            </w:r>
            <w:r>
              <w:rPr>
                <w:spacing w:val="-13"/>
              </w:rPr>
              <w:t xml:space="preserve"> </w:t>
            </w:r>
            <w:r>
              <w:t>such</w:t>
            </w:r>
            <w:r>
              <w:rPr>
                <w:spacing w:val="-17"/>
              </w:rPr>
              <w:t xml:space="preserve"> </w:t>
            </w:r>
            <w:r>
              <w:t>non-compliance</w:t>
            </w:r>
            <w:r>
              <w:rPr>
                <w:spacing w:val="-13"/>
              </w:rPr>
              <w:t xml:space="preserve"> </w:t>
            </w:r>
            <w:r>
              <w:t>as</w:t>
            </w:r>
            <w:r>
              <w:rPr>
                <w:spacing w:val="-15"/>
              </w:rPr>
              <w:t xml:space="preserve"> </w:t>
            </w:r>
            <w:r>
              <w:t>a</w:t>
            </w:r>
            <w:r>
              <w:rPr>
                <w:spacing w:val="-16"/>
              </w:rPr>
              <w:t xml:space="preserve"> </w:t>
            </w:r>
            <w:r>
              <w:t xml:space="preserve">substantial failure by the </w:t>
            </w:r>
            <w:r>
              <w:rPr>
                <w:i/>
              </w:rPr>
              <w:t xml:space="preserve">Consultant </w:t>
            </w:r>
            <w:r>
              <w:t>to comply with his</w:t>
            </w:r>
            <w:r>
              <w:rPr>
                <w:spacing w:val="-11"/>
              </w:rPr>
              <w:t xml:space="preserve"> </w:t>
            </w:r>
            <w:r>
              <w:t>obligations.</w:t>
            </w:r>
          </w:p>
          <w:p w:rsidR="001C5E4E" w:rsidRDefault="003E09C0">
            <w:pPr>
              <w:pStyle w:val="TableParagraph"/>
              <w:spacing w:before="119"/>
              <w:ind w:left="106"/>
              <w:jc w:val="both"/>
            </w:pPr>
            <w:r>
              <w:t xml:space="preserve">Z38.7 The </w:t>
            </w:r>
            <w:r>
              <w:rPr>
                <w:i/>
              </w:rPr>
              <w:t xml:space="preserve">Consultant </w:t>
            </w:r>
            <w:r>
              <w:t xml:space="preserve">acknowledges that the </w:t>
            </w:r>
            <w:r>
              <w:rPr>
                <w:i/>
              </w:rPr>
              <w:t xml:space="preserve">Employer </w:t>
            </w:r>
            <w:r>
              <w:t>may</w:t>
            </w:r>
          </w:p>
          <w:p w:rsidR="001C5E4E" w:rsidRDefault="003E09C0">
            <w:pPr>
              <w:pStyle w:val="TableParagraph"/>
              <w:numPr>
                <w:ilvl w:val="0"/>
                <w:numId w:val="18"/>
              </w:numPr>
              <w:tabs>
                <w:tab w:val="left" w:pos="599"/>
              </w:tabs>
              <w:spacing w:before="149"/>
              <w:jc w:val="both"/>
            </w:pPr>
            <w:r>
              <w:t>supply</w:t>
            </w:r>
            <w:r>
              <w:rPr>
                <w:spacing w:val="-8"/>
              </w:rPr>
              <w:t xml:space="preserve"> </w:t>
            </w:r>
            <w:r>
              <w:t>any</w:t>
            </w:r>
            <w:r>
              <w:rPr>
                <w:spacing w:val="-7"/>
              </w:rPr>
              <w:t xml:space="preserve"> </w:t>
            </w:r>
            <w:r>
              <w:t>information</w:t>
            </w:r>
            <w:r>
              <w:rPr>
                <w:spacing w:val="-9"/>
              </w:rPr>
              <w:t xml:space="preserve"> </w:t>
            </w:r>
            <w:r>
              <w:t>which</w:t>
            </w:r>
            <w:r>
              <w:rPr>
                <w:spacing w:val="-9"/>
              </w:rPr>
              <w:t xml:space="preserve"> </w:t>
            </w:r>
            <w:r>
              <w:t>it</w:t>
            </w:r>
            <w:r>
              <w:rPr>
                <w:spacing w:val="-7"/>
              </w:rPr>
              <w:t xml:space="preserve"> </w:t>
            </w:r>
            <w:r>
              <w:t>receives</w:t>
            </w:r>
            <w:r>
              <w:rPr>
                <w:spacing w:val="-7"/>
              </w:rPr>
              <w:t xml:space="preserve"> </w:t>
            </w:r>
            <w:r>
              <w:t>under</w:t>
            </w:r>
            <w:r>
              <w:rPr>
                <w:spacing w:val="-8"/>
              </w:rPr>
              <w:t xml:space="preserve"> </w:t>
            </w:r>
            <w:r>
              <w:t>clauses</w:t>
            </w:r>
            <w:r>
              <w:rPr>
                <w:spacing w:val="-10"/>
              </w:rPr>
              <w:t xml:space="preserve"> </w:t>
            </w:r>
            <w:r>
              <w:t>Z38.4</w:t>
            </w:r>
            <w:r>
              <w:rPr>
                <w:spacing w:val="-6"/>
              </w:rPr>
              <w:t xml:space="preserve"> </w:t>
            </w:r>
            <w:r>
              <w:t>or</w:t>
            </w:r>
            <w:r>
              <w:rPr>
                <w:spacing w:val="-11"/>
              </w:rPr>
              <w:t xml:space="preserve"> </w:t>
            </w:r>
            <w:r>
              <w:t>Z38.6</w:t>
            </w:r>
            <w:r>
              <w:rPr>
                <w:spacing w:val="-10"/>
              </w:rPr>
              <w:t xml:space="preserve"> </w:t>
            </w:r>
            <w:r>
              <w:t>or</w:t>
            </w:r>
          </w:p>
          <w:p w:rsidR="001C5E4E" w:rsidRDefault="003E09C0">
            <w:pPr>
              <w:pStyle w:val="TableParagraph"/>
              <w:numPr>
                <w:ilvl w:val="0"/>
                <w:numId w:val="18"/>
              </w:numPr>
              <w:tabs>
                <w:tab w:val="left" w:pos="599"/>
              </w:tabs>
              <w:spacing w:before="25"/>
              <w:jc w:val="both"/>
            </w:pPr>
            <w:r>
              <w:t>advise the non-supply of</w:t>
            </w:r>
            <w:r>
              <w:rPr>
                <w:spacing w:val="-5"/>
              </w:rPr>
              <w:t xml:space="preserve"> </w:t>
            </w:r>
            <w:r>
              <w:t>information</w:t>
            </w:r>
          </w:p>
          <w:p w:rsidR="001C5E4E" w:rsidRDefault="003E09C0">
            <w:pPr>
              <w:pStyle w:val="TableParagraph"/>
              <w:spacing w:before="26" w:line="264" w:lineRule="auto"/>
              <w:ind w:left="106" w:right="197"/>
              <w:jc w:val="both"/>
            </w:pPr>
            <w:r>
              <w:t>to the Commissioners of Her Majesty’s Revenue &amp; Customs [or Revenue Scotland]</w:t>
            </w:r>
            <w:r>
              <w:rPr>
                <w:vertAlign w:val="superscript"/>
              </w:rPr>
              <w:t>[1]</w:t>
            </w:r>
            <w:r>
              <w:t xml:space="preserve"> for the purpose of the collection and management of revenue</w:t>
            </w:r>
            <w:r>
              <w:rPr>
                <w:spacing w:val="-31"/>
              </w:rPr>
              <w:t xml:space="preserve"> </w:t>
            </w:r>
            <w:r>
              <w:t>for which they are</w:t>
            </w:r>
            <w:r>
              <w:rPr>
                <w:spacing w:val="-4"/>
              </w:rPr>
              <w:t xml:space="preserve"> </w:t>
            </w:r>
            <w:r>
              <w:t>responsible.</w:t>
            </w:r>
          </w:p>
        </w:tc>
      </w:tr>
      <w:tr w:rsidR="001C5E4E">
        <w:trPr>
          <w:trHeight w:val="1959"/>
        </w:trPr>
        <w:tc>
          <w:tcPr>
            <w:tcW w:w="1253" w:type="dxa"/>
          </w:tcPr>
          <w:p w:rsidR="001C5E4E" w:rsidRDefault="003E09C0">
            <w:pPr>
              <w:pStyle w:val="TableParagraph"/>
              <w:spacing w:before="113"/>
              <w:ind w:left="200"/>
              <w:rPr>
                <w:b/>
              </w:rPr>
            </w:pPr>
            <w:r>
              <w:rPr>
                <w:b/>
              </w:rPr>
              <w:t>Clause Z39</w:t>
            </w:r>
          </w:p>
        </w:tc>
        <w:tc>
          <w:tcPr>
            <w:tcW w:w="7182" w:type="dxa"/>
          </w:tcPr>
          <w:p w:rsidR="001C5E4E" w:rsidRDefault="003E09C0">
            <w:pPr>
              <w:pStyle w:val="TableParagraph"/>
              <w:spacing w:before="113"/>
              <w:ind w:left="106"/>
              <w:rPr>
                <w:b/>
              </w:rPr>
            </w:pPr>
            <w:r>
              <w:rPr>
                <w:b/>
              </w:rPr>
              <w:t>Consortia</w:t>
            </w:r>
          </w:p>
          <w:p w:rsidR="001C5E4E" w:rsidRDefault="003E09C0">
            <w:pPr>
              <w:pStyle w:val="TableParagraph"/>
              <w:spacing w:before="121"/>
              <w:ind w:left="106" w:right="199"/>
              <w:jc w:val="both"/>
            </w:pPr>
            <w:r>
              <w:t>Z39.1 Where two or more Consortium Members comprise the Consultant, each Consortium Member is jointly and severally liable to the Employer for the performance of the Consultant’s obligations under this contract.</w:t>
            </w:r>
          </w:p>
          <w:p w:rsidR="001C5E4E" w:rsidRDefault="003E09C0">
            <w:pPr>
              <w:pStyle w:val="TableParagraph"/>
              <w:spacing w:before="116" w:line="270" w:lineRule="atLeast"/>
              <w:ind w:left="106" w:right="200"/>
              <w:jc w:val="both"/>
            </w:pPr>
            <w:r>
              <w:t>Z39.2 If the joint venture arrangement is terminated for any reason, the Employer may</w:t>
            </w:r>
          </w:p>
        </w:tc>
      </w:tr>
    </w:tbl>
    <w:p w:rsidR="001C5E4E" w:rsidRDefault="001C5E4E">
      <w:pPr>
        <w:pStyle w:val="BodyText"/>
        <w:rPr>
          <w:sz w:val="20"/>
        </w:rPr>
      </w:pPr>
    </w:p>
    <w:p w:rsidR="001C5E4E" w:rsidRDefault="001D3DDF">
      <w:pPr>
        <w:pStyle w:val="BodyText"/>
        <w:spacing w:before="9"/>
        <w:rPr>
          <w:sz w:val="26"/>
        </w:rPr>
      </w:pPr>
      <w:r>
        <w:pict>
          <v:rect id="_x0000_s1030" style="position:absolute;margin-left:56.75pt;margin-top:18.25pt;width:144.05pt;height:.6pt;z-index:-15725568;mso-wrap-distance-left:0;mso-wrap-distance-right:0;mso-position-horizontal-relative:page" fillcolor="black" stroked="f">
            <w10:wrap type="topAndBottom" anchorx="page"/>
          </v:rect>
        </w:pict>
      </w:r>
    </w:p>
    <w:p w:rsidR="001C5E4E" w:rsidRDefault="001C5E4E">
      <w:pPr>
        <w:rPr>
          <w:sz w:val="26"/>
        </w:rPr>
        <w:sectPr w:rsidR="001C5E4E">
          <w:pgSz w:w="11910" w:h="16850"/>
          <w:pgMar w:top="1400" w:right="620" w:bottom="1080" w:left="940" w:header="1112" w:footer="892" w:gutter="0"/>
          <w:cols w:space="720"/>
        </w:sectPr>
      </w:pPr>
    </w:p>
    <w:p w:rsidR="001C5E4E" w:rsidRDefault="001C5E4E">
      <w:pPr>
        <w:pStyle w:val="BodyText"/>
        <w:rPr>
          <w:sz w:val="20"/>
        </w:rPr>
      </w:pPr>
    </w:p>
    <w:p w:rsidR="001C5E4E" w:rsidRDefault="001C5E4E">
      <w:pPr>
        <w:pStyle w:val="BodyText"/>
        <w:spacing w:before="9"/>
        <w:rPr>
          <w:sz w:val="10"/>
        </w:rPr>
      </w:pPr>
    </w:p>
    <w:tbl>
      <w:tblPr>
        <w:tblW w:w="0" w:type="auto"/>
        <w:tblInd w:w="1186" w:type="dxa"/>
        <w:tblLayout w:type="fixed"/>
        <w:tblCellMar>
          <w:left w:w="0" w:type="dxa"/>
          <w:right w:w="0" w:type="dxa"/>
        </w:tblCellMar>
        <w:tblLook w:val="01E0" w:firstRow="1" w:lastRow="1" w:firstColumn="1" w:lastColumn="1" w:noHBand="0" w:noVBand="0"/>
      </w:tblPr>
      <w:tblGrid>
        <w:gridCol w:w="1253"/>
        <w:gridCol w:w="7183"/>
      </w:tblGrid>
      <w:tr w:rsidR="001C5E4E">
        <w:trPr>
          <w:trHeight w:val="2215"/>
        </w:trPr>
        <w:tc>
          <w:tcPr>
            <w:tcW w:w="1253" w:type="dxa"/>
          </w:tcPr>
          <w:p w:rsidR="001C5E4E" w:rsidRDefault="001C5E4E">
            <w:pPr>
              <w:pStyle w:val="TableParagraph"/>
              <w:rPr>
                <w:rFonts w:ascii="Times New Roman"/>
              </w:rPr>
            </w:pPr>
          </w:p>
        </w:tc>
        <w:tc>
          <w:tcPr>
            <w:tcW w:w="7183" w:type="dxa"/>
          </w:tcPr>
          <w:p w:rsidR="001C5E4E" w:rsidRDefault="003E09C0">
            <w:pPr>
              <w:pStyle w:val="TableParagraph"/>
              <w:numPr>
                <w:ilvl w:val="0"/>
                <w:numId w:val="17"/>
              </w:numPr>
              <w:tabs>
                <w:tab w:val="left" w:pos="826"/>
                <w:tab w:val="left" w:pos="827"/>
              </w:tabs>
              <w:spacing w:line="225" w:lineRule="exact"/>
              <w:ind w:left="826"/>
              <w:jc w:val="both"/>
            </w:pPr>
            <w:r>
              <w:t>terminate this contract with immediate effect</w:t>
            </w:r>
            <w:r>
              <w:rPr>
                <w:spacing w:val="-5"/>
              </w:rPr>
              <w:t xml:space="preserve"> </w:t>
            </w:r>
            <w:r>
              <w:t>and</w:t>
            </w:r>
          </w:p>
          <w:p w:rsidR="001C5E4E" w:rsidRDefault="003E09C0">
            <w:pPr>
              <w:pStyle w:val="TableParagraph"/>
              <w:numPr>
                <w:ilvl w:val="0"/>
                <w:numId w:val="17"/>
              </w:numPr>
              <w:tabs>
                <w:tab w:val="left" w:pos="826"/>
                <w:tab w:val="left" w:pos="827"/>
              </w:tabs>
              <w:spacing w:before="118"/>
              <w:ind w:right="201" w:firstLine="0"/>
              <w:jc w:val="both"/>
            </w:pPr>
            <w:r>
              <w:t>treat the termination of this contract as a substantial failure by the Consultant to comply with his</w:t>
            </w:r>
            <w:r>
              <w:rPr>
                <w:spacing w:val="-7"/>
              </w:rPr>
              <w:t xml:space="preserve"> </w:t>
            </w:r>
            <w:r>
              <w:t>obligations.</w:t>
            </w:r>
          </w:p>
          <w:p w:rsidR="001C5E4E" w:rsidRDefault="003E09C0">
            <w:pPr>
              <w:pStyle w:val="TableParagraph"/>
              <w:spacing w:before="120"/>
              <w:ind w:left="106" w:right="201"/>
              <w:jc w:val="both"/>
            </w:pPr>
            <w:r>
              <w:t>Z39.3 Clause 90.1 of the conditions of contract is amended by inserting after “the other Party” in each of the second, third and fourth places where it appears the words “(or, in the case of the Consultant, any Consortium Member)”.</w:t>
            </w:r>
          </w:p>
        </w:tc>
      </w:tr>
      <w:tr w:rsidR="001C5E4E">
        <w:trPr>
          <w:trHeight w:val="8897"/>
        </w:trPr>
        <w:tc>
          <w:tcPr>
            <w:tcW w:w="1253" w:type="dxa"/>
          </w:tcPr>
          <w:p w:rsidR="001C5E4E" w:rsidRDefault="003E09C0">
            <w:pPr>
              <w:pStyle w:val="TableParagraph"/>
              <w:spacing w:before="100"/>
              <w:ind w:right="104"/>
              <w:jc w:val="right"/>
              <w:rPr>
                <w:b/>
              </w:rPr>
            </w:pPr>
            <w:r>
              <w:rPr>
                <w:b/>
              </w:rPr>
              <w:t>Clause Z40</w:t>
            </w:r>
          </w:p>
        </w:tc>
        <w:tc>
          <w:tcPr>
            <w:tcW w:w="7183" w:type="dxa"/>
          </w:tcPr>
          <w:p w:rsidR="001C5E4E" w:rsidRDefault="003E09C0">
            <w:pPr>
              <w:pStyle w:val="TableParagraph"/>
              <w:spacing w:before="100"/>
              <w:ind w:left="106"/>
              <w:rPr>
                <w:b/>
              </w:rPr>
            </w:pPr>
            <w:r>
              <w:rPr>
                <w:b/>
              </w:rPr>
              <w:t>Subconsulting</w:t>
            </w:r>
          </w:p>
          <w:p w:rsidR="001C5E4E" w:rsidRDefault="003E09C0">
            <w:pPr>
              <w:pStyle w:val="TableParagraph"/>
              <w:tabs>
                <w:tab w:val="left" w:pos="826"/>
              </w:tabs>
              <w:spacing w:before="120"/>
              <w:ind w:left="106"/>
            </w:pPr>
            <w:r>
              <w:t>Z40.1</w:t>
            </w:r>
            <w:r>
              <w:tab/>
              <w:t>Before:</w:t>
            </w:r>
          </w:p>
          <w:p w:rsidR="001C5E4E" w:rsidRDefault="003E09C0">
            <w:pPr>
              <w:pStyle w:val="TableParagraph"/>
              <w:numPr>
                <w:ilvl w:val="0"/>
                <w:numId w:val="16"/>
              </w:numPr>
              <w:tabs>
                <w:tab w:val="left" w:pos="390"/>
              </w:tabs>
              <w:spacing w:before="121"/>
              <w:ind w:left="389"/>
              <w:jc w:val="both"/>
            </w:pPr>
            <w:r>
              <w:t>appointing a proposed Subconsultant</w:t>
            </w:r>
            <w:r>
              <w:rPr>
                <w:spacing w:val="-4"/>
              </w:rPr>
              <w:t xml:space="preserve"> </w:t>
            </w:r>
            <w:r>
              <w:t>or</w:t>
            </w:r>
          </w:p>
          <w:p w:rsidR="001C5E4E" w:rsidRDefault="003E09C0">
            <w:pPr>
              <w:pStyle w:val="TableParagraph"/>
              <w:numPr>
                <w:ilvl w:val="0"/>
                <w:numId w:val="16"/>
              </w:numPr>
              <w:tabs>
                <w:tab w:val="left" w:pos="390"/>
              </w:tabs>
              <w:spacing w:before="147" w:line="364" w:lineRule="auto"/>
              <w:ind w:right="892" w:firstLine="0"/>
              <w:jc w:val="both"/>
            </w:pPr>
            <w:r>
              <w:t xml:space="preserve">allowing a Subconsultant to appoint a proposed subsubconsultant the </w:t>
            </w:r>
            <w:r>
              <w:rPr>
                <w:i/>
              </w:rPr>
              <w:t xml:space="preserve">Consultant </w:t>
            </w:r>
            <w:r>
              <w:t xml:space="preserve">submits to the </w:t>
            </w:r>
            <w:r>
              <w:rPr>
                <w:i/>
              </w:rPr>
              <w:t xml:space="preserve">Employer </w:t>
            </w:r>
            <w:r>
              <w:t>for</w:t>
            </w:r>
            <w:r>
              <w:rPr>
                <w:spacing w:val="-3"/>
              </w:rPr>
              <w:t xml:space="preserve"> </w:t>
            </w:r>
            <w:r>
              <w:t>acceptance</w:t>
            </w:r>
          </w:p>
          <w:p w:rsidR="001C5E4E" w:rsidRDefault="003E09C0">
            <w:pPr>
              <w:pStyle w:val="TableParagraph"/>
              <w:numPr>
                <w:ilvl w:val="0"/>
                <w:numId w:val="16"/>
              </w:numPr>
              <w:tabs>
                <w:tab w:val="left" w:pos="390"/>
              </w:tabs>
              <w:spacing w:line="264" w:lineRule="auto"/>
              <w:ind w:left="389" w:right="202"/>
              <w:jc w:val="both"/>
            </w:pPr>
            <w:r>
              <w:t>a European Single Procurement Document (as described in regulation 59 of the Public Contracts Regulations 2015) in respect of the proposed Subconsultant or subsubconsultant</w:t>
            </w:r>
            <w:r>
              <w:rPr>
                <w:spacing w:val="-3"/>
              </w:rPr>
              <w:t xml:space="preserve"> </w:t>
            </w:r>
            <w:r>
              <w:t>or</w:t>
            </w:r>
          </w:p>
          <w:p w:rsidR="001C5E4E" w:rsidRDefault="003E09C0">
            <w:pPr>
              <w:pStyle w:val="TableParagraph"/>
              <w:numPr>
                <w:ilvl w:val="0"/>
                <w:numId w:val="16"/>
              </w:numPr>
              <w:tabs>
                <w:tab w:val="left" w:pos="390"/>
              </w:tabs>
              <w:spacing w:before="107" w:line="264" w:lineRule="auto"/>
              <w:ind w:left="389" w:right="202"/>
              <w:jc w:val="both"/>
            </w:pPr>
            <w:r>
              <w:t>other</w:t>
            </w:r>
            <w:r>
              <w:rPr>
                <w:spacing w:val="-12"/>
              </w:rPr>
              <w:t xml:space="preserve"> </w:t>
            </w:r>
            <w:r>
              <w:t>means</w:t>
            </w:r>
            <w:r>
              <w:rPr>
                <w:spacing w:val="-12"/>
              </w:rPr>
              <w:t xml:space="preserve"> </w:t>
            </w:r>
            <w:r>
              <w:t>of</w:t>
            </w:r>
            <w:r>
              <w:rPr>
                <w:spacing w:val="-9"/>
              </w:rPr>
              <w:t xml:space="preserve"> </w:t>
            </w:r>
            <w:r>
              <w:t>proof</w:t>
            </w:r>
            <w:r>
              <w:rPr>
                <w:spacing w:val="-12"/>
              </w:rPr>
              <w:t xml:space="preserve"> </w:t>
            </w:r>
            <w:r>
              <w:t>that</w:t>
            </w:r>
            <w:r>
              <w:rPr>
                <w:spacing w:val="-8"/>
              </w:rPr>
              <w:t xml:space="preserve"> </w:t>
            </w:r>
            <w:r>
              <w:t>none</w:t>
            </w:r>
            <w:r>
              <w:rPr>
                <w:spacing w:val="-11"/>
              </w:rPr>
              <w:t xml:space="preserve"> </w:t>
            </w:r>
            <w:r>
              <w:t>of</w:t>
            </w:r>
            <w:r>
              <w:rPr>
                <w:spacing w:val="-9"/>
              </w:rPr>
              <w:t xml:space="preserve"> </w:t>
            </w:r>
            <w:r>
              <w:t>the</w:t>
            </w:r>
            <w:r>
              <w:rPr>
                <w:spacing w:val="-12"/>
              </w:rPr>
              <w:t xml:space="preserve"> </w:t>
            </w:r>
            <w:r>
              <w:t>mandatory</w:t>
            </w:r>
            <w:r>
              <w:rPr>
                <w:spacing w:val="-10"/>
              </w:rPr>
              <w:t xml:space="preserve"> </w:t>
            </w:r>
            <w:r>
              <w:t>or</w:t>
            </w:r>
            <w:r>
              <w:rPr>
                <w:spacing w:val="-9"/>
              </w:rPr>
              <w:t xml:space="preserve"> </w:t>
            </w:r>
            <w:r>
              <w:t>discretionary</w:t>
            </w:r>
            <w:r>
              <w:rPr>
                <w:spacing w:val="-8"/>
              </w:rPr>
              <w:t xml:space="preserve"> </w:t>
            </w:r>
            <w:r>
              <w:t>grounds for exclusion referred to in regulation 57 of the Public Contracts Regulations 2015 applies to the proposed Subconsultant or subsubconsultant.</w:t>
            </w:r>
          </w:p>
          <w:p w:rsidR="001C5E4E" w:rsidRDefault="003E09C0">
            <w:pPr>
              <w:pStyle w:val="TableParagraph"/>
              <w:spacing w:before="119"/>
              <w:ind w:left="106" w:right="198"/>
              <w:jc w:val="both"/>
            </w:pPr>
            <w:r>
              <w:t xml:space="preserve">Z40.2 The </w:t>
            </w:r>
            <w:r>
              <w:rPr>
                <w:i/>
              </w:rPr>
              <w:t xml:space="preserve">Consultant </w:t>
            </w:r>
            <w:r>
              <w:t>does not appoint the proposed Subconsultant (or</w:t>
            </w:r>
            <w:r>
              <w:rPr>
                <w:spacing w:val="-29"/>
              </w:rPr>
              <w:t xml:space="preserve"> </w:t>
            </w:r>
            <w:r>
              <w:t xml:space="preserve">allow the Subconsultant to appoint the proposed subsubconsultant) until the </w:t>
            </w:r>
            <w:r>
              <w:rPr>
                <w:i/>
              </w:rPr>
              <w:t xml:space="preserve">Employer </w:t>
            </w:r>
            <w:r>
              <w:t>has accepted the submission. A reason for not accepting the submission</w:t>
            </w:r>
            <w:r>
              <w:rPr>
                <w:spacing w:val="-6"/>
              </w:rPr>
              <w:t xml:space="preserve"> </w:t>
            </w:r>
            <w:r>
              <w:t>is</w:t>
            </w:r>
            <w:r>
              <w:rPr>
                <w:spacing w:val="-5"/>
              </w:rPr>
              <w:t xml:space="preserve"> </w:t>
            </w:r>
            <w:r>
              <w:t>that</w:t>
            </w:r>
            <w:r>
              <w:rPr>
                <w:spacing w:val="-5"/>
              </w:rPr>
              <w:t xml:space="preserve"> </w:t>
            </w:r>
            <w:r>
              <w:t>it</w:t>
            </w:r>
            <w:r>
              <w:rPr>
                <w:spacing w:val="-4"/>
              </w:rPr>
              <w:t xml:space="preserve"> </w:t>
            </w:r>
            <w:r>
              <w:t>shows</w:t>
            </w:r>
            <w:r>
              <w:rPr>
                <w:spacing w:val="-7"/>
              </w:rPr>
              <w:t xml:space="preserve"> </w:t>
            </w:r>
            <w:r>
              <w:t>that</w:t>
            </w:r>
            <w:r>
              <w:rPr>
                <w:spacing w:val="-5"/>
              </w:rPr>
              <w:t xml:space="preserve"> </w:t>
            </w:r>
            <w:r>
              <w:t>there</w:t>
            </w:r>
            <w:r>
              <w:rPr>
                <w:spacing w:val="-5"/>
              </w:rPr>
              <w:t xml:space="preserve"> </w:t>
            </w:r>
            <w:r>
              <w:t>are</w:t>
            </w:r>
            <w:r>
              <w:rPr>
                <w:spacing w:val="-4"/>
              </w:rPr>
              <w:t xml:space="preserve"> </w:t>
            </w:r>
            <w:r>
              <w:t>grounds</w:t>
            </w:r>
            <w:r>
              <w:rPr>
                <w:spacing w:val="-6"/>
              </w:rPr>
              <w:t xml:space="preserve"> </w:t>
            </w:r>
            <w:r>
              <w:t>for</w:t>
            </w:r>
            <w:r>
              <w:rPr>
                <w:spacing w:val="-7"/>
              </w:rPr>
              <w:t xml:space="preserve"> </w:t>
            </w:r>
            <w:r>
              <w:t>excluding</w:t>
            </w:r>
            <w:r>
              <w:rPr>
                <w:spacing w:val="-6"/>
              </w:rPr>
              <w:t xml:space="preserve"> </w:t>
            </w:r>
            <w:r>
              <w:t>the</w:t>
            </w:r>
            <w:r>
              <w:rPr>
                <w:spacing w:val="-5"/>
              </w:rPr>
              <w:t xml:space="preserve"> </w:t>
            </w:r>
            <w:r>
              <w:t>proposed Subconsultant or subsubconsultant under regulation 57 of the Public Contracts Regulations</w:t>
            </w:r>
            <w:r>
              <w:rPr>
                <w:spacing w:val="-2"/>
              </w:rPr>
              <w:t xml:space="preserve"> </w:t>
            </w:r>
            <w:r>
              <w:t>2015.</w:t>
            </w:r>
          </w:p>
          <w:p w:rsidR="001C5E4E" w:rsidRDefault="003E09C0">
            <w:pPr>
              <w:pStyle w:val="TableParagraph"/>
              <w:spacing w:before="120"/>
              <w:ind w:left="106" w:right="200"/>
              <w:jc w:val="both"/>
            </w:pPr>
            <w:r>
              <w:t xml:space="preserve">Z40.3 If requested by the </w:t>
            </w:r>
            <w:r>
              <w:rPr>
                <w:i/>
              </w:rPr>
              <w:t>Employer</w:t>
            </w:r>
            <w:r>
              <w:t xml:space="preserve">, the </w:t>
            </w:r>
            <w:r>
              <w:rPr>
                <w:i/>
              </w:rPr>
              <w:t xml:space="preserve">Consultant </w:t>
            </w:r>
            <w:r>
              <w:t>provides further information to support, update or clarify a submission under clause Z40.1.</w:t>
            </w:r>
          </w:p>
          <w:p w:rsidR="001C5E4E" w:rsidRDefault="003E09C0">
            <w:pPr>
              <w:pStyle w:val="TableParagraph"/>
              <w:spacing w:before="120"/>
              <w:ind w:left="106" w:right="202"/>
              <w:jc w:val="both"/>
            </w:pPr>
            <w:r>
              <w:t xml:space="preserve">Z40.4 If, following the acceptance of a submission under clause Z40.2, it is found that one of the grounds for excluding the Subconsultant or subsubconsultant under regulation 57 of the Public Contracts Regulations 2015 applies, the </w:t>
            </w:r>
            <w:r>
              <w:rPr>
                <w:i/>
              </w:rPr>
              <w:t xml:space="preserve">Employer </w:t>
            </w:r>
            <w:r>
              <w:t xml:space="preserve">may instruct the </w:t>
            </w:r>
            <w:r>
              <w:rPr>
                <w:i/>
              </w:rPr>
              <w:t xml:space="preserve">Consultant </w:t>
            </w:r>
            <w:r>
              <w:t>to</w:t>
            </w:r>
          </w:p>
          <w:p w:rsidR="001C5E4E" w:rsidRDefault="003E09C0">
            <w:pPr>
              <w:pStyle w:val="TableParagraph"/>
              <w:numPr>
                <w:ilvl w:val="0"/>
                <w:numId w:val="16"/>
              </w:numPr>
              <w:tabs>
                <w:tab w:val="left" w:pos="390"/>
              </w:tabs>
              <w:spacing w:before="121"/>
              <w:ind w:left="389"/>
              <w:jc w:val="both"/>
            </w:pPr>
            <w:r>
              <w:t>replace the Subconsultant</w:t>
            </w:r>
            <w:r>
              <w:rPr>
                <w:spacing w:val="-5"/>
              </w:rPr>
              <w:t xml:space="preserve"> </w:t>
            </w:r>
            <w:r>
              <w:t>or</w:t>
            </w:r>
          </w:p>
          <w:p w:rsidR="001C5E4E" w:rsidRDefault="003E09C0">
            <w:pPr>
              <w:pStyle w:val="TableParagraph"/>
              <w:numPr>
                <w:ilvl w:val="0"/>
                <w:numId w:val="16"/>
              </w:numPr>
              <w:tabs>
                <w:tab w:val="left" w:pos="390"/>
              </w:tabs>
              <w:spacing w:before="148"/>
              <w:ind w:left="389"/>
              <w:jc w:val="both"/>
            </w:pPr>
            <w:r>
              <w:t>require the Subconsultant to replace the</w:t>
            </w:r>
            <w:r>
              <w:rPr>
                <w:spacing w:val="-5"/>
              </w:rPr>
              <w:t xml:space="preserve"> </w:t>
            </w:r>
            <w:r>
              <w:t>subsubconsultant.</w:t>
            </w:r>
          </w:p>
        </w:tc>
      </w:tr>
      <w:tr w:rsidR="001C5E4E">
        <w:trPr>
          <w:trHeight w:val="729"/>
        </w:trPr>
        <w:tc>
          <w:tcPr>
            <w:tcW w:w="1253" w:type="dxa"/>
          </w:tcPr>
          <w:p w:rsidR="001C5E4E" w:rsidRDefault="003E09C0">
            <w:pPr>
              <w:pStyle w:val="TableParagraph"/>
              <w:spacing w:before="113"/>
              <w:ind w:right="104"/>
              <w:jc w:val="right"/>
              <w:rPr>
                <w:b/>
              </w:rPr>
            </w:pPr>
            <w:r>
              <w:rPr>
                <w:b/>
              </w:rPr>
              <w:t>Clause Z41</w:t>
            </w:r>
          </w:p>
        </w:tc>
        <w:tc>
          <w:tcPr>
            <w:tcW w:w="7183" w:type="dxa"/>
          </w:tcPr>
          <w:p w:rsidR="001C5E4E" w:rsidRDefault="003E09C0">
            <w:pPr>
              <w:pStyle w:val="TableParagraph"/>
              <w:spacing w:before="113"/>
              <w:ind w:left="106"/>
              <w:rPr>
                <w:b/>
              </w:rPr>
            </w:pPr>
            <w:r>
              <w:rPr>
                <w:b/>
              </w:rPr>
              <w:t>Energy Efficiency Directive – Not Used</w:t>
            </w:r>
          </w:p>
        </w:tc>
      </w:tr>
      <w:tr w:rsidR="001C5E4E">
        <w:trPr>
          <w:trHeight w:val="1359"/>
        </w:trPr>
        <w:tc>
          <w:tcPr>
            <w:tcW w:w="1253" w:type="dxa"/>
          </w:tcPr>
          <w:p w:rsidR="001C5E4E" w:rsidRDefault="001C5E4E">
            <w:pPr>
              <w:pStyle w:val="TableParagraph"/>
              <w:spacing w:before="2"/>
              <w:rPr>
                <w:sz w:val="25"/>
              </w:rPr>
            </w:pPr>
          </w:p>
          <w:p w:rsidR="001C5E4E" w:rsidRDefault="003E09C0">
            <w:pPr>
              <w:pStyle w:val="TableParagraph"/>
              <w:ind w:right="104"/>
              <w:jc w:val="right"/>
              <w:rPr>
                <w:b/>
              </w:rPr>
            </w:pPr>
            <w:r>
              <w:rPr>
                <w:b/>
              </w:rPr>
              <w:t>Clause Z42</w:t>
            </w:r>
          </w:p>
        </w:tc>
        <w:tc>
          <w:tcPr>
            <w:tcW w:w="7183" w:type="dxa"/>
          </w:tcPr>
          <w:p w:rsidR="001C5E4E" w:rsidRDefault="001C5E4E">
            <w:pPr>
              <w:pStyle w:val="TableParagraph"/>
              <w:spacing w:before="2"/>
              <w:rPr>
                <w:sz w:val="25"/>
              </w:rPr>
            </w:pPr>
          </w:p>
          <w:p w:rsidR="001C5E4E" w:rsidRDefault="003E09C0">
            <w:pPr>
              <w:pStyle w:val="TableParagraph"/>
              <w:ind w:left="106"/>
              <w:rPr>
                <w:b/>
              </w:rPr>
            </w:pPr>
            <w:r>
              <w:rPr>
                <w:b/>
              </w:rPr>
              <w:t>Compliance with statutory requirements</w:t>
            </w:r>
          </w:p>
          <w:p w:rsidR="001C5E4E" w:rsidRDefault="003E09C0">
            <w:pPr>
              <w:pStyle w:val="TableParagraph"/>
              <w:spacing w:before="120"/>
              <w:ind w:left="106"/>
            </w:pPr>
            <w:r>
              <w:t xml:space="preserve">The </w:t>
            </w:r>
            <w:r>
              <w:rPr>
                <w:i/>
              </w:rPr>
              <w:t xml:space="preserve">Consultant </w:t>
            </w:r>
            <w:r>
              <w:t>Provides the Services in compliance with all relevant:</w:t>
            </w:r>
          </w:p>
          <w:p w:rsidR="001C5E4E" w:rsidRDefault="003E09C0">
            <w:pPr>
              <w:pStyle w:val="TableParagraph"/>
              <w:numPr>
                <w:ilvl w:val="0"/>
                <w:numId w:val="15"/>
              </w:numPr>
              <w:tabs>
                <w:tab w:val="left" w:pos="826"/>
                <w:tab w:val="left" w:pos="827"/>
              </w:tabs>
              <w:spacing w:before="119" w:line="256" w:lineRule="exact"/>
            </w:pPr>
            <w:r>
              <w:t>acts of parliament and any instruments, rules, orders,</w:t>
            </w:r>
            <w:r>
              <w:rPr>
                <w:spacing w:val="-4"/>
              </w:rPr>
              <w:t xml:space="preserve"> </w:t>
            </w:r>
            <w:r>
              <w:t>regulations,</w:t>
            </w:r>
          </w:p>
        </w:tc>
      </w:tr>
    </w:tbl>
    <w:p w:rsidR="001C5E4E" w:rsidRDefault="001C5E4E">
      <w:pPr>
        <w:spacing w:line="256" w:lineRule="exact"/>
        <w:sectPr w:rsidR="001C5E4E">
          <w:pgSz w:w="11910" w:h="16850"/>
          <w:pgMar w:top="1400" w:right="620" w:bottom="1080" w:left="940" w:header="1112" w:footer="892" w:gutter="0"/>
          <w:cols w:space="720"/>
        </w:sectPr>
      </w:pPr>
    </w:p>
    <w:p w:rsidR="001C5E4E" w:rsidRDefault="001C5E4E">
      <w:pPr>
        <w:pStyle w:val="BodyText"/>
        <w:rPr>
          <w:sz w:val="20"/>
        </w:rPr>
      </w:pPr>
    </w:p>
    <w:p w:rsidR="001C5E4E" w:rsidRDefault="001C5E4E">
      <w:pPr>
        <w:pStyle w:val="BodyText"/>
        <w:spacing w:before="9"/>
        <w:rPr>
          <w:sz w:val="10"/>
        </w:rPr>
      </w:pPr>
    </w:p>
    <w:tbl>
      <w:tblPr>
        <w:tblW w:w="0" w:type="auto"/>
        <w:tblInd w:w="826" w:type="dxa"/>
        <w:tblLayout w:type="fixed"/>
        <w:tblCellMar>
          <w:left w:w="0" w:type="dxa"/>
          <w:right w:w="0" w:type="dxa"/>
        </w:tblCellMar>
        <w:tblLook w:val="01E0" w:firstRow="1" w:lastRow="1" w:firstColumn="1" w:lastColumn="1" w:noHBand="0" w:noVBand="0"/>
      </w:tblPr>
      <w:tblGrid>
        <w:gridCol w:w="1613"/>
        <w:gridCol w:w="7184"/>
      </w:tblGrid>
      <w:tr w:rsidR="001C5E4E">
        <w:trPr>
          <w:trHeight w:val="3175"/>
        </w:trPr>
        <w:tc>
          <w:tcPr>
            <w:tcW w:w="1613" w:type="dxa"/>
          </w:tcPr>
          <w:p w:rsidR="001C5E4E" w:rsidRDefault="001C5E4E">
            <w:pPr>
              <w:pStyle w:val="TableParagraph"/>
              <w:rPr>
                <w:rFonts w:ascii="Times New Roman"/>
              </w:rPr>
            </w:pPr>
          </w:p>
        </w:tc>
        <w:tc>
          <w:tcPr>
            <w:tcW w:w="7184" w:type="dxa"/>
          </w:tcPr>
          <w:p w:rsidR="001C5E4E" w:rsidRDefault="003E09C0">
            <w:pPr>
              <w:pStyle w:val="TableParagraph"/>
              <w:spacing w:line="225" w:lineRule="exact"/>
              <w:ind w:left="826"/>
              <w:jc w:val="both"/>
            </w:pPr>
            <w:r>
              <w:t>notices, directions, bye-laws, permissions and plans for the time</w:t>
            </w:r>
          </w:p>
          <w:p w:rsidR="001C5E4E" w:rsidRDefault="003E09C0">
            <w:pPr>
              <w:pStyle w:val="TableParagraph"/>
              <w:ind w:left="826"/>
              <w:jc w:val="both"/>
            </w:pPr>
            <w:r>
              <w:t>being made under or deriving validity from them;</w:t>
            </w:r>
          </w:p>
          <w:p w:rsidR="001C5E4E" w:rsidRDefault="003E09C0">
            <w:pPr>
              <w:pStyle w:val="TableParagraph"/>
              <w:numPr>
                <w:ilvl w:val="0"/>
                <w:numId w:val="14"/>
              </w:numPr>
              <w:tabs>
                <w:tab w:val="left" w:pos="827"/>
              </w:tabs>
              <w:spacing w:before="118"/>
              <w:ind w:right="202"/>
              <w:jc w:val="both"/>
            </w:pPr>
            <w:r>
              <w:t>European</w:t>
            </w:r>
            <w:r>
              <w:rPr>
                <w:spacing w:val="-13"/>
              </w:rPr>
              <w:t xml:space="preserve"> </w:t>
            </w:r>
            <w:r>
              <w:t>Directives</w:t>
            </w:r>
            <w:r>
              <w:rPr>
                <w:spacing w:val="-15"/>
              </w:rPr>
              <w:t xml:space="preserve"> </w:t>
            </w:r>
            <w:r>
              <w:t>or</w:t>
            </w:r>
            <w:r>
              <w:rPr>
                <w:spacing w:val="-13"/>
              </w:rPr>
              <w:t xml:space="preserve"> </w:t>
            </w:r>
            <w:r>
              <w:t>Regulations</w:t>
            </w:r>
            <w:r>
              <w:rPr>
                <w:spacing w:val="-10"/>
              </w:rPr>
              <w:t xml:space="preserve"> </w:t>
            </w:r>
            <w:r>
              <w:t>legally</w:t>
            </w:r>
            <w:r>
              <w:rPr>
                <w:spacing w:val="-12"/>
              </w:rPr>
              <w:t xml:space="preserve"> </w:t>
            </w:r>
            <w:r>
              <w:t>enforceable</w:t>
            </w:r>
            <w:r>
              <w:rPr>
                <w:spacing w:val="-13"/>
              </w:rPr>
              <w:t xml:space="preserve"> </w:t>
            </w:r>
            <w:r>
              <w:t>in</w:t>
            </w:r>
            <w:r>
              <w:rPr>
                <w:spacing w:val="-11"/>
              </w:rPr>
              <w:t xml:space="preserve"> </w:t>
            </w:r>
            <w:r>
              <w:t>England</w:t>
            </w:r>
            <w:r>
              <w:rPr>
                <w:spacing w:val="-14"/>
              </w:rPr>
              <w:t xml:space="preserve"> </w:t>
            </w:r>
            <w:r>
              <w:t>and Wales;</w:t>
            </w:r>
          </w:p>
          <w:p w:rsidR="001C5E4E" w:rsidRDefault="003E09C0">
            <w:pPr>
              <w:pStyle w:val="TableParagraph"/>
              <w:numPr>
                <w:ilvl w:val="0"/>
                <w:numId w:val="14"/>
              </w:numPr>
              <w:tabs>
                <w:tab w:val="left" w:pos="827"/>
              </w:tabs>
              <w:spacing w:before="121"/>
              <w:ind w:right="201"/>
              <w:jc w:val="both"/>
            </w:pPr>
            <w:r>
              <w:t>rules, regulations, building regulations, orders, bye-laws or codes of practice</w:t>
            </w:r>
            <w:r>
              <w:rPr>
                <w:spacing w:val="-6"/>
              </w:rPr>
              <w:t xml:space="preserve"> </w:t>
            </w:r>
            <w:r>
              <w:t>or</w:t>
            </w:r>
            <w:r>
              <w:rPr>
                <w:spacing w:val="-7"/>
              </w:rPr>
              <w:t xml:space="preserve"> </w:t>
            </w:r>
            <w:r>
              <w:t>similar</w:t>
            </w:r>
            <w:r>
              <w:rPr>
                <w:spacing w:val="-7"/>
              </w:rPr>
              <w:t xml:space="preserve"> </w:t>
            </w:r>
            <w:r>
              <w:t>of</w:t>
            </w:r>
            <w:r>
              <w:rPr>
                <w:spacing w:val="-7"/>
              </w:rPr>
              <w:t xml:space="preserve"> </w:t>
            </w:r>
            <w:r>
              <w:t>any</w:t>
            </w:r>
            <w:r>
              <w:rPr>
                <w:spacing w:val="-6"/>
              </w:rPr>
              <w:t xml:space="preserve"> </w:t>
            </w:r>
            <w:r>
              <w:t>local</w:t>
            </w:r>
            <w:r>
              <w:rPr>
                <w:spacing w:val="-5"/>
              </w:rPr>
              <w:t xml:space="preserve"> </w:t>
            </w:r>
            <w:r>
              <w:t>or</w:t>
            </w:r>
            <w:r>
              <w:rPr>
                <w:spacing w:val="-7"/>
              </w:rPr>
              <w:t xml:space="preserve"> </w:t>
            </w:r>
            <w:r>
              <w:t>other</w:t>
            </w:r>
            <w:r>
              <w:rPr>
                <w:spacing w:val="-5"/>
              </w:rPr>
              <w:t xml:space="preserve"> </w:t>
            </w:r>
            <w:r>
              <w:t>competent</w:t>
            </w:r>
            <w:r>
              <w:rPr>
                <w:spacing w:val="-3"/>
              </w:rPr>
              <w:t xml:space="preserve"> </w:t>
            </w:r>
            <w:r>
              <w:t>authority</w:t>
            </w:r>
            <w:r>
              <w:rPr>
                <w:spacing w:val="-6"/>
              </w:rPr>
              <w:t xml:space="preserve"> </w:t>
            </w:r>
            <w:r>
              <w:t>or</w:t>
            </w:r>
            <w:r>
              <w:rPr>
                <w:spacing w:val="-7"/>
              </w:rPr>
              <w:t xml:space="preserve"> </w:t>
            </w:r>
            <w:r>
              <w:t>of</w:t>
            </w:r>
            <w:r>
              <w:rPr>
                <w:spacing w:val="-7"/>
              </w:rPr>
              <w:t xml:space="preserve"> </w:t>
            </w:r>
            <w:r>
              <w:t>any statutory undertaker; and</w:t>
            </w:r>
          </w:p>
          <w:p w:rsidR="001C5E4E" w:rsidRDefault="003E09C0">
            <w:pPr>
              <w:pStyle w:val="TableParagraph"/>
              <w:numPr>
                <w:ilvl w:val="0"/>
                <w:numId w:val="14"/>
              </w:numPr>
              <w:tabs>
                <w:tab w:val="left" w:pos="827"/>
              </w:tabs>
              <w:spacing w:before="118"/>
              <w:ind w:right="198"/>
              <w:jc w:val="both"/>
            </w:pPr>
            <w:r>
              <w:t>permissions,</w:t>
            </w:r>
            <w:r>
              <w:rPr>
                <w:spacing w:val="-11"/>
              </w:rPr>
              <w:t xml:space="preserve"> </w:t>
            </w:r>
            <w:r>
              <w:t>consents,</w:t>
            </w:r>
            <w:r>
              <w:rPr>
                <w:spacing w:val="-10"/>
              </w:rPr>
              <w:t xml:space="preserve"> </w:t>
            </w:r>
            <w:r>
              <w:t>approvals,</w:t>
            </w:r>
            <w:r>
              <w:rPr>
                <w:spacing w:val="-10"/>
              </w:rPr>
              <w:t xml:space="preserve"> </w:t>
            </w:r>
            <w:r>
              <w:t>licences,</w:t>
            </w:r>
            <w:r>
              <w:rPr>
                <w:spacing w:val="-10"/>
              </w:rPr>
              <w:t xml:space="preserve"> </w:t>
            </w:r>
            <w:r>
              <w:t>certificates</w:t>
            </w:r>
            <w:r>
              <w:rPr>
                <w:spacing w:val="-12"/>
              </w:rPr>
              <w:t xml:space="preserve"> </w:t>
            </w:r>
            <w:r>
              <w:t>and</w:t>
            </w:r>
            <w:r>
              <w:rPr>
                <w:spacing w:val="-11"/>
              </w:rPr>
              <w:t xml:space="preserve"> </w:t>
            </w:r>
            <w:r>
              <w:t>permits</w:t>
            </w:r>
            <w:r>
              <w:rPr>
                <w:spacing w:val="-11"/>
              </w:rPr>
              <w:t xml:space="preserve"> </w:t>
            </w:r>
            <w:r>
              <w:t>as may be necessary lawfully to commence, carry out, complete and maintain the</w:t>
            </w:r>
            <w:r>
              <w:rPr>
                <w:spacing w:val="-1"/>
              </w:rPr>
              <w:t xml:space="preserve"> </w:t>
            </w:r>
            <w:r>
              <w:rPr>
                <w:i/>
              </w:rPr>
              <w:t>services</w:t>
            </w:r>
            <w:r>
              <w:t>.</w:t>
            </w:r>
          </w:p>
        </w:tc>
      </w:tr>
      <w:tr w:rsidR="001C5E4E">
        <w:trPr>
          <w:trHeight w:val="4722"/>
        </w:trPr>
        <w:tc>
          <w:tcPr>
            <w:tcW w:w="1613" w:type="dxa"/>
          </w:tcPr>
          <w:p w:rsidR="001C5E4E" w:rsidRDefault="003E09C0">
            <w:pPr>
              <w:pStyle w:val="TableParagraph"/>
              <w:spacing w:before="100"/>
              <w:ind w:left="559"/>
              <w:rPr>
                <w:b/>
              </w:rPr>
            </w:pPr>
            <w:r>
              <w:rPr>
                <w:b/>
              </w:rPr>
              <w:t>Clause Z43</w:t>
            </w:r>
          </w:p>
        </w:tc>
        <w:tc>
          <w:tcPr>
            <w:tcW w:w="7184" w:type="dxa"/>
          </w:tcPr>
          <w:p w:rsidR="001C5E4E" w:rsidRDefault="003E09C0">
            <w:pPr>
              <w:pStyle w:val="TableParagraph"/>
              <w:spacing w:before="100"/>
              <w:ind w:left="106"/>
              <w:rPr>
                <w:b/>
              </w:rPr>
            </w:pPr>
            <w:r>
              <w:rPr>
                <w:b/>
              </w:rPr>
              <w:t>Negotiation</w:t>
            </w:r>
          </w:p>
          <w:p w:rsidR="001C5E4E" w:rsidRDefault="003E09C0">
            <w:pPr>
              <w:pStyle w:val="TableParagraph"/>
              <w:spacing w:before="147" w:line="264" w:lineRule="auto"/>
              <w:ind w:left="106" w:right="199"/>
              <w:jc w:val="both"/>
            </w:pPr>
            <w:r>
              <w:t xml:space="preserve">Z43.1 Without prejudice to either Party’s right to refer a dispute to the </w:t>
            </w:r>
            <w:r>
              <w:rPr>
                <w:i/>
              </w:rPr>
              <w:t>Adjudicator</w:t>
            </w:r>
            <w:r>
              <w:rPr>
                <w:i/>
                <w:spacing w:val="-9"/>
              </w:rPr>
              <w:t xml:space="preserve"> </w:t>
            </w:r>
            <w:r>
              <w:t>in</w:t>
            </w:r>
            <w:r>
              <w:rPr>
                <w:spacing w:val="-11"/>
              </w:rPr>
              <w:t xml:space="preserve"> </w:t>
            </w:r>
            <w:r>
              <w:t>accordance</w:t>
            </w:r>
            <w:r>
              <w:rPr>
                <w:spacing w:val="-11"/>
              </w:rPr>
              <w:t xml:space="preserve"> </w:t>
            </w:r>
            <w:r>
              <w:t>with</w:t>
            </w:r>
            <w:r>
              <w:rPr>
                <w:spacing w:val="-11"/>
              </w:rPr>
              <w:t xml:space="preserve"> </w:t>
            </w:r>
            <w:r>
              <w:t>clause</w:t>
            </w:r>
            <w:r>
              <w:rPr>
                <w:spacing w:val="-9"/>
              </w:rPr>
              <w:t xml:space="preserve"> </w:t>
            </w:r>
            <w:r>
              <w:t>W1</w:t>
            </w:r>
            <w:r>
              <w:rPr>
                <w:spacing w:val="-10"/>
              </w:rPr>
              <w:t xml:space="preserve"> </w:t>
            </w:r>
            <w:r>
              <w:t>or</w:t>
            </w:r>
            <w:r>
              <w:rPr>
                <w:spacing w:val="-12"/>
              </w:rPr>
              <w:t xml:space="preserve"> </w:t>
            </w:r>
            <w:r>
              <w:t>W2</w:t>
            </w:r>
            <w:r>
              <w:rPr>
                <w:spacing w:val="-9"/>
              </w:rPr>
              <w:t xml:space="preserve"> </w:t>
            </w:r>
            <w:r>
              <w:t>(as</w:t>
            </w:r>
            <w:r>
              <w:rPr>
                <w:spacing w:val="-10"/>
              </w:rPr>
              <w:t xml:space="preserve"> </w:t>
            </w:r>
            <w:r>
              <w:t>appropriate),</w:t>
            </w:r>
            <w:r>
              <w:rPr>
                <w:spacing w:val="-9"/>
              </w:rPr>
              <w:t xml:space="preserve"> </w:t>
            </w:r>
            <w:r>
              <w:t>any</w:t>
            </w:r>
            <w:r>
              <w:rPr>
                <w:spacing w:val="-10"/>
              </w:rPr>
              <w:t xml:space="preserve"> </w:t>
            </w:r>
            <w:r>
              <w:t xml:space="preserve">dispute or difference between the Parties arising out of or relating to this contract is referred by either Party initially to representatives of the </w:t>
            </w:r>
            <w:r>
              <w:rPr>
                <w:i/>
              </w:rPr>
              <w:t xml:space="preserve">Employer </w:t>
            </w:r>
            <w:r>
              <w:t xml:space="preserve">and </w:t>
            </w:r>
            <w:r>
              <w:rPr>
                <w:i/>
              </w:rPr>
              <w:t xml:space="preserve">Consultant </w:t>
            </w:r>
            <w:r>
              <w:t>for negotiation and</w:t>
            </w:r>
            <w:r>
              <w:rPr>
                <w:spacing w:val="-6"/>
              </w:rPr>
              <w:t xml:space="preserve"> </w:t>
            </w:r>
            <w:r>
              <w:t>resolution.</w:t>
            </w:r>
          </w:p>
          <w:p w:rsidR="001C5E4E" w:rsidRDefault="003E09C0">
            <w:pPr>
              <w:pStyle w:val="TableParagraph"/>
              <w:spacing w:before="121" w:line="264" w:lineRule="auto"/>
              <w:ind w:left="106" w:right="199"/>
              <w:jc w:val="both"/>
            </w:pPr>
            <w:r>
              <w:t xml:space="preserve">Z43.2 If any dispute is not resolved within ten working days after it has been referred to the Parties’ representatives (or such longer period as the Parties may agree), it is referred to an authorised senior officer of the </w:t>
            </w:r>
            <w:r>
              <w:rPr>
                <w:i/>
              </w:rPr>
              <w:t xml:space="preserve">Employer </w:t>
            </w:r>
            <w:r>
              <w:t xml:space="preserve">and an authorised senior officer of the </w:t>
            </w:r>
            <w:r>
              <w:rPr>
                <w:i/>
              </w:rPr>
              <w:t xml:space="preserve">Consultant </w:t>
            </w:r>
            <w:r>
              <w:t>for negotiation and resolution.</w:t>
            </w:r>
          </w:p>
          <w:p w:rsidR="001C5E4E" w:rsidRDefault="003E09C0">
            <w:pPr>
              <w:pStyle w:val="TableParagraph"/>
              <w:spacing w:before="119" w:line="264" w:lineRule="auto"/>
              <w:ind w:left="106" w:right="202"/>
              <w:jc w:val="both"/>
            </w:pPr>
            <w:r>
              <w:t xml:space="preserve">Z43.3 If any dispute cannot be resolved within ten working days after it has been referred to the authorised senior officers of the </w:t>
            </w:r>
            <w:r>
              <w:rPr>
                <w:i/>
              </w:rPr>
              <w:t xml:space="preserve">Employer </w:t>
            </w:r>
            <w:r>
              <w:t xml:space="preserve">and </w:t>
            </w:r>
            <w:r>
              <w:rPr>
                <w:i/>
              </w:rPr>
              <w:t xml:space="preserve">Consultant </w:t>
            </w:r>
            <w:r>
              <w:t>(or such longer period as the Parties may agree) either Party may decline to continue to participate in the negotiation.</w:t>
            </w:r>
          </w:p>
        </w:tc>
      </w:tr>
      <w:tr w:rsidR="001C5E4E">
        <w:trPr>
          <w:trHeight w:val="5423"/>
        </w:trPr>
        <w:tc>
          <w:tcPr>
            <w:tcW w:w="1613" w:type="dxa"/>
          </w:tcPr>
          <w:p w:rsidR="001C5E4E" w:rsidRDefault="003E09C0">
            <w:pPr>
              <w:pStyle w:val="TableParagraph"/>
              <w:spacing w:before="113"/>
              <w:ind w:left="200"/>
              <w:rPr>
                <w:b/>
              </w:rPr>
            </w:pPr>
            <w:r>
              <w:rPr>
                <w:b/>
              </w:rPr>
              <w:t>Clause Z44</w:t>
            </w:r>
          </w:p>
        </w:tc>
        <w:tc>
          <w:tcPr>
            <w:tcW w:w="7184" w:type="dxa"/>
          </w:tcPr>
          <w:p w:rsidR="001C5E4E" w:rsidRDefault="003E09C0">
            <w:pPr>
              <w:pStyle w:val="TableParagraph"/>
              <w:spacing w:before="113"/>
              <w:ind w:left="106"/>
              <w:rPr>
                <w:b/>
              </w:rPr>
            </w:pPr>
            <w:r>
              <w:rPr>
                <w:b/>
              </w:rPr>
              <w:t>Mediation</w:t>
            </w:r>
          </w:p>
          <w:p w:rsidR="001C5E4E" w:rsidRDefault="003E09C0">
            <w:pPr>
              <w:pStyle w:val="TableParagraph"/>
              <w:spacing w:before="149" w:line="264" w:lineRule="auto"/>
              <w:ind w:left="106" w:right="202"/>
              <w:jc w:val="both"/>
            </w:pPr>
            <w:r>
              <w:t xml:space="preserve">Z44.1 Without prejudice to either Party’s right to refer a dispute to the </w:t>
            </w:r>
            <w:r>
              <w:rPr>
                <w:i/>
              </w:rPr>
              <w:t>Adjudicator</w:t>
            </w:r>
            <w:r>
              <w:rPr>
                <w:i/>
                <w:spacing w:val="-9"/>
              </w:rPr>
              <w:t xml:space="preserve"> </w:t>
            </w:r>
            <w:r>
              <w:t>in</w:t>
            </w:r>
            <w:r>
              <w:rPr>
                <w:spacing w:val="-11"/>
              </w:rPr>
              <w:t xml:space="preserve"> </w:t>
            </w:r>
            <w:r>
              <w:t>accordance</w:t>
            </w:r>
            <w:r>
              <w:rPr>
                <w:spacing w:val="-11"/>
              </w:rPr>
              <w:t xml:space="preserve"> </w:t>
            </w:r>
            <w:r>
              <w:t>with</w:t>
            </w:r>
            <w:r>
              <w:rPr>
                <w:spacing w:val="-11"/>
              </w:rPr>
              <w:t xml:space="preserve"> </w:t>
            </w:r>
            <w:r>
              <w:t>clause</w:t>
            </w:r>
            <w:r>
              <w:rPr>
                <w:spacing w:val="-9"/>
              </w:rPr>
              <w:t xml:space="preserve"> </w:t>
            </w:r>
            <w:r>
              <w:t>W1</w:t>
            </w:r>
            <w:r>
              <w:rPr>
                <w:spacing w:val="-10"/>
              </w:rPr>
              <w:t xml:space="preserve"> </w:t>
            </w:r>
            <w:r>
              <w:t>or</w:t>
            </w:r>
            <w:r>
              <w:rPr>
                <w:spacing w:val="-12"/>
              </w:rPr>
              <w:t xml:space="preserve"> </w:t>
            </w:r>
            <w:r>
              <w:t>W2</w:t>
            </w:r>
            <w:r>
              <w:rPr>
                <w:spacing w:val="-9"/>
              </w:rPr>
              <w:t xml:space="preserve"> </w:t>
            </w:r>
            <w:r>
              <w:t>(as</w:t>
            </w:r>
            <w:r>
              <w:rPr>
                <w:spacing w:val="-10"/>
              </w:rPr>
              <w:t xml:space="preserve"> </w:t>
            </w:r>
            <w:r>
              <w:t>appropriate),</w:t>
            </w:r>
            <w:r>
              <w:rPr>
                <w:spacing w:val="-9"/>
              </w:rPr>
              <w:t xml:space="preserve"> </w:t>
            </w:r>
            <w:r>
              <w:t>any</w:t>
            </w:r>
            <w:r>
              <w:rPr>
                <w:spacing w:val="-10"/>
              </w:rPr>
              <w:t xml:space="preserve"> </w:t>
            </w:r>
            <w:r>
              <w:t>dispute or difference between the Parties arising out of or relating to this contract and which has not been resolved by negotiation is referred to mediation in accordance with the provisions of this</w:t>
            </w:r>
            <w:r>
              <w:rPr>
                <w:spacing w:val="-6"/>
              </w:rPr>
              <w:t xml:space="preserve"> </w:t>
            </w:r>
            <w:r>
              <w:t>clause.</w:t>
            </w:r>
          </w:p>
          <w:p w:rsidR="001C5E4E" w:rsidRDefault="003E09C0">
            <w:pPr>
              <w:pStyle w:val="TableParagraph"/>
              <w:spacing w:before="119"/>
              <w:ind w:left="106" w:right="201"/>
              <w:jc w:val="both"/>
            </w:pPr>
            <w:r>
              <w:t>Z44.2</w:t>
            </w:r>
            <w:r>
              <w:rPr>
                <w:spacing w:val="-7"/>
              </w:rPr>
              <w:t xml:space="preserve"> </w:t>
            </w:r>
            <w:r>
              <w:t>The</w:t>
            </w:r>
            <w:r>
              <w:rPr>
                <w:spacing w:val="-8"/>
              </w:rPr>
              <w:t xml:space="preserve"> </w:t>
            </w:r>
            <w:r>
              <w:t>procedure</w:t>
            </w:r>
            <w:r>
              <w:rPr>
                <w:spacing w:val="-8"/>
              </w:rPr>
              <w:t xml:space="preserve"> </w:t>
            </w:r>
            <w:r>
              <w:t>and</w:t>
            </w:r>
            <w:r>
              <w:rPr>
                <w:spacing w:val="-9"/>
              </w:rPr>
              <w:t xml:space="preserve"> </w:t>
            </w:r>
            <w:r>
              <w:t>associated</w:t>
            </w:r>
            <w:r>
              <w:rPr>
                <w:spacing w:val="-8"/>
              </w:rPr>
              <w:t xml:space="preserve"> </w:t>
            </w:r>
            <w:r>
              <w:t>provisions</w:t>
            </w:r>
            <w:r>
              <w:rPr>
                <w:spacing w:val="-8"/>
              </w:rPr>
              <w:t xml:space="preserve"> </w:t>
            </w:r>
            <w:r>
              <w:t>for</w:t>
            </w:r>
            <w:r>
              <w:rPr>
                <w:spacing w:val="-8"/>
              </w:rPr>
              <w:t xml:space="preserve"> </w:t>
            </w:r>
            <w:r>
              <w:t>mediation</w:t>
            </w:r>
            <w:r>
              <w:rPr>
                <w:spacing w:val="-9"/>
              </w:rPr>
              <w:t xml:space="preserve"> </w:t>
            </w:r>
            <w:r>
              <w:t>pursuant</w:t>
            </w:r>
            <w:r>
              <w:rPr>
                <w:spacing w:val="-7"/>
              </w:rPr>
              <w:t xml:space="preserve"> </w:t>
            </w:r>
            <w:r>
              <w:t>to</w:t>
            </w:r>
            <w:r>
              <w:rPr>
                <w:spacing w:val="-6"/>
              </w:rPr>
              <w:t xml:space="preserve"> </w:t>
            </w:r>
            <w:r>
              <w:t>this clause are as</w:t>
            </w:r>
            <w:r>
              <w:rPr>
                <w:spacing w:val="-3"/>
              </w:rPr>
              <w:t xml:space="preserve"> </w:t>
            </w:r>
            <w:r>
              <w:t>follows:</w:t>
            </w:r>
          </w:p>
          <w:p w:rsidR="001C5E4E" w:rsidRDefault="003E09C0">
            <w:pPr>
              <w:pStyle w:val="TableParagraph"/>
              <w:numPr>
                <w:ilvl w:val="0"/>
                <w:numId w:val="13"/>
              </w:numPr>
              <w:tabs>
                <w:tab w:val="left" w:pos="1298"/>
              </w:tabs>
              <w:spacing w:before="112" w:line="290" w:lineRule="atLeast"/>
              <w:ind w:right="201"/>
              <w:jc w:val="both"/>
            </w:pPr>
            <w:r>
              <w:t>a neutral adviser or mediator (‘the Mediator’) is chosen by agreement</w:t>
            </w:r>
            <w:r>
              <w:rPr>
                <w:spacing w:val="-6"/>
              </w:rPr>
              <w:t xml:space="preserve"> </w:t>
            </w:r>
            <w:r>
              <w:t>between</w:t>
            </w:r>
            <w:r>
              <w:rPr>
                <w:spacing w:val="-6"/>
              </w:rPr>
              <w:t xml:space="preserve"> </w:t>
            </w:r>
            <w:r>
              <w:t>the</w:t>
            </w:r>
            <w:r>
              <w:rPr>
                <w:spacing w:val="-6"/>
              </w:rPr>
              <w:t xml:space="preserve"> </w:t>
            </w:r>
            <w:r>
              <w:rPr>
                <w:i/>
              </w:rPr>
              <w:t>Employer</w:t>
            </w:r>
            <w:r>
              <w:rPr>
                <w:i/>
                <w:spacing w:val="-4"/>
              </w:rPr>
              <w:t xml:space="preserve"> </w:t>
            </w:r>
            <w:r>
              <w:t>and</w:t>
            </w:r>
            <w:r>
              <w:rPr>
                <w:spacing w:val="-7"/>
              </w:rPr>
              <w:t xml:space="preserve"> </w:t>
            </w:r>
            <w:r>
              <w:t>the</w:t>
            </w:r>
            <w:r>
              <w:rPr>
                <w:spacing w:val="-6"/>
              </w:rPr>
              <w:t xml:space="preserve"> </w:t>
            </w:r>
            <w:r>
              <w:rPr>
                <w:i/>
              </w:rPr>
              <w:t>Consultant</w:t>
            </w:r>
            <w:r>
              <w:rPr>
                <w:i/>
                <w:spacing w:val="-4"/>
              </w:rPr>
              <w:t xml:space="preserve"> </w:t>
            </w:r>
            <w:r>
              <w:t>or,</w:t>
            </w:r>
            <w:r>
              <w:rPr>
                <w:spacing w:val="-6"/>
              </w:rPr>
              <w:t xml:space="preserve"> </w:t>
            </w:r>
            <w:r>
              <w:t>if</w:t>
            </w:r>
            <w:r>
              <w:rPr>
                <w:spacing w:val="-7"/>
              </w:rPr>
              <w:t xml:space="preserve"> </w:t>
            </w:r>
            <w:r>
              <w:t>they are</w:t>
            </w:r>
            <w:r>
              <w:rPr>
                <w:spacing w:val="-9"/>
              </w:rPr>
              <w:t xml:space="preserve"> </w:t>
            </w:r>
            <w:r>
              <w:t>unable</w:t>
            </w:r>
            <w:r>
              <w:rPr>
                <w:spacing w:val="-9"/>
              </w:rPr>
              <w:t xml:space="preserve"> </w:t>
            </w:r>
            <w:r>
              <w:t>to</w:t>
            </w:r>
            <w:r>
              <w:rPr>
                <w:spacing w:val="-7"/>
              </w:rPr>
              <w:t xml:space="preserve"> </w:t>
            </w:r>
            <w:r>
              <w:t>agree</w:t>
            </w:r>
            <w:r>
              <w:rPr>
                <w:spacing w:val="-9"/>
              </w:rPr>
              <w:t xml:space="preserve"> </w:t>
            </w:r>
            <w:r>
              <w:t>upon</w:t>
            </w:r>
            <w:r>
              <w:rPr>
                <w:spacing w:val="-9"/>
              </w:rPr>
              <w:t xml:space="preserve"> </w:t>
            </w:r>
            <w:r>
              <w:t>the</w:t>
            </w:r>
            <w:r>
              <w:rPr>
                <w:spacing w:val="-9"/>
              </w:rPr>
              <w:t xml:space="preserve"> </w:t>
            </w:r>
            <w:r>
              <w:t>identity</w:t>
            </w:r>
            <w:r>
              <w:rPr>
                <w:spacing w:val="-10"/>
              </w:rPr>
              <w:t xml:space="preserve"> </w:t>
            </w:r>
            <w:r>
              <w:t>of</w:t>
            </w:r>
            <w:r>
              <w:rPr>
                <w:spacing w:val="-10"/>
              </w:rPr>
              <w:t xml:space="preserve"> </w:t>
            </w:r>
            <w:r>
              <w:t>the</w:t>
            </w:r>
            <w:r>
              <w:rPr>
                <w:spacing w:val="-11"/>
              </w:rPr>
              <w:t xml:space="preserve"> </w:t>
            </w:r>
            <w:r>
              <w:t>Mediator</w:t>
            </w:r>
            <w:r>
              <w:rPr>
                <w:spacing w:val="-12"/>
              </w:rPr>
              <w:t xml:space="preserve"> </w:t>
            </w:r>
            <w:r>
              <w:t>within</w:t>
            </w:r>
            <w:r>
              <w:rPr>
                <w:spacing w:val="-11"/>
              </w:rPr>
              <w:t xml:space="preserve"> </w:t>
            </w:r>
            <w:r>
              <w:t>ten working days after a request by one Party to the other, or if the Mediator agreed upon is unable or unwilling to act, either</w:t>
            </w:r>
            <w:r>
              <w:rPr>
                <w:spacing w:val="-20"/>
              </w:rPr>
              <w:t xml:space="preserve"> </w:t>
            </w:r>
            <w:r>
              <w:t>Party may within ten working days from the date of the proposal to appoint a Mediator or within ten working days of notice to either Party that he is unable or unwilling to act, apply to the Centre</w:t>
            </w:r>
            <w:r>
              <w:rPr>
                <w:spacing w:val="25"/>
              </w:rPr>
              <w:t xml:space="preserve"> </w:t>
            </w:r>
            <w:r>
              <w:t>for</w:t>
            </w:r>
            <w:r>
              <w:rPr>
                <w:spacing w:val="25"/>
              </w:rPr>
              <w:t xml:space="preserve"> </w:t>
            </w:r>
            <w:r>
              <w:t>Effective</w:t>
            </w:r>
            <w:r>
              <w:rPr>
                <w:spacing w:val="25"/>
              </w:rPr>
              <w:t xml:space="preserve"> </w:t>
            </w:r>
            <w:r>
              <w:t>Dispute</w:t>
            </w:r>
            <w:r>
              <w:rPr>
                <w:spacing w:val="25"/>
              </w:rPr>
              <w:t xml:space="preserve"> </w:t>
            </w:r>
            <w:r>
              <w:t>Resolution</w:t>
            </w:r>
            <w:r>
              <w:rPr>
                <w:spacing w:val="24"/>
              </w:rPr>
              <w:t xml:space="preserve"> </w:t>
            </w:r>
            <w:r>
              <w:t>(“CEDR”)</w:t>
            </w:r>
            <w:r>
              <w:rPr>
                <w:spacing w:val="25"/>
              </w:rPr>
              <w:t xml:space="preserve"> </w:t>
            </w:r>
            <w:r>
              <w:t>to</w:t>
            </w:r>
            <w:r>
              <w:rPr>
                <w:spacing w:val="23"/>
              </w:rPr>
              <w:t xml:space="preserve"> </w:t>
            </w:r>
            <w:r>
              <w:t>appoint</w:t>
            </w:r>
            <w:r>
              <w:rPr>
                <w:spacing w:val="25"/>
              </w:rPr>
              <w:t xml:space="preserve"> </w:t>
            </w:r>
            <w:r>
              <w:t>a</w:t>
            </w:r>
          </w:p>
        </w:tc>
      </w:tr>
    </w:tbl>
    <w:p w:rsidR="001C5E4E" w:rsidRDefault="001C5E4E">
      <w:pPr>
        <w:spacing w:line="290" w:lineRule="atLeast"/>
        <w:jc w:val="both"/>
        <w:sectPr w:rsidR="001C5E4E">
          <w:pgSz w:w="11910" w:h="16850"/>
          <w:pgMar w:top="1400" w:right="620" w:bottom="1080" w:left="940" w:header="1112" w:footer="892" w:gutter="0"/>
          <w:cols w:space="720"/>
        </w:sectPr>
      </w:pPr>
    </w:p>
    <w:p w:rsidR="001C5E4E" w:rsidRDefault="001C5E4E">
      <w:pPr>
        <w:pStyle w:val="BodyText"/>
        <w:rPr>
          <w:sz w:val="20"/>
        </w:rPr>
      </w:pPr>
    </w:p>
    <w:p w:rsidR="001C5E4E" w:rsidRDefault="001C5E4E">
      <w:pPr>
        <w:pStyle w:val="BodyText"/>
        <w:spacing w:before="9"/>
        <w:rPr>
          <w:sz w:val="10"/>
        </w:rPr>
      </w:pPr>
    </w:p>
    <w:tbl>
      <w:tblPr>
        <w:tblW w:w="0" w:type="auto"/>
        <w:tblInd w:w="778" w:type="dxa"/>
        <w:tblLayout w:type="fixed"/>
        <w:tblCellMar>
          <w:left w:w="0" w:type="dxa"/>
          <w:right w:w="0" w:type="dxa"/>
        </w:tblCellMar>
        <w:tblLook w:val="01E0" w:firstRow="1" w:lastRow="1" w:firstColumn="1" w:lastColumn="1" w:noHBand="0" w:noVBand="0"/>
      </w:tblPr>
      <w:tblGrid>
        <w:gridCol w:w="1696"/>
        <w:gridCol w:w="7608"/>
      </w:tblGrid>
      <w:tr w:rsidR="001C5E4E">
        <w:trPr>
          <w:trHeight w:val="8374"/>
        </w:trPr>
        <w:tc>
          <w:tcPr>
            <w:tcW w:w="1696" w:type="dxa"/>
          </w:tcPr>
          <w:p w:rsidR="001C5E4E" w:rsidRDefault="001C5E4E">
            <w:pPr>
              <w:pStyle w:val="TableParagraph"/>
              <w:rPr>
                <w:rFonts w:ascii="Times New Roman"/>
              </w:rPr>
            </w:pPr>
          </w:p>
        </w:tc>
        <w:tc>
          <w:tcPr>
            <w:tcW w:w="7608" w:type="dxa"/>
          </w:tcPr>
          <w:p w:rsidR="001C5E4E" w:rsidRDefault="003E09C0">
            <w:pPr>
              <w:pStyle w:val="TableParagraph"/>
              <w:spacing w:line="225" w:lineRule="exact"/>
              <w:ind w:left="1262"/>
              <w:jc w:val="both"/>
            </w:pPr>
            <w:r>
              <w:t>Mediator; and</w:t>
            </w:r>
          </w:p>
          <w:p w:rsidR="001C5E4E" w:rsidRDefault="003E09C0">
            <w:pPr>
              <w:pStyle w:val="TableParagraph"/>
              <w:numPr>
                <w:ilvl w:val="0"/>
                <w:numId w:val="12"/>
              </w:numPr>
              <w:tabs>
                <w:tab w:val="left" w:pos="1263"/>
              </w:tabs>
              <w:spacing w:before="147" w:line="264" w:lineRule="auto"/>
              <w:ind w:right="660"/>
              <w:jc w:val="both"/>
            </w:pPr>
            <w:r>
              <w:t>the Parties meet with the Mediator within ten working days of his appointment in order to agree the programme for exchange of all relevant information and the procedure under which negotiations will be held. The Parties may at any stage seek guidance from CEDR regarding a suitable</w:t>
            </w:r>
            <w:r>
              <w:rPr>
                <w:spacing w:val="-4"/>
              </w:rPr>
              <w:t xml:space="preserve"> </w:t>
            </w:r>
            <w:r>
              <w:t>procedure.</w:t>
            </w:r>
          </w:p>
          <w:p w:rsidR="001C5E4E" w:rsidRDefault="003E09C0">
            <w:pPr>
              <w:pStyle w:val="TableParagraph"/>
              <w:spacing w:before="118"/>
              <w:ind w:left="71" w:right="659"/>
              <w:jc w:val="both"/>
            </w:pPr>
            <w:r>
              <w:t>Z44.3</w:t>
            </w:r>
            <w:r>
              <w:rPr>
                <w:spacing w:val="-7"/>
              </w:rPr>
              <w:t xml:space="preserve"> </w:t>
            </w:r>
            <w:r>
              <w:t>Unless</w:t>
            </w:r>
            <w:r>
              <w:rPr>
                <w:spacing w:val="-9"/>
              </w:rPr>
              <w:t xml:space="preserve"> </w:t>
            </w:r>
            <w:r>
              <w:t>otherwise</w:t>
            </w:r>
            <w:r>
              <w:rPr>
                <w:spacing w:val="-7"/>
              </w:rPr>
              <w:t xml:space="preserve"> </w:t>
            </w:r>
            <w:r>
              <w:t>agreed</w:t>
            </w:r>
            <w:r>
              <w:rPr>
                <w:spacing w:val="-8"/>
              </w:rPr>
              <w:t xml:space="preserve"> </w:t>
            </w:r>
            <w:r>
              <w:t>by</w:t>
            </w:r>
            <w:r>
              <w:rPr>
                <w:spacing w:val="-6"/>
              </w:rPr>
              <w:t xml:space="preserve"> </w:t>
            </w:r>
            <w:r>
              <w:t>the</w:t>
            </w:r>
            <w:r>
              <w:rPr>
                <w:spacing w:val="-7"/>
              </w:rPr>
              <w:t xml:space="preserve"> </w:t>
            </w:r>
            <w:r>
              <w:t>Parties,</w:t>
            </w:r>
            <w:r>
              <w:rPr>
                <w:spacing w:val="-9"/>
              </w:rPr>
              <w:t xml:space="preserve"> </w:t>
            </w:r>
            <w:r>
              <w:t>all</w:t>
            </w:r>
            <w:r>
              <w:rPr>
                <w:spacing w:val="-8"/>
              </w:rPr>
              <w:t xml:space="preserve"> </w:t>
            </w:r>
            <w:r>
              <w:t>negotiations</w:t>
            </w:r>
            <w:r>
              <w:rPr>
                <w:spacing w:val="-10"/>
              </w:rPr>
              <w:t xml:space="preserve"> </w:t>
            </w:r>
            <w:r>
              <w:t>connected</w:t>
            </w:r>
            <w:r>
              <w:rPr>
                <w:spacing w:val="-10"/>
              </w:rPr>
              <w:t xml:space="preserve"> </w:t>
            </w:r>
            <w:r>
              <w:t>with the dispute and any settlement agreement relating to it are confidential and without prejudice to the rights of the Parties in any future</w:t>
            </w:r>
            <w:r>
              <w:rPr>
                <w:spacing w:val="-15"/>
              </w:rPr>
              <w:t xml:space="preserve"> </w:t>
            </w:r>
            <w:r>
              <w:t>proceedings.</w:t>
            </w:r>
          </w:p>
          <w:p w:rsidR="001C5E4E" w:rsidRDefault="003E09C0">
            <w:pPr>
              <w:pStyle w:val="TableParagraph"/>
              <w:spacing w:before="121"/>
              <w:ind w:left="71" w:right="659"/>
              <w:jc w:val="both"/>
            </w:pPr>
            <w:r>
              <w:t>Z44.4 In the event that the Parties reach agreement on the resolution of the dispute, the agreement is reduced to writing and is binding on both Parties once</w:t>
            </w:r>
            <w:r>
              <w:rPr>
                <w:spacing w:val="-7"/>
              </w:rPr>
              <w:t xml:space="preserve"> </w:t>
            </w:r>
            <w:r>
              <w:t>it</w:t>
            </w:r>
            <w:r>
              <w:rPr>
                <w:spacing w:val="-8"/>
              </w:rPr>
              <w:t xml:space="preserve"> </w:t>
            </w:r>
            <w:r>
              <w:t>is</w:t>
            </w:r>
            <w:r>
              <w:rPr>
                <w:spacing w:val="-7"/>
              </w:rPr>
              <w:t xml:space="preserve"> </w:t>
            </w:r>
            <w:r>
              <w:t>signed</w:t>
            </w:r>
            <w:r>
              <w:rPr>
                <w:spacing w:val="-8"/>
              </w:rPr>
              <w:t xml:space="preserve"> </w:t>
            </w:r>
            <w:r>
              <w:t>by</w:t>
            </w:r>
            <w:r>
              <w:rPr>
                <w:spacing w:val="-7"/>
              </w:rPr>
              <w:t xml:space="preserve"> </w:t>
            </w:r>
            <w:r>
              <w:t>a</w:t>
            </w:r>
            <w:r>
              <w:rPr>
                <w:spacing w:val="-7"/>
              </w:rPr>
              <w:t xml:space="preserve"> </w:t>
            </w:r>
            <w:r>
              <w:t>duly</w:t>
            </w:r>
            <w:r>
              <w:rPr>
                <w:spacing w:val="-8"/>
              </w:rPr>
              <w:t xml:space="preserve"> </w:t>
            </w:r>
            <w:r>
              <w:t>authorised</w:t>
            </w:r>
            <w:r>
              <w:rPr>
                <w:spacing w:val="-9"/>
              </w:rPr>
              <w:t xml:space="preserve"> </w:t>
            </w:r>
            <w:r>
              <w:t>senior</w:t>
            </w:r>
            <w:r>
              <w:rPr>
                <w:spacing w:val="-7"/>
              </w:rPr>
              <w:t xml:space="preserve"> </w:t>
            </w:r>
            <w:r>
              <w:t>officer</w:t>
            </w:r>
            <w:r>
              <w:rPr>
                <w:spacing w:val="-10"/>
              </w:rPr>
              <w:t xml:space="preserve"> </w:t>
            </w:r>
            <w:r>
              <w:t>of</w:t>
            </w:r>
            <w:r>
              <w:rPr>
                <w:spacing w:val="-8"/>
              </w:rPr>
              <w:t xml:space="preserve"> </w:t>
            </w:r>
            <w:r>
              <w:t>the</w:t>
            </w:r>
            <w:r>
              <w:rPr>
                <w:spacing w:val="-6"/>
              </w:rPr>
              <w:t xml:space="preserve"> </w:t>
            </w:r>
            <w:r>
              <w:rPr>
                <w:i/>
              </w:rPr>
              <w:t>Employer</w:t>
            </w:r>
            <w:r>
              <w:rPr>
                <w:i/>
                <w:spacing w:val="-6"/>
              </w:rPr>
              <w:t xml:space="preserve"> </w:t>
            </w:r>
            <w:r>
              <w:t>and</w:t>
            </w:r>
            <w:r>
              <w:rPr>
                <w:spacing w:val="-9"/>
              </w:rPr>
              <w:t xml:space="preserve"> </w:t>
            </w:r>
            <w:r>
              <w:t>a</w:t>
            </w:r>
            <w:r>
              <w:rPr>
                <w:spacing w:val="-7"/>
              </w:rPr>
              <w:t xml:space="preserve"> </w:t>
            </w:r>
            <w:r>
              <w:t>duly authorised senior officer of the</w:t>
            </w:r>
            <w:r>
              <w:rPr>
                <w:spacing w:val="-8"/>
              </w:rPr>
              <w:t xml:space="preserve"> </w:t>
            </w:r>
            <w:r>
              <w:rPr>
                <w:i/>
              </w:rPr>
              <w:t>Consultant</w:t>
            </w:r>
            <w:r>
              <w:t>.</w:t>
            </w:r>
          </w:p>
          <w:p w:rsidR="001C5E4E" w:rsidRDefault="003E09C0">
            <w:pPr>
              <w:pStyle w:val="TableParagraph"/>
              <w:spacing w:before="119"/>
              <w:ind w:left="71" w:right="658"/>
              <w:jc w:val="both"/>
            </w:pPr>
            <w:r>
              <w:t>Z44.5</w:t>
            </w:r>
            <w:r>
              <w:rPr>
                <w:spacing w:val="-9"/>
              </w:rPr>
              <w:t xml:space="preserve"> </w:t>
            </w:r>
            <w:r>
              <w:t>Failing</w:t>
            </w:r>
            <w:r>
              <w:rPr>
                <w:spacing w:val="-10"/>
              </w:rPr>
              <w:t xml:space="preserve"> </w:t>
            </w:r>
            <w:r>
              <w:t>agreement,</w:t>
            </w:r>
            <w:r>
              <w:rPr>
                <w:spacing w:val="-9"/>
              </w:rPr>
              <w:t xml:space="preserve"> </w:t>
            </w:r>
            <w:r>
              <w:t>the</w:t>
            </w:r>
            <w:r>
              <w:rPr>
                <w:spacing w:val="-9"/>
              </w:rPr>
              <w:t xml:space="preserve"> </w:t>
            </w:r>
            <w:r>
              <w:rPr>
                <w:i/>
              </w:rPr>
              <w:t>Employer</w:t>
            </w:r>
            <w:r>
              <w:rPr>
                <w:i/>
                <w:spacing w:val="-11"/>
              </w:rPr>
              <w:t xml:space="preserve"> </w:t>
            </w:r>
            <w:r>
              <w:t>and</w:t>
            </w:r>
            <w:r>
              <w:rPr>
                <w:spacing w:val="-10"/>
              </w:rPr>
              <w:t xml:space="preserve"> </w:t>
            </w:r>
            <w:r>
              <w:rPr>
                <w:i/>
              </w:rPr>
              <w:t>Consultant</w:t>
            </w:r>
            <w:r>
              <w:rPr>
                <w:i/>
                <w:spacing w:val="-11"/>
              </w:rPr>
              <w:t xml:space="preserve"> </w:t>
            </w:r>
            <w:r>
              <w:t>may</w:t>
            </w:r>
            <w:r>
              <w:rPr>
                <w:spacing w:val="-11"/>
              </w:rPr>
              <w:t xml:space="preserve"> </w:t>
            </w:r>
            <w:r>
              <w:t>agree</w:t>
            </w:r>
            <w:r>
              <w:rPr>
                <w:spacing w:val="-11"/>
              </w:rPr>
              <w:t xml:space="preserve"> </w:t>
            </w:r>
            <w:r>
              <w:t>to</w:t>
            </w:r>
            <w:r>
              <w:rPr>
                <w:spacing w:val="-10"/>
              </w:rPr>
              <w:t xml:space="preserve"> </w:t>
            </w:r>
            <w:r>
              <w:t>invite</w:t>
            </w:r>
            <w:r>
              <w:rPr>
                <w:spacing w:val="-10"/>
              </w:rPr>
              <w:t xml:space="preserve"> </w:t>
            </w:r>
            <w:r>
              <w:t>the Mediator to provide a non-binding but informative opinion in writing. No such invitation is made without the written consent of both Parties. If it is agreed that such an invitation is to be made, the opinion is provided on a without</w:t>
            </w:r>
            <w:r>
              <w:rPr>
                <w:spacing w:val="-15"/>
              </w:rPr>
              <w:t xml:space="preserve"> </w:t>
            </w:r>
            <w:r>
              <w:t>prejudice</w:t>
            </w:r>
            <w:r>
              <w:rPr>
                <w:spacing w:val="-15"/>
              </w:rPr>
              <w:t xml:space="preserve"> </w:t>
            </w:r>
            <w:r>
              <w:t>basis</w:t>
            </w:r>
            <w:r>
              <w:rPr>
                <w:spacing w:val="-12"/>
              </w:rPr>
              <w:t xml:space="preserve"> </w:t>
            </w:r>
            <w:r>
              <w:t>and</w:t>
            </w:r>
            <w:r>
              <w:rPr>
                <w:spacing w:val="-16"/>
              </w:rPr>
              <w:t xml:space="preserve"> </w:t>
            </w:r>
            <w:r>
              <w:t>is</w:t>
            </w:r>
            <w:r>
              <w:rPr>
                <w:spacing w:val="-12"/>
              </w:rPr>
              <w:t xml:space="preserve"> </w:t>
            </w:r>
            <w:r>
              <w:t>not</w:t>
            </w:r>
            <w:r>
              <w:rPr>
                <w:spacing w:val="-12"/>
              </w:rPr>
              <w:t xml:space="preserve"> </w:t>
            </w:r>
            <w:r>
              <w:t>used</w:t>
            </w:r>
            <w:r>
              <w:rPr>
                <w:spacing w:val="-14"/>
              </w:rPr>
              <w:t xml:space="preserve"> </w:t>
            </w:r>
            <w:r>
              <w:t>in</w:t>
            </w:r>
            <w:r>
              <w:rPr>
                <w:spacing w:val="-14"/>
              </w:rPr>
              <w:t xml:space="preserve"> </w:t>
            </w:r>
            <w:r>
              <w:t>evidence</w:t>
            </w:r>
            <w:r>
              <w:rPr>
                <w:spacing w:val="-14"/>
              </w:rPr>
              <w:t xml:space="preserve"> </w:t>
            </w:r>
            <w:r>
              <w:t>in</w:t>
            </w:r>
            <w:r>
              <w:rPr>
                <w:spacing w:val="-14"/>
              </w:rPr>
              <w:t xml:space="preserve"> </w:t>
            </w:r>
            <w:r>
              <w:t>any</w:t>
            </w:r>
            <w:r>
              <w:rPr>
                <w:spacing w:val="-11"/>
              </w:rPr>
              <w:t xml:space="preserve"> </w:t>
            </w:r>
            <w:r>
              <w:t>proceedings</w:t>
            </w:r>
            <w:r>
              <w:rPr>
                <w:spacing w:val="-13"/>
              </w:rPr>
              <w:t xml:space="preserve"> </w:t>
            </w:r>
            <w:r>
              <w:t>relating to this contract without the written consent of both</w:t>
            </w:r>
            <w:r>
              <w:rPr>
                <w:spacing w:val="-9"/>
              </w:rPr>
              <w:t xml:space="preserve"> </w:t>
            </w:r>
            <w:r>
              <w:t>Parties.</w:t>
            </w:r>
          </w:p>
          <w:p w:rsidR="001C5E4E" w:rsidRDefault="003E09C0">
            <w:pPr>
              <w:pStyle w:val="TableParagraph"/>
              <w:spacing w:before="122"/>
              <w:ind w:left="71" w:right="658"/>
              <w:jc w:val="both"/>
            </w:pPr>
            <w:r>
              <w:t>Z44.6</w:t>
            </w:r>
            <w:r>
              <w:rPr>
                <w:spacing w:val="-4"/>
              </w:rPr>
              <w:t xml:space="preserve"> </w:t>
            </w:r>
            <w:r>
              <w:t>The</w:t>
            </w:r>
            <w:r>
              <w:rPr>
                <w:spacing w:val="-3"/>
              </w:rPr>
              <w:t xml:space="preserve"> </w:t>
            </w:r>
            <w:r>
              <w:rPr>
                <w:i/>
              </w:rPr>
              <w:t>Employer</w:t>
            </w:r>
            <w:r>
              <w:rPr>
                <w:i/>
                <w:spacing w:val="-3"/>
              </w:rPr>
              <w:t xml:space="preserve"> </w:t>
            </w:r>
            <w:r>
              <w:t>and</w:t>
            </w:r>
            <w:r>
              <w:rPr>
                <w:spacing w:val="-6"/>
              </w:rPr>
              <w:t xml:space="preserve"> </w:t>
            </w:r>
            <w:r>
              <w:t>the</w:t>
            </w:r>
            <w:r>
              <w:rPr>
                <w:spacing w:val="-4"/>
              </w:rPr>
              <w:t xml:space="preserve"> </w:t>
            </w:r>
            <w:r>
              <w:rPr>
                <w:i/>
              </w:rPr>
              <w:t>Consultant</w:t>
            </w:r>
            <w:r>
              <w:rPr>
                <w:i/>
                <w:spacing w:val="-5"/>
              </w:rPr>
              <w:t xml:space="preserve"> </w:t>
            </w:r>
            <w:r>
              <w:t>each</w:t>
            </w:r>
            <w:r>
              <w:rPr>
                <w:spacing w:val="-4"/>
              </w:rPr>
              <w:t xml:space="preserve"> </w:t>
            </w:r>
            <w:r>
              <w:t>bears</w:t>
            </w:r>
            <w:r>
              <w:rPr>
                <w:spacing w:val="-4"/>
              </w:rPr>
              <w:t xml:space="preserve"> </w:t>
            </w:r>
            <w:r>
              <w:t>their</w:t>
            </w:r>
            <w:r>
              <w:rPr>
                <w:spacing w:val="-7"/>
              </w:rPr>
              <w:t xml:space="preserve"> </w:t>
            </w:r>
            <w:r>
              <w:t>own</w:t>
            </w:r>
            <w:r>
              <w:rPr>
                <w:spacing w:val="-6"/>
              </w:rPr>
              <w:t xml:space="preserve"> </w:t>
            </w:r>
            <w:r>
              <w:t>costs</w:t>
            </w:r>
            <w:r>
              <w:rPr>
                <w:spacing w:val="-6"/>
              </w:rPr>
              <w:t xml:space="preserve"> </w:t>
            </w:r>
            <w:r>
              <w:t>in</w:t>
            </w:r>
            <w:r>
              <w:rPr>
                <w:spacing w:val="-5"/>
              </w:rPr>
              <w:t xml:space="preserve"> </w:t>
            </w:r>
            <w:r>
              <w:t>relation to</w:t>
            </w:r>
            <w:r>
              <w:rPr>
                <w:spacing w:val="-4"/>
              </w:rPr>
              <w:t xml:space="preserve"> </w:t>
            </w:r>
            <w:r>
              <w:t>any</w:t>
            </w:r>
            <w:r>
              <w:rPr>
                <w:spacing w:val="-4"/>
              </w:rPr>
              <w:t xml:space="preserve"> </w:t>
            </w:r>
            <w:r>
              <w:t>reference</w:t>
            </w:r>
            <w:r>
              <w:rPr>
                <w:spacing w:val="-7"/>
              </w:rPr>
              <w:t xml:space="preserve"> </w:t>
            </w:r>
            <w:r>
              <w:t>made</w:t>
            </w:r>
            <w:r>
              <w:rPr>
                <w:spacing w:val="-4"/>
              </w:rPr>
              <w:t xml:space="preserve"> </w:t>
            </w:r>
            <w:r>
              <w:t>to</w:t>
            </w:r>
            <w:r>
              <w:rPr>
                <w:spacing w:val="-4"/>
              </w:rPr>
              <w:t xml:space="preserve"> </w:t>
            </w:r>
            <w:r>
              <w:t>the</w:t>
            </w:r>
            <w:r>
              <w:rPr>
                <w:spacing w:val="-4"/>
              </w:rPr>
              <w:t xml:space="preserve"> </w:t>
            </w:r>
            <w:r>
              <w:t>Mediator</w:t>
            </w:r>
            <w:r>
              <w:rPr>
                <w:spacing w:val="-5"/>
              </w:rPr>
              <w:t xml:space="preserve"> </w:t>
            </w:r>
            <w:r>
              <w:t>and</w:t>
            </w:r>
            <w:r>
              <w:rPr>
                <w:spacing w:val="-5"/>
              </w:rPr>
              <w:t xml:space="preserve"> </w:t>
            </w:r>
            <w:r>
              <w:t>the</w:t>
            </w:r>
            <w:r>
              <w:rPr>
                <w:spacing w:val="-6"/>
              </w:rPr>
              <w:t xml:space="preserve"> </w:t>
            </w:r>
            <w:r>
              <w:t>fees</w:t>
            </w:r>
            <w:r>
              <w:rPr>
                <w:spacing w:val="-5"/>
              </w:rPr>
              <w:t xml:space="preserve"> </w:t>
            </w:r>
            <w:r>
              <w:t>and</w:t>
            </w:r>
            <w:r>
              <w:rPr>
                <w:spacing w:val="-5"/>
              </w:rPr>
              <w:t xml:space="preserve"> </w:t>
            </w:r>
            <w:r>
              <w:t>all</w:t>
            </w:r>
            <w:r>
              <w:rPr>
                <w:spacing w:val="-5"/>
              </w:rPr>
              <w:t xml:space="preserve"> </w:t>
            </w:r>
            <w:r>
              <w:t>other</w:t>
            </w:r>
            <w:r>
              <w:rPr>
                <w:spacing w:val="-5"/>
              </w:rPr>
              <w:t xml:space="preserve"> </w:t>
            </w:r>
            <w:r>
              <w:t>costs</w:t>
            </w:r>
            <w:r>
              <w:rPr>
                <w:spacing w:val="-8"/>
              </w:rPr>
              <w:t xml:space="preserve"> </w:t>
            </w:r>
            <w:r>
              <w:t>of</w:t>
            </w:r>
            <w:r>
              <w:rPr>
                <w:spacing w:val="-5"/>
              </w:rPr>
              <w:t xml:space="preserve"> </w:t>
            </w:r>
            <w:r>
              <w:t>the Mediator are borne jointly in equal proportions by both Parties unless otherwise directed by the</w:t>
            </w:r>
            <w:r>
              <w:rPr>
                <w:spacing w:val="-4"/>
              </w:rPr>
              <w:t xml:space="preserve"> </w:t>
            </w:r>
            <w:r>
              <w:t>Mediator.</w:t>
            </w:r>
          </w:p>
          <w:p w:rsidR="001C5E4E" w:rsidRDefault="003E09C0">
            <w:pPr>
              <w:pStyle w:val="TableParagraph"/>
              <w:spacing w:before="119"/>
              <w:ind w:left="71" w:right="660"/>
              <w:jc w:val="both"/>
            </w:pPr>
            <w:r>
              <w:t xml:space="preserve">Z44.7 In the event that the </w:t>
            </w:r>
            <w:r>
              <w:rPr>
                <w:i/>
              </w:rPr>
              <w:t xml:space="preserve">Employer </w:t>
            </w:r>
            <w:r>
              <w:t xml:space="preserve">and the </w:t>
            </w:r>
            <w:r>
              <w:rPr>
                <w:i/>
              </w:rPr>
              <w:t xml:space="preserve">Consultant </w:t>
            </w:r>
            <w:r>
              <w:t xml:space="preserve">fail to reach agreement within forty working days after the Mediator’s appointment, or such longer period as may be agreed, the dispute may be referred to the </w:t>
            </w:r>
            <w:r>
              <w:rPr>
                <w:i/>
              </w:rPr>
              <w:t>tribunal</w:t>
            </w:r>
            <w:r>
              <w:t>.</w:t>
            </w:r>
          </w:p>
        </w:tc>
      </w:tr>
      <w:tr w:rsidR="001C5E4E">
        <w:trPr>
          <w:trHeight w:val="877"/>
        </w:trPr>
        <w:tc>
          <w:tcPr>
            <w:tcW w:w="1696" w:type="dxa"/>
          </w:tcPr>
          <w:p w:rsidR="001C5E4E" w:rsidRDefault="001C5E4E">
            <w:pPr>
              <w:pStyle w:val="TableParagraph"/>
              <w:spacing w:before="2"/>
              <w:rPr>
                <w:sz w:val="19"/>
              </w:rPr>
            </w:pPr>
          </w:p>
          <w:p w:rsidR="001C5E4E" w:rsidRDefault="003E09C0">
            <w:pPr>
              <w:pStyle w:val="TableParagraph"/>
              <w:ind w:left="607"/>
              <w:rPr>
                <w:b/>
              </w:rPr>
            </w:pPr>
            <w:r>
              <w:rPr>
                <w:b/>
              </w:rPr>
              <w:t>Clause Z45</w:t>
            </w:r>
          </w:p>
        </w:tc>
        <w:tc>
          <w:tcPr>
            <w:tcW w:w="7608" w:type="dxa"/>
          </w:tcPr>
          <w:p w:rsidR="001C5E4E" w:rsidRDefault="001C5E4E">
            <w:pPr>
              <w:pStyle w:val="TableParagraph"/>
              <w:spacing w:before="4"/>
              <w:rPr>
                <w:sz w:val="21"/>
              </w:rPr>
            </w:pPr>
          </w:p>
          <w:p w:rsidR="001C5E4E" w:rsidRDefault="003E09C0">
            <w:pPr>
              <w:pStyle w:val="TableParagraph"/>
              <w:ind w:left="71"/>
              <w:rPr>
                <w:b/>
              </w:rPr>
            </w:pPr>
            <w:r>
              <w:rPr>
                <w:b/>
              </w:rPr>
              <w:t>Collateral Warranty Agreements – Not Used</w:t>
            </w:r>
          </w:p>
        </w:tc>
      </w:tr>
      <w:tr w:rsidR="001C5E4E">
        <w:trPr>
          <w:trHeight w:val="937"/>
        </w:trPr>
        <w:tc>
          <w:tcPr>
            <w:tcW w:w="1696" w:type="dxa"/>
          </w:tcPr>
          <w:p w:rsidR="001C5E4E" w:rsidRDefault="001C5E4E">
            <w:pPr>
              <w:pStyle w:val="TableParagraph"/>
              <w:spacing w:before="2"/>
              <w:rPr>
                <w:sz w:val="25"/>
              </w:rPr>
            </w:pPr>
          </w:p>
          <w:p w:rsidR="001C5E4E" w:rsidRDefault="003E09C0">
            <w:pPr>
              <w:pStyle w:val="TableParagraph"/>
              <w:ind w:left="200"/>
              <w:rPr>
                <w:b/>
              </w:rPr>
            </w:pPr>
            <w:r>
              <w:rPr>
                <w:b/>
              </w:rPr>
              <w:t>Clause Z46</w:t>
            </w:r>
          </w:p>
        </w:tc>
        <w:tc>
          <w:tcPr>
            <w:tcW w:w="7608" w:type="dxa"/>
          </w:tcPr>
          <w:p w:rsidR="001C5E4E" w:rsidRDefault="001C5E4E">
            <w:pPr>
              <w:pStyle w:val="TableParagraph"/>
              <w:spacing w:before="2"/>
              <w:rPr>
                <w:sz w:val="25"/>
              </w:rPr>
            </w:pPr>
          </w:p>
          <w:p w:rsidR="001C5E4E" w:rsidRDefault="003E09C0">
            <w:pPr>
              <w:pStyle w:val="TableParagraph"/>
              <w:ind w:left="71"/>
              <w:rPr>
                <w:b/>
              </w:rPr>
            </w:pPr>
            <w:r>
              <w:rPr>
                <w:b/>
              </w:rPr>
              <w:t>Access to MOD sites – Not Applicable</w:t>
            </w:r>
          </w:p>
        </w:tc>
      </w:tr>
      <w:tr w:rsidR="001C5E4E">
        <w:trPr>
          <w:trHeight w:val="1145"/>
        </w:trPr>
        <w:tc>
          <w:tcPr>
            <w:tcW w:w="1696" w:type="dxa"/>
          </w:tcPr>
          <w:p w:rsidR="001C5E4E" w:rsidRDefault="001C5E4E">
            <w:pPr>
              <w:pStyle w:val="TableParagraph"/>
              <w:spacing w:before="3"/>
              <w:rPr>
                <w:sz w:val="26"/>
              </w:rPr>
            </w:pPr>
          </w:p>
          <w:p w:rsidR="001C5E4E" w:rsidRDefault="003E09C0">
            <w:pPr>
              <w:pStyle w:val="TableParagraph"/>
              <w:spacing w:before="1"/>
              <w:ind w:left="567"/>
              <w:rPr>
                <w:b/>
              </w:rPr>
            </w:pPr>
            <w:r>
              <w:rPr>
                <w:b/>
              </w:rPr>
              <w:t>Clause Z47</w:t>
            </w:r>
          </w:p>
        </w:tc>
        <w:tc>
          <w:tcPr>
            <w:tcW w:w="7608" w:type="dxa"/>
          </w:tcPr>
          <w:p w:rsidR="001C5E4E" w:rsidRDefault="001C5E4E">
            <w:pPr>
              <w:pStyle w:val="TableParagraph"/>
              <w:spacing w:before="3"/>
              <w:rPr>
                <w:sz w:val="26"/>
              </w:rPr>
            </w:pPr>
          </w:p>
          <w:p w:rsidR="001C5E4E" w:rsidRDefault="003E09C0">
            <w:pPr>
              <w:pStyle w:val="TableParagraph"/>
              <w:spacing w:before="1"/>
              <w:ind w:left="71"/>
              <w:rPr>
                <w:b/>
              </w:rPr>
            </w:pPr>
            <w:r>
              <w:rPr>
                <w:b/>
              </w:rPr>
              <w:t>MoD DEFCON Requirements – Not Applicable</w:t>
            </w:r>
          </w:p>
        </w:tc>
      </w:tr>
      <w:tr w:rsidR="001C5E4E">
        <w:trPr>
          <w:trHeight w:val="1785"/>
        </w:trPr>
        <w:tc>
          <w:tcPr>
            <w:tcW w:w="1696" w:type="dxa"/>
          </w:tcPr>
          <w:p w:rsidR="001C5E4E" w:rsidRDefault="001C5E4E">
            <w:pPr>
              <w:pStyle w:val="TableParagraph"/>
            </w:pPr>
          </w:p>
          <w:p w:rsidR="001C5E4E" w:rsidRDefault="001C5E4E">
            <w:pPr>
              <w:pStyle w:val="TableParagraph"/>
              <w:spacing w:before="2"/>
              <w:rPr>
                <w:sz w:val="20"/>
              </w:rPr>
            </w:pPr>
          </w:p>
          <w:p w:rsidR="001C5E4E" w:rsidRDefault="003E09C0">
            <w:pPr>
              <w:pStyle w:val="TableParagraph"/>
              <w:ind w:left="648"/>
              <w:rPr>
                <w:b/>
              </w:rPr>
            </w:pPr>
            <w:r>
              <w:rPr>
                <w:b/>
              </w:rPr>
              <w:t>Clause Z48</w:t>
            </w:r>
          </w:p>
        </w:tc>
        <w:tc>
          <w:tcPr>
            <w:tcW w:w="7608" w:type="dxa"/>
          </w:tcPr>
          <w:p w:rsidR="001C5E4E" w:rsidRDefault="001C5E4E">
            <w:pPr>
              <w:pStyle w:val="TableParagraph"/>
            </w:pPr>
          </w:p>
          <w:p w:rsidR="001C5E4E" w:rsidRDefault="001C5E4E">
            <w:pPr>
              <w:pStyle w:val="TableParagraph"/>
              <w:spacing w:before="2"/>
              <w:rPr>
                <w:sz w:val="20"/>
              </w:rPr>
            </w:pPr>
          </w:p>
          <w:p w:rsidR="001C5E4E" w:rsidRDefault="003E09C0">
            <w:pPr>
              <w:pStyle w:val="TableParagraph"/>
              <w:ind w:left="143"/>
              <w:jc w:val="both"/>
              <w:rPr>
                <w:b/>
              </w:rPr>
            </w:pPr>
            <w:r>
              <w:rPr>
                <w:b/>
              </w:rPr>
              <w:t>Intellectual Property Rights</w:t>
            </w:r>
          </w:p>
          <w:p w:rsidR="001C5E4E" w:rsidRDefault="003E09C0">
            <w:pPr>
              <w:pStyle w:val="TableParagraph"/>
              <w:spacing w:before="126" w:line="290" w:lineRule="atLeast"/>
              <w:ind w:left="143" w:right="198"/>
              <w:jc w:val="both"/>
            </w:pPr>
            <w:r>
              <w:t>Z48.1 Intellectual Property Rights are any current and future legal and equitable interests in patents, trademarks, design rights, copyright, know-how and other similar rights, whether or not registered or capable of registration.</w:t>
            </w:r>
          </w:p>
        </w:tc>
      </w:tr>
    </w:tbl>
    <w:p w:rsidR="001C5E4E" w:rsidRDefault="001C5E4E">
      <w:pPr>
        <w:spacing w:line="290" w:lineRule="atLeast"/>
        <w:jc w:val="both"/>
        <w:sectPr w:rsidR="001C5E4E">
          <w:pgSz w:w="11910" w:h="16850"/>
          <w:pgMar w:top="1400" w:right="620" w:bottom="1080" w:left="940" w:header="1112" w:footer="892" w:gutter="0"/>
          <w:cols w:space="720"/>
        </w:sectPr>
      </w:pPr>
    </w:p>
    <w:p w:rsidR="001C5E4E" w:rsidRDefault="001C5E4E">
      <w:pPr>
        <w:pStyle w:val="BodyText"/>
        <w:rPr>
          <w:sz w:val="20"/>
        </w:rPr>
      </w:pPr>
    </w:p>
    <w:p w:rsidR="001C5E4E" w:rsidRDefault="001C5E4E">
      <w:pPr>
        <w:pStyle w:val="BodyText"/>
        <w:spacing w:before="9"/>
        <w:rPr>
          <w:sz w:val="10"/>
        </w:rPr>
      </w:pPr>
    </w:p>
    <w:tbl>
      <w:tblPr>
        <w:tblW w:w="0" w:type="auto"/>
        <w:tblInd w:w="1260" w:type="dxa"/>
        <w:tblLayout w:type="fixed"/>
        <w:tblCellMar>
          <w:left w:w="0" w:type="dxa"/>
          <w:right w:w="0" w:type="dxa"/>
        </w:tblCellMar>
        <w:tblLook w:val="01E0" w:firstRow="1" w:lastRow="1" w:firstColumn="1" w:lastColumn="1" w:noHBand="0" w:noVBand="0"/>
      </w:tblPr>
      <w:tblGrid>
        <w:gridCol w:w="1177"/>
        <w:gridCol w:w="7646"/>
      </w:tblGrid>
      <w:tr w:rsidR="001C5E4E">
        <w:trPr>
          <w:trHeight w:val="8366"/>
        </w:trPr>
        <w:tc>
          <w:tcPr>
            <w:tcW w:w="1177" w:type="dxa"/>
          </w:tcPr>
          <w:p w:rsidR="001C5E4E" w:rsidRDefault="001C5E4E">
            <w:pPr>
              <w:pStyle w:val="TableParagraph"/>
              <w:rPr>
                <w:rFonts w:ascii="Times New Roman"/>
              </w:rPr>
            </w:pPr>
          </w:p>
        </w:tc>
        <w:tc>
          <w:tcPr>
            <w:tcW w:w="7646" w:type="dxa"/>
          </w:tcPr>
          <w:p w:rsidR="001C5E4E" w:rsidRDefault="003E09C0">
            <w:pPr>
              <w:pStyle w:val="TableParagraph"/>
              <w:spacing w:line="225" w:lineRule="exact"/>
              <w:ind w:left="141"/>
            </w:pPr>
            <w:r>
              <w:rPr>
                <w:spacing w:val="-3"/>
              </w:rPr>
              <w:t xml:space="preserve">Z48.2 All </w:t>
            </w:r>
            <w:r>
              <w:rPr>
                <w:spacing w:val="-4"/>
              </w:rPr>
              <w:t xml:space="preserve">Intellectual </w:t>
            </w:r>
            <w:r>
              <w:rPr>
                <w:spacing w:val="-3"/>
              </w:rPr>
              <w:t xml:space="preserve">Property Rights </w:t>
            </w:r>
            <w:r>
              <w:t xml:space="preserve">in </w:t>
            </w:r>
            <w:r>
              <w:rPr>
                <w:spacing w:val="-4"/>
              </w:rPr>
              <w:t xml:space="preserve">documents </w:t>
            </w:r>
            <w:r>
              <w:rPr>
                <w:spacing w:val="-3"/>
              </w:rPr>
              <w:t xml:space="preserve">and other materials </w:t>
            </w:r>
            <w:r>
              <w:rPr>
                <w:spacing w:val="-4"/>
              </w:rPr>
              <w:t xml:space="preserve">created </w:t>
            </w:r>
            <w:r>
              <w:rPr>
                <w:spacing w:val="-3"/>
              </w:rPr>
              <w:t>by</w:t>
            </w:r>
            <w:r>
              <w:rPr>
                <w:spacing w:val="-28"/>
              </w:rPr>
              <w:t xml:space="preserve"> </w:t>
            </w:r>
            <w:r>
              <w:t>or</w:t>
            </w:r>
          </w:p>
          <w:p w:rsidR="001C5E4E" w:rsidRDefault="003E09C0">
            <w:pPr>
              <w:pStyle w:val="TableParagraph"/>
              <w:spacing w:before="26"/>
              <w:ind w:left="179"/>
            </w:pPr>
            <w:r>
              <w:t xml:space="preserve">on </w:t>
            </w:r>
            <w:r>
              <w:rPr>
                <w:spacing w:val="-4"/>
              </w:rPr>
              <w:t xml:space="preserve">behalf </w:t>
            </w:r>
            <w:r>
              <w:t xml:space="preserve">of </w:t>
            </w:r>
            <w:r>
              <w:rPr>
                <w:spacing w:val="-3"/>
              </w:rPr>
              <w:t xml:space="preserve">the  </w:t>
            </w:r>
            <w:r>
              <w:rPr>
                <w:i/>
                <w:spacing w:val="-4"/>
              </w:rPr>
              <w:t xml:space="preserve">Employer </w:t>
            </w:r>
            <w:r>
              <w:rPr>
                <w:spacing w:val="-3"/>
              </w:rPr>
              <w:t xml:space="preserve">in </w:t>
            </w:r>
            <w:r>
              <w:rPr>
                <w:spacing w:val="-4"/>
              </w:rPr>
              <w:t xml:space="preserve">connection </w:t>
            </w:r>
            <w:r>
              <w:rPr>
                <w:spacing w:val="-3"/>
              </w:rPr>
              <w:t xml:space="preserve">with </w:t>
            </w:r>
            <w:r>
              <w:t xml:space="preserve">the  </w:t>
            </w:r>
            <w:r>
              <w:rPr>
                <w:spacing w:val="-4"/>
              </w:rPr>
              <w:t xml:space="preserve">contract  </w:t>
            </w:r>
            <w:r>
              <w:t xml:space="preserve">are </w:t>
            </w:r>
            <w:r>
              <w:rPr>
                <w:spacing w:val="-3"/>
              </w:rPr>
              <w:t xml:space="preserve">the </w:t>
            </w:r>
            <w:r>
              <w:rPr>
                <w:spacing w:val="-4"/>
              </w:rPr>
              <w:t xml:space="preserve">property </w:t>
            </w:r>
            <w:r>
              <w:t xml:space="preserve">of </w:t>
            </w:r>
            <w:r>
              <w:rPr>
                <w:spacing w:val="7"/>
              </w:rPr>
              <w:t xml:space="preserve"> </w:t>
            </w:r>
            <w:r>
              <w:rPr>
                <w:spacing w:val="-3"/>
              </w:rPr>
              <w:t>the</w:t>
            </w:r>
          </w:p>
          <w:p w:rsidR="001C5E4E" w:rsidRDefault="003E09C0">
            <w:pPr>
              <w:pStyle w:val="TableParagraph"/>
              <w:spacing w:before="27"/>
              <w:ind w:left="179"/>
            </w:pPr>
            <w:r>
              <w:rPr>
                <w:i/>
              </w:rPr>
              <w:t xml:space="preserve">Employer </w:t>
            </w:r>
            <w:r>
              <w:t>or the Crown.</w:t>
            </w:r>
          </w:p>
          <w:p w:rsidR="001C5E4E" w:rsidRDefault="003E09C0">
            <w:pPr>
              <w:pStyle w:val="TableParagraph"/>
              <w:spacing w:before="147"/>
              <w:ind w:left="179" w:right="198"/>
              <w:jc w:val="both"/>
            </w:pPr>
            <w:r>
              <w:rPr>
                <w:spacing w:val="-3"/>
              </w:rPr>
              <w:t xml:space="preserve">Z48.3 The </w:t>
            </w:r>
            <w:r>
              <w:rPr>
                <w:i/>
                <w:spacing w:val="-4"/>
              </w:rPr>
              <w:t xml:space="preserve">Consultant </w:t>
            </w:r>
            <w:r>
              <w:t xml:space="preserve">hereby </w:t>
            </w:r>
            <w:r>
              <w:rPr>
                <w:spacing w:val="-4"/>
              </w:rPr>
              <w:t xml:space="preserve">assigns </w:t>
            </w:r>
            <w:r>
              <w:rPr>
                <w:spacing w:val="-3"/>
              </w:rPr>
              <w:t xml:space="preserve">to the </w:t>
            </w:r>
            <w:r>
              <w:rPr>
                <w:i/>
                <w:spacing w:val="-4"/>
              </w:rPr>
              <w:t xml:space="preserve">Employer </w:t>
            </w:r>
            <w:r>
              <w:rPr>
                <w:spacing w:val="-3"/>
              </w:rPr>
              <w:t xml:space="preserve">all </w:t>
            </w:r>
            <w:r>
              <w:rPr>
                <w:spacing w:val="-4"/>
              </w:rPr>
              <w:t xml:space="preserve">present </w:t>
            </w:r>
            <w:r>
              <w:rPr>
                <w:spacing w:val="-3"/>
              </w:rPr>
              <w:t xml:space="preserve">and </w:t>
            </w:r>
            <w:r>
              <w:rPr>
                <w:spacing w:val="-4"/>
              </w:rPr>
              <w:t xml:space="preserve">future Intellectual </w:t>
            </w:r>
            <w:r>
              <w:rPr>
                <w:spacing w:val="-3"/>
              </w:rPr>
              <w:t xml:space="preserve">Property Rights </w:t>
            </w:r>
            <w:r>
              <w:t xml:space="preserve">in all </w:t>
            </w:r>
            <w:r>
              <w:rPr>
                <w:spacing w:val="-4"/>
              </w:rPr>
              <w:t xml:space="preserve">documents </w:t>
            </w:r>
            <w:r>
              <w:rPr>
                <w:spacing w:val="-3"/>
              </w:rPr>
              <w:t xml:space="preserve">and other </w:t>
            </w:r>
            <w:r>
              <w:rPr>
                <w:spacing w:val="-4"/>
              </w:rPr>
              <w:t xml:space="preserve">materials created </w:t>
            </w:r>
            <w:r>
              <w:rPr>
                <w:spacing w:val="-3"/>
              </w:rPr>
              <w:t xml:space="preserve">by </w:t>
            </w:r>
            <w:r>
              <w:t xml:space="preserve">or on </w:t>
            </w:r>
            <w:r>
              <w:rPr>
                <w:spacing w:val="-3"/>
              </w:rPr>
              <w:t>behalf</w:t>
            </w:r>
            <w:r>
              <w:rPr>
                <w:spacing w:val="-10"/>
              </w:rPr>
              <w:t xml:space="preserve"> </w:t>
            </w:r>
            <w:r>
              <w:t>of</w:t>
            </w:r>
            <w:r>
              <w:rPr>
                <w:spacing w:val="-10"/>
              </w:rPr>
              <w:t xml:space="preserve"> </w:t>
            </w:r>
            <w:r>
              <w:rPr>
                <w:spacing w:val="-2"/>
              </w:rPr>
              <w:t>the</w:t>
            </w:r>
            <w:r>
              <w:rPr>
                <w:spacing w:val="-8"/>
              </w:rPr>
              <w:t xml:space="preserve"> </w:t>
            </w:r>
            <w:r>
              <w:rPr>
                <w:i/>
              </w:rPr>
              <w:t>Consultant</w:t>
            </w:r>
            <w:r>
              <w:rPr>
                <w:i/>
                <w:spacing w:val="-4"/>
              </w:rPr>
              <w:t xml:space="preserve"> </w:t>
            </w:r>
            <w:r>
              <w:t>or</w:t>
            </w:r>
            <w:r>
              <w:rPr>
                <w:spacing w:val="-12"/>
              </w:rPr>
              <w:t xml:space="preserve"> </w:t>
            </w:r>
            <w:r>
              <w:rPr>
                <w:spacing w:val="-3"/>
              </w:rPr>
              <w:t>any</w:t>
            </w:r>
            <w:r>
              <w:rPr>
                <w:spacing w:val="-8"/>
              </w:rPr>
              <w:t xml:space="preserve"> </w:t>
            </w:r>
            <w:r>
              <w:rPr>
                <w:spacing w:val="-4"/>
              </w:rPr>
              <w:t>Subconsultant</w:t>
            </w:r>
            <w:r>
              <w:rPr>
                <w:spacing w:val="-9"/>
              </w:rPr>
              <w:t xml:space="preserve"> </w:t>
            </w:r>
            <w:r>
              <w:t>in</w:t>
            </w:r>
            <w:r>
              <w:rPr>
                <w:spacing w:val="-11"/>
              </w:rPr>
              <w:t xml:space="preserve"> </w:t>
            </w:r>
            <w:r>
              <w:rPr>
                <w:spacing w:val="-4"/>
              </w:rPr>
              <w:t>performing</w:t>
            </w:r>
            <w:r>
              <w:rPr>
                <w:spacing w:val="-9"/>
              </w:rPr>
              <w:t xml:space="preserve"> </w:t>
            </w:r>
            <w:r>
              <w:rPr>
                <w:spacing w:val="-3"/>
              </w:rPr>
              <w:t>its</w:t>
            </w:r>
            <w:r>
              <w:rPr>
                <w:spacing w:val="-12"/>
              </w:rPr>
              <w:t xml:space="preserve"> </w:t>
            </w:r>
            <w:r>
              <w:rPr>
                <w:spacing w:val="-4"/>
              </w:rPr>
              <w:t>obligations</w:t>
            </w:r>
            <w:r>
              <w:rPr>
                <w:spacing w:val="-10"/>
              </w:rPr>
              <w:t xml:space="preserve"> </w:t>
            </w:r>
            <w:r>
              <w:rPr>
                <w:spacing w:val="-4"/>
              </w:rPr>
              <w:t>under,</w:t>
            </w:r>
            <w:r>
              <w:rPr>
                <w:spacing w:val="-12"/>
              </w:rPr>
              <w:t xml:space="preserve"> </w:t>
            </w:r>
            <w:r>
              <w:t xml:space="preserve">or </w:t>
            </w:r>
            <w:r>
              <w:rPr>
                <w:spacing w:val="-4"/>
              </w:rPr>
              <w:t xml:space="preserve">otherwise </w:t>
            </w:r>
            <w:r>
              <w:rPr>
                <w:spacing w:val="-3"/>
              </w:rPr>
              <w:t xml:space="preserve">in </w:t>
            </w:r>
            <w:r>
              <w:rPr>
                <w:spacing w:val="-4"/>
              </w:rPr>
              <w:t xml:space="preserve">connection </w:t>
            </w:r>
            <w:r>
              <w:rPr>
                <w:spacing w:val="-3"/>
              </w:rPr>
              <w:t xml:space="preserve">with, </w:t>
            </w:r>
            <w:r>
              <w:t xml:space="preserve">the </w:t>
            </w:r>
            <w:r>
              <w:rPr>
                <w:spacing w:val="-4"/>
              </w:rPr>
              <w:t xml:space="preserve">contract. </w:t>
            </w:r>
            <w:r>
              <w:rPr>
                <w:spacing w:val="-3"/>
              </w:rPr>
              <w:t xml:space="preserve">The </w:t>
            </w:r>
            <w:r>
              <w:rPr>
                <w:i/>
              </w:rPr>
              <w:t xml:space="preserve">Consultant </w:t>
            </w:r>
            <w:r>
              <w:rPr>
                <w:spacing w:val="-4"/>
              </w:rPr>
              <w:t xml:space="preserve">obtains </w:t>
            </w:r>
            <w:r>
              <w:rPr>
                <w:spacing w:val="-3"/>
              </w:rPr>
              <w:t xml:space="preserve">from </w:t>
            </w:r>
            <w:r>
              <w:rPr>
                <w:spacing w:val="-4"/>
              </w:rPr>
              <w:t xml:space="preserve">Subconsultants equivalent </w:t>
            </w:r>
            <w:r>
              <w:rPr>
                <w:spacing w:val="-3"/>
              </w:rPr>
              <w:t xml:space="preserve">rights over the </w:t>
            </w:r>
            <w:r>
              <w:rPr>
                <w:spacing w:val="-4"/>
              </w:rPr>
              <w:t xml:space="preserve">documents </w:t>
            </w:r>
            <w:r>
              <w:rPr>
                <w:spacing w:val="-3"/>
              </w:rPr>
              <w:t xml:space="preserve">and other materials </w:t>
            </w:r>
            <w:r>
              <w:rPr>
                <w:spacing w:val="-4"/>
              </w:rPr>
              <w:t xml:space="preserve">prepared </w:t>
            </w:r>
            <w:r>
              <w:t xml:space="preserve">by </w:t>
            </w:r>
            <w:r>
              <w:rPr>
                <w:spacing w:val="-2"/>
              </w:rPr>
              <w:t xml:space="preserve">the </w:t>
            </w:r>
            <w:r>
              <w:rPr>
                <w:spacing w:val="-4"/>
              </w:rPr>
              <w:t xml:space="preserve">Subconsultant. </w:t>
            </w:r>
            <w:r>
              <w:rPr>
                <w:spacing w:val="-3"/>
              </w:rPr>
              <w:t xml:space="preserve">This </w:t>
            </w:r>
            <w:r>
              <w:rPr>
                <w:spacing w:val="-4"/>
              </w:rPr>
              <w:t xml:space="preserve">assignment </w:t>
            </w:r>
            <w:r>
              <w:rPr>
                <w:spacing w:val="-3"/>
              </w:rPr>
              <w:t xml:space="preserve">takes effect either </w:t>
            </w:r>
            <w:r>
              <w:t xml:space="preserve">on </w:t>
            </w:r>
            <w:r>
              <w:rPr>
                <w:spacing w:val="-2"/>
              </w:rPr>
              <w:t xml:space="preserve">the </w:t>
            </w:r>
            <w:r>
              <w:rPr>
                <w:spacing w:val="-4"/>
              </w:rPr>
              <w:t xml:space="preserve">Contract </w:t>
            </w:r>
            <w:r>
              <w:rPr>
                <w:spacing w:val="-3"/>
              </w:rPr>
              <w:t xml:space="preserve">Date </w:t>
            </w:r>
            <w:r>
              <w:t xml:space="preserve">or </w:t>
            </w:r>
            <w:r>
              <w:rPr>
                <w:spacing w:val="-3"/>
              </w:rPr>
              <w:t xml:space="preserve">as </w:t>
            </w:r>
            <w:r>
              <w:t>a</w:t>
            </w:r>
            <w:r>
              <w:rPr>
                <w:spacing w:val="-8"/>
              </w:rPr>
              <w:t xml:space="preserve"> </w:t>
            </w:r>
            <w:r>
              <w:rPr>
                <w:spacing w:val="-4"/>
              </w:rPr>
              <w:t>present</w:t>
            </w:r>
            <w:r>
              <w:rPr>
                <w:spacing w:val="-10"/>
              </w:rPr>
              <w:t xml:space="preserve"> </w:t>
            </w:r>
            <w:r>
              <w:rPr>
                <w:spacing w:val="-4"/>
              </w:rPr>
              <w:t>assignment</w:t>
            </w:r>
            <w:r>
              <w:rPr>
                <w:spacing w:val="-11"/>
              </w:rPr>
              <w:t xml:space="preserve"> </w:t>
            </w:r>
            <w:r>
              <w:t>of</w:t>
            </w:r>
            <w:r>
              <w:rPr>
                <w:spacing w:val="-10"/>
              </w:rPr>
              <w:t xml:space="preserve"> </w:t>
            </w:r>
            <w:r>
              <w:rPr>
                <w:spacing w:val="-4"/>
              </w:rPr>
              <w:t>future</w:t>
            </w:r>
            <w:r>
              <w:rPr>
                <w:spacing w:val="-6"/>
              </w:rPr>
              <w:t xml:space="preserve"> </w:t>
            </w:r>
            <w:r>
              <w:rPr>
                <w:spacing w:val="-4"/>
              </w:rPr>
              <w:t>rights</w:t>
            </w:r>
            <w:r>
              <w:rPr>
                <w:spacing w:val="-8"/>
              </w:rPr>
              <w:t xml:space="preserve"> </w:t>
            </w:r>
            <w:r>
              <w:rPr>
                <w:spacing w:val="-3"/>
              </w:rPr>
              <w:t>that</w:t>
            </w:r>
            <w:r>
              <w:rPr>
                <w:spacing w:val="-10"/>
              </w:rPr>
              <w:t xml:space="preserve"> </w:t>
            </w:r>
            <w:r>
              <w:rPr>
                <w:spacing w:val="-3"/>
              </w:rPr>
              <w:t>will</w:t>
            </w:r>
            <w:r>
              <w:rPr>
                <w:spacing w:val="-8"/>
              </w:rPr>
              <w:t xml:space="preserve"> </w:t>
            </w:r>
            <w:r>
              <w:rPr>
                <w:spacing w:val="-4"/>
              </w:rPr>
              <w:t>take</w:t>
            </w:r>
            <w:r>
              <w:rPr>
                <w:spacing w:val="-10"/>
              </w:rPr>
              <w:t xml:space="preserve"> </w:t>
            </w:r>
            <w:r>
              <w:rPr>
                <w:spacing w:val="-3"/>
              </w:rPr>
              <w:t>effect</w:t>
            </w:r>
            <w:r>
              <w:rPr>
                <w:spacing w:val="-7"/>
              </w:rPr>
              <w:t xml:space="preserve"> </w:t>
            </w:r>
            <w:r>
              <w:rPr>
                <w:spacing w:val="-4"/>
              </w:rPr>
              <w:t>immediately</w:t>
            </w:r>
            <w:r>
              <w:rPr>
                <w:spacing w:val="-9"/>
              </w:rPr>
              <w:t xml:space="preserve"> </w:t>
            </w:r>
            <w:r>
              <w:t>on</w:t>
            </w:r>
            <w:r>
              <w:rPr>
                <w:spacing w:val="-11"/>
              </w:rPr>
              <w:t xml:space="preserve"> </w:t>
            </w:r>
            <w:r>
              <w:rPr>
                <w:spacing w:val="-3"/>
              </w:rPr>
              <w:t>the</w:t>
            </w:r>
            <w:r>
              <w:rPr>
                <w:spacing w:val="-5"/>
              </w:rPr>
              <w:t xml:space="preserve"> </w:t>
            </w:r>
            <w:r>
              <w:rPr>
                <w:spacing w:val="-4"/>
              </w:rPr>
              <w:t xml:space="preserve">coming </w:t>
            </w:r>
            <w:r>
              <w:rPr>
                <w:spacing w:val="-3"/>
              </w:rPr>
              <w:t xml:space="preserve">into </w:t>
            </w:r>
            <w:r>
              <w:rPr>
                <w:spacing w:val="-4"/>
              </w:rPr>
              <w:t xml:space="preserve">existence </w:t>
            </w:r>
            <w:r>
              <w:t xml:space="preserve">of </w:t>
            </w:r>
            <w:r>
              <w:rPr>
                <w:spacing w:val="-3"/>
              </w:rPr>
              <w:t xml:space="preserve">the </w:t>
            </w:r>
            <w:r>
              <w:rPr>
                <w:spacing w:val="-4"/>
              </w:rPr>
              <w:t xml:space="preserve">relevant Intellectual Property Rights, </w:t>
            </w:r>
            <w:r>
              <w:rPr>
                <w:spacing w:val="-3"/>
              </w:rPr>
              <w:t>as</w:t>
            </w:r>
            <w:r>
              <w:rPr>
                <w:spacing w:val="-16"/>
              </w:rPr>
              <w:t xml:space="preserve"> </w:t>
            </w:r>
            <w:r>
              <w:rPr>
                <w:spacing w:val="-4"/>
              </w:rPr>
              <w:t>appropriate.</w:t>
            </w:r>
          </w:p>
          <w:p w:rsidR="001C5E4E" w:rsidRDefault="003E09C0">
            <w:pPr>
              <w:pStyle w:val="TableParagraph"/>
              <w:spacing w:before="119"/>
              <w:ind w:left="179" w:right="198"/>
              <w:jc w:val="both"/>
            </w:pPr>
            <w:r>
              <w:rPr>
                <w:spacing w:val="-3"/>
              </w:rPr>
              <w:t xml:space="preserve">Z48.4 </w:t>
            </w:r>
            <w:r>
              <w:rPr>
                <w:spacing w:val="-4"/>
              </w:rPr>
              <w:t xml:space="preserve">Background </w:t>
            </w:r>
            <w:r>
              <w:rPr>
                <w:spacing w:val="-3"/>
              </w:rPr>
              <w:t xml:space="preserve">IPR means </w:t>
            </w:r>
            <w:r>
              <w:rPr>
                <w:spacing w:val="-4"/>
              </w:rPr>
              <w:t xml:space="preserve">Intellectual Property Rights </w:t>
            </w:r>
            <w:r>
              <w:rPr>
                <w:spacing w:val="-3"/>
              </w:rPr>
              <w:t xml:space="preserve">owned by the </w:t>
            </w:r>
            <w:r>
              <w:rPr>
                <w:i/>
              </w:rPr>
              <w:t xml:space="preserve">Consultant, </w:t>
            </w:r>
            <w:r>
              <w:t>a</w:t>
            </w:r>
            <w:r>
              <w:rPr>
                <w:spacing w:val="-11"/>
              </w:rPr>
              <w:t xml:space="preserve"> </w:t>
            </w:r>
            <w:r>
              <w:rPr>
                <w:spacing w:val="-4"/>
              </w:rPr>
              <w:t>Subconsultant</w:t>
            </w:r>
            <w:r>
              <w:rPr>
                <w:spacing w:val="-12"/>
              </w:rPr>
              <w:t xml:space="preserve"> </w:t>
            </w:r>
            <w:r>
              <w:t>or</w:t>
            </w:r>
            <w:r>
              <w:rPr>
                <w:spacing w:val="-14"/>
              </w:rPr>
              <w:t xml:space="preserve"> </w:t>
            </w:r>
            <w:r>
              <w:t>a</w:t>
            </w:r>
            <w:r>
              <w:rPr>
                <w:spacing w:val="-13"/>
              </w:rPr>
              <w:t xml:space="preserve"> </w:t>
            </w:r>
            <w:r>
              <w:rPr>
                <w:spacing w:val="-3"/>
              </w:rPr>
              <w:t>third</w:t>
            </w:r>
            <w:r>
              <w:rPr>
                <w:spacing w:val="-14"/>
              </w:rPr>
              <w:t xml:space="preserve"> </w:t>
            </w:r>
            <w:r>
              <w:rPr>
                <w:spacing w:val="-4"/>
              </w:rPr>
              <w:t>party</w:t>
            </w:r>
            <w:r>
              <w:rPr>
                <w:spacing w:val="-12"/>
              </w:rPr>
              <w:t xml:space="preserve"> </w:t>
            </w:r>
            <w:r>
              <w:rPr>
                <w:spacing w:val="-3"/>
              </w:rPr>
              <w:t>and</w:t>
            </w:r>
            <w:r>
              <w:rPr>
                <w:spacing w:val="-13"/>
              </w:rPr>
              <w:t xml:space="preserve"> </w:t>
            </w:r>
            <w:r>
              <w:rPr>
                <w:spacing w:val="-3"/>
              </w:rPr>
              <w:t>which</w:t>
            </w:r>
            <w:r>
              <w:rPr>
                <w:spacing w:val="-14"/>
              </w:rPr>
              <w:t xml:space="preserve"> </w:t>
            </w:r>
            <w:r>
              <w:rPr>
                <w:spacing w:val="-3"/>
              </w:rPr>
              <w:t>are</w:t>
            </w:r>
            <w:r>
              <w:rPr>
                <w:spacing w:val="-10"/>
              </w:rPr>
              <w:t xml:space="preserve"> </w:t>
            </w:r>
            <w:r>
              <w:rPr>
                <w:spacing w:val="-4"/>
              </w:rPr>
              <w:t>not</w:t>
            </w:r>
            <w:r>
              <w:rPr>
                <w:spacing w:val="-12"/>
              </w:rPr>
              <w:t xml:space="preserve"> </w:t>
            </w:r>
            <w:r>
              <w:rPr>
                <w:spacing w:val="-4"/>
              </w:rPr>
              <w:t>assigned</w:t>
            </w:r>
            <w:r>
              <w:rPr>
                <w:spacing w:val="-14"/>
              </w:rPr>
              <w:t xml:space="preserve"> </w:t>
            </w:r>
            <w:r>
              <w:rPr>
                <w:spacing w:val="-3"/>
              </w:rPr>
              <w:t>to</w:t>
            </w:r>
            <w:r>
              <w:rPr>
                <w:spacing w:val="-11"/>
              </w:rPr>
              <w:t xml:space="preserve"> </w:t>
            </w:r>
            <w:r>
              <w:rPr>
                <w:spacing w:val="-3"/>
              </w:rPr>
              <w:t>the</w:t>
            </w:r>
            <w:r>
              <w:rPr>
                <w:spacing w:val="-12"/>
              </w:rPr>
              <w:t xml:space="preserve"> </w:t>
            </w:r>
            <w:r>
              <w:rPr>
                <w:i/>
                <w:spacing w:val="-4"/>
              </w:rPr>
              <w:t>Employer</w:t>
            </w:r>
            <w:r>
              <w:rPr>
                <w:i/>
                <w:spacing w:val="-11"/>
              </w:rPr>
              <w:t xml:space="preserve"> </w:t>
            </w:r>
            <w:r>
              <w:rPr>
                <w:spacing w:val="-4"/>
              </w:rPr>
              <w:t xml:space="preserve">pursuant </w:t>
            </w:r>
            <w:r>
              <w:t>to</w:t>
            </w:r>
            <w:r>
              <w:rPr>
                <w:spacing w:val="-13"/>
              </w:rPr>
              <w:t xml:space="preserve"> </w:t>
            </w:r>
            <w:r>
              <w:rPr>
                <w:spacing w:val="-3"/>
              </w:rPr>
              <w:t>clause</w:t>
            </w:r>
            <w:r>
              <w:rPr>
                <w:spacing w:val="-12"/>
              </w:rPr>
              <w:t xml:space="preserve"> </w:t>
            </w:r>
            <w:r>
              <w:rPr>
                <w:spacing w:val="-4"/>
              </w:rPr>
              <w:t>Z48.3.</w:t>
            </w:r>
            <w:r>
              <w:rPr>
                <w:spacing w:val="39"/>
              </w:rPr>
              <w:t xml:space="preserve"> </w:t>
            </w:r>
            <w:r>
              <w:t>In</w:t>
            </w:r>
            <w:r>
              <w:rPr>
                <w:spacing w:val="-13"/>
              </w:rPr>
              <w:t xml:space="preserve"> </w:t>
            </w:r>
            <w:r>
              <w:rPr>
                <w:spacing w:val="-4"/>
              </w:rPr>
              <w:t>respect</w:t>
            </w:r>
            <w:r>
              <w:rPr>
                <w:spacing w:val="-11"/>
              </w:rPr>
              <w:t xml:space="preserve"> </w:t>
            </w:r>
            <w:r>
              <w:t>of</w:t>
            </w:r>
            <w:r>
              <w:rPr>
                <w:spacing w:val="-10"/>
              </w:rPr>
              <w:t xml:space="preserve"> </w:t>
            </w:r>
            <w:r>
              <w:rPr>
                <w:spacing w:val="-4"/>
              </w:rPr>
              <w:t>Background</w:t>
            </w:r>
            <w:r>
              <w:rPr>
                <w:spacing w:val="-13"/>
              </w:rPr>
              <w:t xml:space="preserve"> </w:t>
            </w:r>
            <w:r>
              <w:rPr>
                <w:spacing w:val="-4"/>
              </w:rPr>
              <w:t>IPR,</w:t>
            </w:r>
            <w:r>
              <w:rPr>
                <w:spacing w:val="-12"/>
              </w:rPr>
              <w:t xml:space="preserve"> </w:t>
            </w:r>
            <w:r>
              <w:rPr>
                <w:spacing w:val="-3"/>
              </w:rPr>
              <w:t>the</w:t>
            </w:r>
            <w:r>
              <w:rPr>
                <w:spacing w:val="-8"/>
              </w:rPr>
              <w:t xml:space="preserve"> </w:t>
            </w:r>
            <w:r>
              <w:rPr>
                <w:i/>
              </w:rPr>
              <w:t>Consultant</w:t>
            </w:r>
            <w:r>
              <w:rPr>
                <w:i/>
                <w:spacing w:val="-7"/>
              </w:rPr>
              <w:t xml:space="preserve"> </w:t>
            </w:r>
            <w:r>
              <w:rPr>
                <w:spacing w:val="-4"/>
              </w:rPr>
              <w:t>grants</w:t>
            </w:r>
            <w:r>
              <w:rPr>
                <w:spacing w:val="-11"/>
              </w:rPr>
              <w:t xml:space="preserve"> </w:t>
            </w:r>
            <w:r>
              <w:t>a</w:t>
            </w:r>
            <w:r>
              <w:rPr>
                <w:spacing w:val="-10"/>
              </w:rPr>
              <w:t xml:space="preserve"> </w:t>
            </w:r>
            <w:r>
              <w:rPr>
                <w:spacing w:val="-4"/>
              </w:rPr>
              <w:t xml:space="preserve">non-exclusive, world-wide, perpetual, irrevocable, </w:t>
            </w:r>
            <w:r>
              <w:rPr>
                <w:spacing w:val="-3"/>
              </w:rPr>
              <w:t xml:space="preserve">royalty free </w:t>
            </w:r>
            <w:r>
              <w:rPr>
                <w:spacing w:val="-4"/>
              </w:rPr>
              <w:t xml:space="preserve">licence (including </w:t>
            </w:r>
            <w:r>
              <w:rPr>
                <w:spacing w:val="-3"/>
              </w:rPr>
              <w:t xml:space="preserve">the </w:t>
            </w:r>
            <w:r>
              <w:rPr>
                <w:spacing w:val="-4"/>
              </w:rPr>
              <w:t xml:space="preserve">right </w:t>
            </w:r>
            <w:r>
              <w:rPr>
                <w:spacing w:val="-3"/>
              </w:rPr>
              <w:t xml:space="preserve">to </w:t>
            </w:r>
            <w:r>
              <w:t xml:space="preserve">sub- </w:t>
            </w:r>
            <w:r>
              <w:rPr>
                <w:spacing w:val="-3"/>
              </w:rPr>
              <w:t xml:space="preserve">licence) to the </w:t>
            </w:r>
            <w:r>
              <w:rPr>
                <w:i/>
                <w:spacing w:val="-4"/>
              </w:rPr>
              <w:t xml:space="preserve">Employer </w:t>
            </w:r>
            <w:r>
              <w:t xml:space="preserve">to </w:t>
            </w:r>
            <w:r>
              <w:rPr>
                <w:spacing w:val="-3"/>
              </w:rPr>
              <w:t xml:space="preserve">use the </w:t>
            </w:r>
            <w:r>
              <w:rPr>
                <w:spacing w:val="-4"/>
              </w:rPr>
              <w:t xml:space="preserve">Background IPR </w:t>
            </w:r>
            <w:r>
              <w:rPr>
                <w:spacing w:val="-3"/>
              </w:rPr>
              <w:t xml:space="preserve">for all </w:t>
            </w:r>
            <w:r>
              <w:rPr>
                <w:spacing w:val="-4"/>
              </w:rPr>
              <w:t xml:space="preserve">purposes </w:t>
            </w:r>
            <w:r>
              <w:t xml:space="preserve">of  </w:t>
            </w:r>
            <w:r>
              <w:rPr>
                <w:spacing w:val="-3"/>
              </w:rPr>
              <w:t xml:space="preserve">the </w:t>
            </w:r>
            <w:r>
              <w:rPr>
                <w:i/>
                <w:spacing w:val="-3"/>
              </w:rPr>
              <w:t>Employer</w:t>
            </w:r>
            <w:r>
              <w:rPr>
                <w:spacing w:val="-3"/>
              </w:rPr>
              <w:t xml:space="preserve">. Each </w:t>
            </w:r>
            <w:r>
              <w:rPr>
                <w:spacing w:val="-4"/>
              </w:rPr>
              <w:t xml:space="preserve">licence granted under </w:t>
            </w:r>
            <w:r>
              <w:rPr>
                <w:spacing w:val="-3"/>
              </w:rPr>
              <w:t xml:space="preserve">this </w:t>
            </w:r>
            <w:r>
              <w:rPr>
                <w:spacing w:val="-4"/>
              </w:rPr>
              <w:t xml:space="preserve">clause Z48.4 </w:t>
            </w:r>
            <w:r>
              <w:t xml:space="preserve">by </w:t>
            </w:r>
            <w:r>
              <w:rPr>
                <w:spacing w:val="-2"/>
              </w:rPr>
              <w:t xml:space="preserve">the </w:t>
            </w:r>
            <w:r>
              <w:rPr>
                <w:i/>
              </w:rPr>
              <w:t xml:space="preserve">Consultant </w:t>
            </w:r>
            <w:r>
              <w:rPr>
                <w:spacing w:val="-4"/>
              </w:rPr>
              <w:t xml:space="preserve">survives </w:t>
            </w:r>
            <w:r>
              <w:rPr>
                <w:spacing w:val="-2"/>
              </w:rPr>
              <w:t xml:space="preserve">the </w:t>
            </w:r>
            <w:r>
              <w:rPr>
                <w:spacing w:val="-4"/>
              </w:rPr>
              <w:t xml:space="preserve">termination </w:t>
            </w:r>
            <w:r>
              <w:t xml:space="preserve">or </w:t>
            </w:r>
            <w:r>
              <w:rPr>
                <w:spacing w:val="-4"/>
              </w:rPr>
              <w:t xml:space="preserve">expiry </w:t>
            </w:r>
            <w:r>
              <w:t xml:space="preserve">of </w:t>
            </w:r>
            <w:r>
              <w:rPr>
                <w:spacing w:val="-3"/>
              </w:rPr>
              <w:t xml:space="preserve">this </w:t>
            </w:r>
            <w:r>
              <w:rPr>
                <w:spacing w:val="-4"/>
              </w:rPr>
              <w:t xml:space="preserve">contract </w:t>
            </w:r>
            <w:r>
              <w:rPr>
                <w:spacing w:val="-3"/>
              </w:rPr>
              <w:t xml:space="preserve">and </w:t>
            </w:r>
            <w:r>
              <w:rPr>
                <w:spacing w:val="-4"/>
              </w:rPr>
              <w:t xml:space="preserve">cannot </w:t>
            </w:r>
            <w:r>
              <w:rPr>
                <w:spacing w:val="-3"/>
              </w:rPr>
              <w:t xml:space="preserve">be </w:t>
            </w:r>
            <w:r>
              <w:rPr>
                <w:spacing w:val="-4"/>
              </w:rPr>
              <w:t xml:space="preserve">terminated </w:t>
            </w:r>
            <w:r>
              <w:rPr>
                <w:spacing w:val="-3"/>
              </w:rPr>
              <w:t xml:space="preserve">by the </w:t>
            </w:r>
            <w:r>
              <w:rPr>
                <w:i/>
              </w:rPr>
              <w:t>Consultant</w:t>
            </w:r>
            <w:r>
              <w:rPr>
                <w:i/>
                <w:spacing w:val="-8"/>
              </w:rPr>
              <w:t xml:space="preserve"> </w:t>
            </w:r>
            <w:r>
              <w:t>or</w:t>
            </w:r>
            <w:r>
              <w:rPr>
                <w:spacing w:val="-16"/>
              </w:rPr>
              <w:t xml:space="preserve"> </w:t>
            </w:r>
            <w:r>
              <w:rPr>
                <w:spacing w:val="-3"/>
              </w:rPr>
              <w:t>its</w:t>
            </w:r>
            <w:r>
              <w:rPr>
                <w:spacing w:val="-12"/>
              </w:rPr>
              <w:t xml:space="preserve"> </w:t>
            </w:r>
            <w:r>
              <w:rPr>
                <w:spacing w:val="-4"/>
              </w:rPr>
              <w:t>assignees.</w:t>
            </w:r>
            <w:r>
              <w:rPr>
                <w:spacing w:val="33"/>
              </w:rPr>
              <w:t xml:space="preserve"> </w:t>
            </w:r>
            <w:r>
              <w:rPr>
                <w:spacing w:val="-3"/>
              </w:rPr>
              <w:t>The</w:t>
            </w:r>
            <w:r>
              <w:rPr>
                <w:spacing w:val="-14"/>
              </w:rPr>
              <w:t xml:space="preserve"> </w:t>
            </w:r>
            <w:r>
              <w:rPr>
                <w:i/>
              </w:rPr>
              <w:t>Consultant</w:t>
            </w:r>
            <w:r>
              <w:rPr>
                <w:i/>
                <w:spacing w:val="-9"/>
              </w:rPr>
              <w:t xml:space="preserve"> </w:t>
            </w:r>
            <w:r>
              <w:rPr>
                <w:spacing w:val="-4"/>
              </w:rPr>
              <w:t>obtains</w:t>
            </w:r>
            <w:r>
              <w:rPr>
                <w:spacing w:val="-15"/>
              </w:rPr>
              <w:t xml:space="preserve"> </w:t>
            </w:r>
            <w:r>
              <w:rPr>
                <w:spacing w:val="-3"/>
              </w:rPr>
              <w:t>from</w:t>
            </w:r>
            <w:r>
              <w:rPr>
                <w:spacing w:val="-14"/>
              </w:rPr>
              <w:t xml:space="preserve"> </w:t>
            </w:r>
            <w:r>
              <w:rPr>
                <w:spacing w:val="-3"/>
              </w:rPr>
              <w:t>the</w:t>
            </w:r>
            <w:r>
              <w:rPr>
                <w:spacing w:val="-12"/>
              </w:rPr>
              <w:t xml:space="preserve"> </w:t>
            </w:r>
            <w:r>
              <w:rPr>
                <w:spacing w:val="-4"/>
              </w:rPr>
              <w:t>Subconsultants</w:t>
            </w:r>
            <w:r>
              <w:rPr>
                <w:spacing w:val="-15"/>
              </w:rPr>
              <w:t xml:space="preserve"> </w:t>
            </w:r>
            <w:r>
              <w:t>or</w:t>
            </w:r>
            <w:r>
              <w:rPr>
                <w:spacing w:val="-16"/>
              </w:rPr>
              <w:t xml:space="preserve"> </w:t>
            </w:r>
            <w:r>
              <w:rPr>
                <w:spacing w:val="-4"/>
              </w:rPr>
              <w:t xml:space="preserve">third </w:t>
            </w:r>
            <w:r>
              <w:rPr>
                <w:spacing w:val="-3"/>
              </w:rPr>
              <w:t xml:space="preserve">parties </w:t>
            </w:r>
            <w:r>
              <w:rPr>
                <w:spacing w:val="-4"/>
              </w:rPr>
              <w:t xml:space="preserve">equivalent </w:t>
            </w:r>
            <w:r>
              <w:rPr>
                <w:spacing w:val="-3"/>
              </w:rPr>
              <w:t xml:space="preserve">rights over </w:t>
            </w:r>
            <w:r>
              <w:rPr>
                <w:spacing w:val="-4"/>
              </w:rPr>
              <w:t xml:space="preserve">Background </w:t>
            </w:r>
            <w:r>
              <w:rPr>
                <w:spacing w:val="-3"/>
              </w:rPr>
              <w:t xml:space="preserve">IPR owned by the </w:t>
            </w:r>
            <w:r>
              <w:rPr>
                <w:spacing w:val="-4"/>
              </w:rPr>
              <w:t xml:space="preserve">Subconsultants </w:t>
            </w:r>
            <w:r>
              <w:t xml:space="preserve">or </w:t>
            </w:r>
            <w:r>
              <w:rPr>
                <w:spacing w:val="-3"/>
              </w:rPr>
              <w:t>third parties.</w:t>
            </w:r>
          </w:p>
          <w:p w:rsidR="001C5E4E" w:rsidRDefault="003E09C0">
            <w:pPr>
              <w:pStyle w:val="TableParagraph"/>
              <w:spacing w:before="121" w:line="264" w:lineRule="auto"/>
              <w:ind w:left="179" w:right="263"/>
            </w:pPr>
            <w:r>
              <w:t xml:space="preserve">Z48.5 </w:t>
            </w:r>
            <w:r>
              <w:rPr>
                <w:spacing w:val="-3"/>
              </w:rPr>
              <w:t xml:space="preserve">The </w:t>
            </w:r>
            <w:r>
              <w:rPr>
                <w:i/>
              </w:rPr>
              <w:t xml:space="preserve">Employer </w:t>
            </w:r>
            <w:r>
              <w:t xml:space="preserve">grants to the </w:t>
            </w:r>
            <w:r>
              <w:rPr>
                <w:i/>
              </w:rPr>
              <w:t xml:space="preserve">Consultant, </w:t>
            </w:r>
            <w:r>
              <w:t xml:space="preserve">or procures the direct grant to the </w:t>
            </w:r>
            <w:r>
              <w:rPr>
                <w:i/>
              </w:rPr>
              <w:t xml:space="preserve">Consultant </w:t>
            </w:r>
            <w:r>
              <w:t xml:space="preserve">of, a non-exclusive, non-transferable, revocable licence to use all Intellectual Property Rights and Background IPR owned (or capable of being so licensed or procured without cost) by the </w:t>
            </w:r>
            <w:r>
              <w:rPr>
                <w:i/>
              </w:rPr>
              <w:t xml:space="preserve">Employer </w:t>
            </w:r>
            <w:r>
              <w:t xml:space="preserve">and reasonably required by the </w:t>
            </w:r>
            <w:r>
              <w:rPr>
                <w:i/>
              </w:rPr>
              <w:t xml:space="preserve">Consultant </w:t>
            </w:r>
            <w:r>
              <w:t xml:space="preserve">in order to Provide the Service. Any such licence is granted for the duration of this contract solely to enable the </w:t>
            </w:r>
            <w:r>
              <w:rPr>
                <w:i/>
              </w:rPr>
              <w:t xml:space="preserve">Consultant </w:t>
            </w:r>
            <w:r>
              <w:t>to comply with its obligations under this</w:t>
            </w:r>
            <w:r>
              <w:rPr>
                <w:spacing w:val="-4"/>
              </w:rPr>
              <w:t xml:space="preserve"> </w:t>
            </w:r>
            <w:r>
              <w:t>contract.</w:t>
            </w:r>
          </w:p>
        </w:tc>
      </w:tr>
      <w:tr w:rsidR="001C5E4E">
        <w:trPr>
          <w:trHeight w:val="4684"/>
        </w:trPr>
        <w:tc>
          <w:tcPr>
            <w:tcW w:w="1177" w:type="dxa"/>
          </w:tcPr>
          <w:p w:rsidR="001C5E4E" w:rsidRDefault="001C5E4E">
            <w:pPr>
              <w:pStyle w:val="TableParagraph"/>
              <w:spacing w:before="3"/>
              <w:rPr>
                <w:sz w:val="20"/>
              </w:rPr>
            </w:pPr>
          </w:p>
          <w:p w:rsidR="001C5E4E" w:rsidRDefault="003E09C0">
            <w:pPr>
              <w:pStyle w:val="TableParagraph"/>
              <w:ind w:left="200"/>
              <w:rPr>
                <w:b/>
              </w:rPr>
            </w:pPr>
            <w:r>
              <w:rPr>
                <w:b/>
              </w:rPr>
              <w:t>Clause 49</w:t>
            </w:r>
          </w:p>
        </w:tc>
        <w:tc>
          <w:tcPr>
            <w:tcW w:w="7646" w:type="dxa"/>
          </w:tcPr>
          <w:p w:rsidR="001C5E4E" w:rsidRDefault="001C5E4E">
            <w:pPr>
              <w:pStyle w:val="TableParagraph"/>
              <w:spacing w:before="5"/>
            </w:pPr>
          </w:p>
          <w:p w:rsidR="001C5E4E" w:rsidRDefault="003E09C0">
            <w:pPr>
              <w:pStyle w:val="TableParagraph"/>
              <w:ind w:left="107"/>
              <w:jc w:val="both"/>
              <w:rPr>
                <w:b/>
              </w:rPr>
            </w:pPr>
            <w:r>
              <w:rPr>
                <w:b/>
              </w:rPr>
              <w:t>Financial Distress</w:t>
            </w:r>
          </w:p>
          <w:p w:rsidR="001C5E4E" w:rsidRDefault="003E09C0">
            <w:pPr>
              <w:pStyle w:val="TableParagraph"/>
              <w:spacing w:before="147" w:line="264" w:lineRule="auto"/>
              <w:ind w:left="1015" w:right="844" w:hanging="908"/>
              <w:jc w:val="both"/>
            </w:pPr>
            <w:r>
              <w:t xml:space="preserve">Z49.1 In this clause Z49 Credit Rating is the </w:t>
            </w:r>
            <w:r>
              <w:rPr>
                <w:i/>
              </w:rPr>
              <w:t xml:space="preserve">credit rating </w:t>
            </w:r>
            <w:r>
              <w:t xml:space="preserve">or any revised long term </w:t>
            </w:r>
            <w:r>
              <w:rPr>
                <w:i/>
              </w:rPr>
              <w:t xml:space="preserve">credit rating </w:t>
            </w:r>
            <w:r>
              <w:t xml:space="preserve">issued by a rating agency accepted by the </w:t>
            </w:r>
            <w:r>
              <w:rPr>
                <w:i/>
              </w:rPr>
              <w:t xml:space="preserve">Employer </w:t>
            </w:r>
            <w:r>
              <w:t xml:space="preserve">in respect of the </w:t>
            </w:r>
            <w:r>
              <w:rPr>
                <w:i/>
              </w:rPr>
              <w:t>Consultant</w:t>
            </w:r>
            <w:r>
              <w:t>, a Consortium Member or any Guarantor.</w:t>
            </w:r>
          </w:p>
          <w:p w:rsidR="001C5E4E" w:rsidRDefault="003E09C0">
            <w:pPr>
              <w:pStyle w:val="TableParagraph"/>
              <w:tabs>
                <w:tab w:val="left" w:pos="1015"/>
              </w:tabs>
              <w:spacing w:before="120" w:line="264" w:lineRule="auto"/>
              <w:ind w:left="1015" w:right="679" w:hanging="908"/>
            </w:pPr>
            <w:r>
              <w:t>Z49.2</w:t>
            </w:r>
            <w:r>
              <w:tab/>
              <w:t xml:space="preserve">The </w:t>
            </w:r>
            <w:r>
              <w:rPr>
                <w:i/>
              </w:rPr>
              <w:t xml:space="preserve">Consultant </w:t>
            </w:r>
            <w:r>
              <w:t xml:space="preserve">notifies the </w:t>
            </w:r>
            <w:r>
              <w:rPr>
                <w:i/>
              </w:rPr>
              <w:t xml:space="preserve">Employer </w:t>
            </w:r>
            <w:r>
              <w:t xml:space="preserve">within one week if any of the following events occurs in relation to the </w:t>
            </w:r>
            <w:r>
              <w:rPr>
                <w:i/>
              </w:rPr>
              <w:t>Consultant</w:t>
            </w:r>
            <w:r>
              <w:t>, a Consortium Member or a</w:t>
            </w:r>
            <w:r>
              <w:rPr>
                <w:spacing w:val="-5"/>
              </w:rPr>
              <w:t xml:space="preserve"> </w:t>
            </w:r>
            <w:r>
              <w:t>Guarantor</w:t>
            </w:r>
          </w:p>
          <w:p w:rsidR="001C5E4E" w:rsidRDefault="003E09C0">
            <w:pPr>
              <w:pStyle w:val="TableParagraph"/>
              <w:numPr>
                <w:ilvl w:val="0"/>
                <w:numId w:val="11"/>
              </w:numPr>
              <w:tabs>
                <w:tab w:val="left" w:pos="1548"/>
                <w:tab w:val="left" w:pos="1549"/>
              </w:tabs>
              <w:spacing w:before="119"/>
              <w:ind w:left="1548" w:hanging="558"/>
            </w:pPr>
            <w:r>
              <w:t xml:space="preserve">its Credit Rating falls below the relevant </w:t>
            </w:r>
            <w:r>
              <w:rPr>
                <w:i/>
              </w:rPr>
              <w:t>credit</w:t>
            </w:r>
            <w:r>
              <w:rPr>
                <w:i/>
                <w:spacing w:val="-10"/>
              </w:rPr>
              <w:t xml:space="preserve"> </w:t>
            </w:r>
            <w:r>
              <w:rPr>
                <w:i/>
              </w:rPr>
              <w:t>rating</w:t>
            </w:r>
            <w:r>
              <w:t>,</w:t>
            </w:r>
          </w:p>
          <w:p w:rsidR="001C5E4E" w:rsidRDefault="003E09C0">
            <w:pPr>
              <w:pStyle w:val="TableParagraph"/>
              <w:numPr>
                <w:ilvl w:val="0"/>
                <w:numId w:val="11"/>
              </w:numPr>
              <w:tabs>
                <w:tab w:val="left" w:pos="1560"/>
                <w:tab w:val="left" w:pos="1561"/>
              </w:tabs>
              <w:spacing w:before="149" w:line="264" w:lineRule="auto"/>
              <w:ind w:right="978" w:hanging="569"/>
            </w:pPr>
            <w:r>
              <w:t>a further fall in its Credit Rating below the relevant credit rating,</w:t>
            </w:r>
          </w:p>
          <w:p w:rsidR="001C5E4E" w:rsidRDefault="003E09C0">
            <w:pPr>
              <w:pStyle w:val="TableParagraph"/>
              <w:numPr>
                <w:ilvl w:val="0"/>
                <w:numId w:val="11"/>
              </w:numPr>
              <w:tabs>
                <w:tab w:val="left" w:pos="1560"/>
                <w:tab w:val="left" w:pos="1561"/>
              </w:tabs>
              <w:spacing w:before="98" w:line="290" w:lineRule="atLeast"/>
              <w:ind w:right="760" w:hanging="569"/>
            </w:pPr>
            <w:r>
              <w:t>it issues a profits warning to a stock exchange or makes any other public announcement about a material</w:t>
            </w:r>
            <w:r>
              <w:rPr>
                <w:spacing w:val="-10"/>
              </w:rPr>
              <w:t xml:space="preserve"> </w:t>
            </w:r>
            <w:r>
              <w:t>deterioration</w:t>
            </w:r>
          </w:p>
        </w:tc>
      </w:tr>
    </w:tbl>
    <w:p w:rsidR="001C5E4E" w:rsidRDefault="001C5E4E">
      <w:pPr>
        <w:spacing w:line="290" w:lineRule="atLeast"/>
        <w:sectPr w:rsidR="001C5E4E">
          <w:pgSz w:w="11910" w:h="16850"/>
          <w:pgMar w:top="1400" w:right="620" w:bottom="1080" w:left="940" w:header="1112" w:footer="892" w:gutter="0"/>
          <w:cols w:space="720"/>
        </w:sectPr>
      </w:pPr>
    </w:p>
    <w:p w:rsidR="001C5E4E" w:rsidRDefault="001C5E4E">
      <w:pPr>
        <w:pStyle w:val="BodyText"/>
        <w:spacing w:before="7"/>
      </w:pPr>
    </w:p>
    <w:p w:rsidR="001C5E4E" w:rsidRDefault="003E09C0">
      <w:pPr>
        <w:pStyle w:val="BodyText"/>
        <w:spacing w:before="56"/>
        <w:ind w:left="3990"/>
      </w:pPr>
      <w:r>
        <w:t>in its financial position or prospects,</w:t>
      </w:r>
    </w:p>
    <w:p w:rsidR="001C5E4E" w:rsidRDefault="003E09C0">
      <w:pPr>
        <w:pStyle w:val="ListParagraph"/>
        <w:numPr>
          <w:ilvl w:val="1"/>
          <w:numId w:val="23"/>
        </w:numPr>
        <w:tabs>
          <w:tab w:val="left" w:pos="3990"/>
          <w:tab w:val="left" w:pos="3991"/>
        </w:tabs>
        <w:spacing w:before="147" w:line="264" w:lineRule="auto"/>
        <w:ind w:right="1066"/>
      </w:pPr>
      <w:r>
        <w:t>it is subject to a public investigation into improper financial accounting and reporting, suspected fraud or any other impropriety,</w:t>
      </w:r>
    </w:p>
    <w:p w:rsidR="001C5E4E" w:rsidRDefault="003E09C0">
      <w:pPr>
        <w:pStyle w:val="ListParagraph"/>
        <w:numPr>
          <w:ilvl w:val="1"/>
          <w:numId w:val="23"/>
        </w:numPr>
        <w:tabs>
          <w:tab w:val="left" w:pos="3990"/>
          <w:tab w:val="left" w:pos="3991"/>
        </w:tabs>
        <w:spacing w:before="119" w:line="264" w:lineRule="auto"/>
        <w:ind w:right="1119"/>
      </w:pPr>
      <w:r>
        <w:t>it commits a material breach of its covenants to its lenders or</w:t>
      </w:r>
    </w:p>
    <w:p w:rsidR="001C5E4E" w:rsidRDefault="003E09C0">
      <w:pPr>
        <w:pStyle w:val="ListParagraph"/>
        <w:numPr>
          <w:ilvl w:val="1"/>
          <w:numId w:val="23"/>
        </w:numPr>
        <w:tabs>
          <w:tab w:val="left" w:pos="3990"/>
          <w:tab w:val="left" w:pos="3991"/>
        </w:tabs>
        <w:spacing w:before="119" w:line="264" w:lineRule="auto"/>
        <w:ind w:right="1148"/>
      </w:pPr>
      <w:r>
        <w:t>its financial position or prospects deteriorate to such an extent that it would not meet the Credit Rating</w:t>
      </w:r>
      <w:r>
        <w:rPr>
          <w:spacing w:val="-15"/>
        </w:rPr>
        <w:t xml:space="preserve"> </w:t>
      </w:r>
      <w:r>
        <w:t>Threshold.</w:t>
      </w:r>
    </w:p>
    <w:p w:rsidR="001C5E4E" w:rsidRDefault="003E09C0">
      <w:pPr>
        <w:pStyle w:val="BodyText"/>
        <w:tabs>
          <w:tab w:val="left" w:pos="3445"/>
        </w:tabs>
        <w:spacing w:before="120" w:line="264" w:lineRule="auto"/>
        <w:ind w:left="3445" w:right="1352" w:hanging="908"/>
      </w:pPr>
      <w:r>
        <w:t>Z49.3</w:t>
      </w:r>
      <w:r>
        <w:tab/>
        <w:t xml:space="preserve">If any of the events listed in clause Z49.2 occurs, the </w:t>
      </w:r>
      <w:r>
        <w:rPr>
          <w:i/>
        </w:rPr>
        <w:t xml:space="preserve">Employer </w:t>
      </w:r>
      <w:r>
        <w:t xml:space="preserve">may require the </w:t>
      </w:r>
      <w:r>
        <w:rPr>
          <w:i/>
        </w:rPr>
        <w:t xml:space="preserve">Consultant </w:t>
      </w:r>
      <w:r>
        <w:t xml:space="preserve">to give to the </w:t>
      </w:r>
      <w:r>
        <w:rPr>
          <w:i/>
        </w:rPr>
        <w:t xml:space="preserve">Employer </w:t>
      </w:r>
      <w:r>
        <w:t xml:space="preserve">a Parent Company Guarantee from the Controller or an alternative guarantor proposed by the </w:t>
      </w:r>
      <w:r>
        <w:rPr>
          <w:i/>
        </w:rPr>
        <w:t xml:space="preserve">Consultant </w:t>
      </w:r>
      <w:r>
        <w:t xml:space="preserve">and accepted by the </w:t>
      </w:r>
      <w:r>
        <w:rPr>
          <w:i/>
        </w:rPr>
        <w:t xml:space="preserve">Employer </w:t>
      </w:r>
      <w:r>
        <w:t>who (in either</w:t>
      </w:r>
      <w:r>
        <w:rPr>
          <w:spacing w:val="-2"/>
        </w:rPr>
        <w:t xml:space="preserve"> </w:t>
      </w:r>
      <w:r>
        <w:t>case)</w:t>
      </w:r>
    </w:p>
    <w:p w:rsidR="001C5E4E" w:rsidRDefault="003E09C0">
      <w:pPr>
        <w:pStyle w:val="ListParagraph"/>
        <w:numPr>
          <w:ilvl w:val="1"/>
          <w:numId w:val="23"/>
        </w:numPr>
        <w:tabs>
          <w:tab w:val="left" w:pos="3978"/>
          <w:tab w:val="left" w:pos="3979"/>
        </w:tabs>
        <w:spacing w:before="122"/>
        <w:ind w:left="3978" w:hanging="558"/>
      </w:pPr>
      <w:r>
        <w:t>meets the Credit Rating Test</w:t>
      </w:r>
      <w:r>
        <w:rPr>
          <w:spacing w:val="-3"/>
        </w:rPr>
        <w:t xml:space="preserve"> </w:t>
      </w:r>
      <w:r>
        <w:t>and</w:t>
      </w:r>
    </w:p>
    <w:p w:rsidR="001C5E4E" w:rsidRDefault="003E09C0">
      <w:pPr>
        <w:pStyle w:val="ListParagraph"/>
        <w:numPr>
          <w:ilvl w:val="1"/>
          <w:numId w:val="23"/>
        </w:numPr>
        <w:tabs>
          <w:tab w:val="left" w:pos="3978"/>
          <w:tab w:val="left" w:pos="3979"/>
        </w:tabs>
        <w:spacing w:before="147" w:line="264" w:lineRule="auto"/>
        <w:ind w:left="3445" w:right="1044" w:hanging="24"/>
      </w:pPr>
      <w:r>
        <w:t xml:space="preserve">has a Credit Rating at least equal to the </w:t>
      </w:r>
      <w:r>
        <w:rPr>
          <w:i/>
        </w:rPr>
        <w:t xml:space="preserve">credit rating </w:t>
      </w:r>
      <w:r>
        <w:t>for the person to whom the event listed in clause Z49.2 has</w:t>
      </w:r>
      <w:r>
        <w:rPr>
          <w:spacing w:val="-15"/>
        </w:rPr>
        <w:t xml:space="preserve"> </w:t>
      </w:r>
      <w:r>
        <w:t>occurred.</w:t>
      </w:r>
    </w:p>
    <w:p w:rsidR="001C5E4E" w:rsidRDefault="003E09C0">
      <w:pPr>
        <w:pStyle w:val="BodyText"/>
        <w:tabs>
          <w:tab w:val="left" w:pos="3445"/>
        </w:tabs>
        <w:spacing w:before="119" w:line="264" w:lineRule="auto"/>
        <w:ind w:left="3445" w:right="993" w:hanging="908"/>
      </w:pPr>
      <w:r>
        <w:t>Z49.4</w:t>
      </w:r>
      <w:r>
        <w:tab/>
        <w:t xml:space="preserve">The </w:t>
      </w:r>
      <w:r>
        <w:rPr>
          <w:i/>
        </w:rPr>
        <w:t xml:space="preserve">Employer </w:t>
      </w:r>
      <w:r>
        <w:t xml:space="preserve">may accept a Parent Company Guarantee from the Controller or an alternative guarantor proposed by the </w:t>
      </w:r>
      <w:r>
        <w:rPr>
          <w:i/>
        </w:rPr>
        <w:t xml:space="preserve">Consultant </w:t>
      </w:r>
      <w:r>
        <w:t xml:space="preserve">who does not comply with clause Z49.3 if the </w:t>
      </w:r>
      <w:r>
        <w:rPr>
          <w:i/>
        </w:rPr>
        <w:t xml:space="preserve">Consultant </w:t>
      </w:r>
      <w:r>
        <w:t xml:space="preserve">gives to the Employer an assurance that the Controller or the alternative guarantor will so comply within 18 months of the </w:t>
      </w:r>
      <w:r>
        <w:rPr>
          <w:i/>
        </w:rPr>
        <w:t xml:space="preserve">Employer‘s </w:t>
      </w:r>
      <w:r>
        <w:t xml:space="preserve">acceptance. If so, the Parties agree a process for reviewing the financial standing of the Controller or the alternative guarantor during that period in order to demonstrate to the </w:t>
      </w:r>
      <w:r>
        <w:rPr>
          <w:i/>
        </w:rPr>
        <w:t xml:space="preserve">Employer </w:t>
      </w:r>
      <w:r>
        <w:t>that it will so comply by the end of that</w:t>
      </w:r>
      <w:r>
        <w:rPr>
          <w:spacing w:val="-8"/>
        </w:rPr>
        <w:t xml:space="preserve"> </w:t>
      </w:r>
      <w:r>
        <w:t>period.</w:t>
      </w:r>
    </w:p>
    <w:p w:rsidR="001C5E4E" w:rsidRDefault="003E09C0">
      <w:pPr>
        <w:pStyle w:val="BodyText"/>
        <w:tabs>
          <w:tab w:val="left" w:pos="3445"/>
        </w:tabs>
        <w:spacing w:before="121"/>
        <w:ind w:left="2538"/>
      </w:pPr>
      <w:r>
        <w:t>Z49.5</w:t>
      </w:r>
      <w:r>
        <w:tab/>
        <w:t>If</w:t>
      </w:r>
    </w:p>
    <w:p w:rsidR="001C5E4E" w:rsidRDefault="003E09C0">
      <w:pPr>
        <w:pStyle w:val="ListParagraph"/>
        <w:numPr>
          <w:ilvl w:val="1"/>
          <w:numId w:val="23"/>
        </w:numPr>
        <w:tabs>
          <w:tab w:val="left" w:pos="3978"/>
          <w:tab w:val="left" w:pos="3979"/>
        </w:tabs>
        <w:spacing w:before="147" w:line="264" w:lineRule="auto"/>
        <w:ind w:left="3445" w:right="1350" w:hanging="24"/>
      </w:pPr>
      <w:r>
        <w:t xml:space="preserve">the </w:t>
      </w:r>
      <w:r>
        <w:rPr>
          <w:i/>
        </w:rPr>
        <w:t xml:space="preserve">Consultant </w:t>
      </w:r>
      <w:r>
        <w:t xml:space="preserve">fails to notify the </w:t>
      </w:r>
      <w:r>
        <w:rPr>
          <w:i/>
        </w:rPr>
        <w:t xml:space="preserve">Employer </w:t>
      </w:r>
      <w:r>
        <w:t>that an event listed in clause Z49.2 has</w:t>
      </w:r>
      <w:r>
        <w:rPr>
          <w:spacing w:val="-6"/>
        </w:rPr>
        <w:t xml:space="preserve"> </w:t>
      </w:r>
      <w:r>
        <w:t>occurred,</w:t>
      </w:r>
    </w:p>
    <w:p w:rsidR="001C5E4E" w:rsidRDefault="003E09C0">
      <w:pPr>
        <w:pStyle w:val="ListParagraph"/>
        <w:numPr>
          <w:ilvl w:val="1"/>
          <w:numId w:val="23"/>
        </w:numPr>
        <w:tabs>
          <w:tab w:val="left" w:pos="3978"/>
          <w:tab w:val="left" w:pos="3979"/>
        </w:tabs>
        <w:spacing w:before="119" w:line="264" w:lineRule="auto"/>
        <w:ind w:left="3445" w:right="1726" w:hanging="24"/>
      </w:pPr>
      <w:r>
        <w:t xml:space="preserve">neither the Controller nor any alternative guarantor proposed by the </w:t>
      </w:r>
      <w:r>
        <w:rPr>
          <w:i/>
        </w:rPr>
        <w:t xml:space="preserve">Consultant </w:t>
      </w:r>
      <w:r>
        <w:t>complies with clause</w:t>
      </w:r>
      <w:r>
        <w:rPr>
          <w:spacing w:val="-14"/>
        </w:rPr>
        <w:t xml:space="preserve"> </w:t>
      </w:r>
      <w:r>
        <w:t>Z49.3,</w:t>
      </w:r>
    </w:p>
    <w:p w:rsidR="001C5E4E" w:rsidRDefault="003E09C0">
      <w:pPr>
        <w:pStyle w:val="ListParagraph"/>
        <w:numPr>
          <w:ilvl w:val="1"/>
          <w:numId w:val="23"/>
        </w:numPr>
        <w:tabs>
          <w:tab w:val="left" w:pos="3978"/>
          <w:tab w:val="left" w:pos="3979"/>
        </w:tabs>
        <w:spacing w:before="120" w:line="264" w:lineRule="auto"/>
        <w:ind w:left="3445" w:right="1531" w:hanging="24"/>
      </w:pPr>
      <w:r>
        <w:t xml:space="preserve">the </w:t>
      </w:r>
      <w:r>
        <w:rPr>
          <w:i/>
        </w:rPr>
        <w:t xml:space="preserve">Consultant </w:t>
      </w:r>
      <w:r>
        <w:t xml:space="preserve">does not give to the </w:t>
      </w:r>
      <w:r>
        <w:rPr>
          <w:i/>
        </w:rPr>
        <w:t xml:space="preserve">Employer </w:t>
      </w:r>
      <w:r>
        <w:t xml:space="preserve">a Parent Company Guarantee from the Controller or an alternative guarantor accepted by the </w:t>
      </w:r>
      <w:r>
        <w:rPr>
          <w:i/>
        </w:rPr>
        <w:t xml:space="preserve">Employer </w:t>
      </w:r>
      <w:r>
        <w:t xml:space="preserve">within four weeks of a request from the </w:t>
      </w:r>
      <w:r>
        <w:rPr>
          <w:i/>
        </w:rPr>
        <w:t xml:space="preserve">Employer </w:t>
      </w:r>
      <w:r>
        <w:t>to do so</w:t>
      </w:r>
      <w:r>
        <w:rPr>
          <w:spacing w:val="-2"/>
        </w:rPr>
        <w:t xml:space="preserve"> </w:t>
      </w:r>
      <w:r>
        <w:t>or</w:t>
      </w:r>
    </w:p>
    <w:p w:rsidR="001C5E4E" w:rsidRDefault="003E09C0">
      <w:pPr>
        <w:pStyle w:val="ListParagraph"/>
        <w:numPr>
          <w:ilvl w:val="1"/>
          <w:numId w:val="23"/>
        </w:numPr>
        <w:tabs>
          <w:tab w:val="left" w:pos="3978"/>
          <w:tab w:val="left" w:pos="3979"/>
        </w:tabs>
        <w:spacing w:before="122" w:line="264" w:lineRule="auto"/>
        <w:ind w:left="3445" w:right="953" w:hanging="24"/>
      </w:pPr>
      <w:r>
        <w:t xml:space="preserve">the </w:t>
      </w:r>
      <w:r>
        <w:rPr>
          <w:i/>
        </w:rPr>
        <w:t xml:space="preserve">Consultant </w:t>
      </w:r>
      <w:r>
        <w:t xml:space="preserve">fails to demonstrate to the </w:t>
      </w:r>
      <w:r>
        <w:rPr>
          <w:i/>
        </w:rPr>
        <w:t xml:space="preserve">Employer </w:t>
      </w:r>
      <w:r>
        <w:t xml:space="preserve">that the Controller or the alternative guarantor accepted by the </w:t>
      </w:r>
      <w:r>
        <w:rPr>
          <w:i/>
        </w:rPr>
        <w:t xml:space="preserve">Employer </w:t>
      </w:r>
      <w:r>
        <w:t xml:space="preserve">will comply with clause Z49.3 within 18 months of the </w:t>
      </w:r>
      <w:r>
        <w:rPr>
          <w:i/>
        </w:rPr>
        <w:t xml:space="preserve">Employer‘s </w:t>
      </w:r>
      <w:r>
        <w:t>acceptance</w:t>
      </w:r>
    </w:p>
    <w:p w:rsidR="001C5E4E" w:rsidRDefault="003E09C0">
      <w:pPr>
        <w:pStyle w:val="BodyText"/>
        <w:spacing w:before="119"/>
        <w:ind w:left="3421"/>
      </w:pPr>
      <w:r>
        <w:t xml:space="preserve">the </w:t>
      </w:r>
      <w:r>
        <w:rPr>
          <w:i/>
        </w:rPr>
        <w:t xml:space="preserve">Employer </w:t>
      </w:r>
      <w:r>
        <w:t>may treat such failure as a substantial failure by the</w:t>
      </w:r>
    </w:p>
    <w:p w:rsidR="001C5E4E" w:rsidRDefault="001C5E4E">
      <w:pPr>
        <w:sectPr w:rsidR="001C5E4E">
          <w:pgSz w:w="11910" w:h="16850"/>
          <w:pgMar w:top="1400" w:right="620" w:bottom="1080" w:left="940" w:header="1112" w:footer="892" w:gutter="0"/>
          <w:cols w:space="720"/>
        </w:sectPr>
      </w:pPr>
    </w:p>
    <w:p w:rsidR="001C5E4E" w:rsidRDefault="001C5E4E">
      <w:pPr>
        <w:pStyle w:val="BodyText"/>
        <w:rPr>
          <w:sz w:val="20"/>
        </w:rPr>
      </w:pPr>
    </w:p>
    <w:p w:rsidR="001C5E4E" w:rsidRDefault="001C5E4E">
      <w:pPr>
        <w:pStyle w:val="BodyText"/>
        <w:spacing w:before="9"/>
        <w:rPr>
          <w:sz w:val="10"/>
        </w:rPr>
      </w:pPr>
    </w:p>
    <w:tbl>
      <w:tblPr>
        <w:tblW w:w="0" w:type="auto"/>
        <w:tblInd w:w="1260" w:type="dxa"/>
        <w:tblLayout w:type="fixed"/>
        <w:tblCellMar>
          <w:left w:w="0" w:type="dxa"/>
          <w:right w:w="0" w:type="dxa"/>
        </w:tblCellMar>
        <w:tblLook w:val="01E0" w:firstRow="1" w:lastRow="1" w:firstColumn="1" w:lastColumn="1" w:noHBand="0" w:noVBand="0"/>
      </w:tblPr>
      <w:tblGrid>
        <w:gridCol w:w="1177"/>
        <w:gridCol w:w="7181"/>
      </w:tblGrid>
      <w:tr w:rsidR="001C5E4E">
        <w:trPr>
          <w:trHeight w:val="853"/>
        </w:trPr>
        <w:tc>
          <w:tcPr>
            <w:tcW w:w="1177" w:type="dxa"/>
          </w:tcPr>
          <w:p w:rsidR="001C5E4E" w:rsidRDefault="001C5E4E">
            <w:pPr>
              <w:pStyle w:val="TableParagraph"/>
              <w:rPr>
                <w:rFonts w:ascii="Times New Roman"/>
              </w:rPr>
            </w:pPr>
          </w:p>
        </w:tc>
        <w:tc>
          <w:tcPr>
            <w:tcW w:w="7181" w:type="dxa"/>
          </w:tcPr>
          <w:p w:rsidR="001C5E4E" w:rsidRDefault="003E09C0">
            <w:pPr>
              <w:pStyle w:val="TableParagraph"/>
              <w:spacing w:line="225" w:lineRule="exact"/>
              <w:ind w:left="1015"/>
            </w:pPr>
            <w:r>
              <w:rPr>
                <w:i/>
              </w:rPr>
              <w:t xml:space="preserve">Consultant </w:t>
            </w:r>
            <w:r>
              <w:t>to comply with his obligations.</w:t>
            </w:r>
          </w:p>
        </w:tc>
      </w:tr>
      <w:tr w:rsidR="001C5E4E">
        <w:trPr>
          <w:trHeight w:val="12393"/>
        </w:trPr>
        <w:tc>
          <w:tcPr>
            <w:tcW w:w="1177" w:type="dxa"/>
          </w:tcPr>
          <w:p w:rsidR="001C5E4E" w:rsidRDefault="001C5E4E">
            <w:pPr>
              <w:pStyle w:val="TableParagraph"/>
            </w:pPr>
          </w:p>
          <w:p w:rsidR="001C5E4E" w:rsidRDefault="001C5E4E">
            <w:pPr>
              <w:pStyle w:val="TableParagraph"/>
              <w:spacing w:before="2"/>
              <w:rPr>
                <w:sz w:val="26"/>
              </w:rPr>
            </w:pPr>
          </w:p>
          <w:p w:rsidR="001C5E4E" w:rsidRDefault="003E09C0">
            <w:pPr>
              <w:pStyle w:val="TableParagraph"/>
              <w:ind w:left="200"/>
              <w:rPr>
                <w:b/>
              </w:rPr>
            </w:pPr>
            <w:r>
              <w:rPr>
                <w:b/>
              </w:rPr>
              <w:t>Clause 50</w:t>
            </w:r>
          </w:p>
        </w:tc>
        <w:tc>
          <w:tcPr>
            <w:tcW w:w="7181" w:type="dxa"/>
          </w:tcPr>
          <w:p w:rsidR="001C5E4E" w:rsidRDefault="001C5E4E">
            <w:pPr>
              <w:pStyle w:val="TableParagraph"/>
            </w:pPr>
          </w:p>
          <w:p w:rsidR="001C5E4E" w:rsidRDefault="001C5E4E">
            <w:pPr>
              <w:pStyle w:val="TableParagraph"/>
              <w:spacing w:before="2"/>
              <w:rPr>
                <w:sz w:val="26"/>
              </w:rPr>
            </w:pPr>
          </w:p>
          <w:p w:rsidR="001C5E4E" w:rsidRDefault="003E09C0">
            <w:pPr>
              <w:pStyle w:val="TableParagraph"/>
              <w:ind w:left="811"/>
              <w:rPr>
                <w:b/>
              </w:rPr>
            </w:pPr>
            <w:r>
              <w:rPr>
                <w:b/>
              </w:rPr>
              <w:t>Change of Control – new guarantee</w:t>
            </w:r>
          </w:p>
          <w:p w:rsidR="001C5E4E" w:rsidRDefault="003E09C0">
            <w:pPr>
              <w:pStyle w:val="TableParagraph"/>
              <w:tabs>
                <w:tab w:val="left" w:pos="1015"/>
              </w:tabs>
              <w:spacing w:before="147"/>
              <w:ind w:left="107"/>
            </w:pPr>
            <w:r>
              <w:t>Z50.1</w:t>
            </w:r>
            <w:r>
              <w:tab/>
              <w:t xml:space="preserve">If a Change of Control occurs, the </w:t>
            </w:r>
            <w:r>
              <w:rPr>
                <w:i/>
              </w:rPr>
              <w:t xml:space="preserve">Consultant </w:t>
            </w:r>
            <w:r>
              <w:t>provides to</w:t>
            </w:r>
            <w:r>
              <w:rPr>
                <w:spacing w:val="-11"/>
              </w:rPr>
              <w:t xml:space="preserve"> </w:t>
            </w:r>
            <w:r>
              <w:t>the</w:t>
            </w:r>
          </w:p>
          <w:p w:rsidR="001C5E4E" w:rsidRDefault="003E09C0">
            <w:pPr>
              <w:pStyle w:val="TableParagraph"/>
              <w:spacing w:before="27"/>
              <w:ind w:left="1015"/>
              <w:rPr>
                <w:i/>
              </w:rPr>
            </w:pPr>
            <w:r>
              <w:rPr>
                <w:i/>
              </w:rPr>
              <w:t>Employer</w:t>
            </w:r>
          </w:p>
          <w:p w:rsidR="001C5E4E" w:rsidRDefault="003E09C0">
            <w:pPr>
              <w:pStyle w:val="TableParagraph"/>
              <w:numPr>
                <w:ilvl w:val="0"/>
                <w:numId w:val="10"/>
              </w:numPr>
              <w:tabs>
                <w:tab w:val="left" w:pos="1015"/>
                <w:tab w:val="left" w:pos="1016"/>
              </w:tabs>
              <w:spacing w:before="146" w:line="264" w:lineRule="auto"/>
              <w:ind w:right="849"/>
            </w:pPr>
            <w:r>
              <w:t>certified copies of the audited consolidated accounts of the Controller for the last three financial</w:t>
            </w:r>
            <w:r>
              <w:rPr>
                <w:spacing w:val="-5"/>
              </w:rPr>
              <w:t xml:space="preserve"> </w:t>
            </w:r>
            <w:r>
              <w:t>years,</w:t>
            </w:r>
          </w:p>
          <w:p w:rsidR="001C5E4E" w:rsidRDefault="003E09C0">
            <w:pPr>
              <w:pStyle w:val="TableParagraph"/>
              <w:numPr>
                <w:ilvl w:val="0"/>
                <w:numId w:val="10"/>
              </w:numPr>
              <w:tabs>
                <w:tab w:val="left" w:pos="1015"/>
                <w:tab w:val="left" w:pos="1016"/>
              </w:tabs>
              <w:spacing w:before="120" w:line="264" w:lineRule="auto"/>
              <w:ind w:right="260"/>
            </w:pPr>
            <w:r>
              <w:t xml:space="preserve">a certified copy of the board minute of the Controller confirming that it will give to the </w:t>
            </w:r>
            <w:r>
              <w:rPr>
                <w:i/>
              </w:rPr>
              <w:t xml:space="preserve">Employer </w:t>
            </w:r>
            <w:r>
              <w:t xml:space="preserve">a Parent Company Guarantee if so required by the </w:t>
            </w:r>
            <w:r>
              <w:rPr>
                <w:i/>
              </w:rPr>
              <w:t>Employer</w:t>
            </w:r>
            <w:r>
              <w:rPr>
                <w:i/>
                <w:spacing w:val="-5"/>
              </w:rPr>
              <w:t xml:space="preserve"> </w:t>
            </w:r>
            <w:r>
              <w:t>and</w:t>
            </w:r>
          </w:p>
          <w:p w:rsidR="001C5E4E" w:rsidRDefault="003E09C0">
            <w:pPr>
              <w:pStyle w:val="TableParagraph"/>
              <w:numPr>
                <w:ilvl w:val="1"/>
                <w:numId w:val="10"/>
              </w:numPr>
              <w:tabs>
                <w:tab w:val="left" w:pos="1548"/>
                <w:tab w:val="left" w:pos="1549"/>
              </w:tabs>
              <w:spacing w:before="122" w:line="264" w:lineRule="auto"/>
              <w:ind w:right="336" w:hanging="24"/>
            </w:pPr>
            <w:r>
              <w:t xml:space="preserve">any other information required by the </w:t>
            </w:r>
            <w:r>
              <w:rPr>
                <w:i/>
              </w:rPr>
              <w:t xml:space="preserve">Employer </w:t>
            </w:r>
            <w:r>
              <w:t>in order to determine whether the</w:t>
            </w:r>
            <w:r>
              <w:rPr>
                <w:spacing w:val="-7"/>
              </w:rPr>
              <w:t xml:space="preserve"> </w:t>
            </w:r>
            <w:r>
              <w:t>Controller</w:t>
            </w:r>
          </w:p>
          <w:p w:rsidR="001C5E4E" w:rsidRDefault="003E09C0">
            <w:pPr>
              <w:pStyle w:val="TableParagraph"/>
              <w:numPr>
                <w:ilvl w:val="1"/>
                <w:numId w:val="10"/>
              </w:numPr>
              <w:tabs>
                <w:tab w:val="left" w:pos="1449"/>
                <w:tab w:val="left" w:pos="1450"/>
              </w:tabs>
              <w:spacing w:before="120"/>
              <w:ind w:left="1449" w:hanging="459"/>
            </w:pPr>
            <w:r>
              <w:t>meets the Credit Rating Test</w:t>
            </w:r>
            <w:r>
              <w:rPr>
                <w:spacing w:val="-4"/>
              </w:rPr>
              <w:t xml:space="preserve"> </w:t>
            </w:r>
            <w:r>
              <w:t>and</w:t>
            </w:r>
          </w:p>
          <w:p w:rsidR="001C5E4E" w:rsidRDefault="003E09C0">
            <w:pPr>
              <w:pStyle w:val="TableParagraph"/>
              <w:numPr>
                <w:ilvl w:val="1"/>
                <w:numId w:val="10"/>
              </w:numPr>
              <w:tabs>
                <w:tab w:val="left" w:pos="1548"/>
                <w:tab w:val="left" w:pos="1549"/>
              </w:tabs>
              <w:spacing w:before="146" w:line="264" w:lineRule="auto"/>
              <w:ind w:right="309" w:hanging="24"/>
            </w:pPr>
            <w:r>
              <w:t xml:space="preserve">has a Credit Rating at least equal to the </w:t>
            </w:r>
            <w:r>
              <w:rPr>
                <w:i/>
              </w:rPr>
              <w:t xml:space="preserve">credit rating </w:t>
            </w:r>
            <w:r>
              <w:t xml:space="preserve">for the original Guarantor (if there is one) or the </w:t>
            </w:r>
            <w:r>
              <w:rPr>
                <w:i/>
              </w:rPr>
              <w:t xml:space="preserve">Consultant </w:t>
            </w:r>
            <w:r>
              <w:t>(if there is not).</w:t>
            </w:r>
          </w:p>
          <w:p w:rsidR="001C5E4E" w:rsidRDefault="001C5E4E">
            <w:pPr>
              <w:pStyle w:val="TableParagraph"/>
            </w:pPr>
          </w:p>
          <w:p w:rsidR="001C5E4E" w:rsidRDefault="001C5E4E">
            <w:pPr>
              <w:pStyle w:val="TableParagraph"/>
              <w:spacing w:before="10"/>
              <w:rPr>
                <w:sz w:val="21"/>
              </w:rPr>
            </w:pPr>
          </w:p>
          <w:p w:rsidR="001C5E4E" w:rsidRDefault="003E09C0">
            <w:pPr>
              <w:pStyle w:val="TableParagraph"/>
              <w:tabs>
                <w:tab w:val="left" w:pos="1015"/>
              </w:tabs>
              <w:spacing w:line="264" w:lineRule="auto"/>
              <w:ind w:left="1015" w:right="198" w:hanging="908"/>
            </w:pPr>
            <w:r>
              <w:t>Z50.2</w:t>
            </w:r>
            <w:r>
              <w:tab/>
              <w:t xml:space="preserve">If the Controller does not comply with the tests in clause Z50.1 or (if applicable) does not provide the legal opinion required in clause Z50.6, the </w:t>
            </w:r>
            <w:r>
              <w:rPr>
                <w:i/>
              </w:rPr>
              <w:t xml:space="preserve">Consultant </w:t>
            </w:r>
            <w:r>
              <w:t xml:space="preserve">may propose an alternative guarantor to the </w:t>
            </w:r>
            <w:r>
              <w:rPr>
                <w:i/>
              </w:rPr>
              <w:t xml:space="preserve">Employer </w:t>
            </w:r>
            <w:r>
              <w:t xml:space="preserve">for acceptance. The </w:t>
            </w:r>
            <w:r>
              <w:rPr>
                <w:i/>
              </w:rPr>
              <w:t xml:space="preserve">Consultant </w:t>
            </w:r>
            <w:r>
              <w:t xml:space="preserve">provides to the </w:t>
            </w:r>
            <w:r>
              <w:rPr>
                <w:i/>
              </w:rPr>
              <w:t xml:space="preserve">Employer </w:t>
            </w:r>
            <w:r>
              <w:t>the details set out in clause Z50.1 and (if applicable) the legal opinion required in clause Z50.6 in relation to the proposed alternative guarantor. A reason for not accepting the proposed alternative guarantor is that he does not comply with the tests in clause Z50.1 or (if applicable) does not provide the legal opinion required in clause</w:t>
            </w:r>
            <w:r>
              <w:rPr>
                <w:spacing w:val="-4"/>
              </w:rPr>
              <w:t xml:space="preserve"> </w:t>
            </w:r>
            <w:r>
              <w:t>Z50.6.</w:t>
            </w:r>
          </w:p>
          <w:p w:rsidR="001C5E4E" w:rsidRDefault="003E09C0">
            <w:pPr>
              <w:pStyle w:val="TableParagraph"/>
              <w:tabs>
                <w:tab w:val="left" w:pos="1015"/>
              </w:tabs>
              <w:spacing w:before="121" w:line="264" w:lineRule="auto"/>
              <w:ind w:left="1015" w:right="365" w:hanging="908"/>
            </w:pPr>
            <w:r>
              <w:t>Z50.3</w:t>
            </w:r>
            <w:r>
              <w:tab/>
              <w:t xml:space="preserve">If so required by the </w:t>
            </w:r>
            <w:r>
              <w:rPr>
                <w:i/>
              </w:rPr>
              <w:t>Employer</w:t>
            </w:r>
            <w:r>
              <w:t xml:space="preserve">, the </w:t>
            </w:r>
            <w:r>
              <w:rPr>
                <w:i/>
              </w:rPr>
              <w:t xml:space="preserve">Consultant </w:t>
            </w:r>
            <w:r>
              <w:t xml:space="preserve">within four weeks gives to the </w:t>
            </w:r>
            <w:r>
              <w:rPr>
                <w:i/>
              </w:rPr>
              <w:t xml:space="preserve">Employer </w:t>
            </w:r>
            <w:r>
              <w:t>a Parent Company Guarantee from the Controller or an alternative guarantor accepted by the</w:t>
            </w:r>
            <w:r>
              <w:rPr>
                <w:spacing w:val="-14"/>
              </w:rPr>
              <w:t xml:space="preserve"> </w:t>
            </w:r>
            <w:r>
              <w:rPr>
                <w:i/>
              </w:rPr>
              <w:t>Employer</w:t>
            </w:r>
            <w:r>
              <w:t>.</w:t>
            </w:r>
          </w:p>
          <w:p w:rsidR="001C5E4E" w:rsidRDefault="003E09C0">
            <w:pPr>
              <w:pStyle w:val="TableParagraph"/>
              <w:tabs>
                <w:tab w:val="left" w:pos="1015"/>
              </w:tabs>
              <w:spacing w:before="120" w:line="264" w:lineRule="auto"/>
              <w:ind w:left="1015" w:right="259" w:hanging="908"/>
            </w:pPr>
            <w:r>
              <w:t>Z50.4</w:t>
            </w:r>
            <w:r>
              <w:tab/>
              <w:t xml:space="preserve">The </w:t>
            </w:r>
            <w:r>
              <w:rPr>
                <w:i/>
              </w:rPr>
              <w:t xml:space="preserve">Employer </w:t>
            </w:r>
            <w:r>
              <w:t xml:space="preserve">may accept a Parent Company Guarantee from the Controller or an alternative guarantor proposed by the </w:t>
            </w:r>
            <w:r>
              <w:rPr>
                <w:i/>
              </w:rPr>
              <w:t xml:space="preserve">Consultant </w:t>
            </w:r>
            <w:r>
              <w:t xml:space="preserve">who does not comply with the tests in clause Z50.1 if the </w:t>
            </w:r>
            <w:r>
              <w:rPr>
                <w:i/>
              </w:rPr>
              <w:t xml:space="preserve">Consultant </w:t>
            </w:r>
            <w:r>
              <w:t xml:space="preserve">gives to the </w:t>
            </w:r>
            <w:r>
              <w:rPr>
                <w:i/>
              </w:rPr>
              <w:t xml:space="preserve">Employer </w:t>
            </w:r>
            <w:r>
              <w:t xml:space="preserve">an assurance that the Controller or the alternative guarantor will so comply within 18 months of the </w:t>
            </w:r>
            <w:r>
              <w:rPr>
                <w:i/>
              </w:rPr>
              <w:t xml:space="preserve">Employer‘s </w:t>
            </w:r>
            <w:r>
              <w:t>acceptance. If so, the Parties agree a process for reviewing the financial standing of the Controller or</w:t>
            </w:r>
            <w:r>
              <w:rPr>
                <w:spacing w:val="-15"/>
              </w:rPr>
              <w:t xml:space="preserve"> </w:t>
            </w:r>
            <w:r>
              <w:t>the</w:t>
            </w:r>
          </w:p>
          <w:p w:rsidR="001C5E4E" w:rsidRDefault="003E09C0">
            <w:pPr>
              <w:pStyle w:val="TableParagraph"/>
              <w:spacing w:before="1" w:line="245" w:lineRule="exact"/>
              <w:ind w:left="1015"/>
            </w:pPr>
            <w:r>
              <w:t>alternative guarantor during that period in order to demonstrate</w:t>
            </w:r>
          </w:p>
        </w:tc>
      </w:tr>
    </w:tbl>
    <w:p w:rsidR="001C5E4E" w:rsidRDefault="001C5E4E">
      <w:pPr>
        <w:spacing w:line="245" w:lineRule="exact"/>
        <w:sectPr w:rsidR="001C5E4E">
          <w:pgSz w:w="11910" w:h="16850"/>
          <w:pgMar w:top="1400" w:right="620" w:bottom="1080" w:left="940" w:header="1112" w:footer="892" w:gutter="0"/>
          <w:cols w:space="720"/>
        </w:sectPr>
      </w:pPr>
    </w:p>
    <w:p w:rsidR="001C5E4E" w:rsidRDefault="001C5E4E">
      <w:pPr>
        <w:pStyle w:val="BodyText"/>
        <w:rPr>
          <w:sz w:val="20"/>
        </w:rPr>
      </w:pPr>
    </w:p>
    <w:p w:rsidR="001C5E4E" w:rsidRDefault="001C5E4E">
      <w:pPr>
        <w:pStyle w:val="BodyText"/>
        <w:spacing w:before="9"/>
        <w:rPr>
          <w:sz w:val="10"/>
        </w:rPr>
      </w:pPr>
    </w:p>
    <w:tbl>
      <w:tblPr>
        <w:tblW w:w="0" w:type="auto"/>
        <w:tblInd w:w="1260" w:type="dxa"/>
        <w:tblLayout w:type="fixed"/>
        <w:tblCellMar>
          <w:left w:w="0" w:type="dxa"/>
          <w:right w:w="0" w:type="dxa"/>
        </w:tblCellMar>
        <w:tblLook w:val="01E0" w:firstRow="1" w:lastRow="1" w:firstColumn="1" w:lastColumn="1" w:noHBand="0" w:noVBand="0"/>
      </w:tblPr>
      <w:tblGrid>
        <w:gridCol w:w="1177"/>
        <w:gridCol w:w="7177"/>
      </w:tblGrid>
      <w:tr w:rsidR="001C5E4E">
        <w:trPr>
          <w:trHeight w:val="9969"/>
        </w:trPr>
        <w:tc>
          <w:tcPr>
            <w:tcW w:w="1177" w:type="dxa"/>
          </w:tcPr>
          <w:p w:rsidR="001C5E4E" w:rsidRDefault="001C5E4E">
            <w:pPr>
              <w:pStyle w:val="TableParagraph"/>
              <w:rPr>
                <w:rFonts w:ascii="Times New Roman"/>
              </w:rPr>
            </w:pPr>
          </w:p>
        </w:tc>
        <w:tc>
          <w:tcPr>
            <w:tcW w:w="7177" w:type="dxa"/>
          </w:tcPr>
          <w:p w:rsidR="001C5E4E" w:rsidRDefault="003E09C0">
            <w:pPr>
              <w:pStyle w:val="TableParagraph"/>
              <w:spacing w:line="225" w:lineRule="exact"/>
              <w:ind w:left="1015"/>
            </w:pPr>
            <w:r>
              <w:t xml:space="preserve">to the </w:t>
            </w:r>
            <w:r>
              <w:rPr>
                <w:i/>
              </w:rPr>
              <w:t xml:space="preserve">Employer </w:t>
            </w:r>
            <w:r>
              <w:t>that it will so comply by the end of that period.</w:t>
            </w:r>
          </w:p>
          <w:p w:rsidR="001C5E4E" w:rsidRDefault="003E09C0">
            <w:pPr>
              <w:pStyle w:val="TableParagraph"/>
              <w:spacing w:before="146"/>
              <w:ind w:left="107"/>
              <w:jc w:val="both"/>
            </w:pPr>
            <w:r>
              <w:t>Z50.5 If</w:t>
            </w:r>
          </w:p>
          <w:p w:rsidR="001C5E4E" w:rsidRDefault="003E09C0">
            <w:pPr>
              <w:pStyle w:val="TableParagraph"/>
              <w:numPr>
                <w:ilvl w:val="0"/>
                <w:numId w:val="9"/>
              </w:numPr>
              <w:tabs>
                <w:tab w:val="left" w:pos="1015"/>
                <w:tab w:val="left" w:pos="1016"/>
              </w:tabs>
              <w:spacing w:before="147" w:line="264" w:lineRule="auto"/>
              <w:ind w:right="294"/>
              <w:jc w:val="both"/>
            </w:pPr>
            <w:r>
              <w:t xml:space="preserve">neither the Controller nor any alternative guarantor proposed by the </w:t>
            </w:r>
            <w:r>
              <w:rPr>
                <w:i/>
              </w:rPr>
              <w:t xml:space="preserve">Consultant </w:t>
            </w:r>
            <w:r>
              <w:t>complies with the tests in clause Z50.1 or provides the legal opinion required by clause</w:t>
            </w:r>
            <w:r>
              <w:rPr>
                <w:spacing w:val="-10"/>
              </w:rPr>
              <w:t xml:space="preserve"> </w:t>
            </w:r>
            <w:r>
              <w:t>Z50.6,</w:t>
            </w:r>
          </w:p>
          <w:p w:rsidR="001C5E4E" w:rsidRDefault="003E09C0">
            <w:pPr>
              <w:pStyle w:val="TableParagraph"/>
              <w:numPr>
                <w:ilvl w:val="0"/>
                <w:numId w:val="9"/>
              </w:numPr>
              <w:tabs>
                <w:tab w:val="left" w:pos="1015"/>
                <w:tab w:val="left" w:pos="1016"/>
              </w:tabs>
              <w:spacing w:before="119" w:line="264" w:lineRule="auto"/>
              <w:ind w:right="234"/>
            </w:pPr>
            <w:r>
              <w:t xml:space="preserve">the </w:t>
            </w:r>
            <w:r>
              <w:rPr>
                <w:i/>
              </w:rPr>
              <w:t xml:space="preserve">Consultant </w:t>
            </w:r>
            <w:r>
              <w:t xml:space="preserve">does not give to the </w:t>
            </w:r>
            <w:r>
              <w:rPr>
                <w:i/>
              </w:rPr>
              <w:t xml:space="preserve">Employer </w:t>
            </w:r>
            <w:r>
              <w:t xml:space="preserve">a Parent Company Guarantee from the Controller or an alternative guarantor accepted by the </w:t>
            </w:r>
            <w:r>
              <w:rPr>
                <w:i/>
              </w:rPr>
              <w:t xml:space="preserve">Employer </w:t>
            </w:r>
            <w:r>
              <w:t>within four weeks of a request from the Employer to do so</w:t>
            </w:r>
            <w:r>
              <w:rPr>
                <w:spacing w:val="-4"/>
              </w:rPr>
              <w:t xml:space="preserve"> </w:t>
            </w:r>
            <w:r>
              <w:t>or</w:t>
            </w:r>
          </w:p>
          <w:p w:rsidR="001C5E4E" w:rsidRDefault="003E09C0">
            <w:pPr>
              <w:pStyle w:val="TableParagraph"/>
              <w:numPr>
                <w:ilvl w:val="0"/>
                <w:numId w:val="9"/>
              </w:numPr>
              <w:tabs>
                <w:tab w:val="left" w:pos="1015"/>
                <w:tab w:val="left" w:pos="1016"/>
              </w:tabs>
              <w:spacing w:before="120" w:line="264" w:lineRule="auto"/>
              <w:ind w:right="308"/>
            </w:pPr>
            <w:r>
              <w:t xml:space="preserve">the </w:t>
            </w:r>
            <w:r>
              <w:rPr>
                <w:i/>
              </w:rPr>
              <w:t xml:space="preserve">Consultant </w:t>
            </w:r>
            <w:r>
              <w:t xml:space="preserve">fails to demonstrate to the </w:t>
            </w:r>
            <w:r>
              <w:rPr>
                <w:i/>
              </w:rPr>
              <w:t xml:space="preserve">Employer </w:t>
            </w:r>
            <w:r>
              <w:t xml:space="preserve">that the Controller or the alternative guarantor accepted by the </w:t>
            </w:r>
            <w:r>
              <w:rPr>
                <w:i/>
              </w:rPr>
              <w:t xml:space="preserve">Employer </w:t>
            </w:r>
            <w:r>
              <w:t xml:space="preserve">will comply with the tests in clause Z50.1 within 18 months of the </w:t>
            </w:r>
            <w:r>
              <w:rPr>
                <w:i/>
              </w:rPr>
              <w:t xml:space="preserve">Employer‘s </w:t>
            </w:r>
            <w:r>
              <w:t>acceptance</w:t>
            </w:r>
          </w:p>
          <w:p w:rsidR="001C5E4E" w:rsidRDefault="003E09C0">
            <w:pPr>
              <w:pStyle w:val="TableParagraph"/>
              <w:spacing w:before="122"/>
              <w:ind w:left="107"/>
              <w:rPr>
                <w:i/>
              </w:rPr>
            </w:pPr>
            <w:r>
              <w:t xml:space="preserve">the </w:t>
            </w:r>
            <w:r>
              <w:rPr>
                <w:i/>
              </w:rPr>
              <w:t xml:space="preserve">Employer </w:t>
            </w:r>
            <w:r>
              <w:t xml:space="preserve">may treat such failure as a substantial failure by the </w:t>
            </w:r>
            <w:r>
              <w:rPr>
                <w:i/>
              </w:rPr>
              <w:t>Consultant</w:t>
            </w:r>
          </w:p>
          <w:p w:rsidR="001C5E4E" w:rsidRDefault="003E09C0">
            <w:pPr>
              <w:pStyle w:val="TableParagraph"/>
              <w:spacing w:before="26"/>
              <w:ind w:left="141"/>
            </w:pPr>
            <w:r>
              <w:t>to comply with his obligations.</w:t>
            </w:r>
          </w:p>
          <w:p w:rsidR="001C5E4E" w:rsidRDefault="003E09C0">
            <w:pPr>
              <w:pStyle w:val="TableParagraph"/>
              <w:spacing w:before="147" w:line="264" w:lineRule="auto"/>
              <w:ind w:left="1015" w:right="456" w:hanging="908"/>
            </w:pPr>
            <w:r>
              <w:t xml:space="preserve">Z50.6 If the Controller, or any alternative guarantor proposed by the </w:t>
            </w:r>
            <w:r>
              <w:rPr>
                <w:i/>
              </w:rPr>
              <w:t>Consultant</w:t>
            </w:r>
            <w:r>
              <w:t xml:space="preserve">, is not a company incorporated in and subject to the laws of England and Wales, the </w:t>
            </w:r>
            <w:r>
              <w:rPr>
                <w:i/>
              </w:rPr>
              <w:t xml:space="preserve">Consultant </w:t>
            </w:r>
            <w:r>
              <w:t>provides a legal opinion from a lawyer or law firm which is</w:t>
            </w:r>
          </w:p>
          <w:p w:rsidR="001C5E4E" w:rsidRDefault="003E09C0">
            <w:pPr>
              <w:pStyle w:val="TableParagraph"/>
              <w:numPr>
                <w:ilvl w:val="0"/>
                <w:numId w:val="9"/>
              </w:numPr>
              <w:tabs>
                <w:tab w:val="left" w:pos="1015"/>
                <w:tab w:val="left" w:pos="1016"/>
              </w:tabs>
              <w:spacing w:before="119" w:line="264" w:lineRule="auto"/>
              <w:ind w:right="271"/>
            </w:pPr>
            <w:r>
              <w:t>qualified and registered to practise in the jurisdiction in which the Controller or guarantor is incorporated</w:t>
            </w:r>
            <w:r>
              <w:rPr>
                <w:spacing w:val="-7"/>
              </w:rPr>
              <w:t xml:space="preserve"> </w:t>
            </w:r>
            <w:r>
              <w:t>and</w:t>
            </w:r>
          </w:p>
          <w:p w:rsidR="001C5E4E" w:rsidRDefault="003E09C0">
            <w:pPr>
              <w:pStyle w:val="TableParagraph"/>
              <w:numPr>
                <w:ilvl w:val="0"/>
                <w:numId w:val="9"/>
              </w:numPr>
              <w:tabs>
                <w:tab w:val="left" w:pos="1015"/>
                <w:tab w:val="left" w:pos="1016"/>
              </w:tabs>
              <w:spacing w:before="120"/>
              <w:ind w:hanging="909"/>
            </w:pPr>
            <w:r>
              <w:t>accepted by the</w:t>
            </w:r>
            <w:r>
              <w:rPr>
                <w:spacing w:val="-3"/>
              </w:rPr>
              <w:t xml:space="preserve"> </w:t>
            </w:r>
            <w:r>
              <w:rPr>
                <w:i/>
              </w:rPr>
              <w:t>Employer</w:t>
            </w:r>
            <w:r>
              <w:t>.</w:t>
            </w:r>
          </w:p>
          <w:p w:rsidR="001C5E4E" w:rsidRDefault="003E09C0">
            <w:pPr>
              <w:pStyle w:val="TableParagraph"/>
              <w:spacing w:before="149" w:line="264" w:lineRule="auto"/>
              <w:ind w:left="141" w:right="268" w:hanging="24"/>
            </w:pPr>
            <w:r>
              <w:t xml:space="preserve">The legal opinion is addressed to the </w:t>
            </w:r>
            <w:r>
              <w:rPr>
                <w:i/>
              </w:rPr>
              <w:t xml:space="preserve">Employer </w:t>
            </w:r>
            <w:r>
              <w:t xml:space="preserve">on a full reliance basis and the liability of the lawyer or law firm giving the opinion is not subject to any financial limitation unless otherwise agreed by the </w:t>
            </w:r>
            <w:r>
              <w:rPr>
                <w:i/>
              </w:rPr>
              <w:t>Employer</w:t>
            </w:r>
            <w:r>
              <w:t>.</w:t>
            </w:r>
          </w:p>
          <w:p w:rsidR="001C5E4E" w:rsidRDefault="003E09C0">
            <w:pPr>
              <w:pStyle w:val="TableParagraph"/>
              <w:spacing w:before="120" w:line="264" w:lineRule="auto"/>
              <w:ind w:left="141" w:right="436" w:hanging="24"/>
            </w:pPr>
            <w:r>
              <w:t>The legal opinion confirms that the method of execution of the Parent Company Guarantee is valid and binding under applicable local law and in particular covers the matters listed in the Scope.</w:t>
            </w:r>
          </w:p>
        </w:tc>
      </w:tr>
      <w:tr w:rsidR="001C5E4E">
        <w:trPr>
          <w:trHeight w:val="3222"/>
        </w:trPr>
        <w:tc>
          <w:tcPr>
            <w:tcW w:w="1177" w:type="dxa"/>
          </w:tcPr>
          <w:p w:rsidR="001C5E4E" w:rsidRDefault="001C5E4E">
            <w:pPr>
              <w:pStyle w:val="TableParagraph"/>
            </w:pPr>
          </w:p>
          <w:p w:rsidR="001C5E4E" w:rsidRDefault="001C5E4E">
            <w:pPr>
              <w:pStyle w:val="TableParagraph"/>
              <w:spacing w:before="3"/>
              <w:rPr>
                <w:sz w:val="21"/>
              </w:rPr>
            </w:pPr>
          </w:p>
          <w:p w:rsidR="001C5E4E" w:rsidRDefault="003E09C0">
            <w:pPr>
              <w:pStyle w:val="TableParagraph"/>
              <w:spacing w:before="1"/>
              <w:ind w:left="200"/>
              <w:rPr>
                <w:b/>
              </w:rPr>
            </w:pPr>
            <w:r>
              <w:rPr>
                <w:b/>
              </w:rPr>
              <w:t>Clause 51</w:t>
            </w:r>
          </w:p>
        </w:tc>
        <w:tc>
          <w:tcPr>
            <w:tcW w:w="7177" w:type="dxa"/>
          </w:tcPr>
          <w:p w:rsidR="001C5E4E" w:rsidRDefault="001C5E4E">
            <w:pPr>
              <w:pStyle w:val="TableParagraph"/>
            </w:pPr>
          </w:p>
          <w:p w:rsidR="001C5E4E" w:rsidRDefault="001C5E4E">
            <w:pPr>
              <w:pStyle w:val="TableParagraph"/>
              <w:spacing w:before="3"/>
              <w:rPr>
                <w:sz w:val="21"/>
              </w:rPr>
            </w:pPr>
          </w:p>
          <w:p w:rsidR="001C5E4E" w:rsidRDefault="003E09C0">
            <w:pPr>
              <w:pStyle w:val="TableParagraph"/>
              <w:spacing w:before="1"/>
              <w:ind w:left="107"/>
              <w:rPr>
                <w:b/>
              </w:rPr>
            </w:pPr>
            <w:r>
              <w:rPr>
                <w:b/>
              </w:rPr>
              <w:t>Parent Company Guarantee</w:t>
            </w:r>
          </w:p>
          <w:p w:rsidR="001C5E4E" w:rsidRDefault="003E09C0">
            <w:pPr>
              <w:pStyle w:val="TableParagraph"/>
              <w:tabs>
                <w:tab w:val="left" w:pos="1015"/>
              </w:tabs>
              <w:spacing w:before="146" w:line="264" w:lineRule="auto"/>
              <w:ind w:left="1015" w:right="270" w:hanging="908"/>
            </w:pPr>
            <w:r>
              <w:t>Z51.1</w:t>
            </w:r>
            <w:r>
              <w:tab/>
              <w:t xml:space="preserve">If required by the </w:t>
            </w:r>
            <w:r>
              <w:rPr>
                <w:i/>
              </w:rPr>
              <w:t>Employer</w:t>
            </w:r>
            <w:r>
              <w:t xml:space="preserve">, the </w:t>
            </w:r>
            <w:r>
              <w:rPr>
                <w:i/>
              </w:rPr>
              <w:t xml:space="preserve">Consultant </w:t>
            </w:r>
            <w:r>
              <w:t xml:space="preserve">gives to the </w:t>
            </w:r>
            <w:r>
              <w:rPr>
                <w:i/>
              </w:rPr>
              <w:t xml:space="preserve">Employer </w:t>
            </w:r>
            <w:r>
              <w:t xml:space="preserve">a Parent Company Guarantee. If the Parent Company Guarantee was not given by the Contract Date, it is given to the </w:t>
            </w:r>
            <w:r>
              <w:rPr>
                <w:i/>
              </w:rPr>
              <w:t xml:space="preserve">Employer </w:t>
            </w:r>
            <w:r>
              <w:t xml:space="preserve">within four weeks of the Contract Date or the </w:t>
            </w:r>
            <w:r>
              <w:rPr>
                <w:i/>
              </w:rPr>
              <w:t xml:space="preserve">Employer‘s </w:t>
            </w:r>
            <w:r>
              <w:t>request, whichever is later. Parent Company Guarantees are given</w:t>
            </w:r>
            <w:r>
              <w:rPr>
                <w:spacing w:val="-9"/>
              </w:rPr>
              <w:t xml:space="preserve"> </w:t>
            </w:r>
            <w:r>
              <w:t>by</w:t>
            </w:r>
          </w:p>
          <w:p w:rsidR="001C5E4E" w:rsidRDefault="003E09C0">
            <w:pPr>
              <w:pStyle w:val="TableParagraph"/>
              <w:numPr>
                <w:ilvl w:val="0"/>
                <w:numId w:val="8"/>
              </w:numPr>
              <w:tabs>
                <w:tab w:val="left" w:pos="1015"/>
                <w:tab w:val="left" w:pos="1016"/>
              </w:tabs>
              <w:spacing w:before="122"/>
              <w:ind w:hanging="909"/>
            </w:pPr>
            <w:r>
              <w:t>for a standalone company – the</w:t>
            </w:r>
            <w:r>
              <w:rPr>
                <w:spacing w:val="-6"/>
              </w:rPr>
              <w:t xml:space="preserve"> </w:t>
            </w:r>
            <w:r>
              <w:t>Controller,</w:t>
            </w:r>
          </w:p>
          <w:p w:rsidR="001C5E4E" w:rsidRDefault="003E09C0">
            <w:pPr>
              <w:pStyle w:val="TableParagraph"/>
              <w:numPr>
                <w:ilvl w:val="0"/>
                <w:numId w:val="8"/>
              </w:numPr>
              <w:tabs>
                <w:tab w:val="left" w:pos="1015"/>
                <w:tab w:val="left" w:pos="1016"/>
              </w:tabs>
              <w:spacing w:before="146" w:line="245" w:lineRule="exact"/>
              <w:ind w:hanging="909"/>
            </w:pPr>
            <w:r>
              <w:t>for an unincorporated JV (“more than one party”) – the</w:t>
            </w:r>
            <w:r>
              <w:rPr>
                <w:spacing w:val="-12"/>
              </w:rPr>
              <w:t xml:space="preserve"> </w:t>
            </w:r>
            <w:r>
              <w:t>Controller</w:t>
            </w:r>
          </w:p>
        </w:tc>
      </w:tr>
    </w:tbl>
    <w:p w:rsidR="001C5E4E" w:rsidRDefault="001C5E4E">
      <w:pPr>
        <w:spacing w:line="245" w:lineRule="exact"/>
        <w:sectPr w:rsidR="001C5E4E">
          <w:pgSz w:w="11910" w:h="16850"/>
          <w:pgMar w:top="1400" w:right="620" w:bottom="1080" w:left="940" w:header="1112" w:footer="892" w:gutter="0"/>
          <w:cols w:space="720"/>
        </w:sectPr>
      </w:pPr>
    </w:p>
    <w:p w:rsidR="001C5E4E" w:rsidRDefault="001C5E4E">
      <w:pPr>
        <w:pStyle w:val="BodyText"/>
        <w:rPr>
          <w:sz w:val="20"/>
        </w:rPr>
      </w:pPr>
    </w:p>
    <w:p w:rsidR="001C5E4E" w:rsidRDefault="001C5E4E">
      <w:pPr>
        <w:pStyle w:val="BodyText"/>
        <w:spacing w:before="9"/>
        <w:rPr>
          <w:sz w:val="10"/>
        </w:rPr>
      </w:pPr>
    </w:p>
    <w:tbl>
      <w:tblPr>
        <w:tblW w:w="0" w:type="auto"/>
        <w:tblInd w:w="1150" w:type="dxa"/>
        <w:tblLayout w:type="fixed"/>
        <w:tblCellMar>
          <w:left w:w="0" w:type="dxa"/>
          <w:right w:w="0" w:type="dxa"/>
        </w:tblCellMar>
        <w:tblLook w:val="01E0" w:firstRow="1" w:lastRow="1" w:firstColumn="1" w:lastColumn="1" w:noHBand="0" w:noVBand="0"/>
      </w:tblPr>
      <w:tblGrid>
        <w:gridCol w:w="1288"/>
        <w:gridCol w:w="7173"/>
      </w:tblGrid>
      <w:tr w:rsidR="001C5E4E">
        <w:trPr>
          <w:trHeight w:val="3012"/>
        </w:trPr>
        <w:tc>
          <w:tcPr>
            <w:tcW w:w="1288" w:type="dxa"/>
          </w:tcPr>
          <w:p w:rsidR="001C5E4E" w:rsidRDefault="001C5E4E">
            <w:pPr>
              <w:pStyle w:val="TableParagraph"/>
              <w:rPr>
                <w:rFonts w:ascii="Times New Roman"/>
              </w:rPr>
            </w:pPr>
          </w:p>
        </w:tc>
        <w:tc>
          <w:tcPr>
            <w:tcW w:w="7173" w:type="dxa"/>
          </w:tcPr>
          <w:p w:rsidR="001C5E4E" w:rsidRDefault="003E09C0">
            <w:pPr>
              <w:pStyle w:val="TableParagraph"/>
              <w:spacing w:line="225" w:lineRule="exact"/>
              <w:ind w:left="1014"/>
            </w:pPr>
            <w:r>
              <w:t>of each Consortium Member or</w:t>
            </w:r>
          </w:p>
          <w:p w:rsidR="001C5E4E" w:rsidRDefault="003E09C0">
            <w:pPr>
              <w:pStyle w:val="TableParagraph"/>
              <w:numPr>
                <w:ilvl w:val="0"/>
                <w:numId w:val="7"/>
              </w:numPr>
              <w:tabs>
                <w:tab w:val="left" w:pos="1014"/>
                <w:tab w:val="left" w:pos="1015"/>
              </w:tabs>
              <w:spacing w:before="146" w:line="264" w:lineRule="auto"/>
              <w:ind w:left="1014" w:right="906"/>
            </w:pPr>
            <w:r>
              <w:t>for an incorporated JV – the Controller of each Consortium Member.</w:t>
            </w:r>
          </w:p>
          <w:p w:rsidR="001C5E4E" w:rsidRDefault="003E09C0">
            <w:pPr>
              <w:pStyle w:val="TableParagraph"/>
              <w:spacing w:before="120" w:line="264" w:lineRule="auto"/>
              <w:ind w:left="140" w:right="406" w:hanging="24"/>
            </w:pPr>
            <w:r>
              <w:t xml:space="preserve">In all cases it is for the </w:t>
            </w:r>
            <w:r>
              <w:rPr>
                <w:i/>
              </w:rPr>
              <w:t xml:space="preserve">Employer </w:t>
            </w:r>
            <w:r>
              <w:t>to decide (in its discretion) whether it will accept a Parent Company Guarantee from a company other than the Controller.</w:t>
            </w:r>
          </w:p>
          <w:p w:rsidR="001C5E4E" w:rsidRDefault="003E09C0">
            <w:pPr>
              <w:pStyle w:val="TableParagraph"/>
              <w:tabs>
                <w:tab w:val="left" w:pos="1014"/>
              </w:tabs>
              <w:spacing w:before="119" w:line="264" w:lineRule="auto"/>
              <w:ind w:left="1014" w:right="419" w:hanging="908"/>
            </w:pPr>
            <w:r>
              <w:t>Z51.2</w:t>
            </w:r>
            <w:r>
              <w:tab/>
              <w:t xml:space="preserve">A failure to comply with this condition is treated as a substantial failure by the </w:t>
            </w:r>
            <w:r>
              <w:rPr>
                <w:i/>
              </w:rPr>
              <w:t xml:space="preserve">Consultant </w:t>
            </w:r>
            <w:r>
              <w:t>to comply with his</w:t>
            </w:r>
            <w:r>
              <w:rPr>
                <w:spacing w:val="-15"/>
              </w:rPr>
              <w:t xml:space="preserve"> </w:t>
            </w:r>
            <w:r>
              <w:t>obligations.</w:t>
            </w:r>
          </w:p>
        </w:tc>
      </w:tr>
      <w:tr w:rsidR="001C5E4E">
        <w:trPr>
          <w:trHeight w:val="684"/>
        </w:trPr>
        <w:tc>
          <w:tcPr>
            <w:tcW w:w="1288" w:type="dxa"/>
          </w:tcPr>
          <w:p w:rsidR="001C5E4E" w:rsidRDefault="001C5E4E">
            <w:pPr>
              <w:pStyle w:val="TableParagraph"/>
              <w:spacing w:before="3"/>
              <w:rPr>
                <w:sz w:val="26"/>
              </w:rPr>
            </w:pPr>
          </w:p>
          <w:p w:rsidR="001C5E4E" w:rsidRDefault="003E09C0">
            <w:pPr>
              <w:pStyle w:val="TableParagraph"/>
              <w:spacing w:before="1"/>
              <w:ind w:left="200"/>
              <w:rPr>
                <w:b/>
              </w:rPr>
            </w:pPr>
            <w:r>
              <w:rPr>
                <w:b/>
              </w:rPr>
              <w:t>Clause 650</w:t>
            </w:r>
          </w:p>
        </w:tc>
        <w:tc>
          <w:tcPr>
            <w:tcW w:w="7173" w:type="dxa"/>
          </w:tcPr>
          <w:p w:rsidR="001C5E4E" w:rsidRDefault="001C5E4E">
            <w:pPr>
              <w:pStyle w:val="TableParagraph"/>
              <w:spacing w:before="3"/>
              <w:rPr>
                <w:sz w:val="26"/>
              </w:rPr>
            </w:pPr>
          </w:p>
          <w:p w:rsidR="001C5E4E" w:rsidRDefault="003E09C0">
            <w:pPr>
              <w:pStyle w:val="TableParagraph"/>
              <w:spacing w:before="1"/>
              <w:ind w:left="107"/>
              <w:rPr>
                <w:b/>
              </w:rPr>
            </w:pPr>
            <w:r>
              <w:rPr>
                <w:b/>
              </w:rPr>
              <w:t>Offshoring of data</w:t>
            </w:r>
          </w:p>
        </w:tc>
      </w:tr>
      <w:tr w:rsidR="001C5E4E">
        <w:trPr>
          <w:trHeight w:val="2307"/>
        </w:trPr>
        <w:tc>
          <w:tcPr>
            <w:tcW w:w="1288" w:type="dxa"/>
          </w:tcPr>
          <w:p w:rsidR="001C5E4E" w:rsidRDefault="001C5E4E">
            <w:pPr>
              <w:pStyle w:val="TableParagraph"/>
              <w:rPr>
                <w:rFonts w:ascii="Times New Roman"/>
              </w:rPr>
            </w:pPr>
          </w:p>
        </w:tc>
        <w:tc>
          <w:tcPr>
            <w:tcW w:w="7173" w:type="dxa"/>
          </w:tcPr>
          <w:p w:rsidR="001C5E4E" w:rsidRDefault="003E09C0">
            <w:pPr>
              <w:pStyle w:val="TableParagraph"/>
              <w:tabs>
                <w:tab w:val="left" w:pos="990"/>
              </w:tabs>
              <w:spacing w:before="54"/>
              <w:ind w:left="140"/>
            </w:pPr>
            <w:r>
              <w:t>Z650.1</w:t>
            </w:r>
            <w:r>
              <w:tab/>
              <w:t>In this</w:t>
            </w:r>
            <w:r>
              <w:rPr>
                <w:spacing w:val="-1"/>
              </w:rPr>
              <w:t xml:space="preserve"> </w:t>
            </w:r>
            <w:r>
              <w:t>clause</w:t>
            </w:r>
          </w:p>
          <w:p w:rsidR="001C5E4E" w:rsidRDefault="003E09C0">
            <w:pPr>
              <w:pStyle w:val="TableParagraph"/>
              <w:spacing w:before="147" w:line="264" w:lineRule="auto"/>
              <w:ind w:left="1014" w:right="372"/>
            </w:pPr>
            <w:r>
              <w:rPr>
                <w:b/>
              </w:rPr>
              <w:t xml:space="preserve">Risk Assessment </w:t>
            </w:r>
            <w:r>
              <w:t xml:space="preserve">is a full risk assessment and security review carried out by the </w:t>
            </w:r>
            <w:r>
              <w:rPr>
                <w:i/>
              </w:rPr>
              <w:t xml:space="preserve">Employer </w:t>
            </w:r>
            <w:r>
              <w:t>in accordance with [HMG Security Policy Framework (SPF) including HMG IA Standard No. 1 - Technical Risk Assessment, October 2009, Issue No: 3.51 and ICT Offshoring (International Sourcing) Guidance dated July 2011] or any later revision or replacement.</w:t>
            </w:r>
          </w:p>
        </w:tc>
      </w:tr>
      <w:tr w:rsidR="001C5E4E">
        <w:trPr>
          <w:trHeight w:val="5079"/>
        </w:trPr>
        <w:tc>
          <w:tcPr>
            <w:tcW w:w="1288" w:type="dxa"/>
          </w:tcPr>
          <w:p w:rsidR="001C5E4E" w:rsidRDefault="001C5E4E">
            <w:pPr>
              <w:pStyle w:val="TableParagraph"/>
              <w:rPr>
                <w:rFonts w:ascii="Times New Roman"/>
              </w:rPr>
            </w:pPr>
          </w:p>
        </w:tc>
        <w:tc>
          <w:tcPr>
            <w:tcW w:w="7173" w:type="dxa"/>
          </w:tcPr>
          <w:p w:rsidR="001C5E4E" w:rsidRDefault="003E09C0">
            <w:pPr>
              <w:pStyle w:val="TableParagraph"/>
              <w:spacing w:before="53" w:line="264" w:lineRule="auto"/>
              <w:ind w:left="990" w:right="556" w:hanging="851"/>
            </w:pPr>
            <w:r>
              <w:t xml:space="preserve">Z650.2The Consultant does not store any of the </w:t>
            </w:r>
            <w:r>
              <w:rPr>
                <w:i/>
              </w:rPr>
              <w:t>Employer</w:t>
            </w:r>
            <w:r>
              <w:t>‘s data that is classified as Official or higher in accordance with “Government</w:t>
            </w:r>
          </w:p>
          <w:p w:rsidR="001C5E4E" w:rsidRDefault="003E09C0">
            <w:pPr>
              <w:pStyle w:val="TableParagraph"/>
              <w:spacing w:line="268" w:lineRule="exact"/>
              <w:ind w:left="990"/>
            </w:pPr>
            <w:r>
              <w:t>Security Classifications” dated April 2014 (or any later revision or</w:t>
            </w:r>
          </w:p>
          <w:p w:rsidR="001C5E4E" w:rsidRDefault="003E09C0">
            <w:pPr>
              <w:pStyle w:val="TableParagraph"/>
              <w:spacing w:before="27"/>
              <w:ind w:left="990"/>
            </w:pPr>
            <w:r>
              <w:t>replacement)</w:t>
            </w:r>
          </w:p>
          <w:p w:rsidR="001C5E4E" w:rsidRDefault="003E09C0">
            <w:pPr>
              <w:pStyle w:val="TableParagraph"/>
              <w:numPr>
                <w:ilvl w:val="0"/>
                <w:numId w:val="6"/>
              </w:numPr>
              <w:tabs>
                <w:tab w:val="left" w:pos="2267"/>
                <w:tab w:val="left" w:pos="2268"/>
              </w:tabs>
              <w:spacing w:before="147"/>
              <w:ind w:hanging="709"/>
            </w:pPr>
            <w:r>
              <w:t>offshore</w:t>
            </w:r>
            <w:r>
              <w:rPr>
                <w:spacing w:val="-2"/>
              </w:rPr>
              <w:t xml:space="preserve"> </w:t>
            </w:r>
            <w:r>
              <w:t>or</w:t>
            </w:r>
          </w:p>
          <w:p w:rsidR="001C5E4E" w:rsidRDefault="003E09C0">
            <w:pPr>
              <w:pStyle w:val="TableParagraph"/>
              <w:numPr>
                <w:ilvl w:val="0"/>
                <w:numId w:val="6"/>
              </w:numPr>
              <w:tabs>
                <w:tab w:val="left" w:pos="2267"/>
                <w:tab w:val="left" w:pos="2268"/>
              </w:tabs>
              <w:spacing w:before="27" w:line="264" w:lineRule="auto"/>
              <w:ind w:right="942"/>
            </w:pPr>
            <w:r>
              <w:t>in any way that it could be accessed from an offshore location</w:t>
            </w:r>
          </w:p>
          <w:p w:rsidR="001C5E4E" w:rsidRDefault="001C5E4E">
            <w:pPr>
              <w:pStyle w:val="TableParagraph"/>
            </w:pPr>
          </w:p>
          <w:p w:rsidR="001C5E4E" w:rsidRDefault="003E09C0">
            <w:pPr>
              <w:pStyle w:val="TableParagraph"/>
              <w:spacing w:before="148" w:line="264" w:lineRule="auto"/>
              <w:ind w:left="1559" w:right="395"/>
            </w:pPr>
            <w:r>
              <w:t xml:space="preserve">until </w:t>
            </w:r>
            <w:r>
              <w:rPr>
                <w:i/>
              </w:rPr>
              <w:t xml:space="preserve">the Project Manager has confirmed to the Consultant that </w:t>
            </w:r>
            <w:r>
              <w:t>either</w:t>
            </w:r>
          </w:p>
          <w:p w:rsidR="001C5E4E" w:rsidRDefault="003E09C0">
            <w:pPr>
              <w:pStyle w:val="TableParagraph"/>
              <w:numPr>
                <w:ilvl w:val="0"/>
                <w:numId w:val="6"/>
              </w:numPr>
              <w:tabs>
                <w:tab w:val="left" w:pos="2267"/>
                <w:tab w:val="left" w:pos="2268"/>
              </w:tabs>
              <w:spacing w:before="120"/>
              <w:ind w:hanging="709"/>
            </w:pPr>
            <w:r>
              <w:t xml:space="preserve">the </w:t>
            </w:r>
            <w:r>
              <w:rPr>
                <w:i/>
              </w:rPr>
              <w:t xml:space="preserve">Employer </w:t>
            </w:r>
            <w:r>
              <w:t>has gained approval for such</w:t>
            </w:r>
            <w:r>
              <w:rPr>
                <w:spacing w:val="-9"/>
              </w:rPr>
              <w:t xml:space="preserve"> </w:t>
            </w:r>
            <w:r>
              <w:t>storage</w:t>
            </w:r>
          </w:p>
          <w:p w:rsidR="001C5E4E" w:rsidRDefault="003E09C0">
            <w:pPr>
              <w:pStyle w:val="TableParagraph"/>
              <w:spacing w:before="27" w:line="264" w:lineRule="auto"/>
              <w:ind w:left="2267" w:right="185"/>
              <w:rPr>
                <w:i/>
              </w:rPr>
            </w:pPr>
            <w:r>
              <w:t>in accordance with “</w:t>
            </w:r>
            <w:r>
              <w:rPr>
                <w:i/>
              </w:rPr>
              <w:t xml:space="preserve">Offshoring information assets classified at OFFICIAL” dated November 2015 </w:t>
            </w:r>
            <w:r>
              <w:t xml:space="preserve">(or any later revision or replacement) </w:t>
            </w:r>
            <w:r>
              <w:rPr>
                <w:i/>
              </w:rPr>
              <w:t>or</w:t>
            </w:r>
          </w:p>
          <w:p w:rsidR="001C5E4E" w:rsidRDefault="003E09C0">
            <w:pPr>
              <w:pStyle w:val="TableParagraph"/>
              <w:numPr>
                <w:ilvl w:val="0"/>
                <w:numId w:val="6"/>
              </w:numPr>
              <w:tabs>
                <w:tab w:val="left" w:pos="2267"/>
                <w:tab w:val="left" w:pos="2268"/>
              </w:tabs>
              <w:spacing w:before="120"/>
              <w:ind w:hanging="709"/>
            </w:pPr>
            <w:r>
              <w:t>such approval is not</w:t>
            </w:r>
            <w:r>
              <w:rPr>
                <w:spacing w:val="-4"/>
              </w:rPr>
              <w:t xml:space="preserve"> </w:t>
            </w:r>
            <w:r>
              <w:t>required.</w:t>
            </w:r>
          </w:p>
        </w:tc>
      </w:tr>
      <w:tr w:rsidR="001C5E4E">
        <w:trPr>
          <w:trHeight w:val="1762"/>
        </w:trPr>
        <w:tc>
          <w:tcPr>
            <w:tcW w:w="1288" w:type="dxa"/>
          </w:tcPr>
          <w:p w:rsidR="001C5E4E" w:rsidRDefault="001C5E4E">
            <w:pPr>
              <w:pStyle w:val="TableParagraph"/>
              <w:rPr>
                <w:rFonts w:ascii="Times New Roman"/>
              </w:rPr>
            </w:pPr>
          </w:p>
        </w:tc>
        <w:tc>
          <w:tcPr>
            <w:tcW w:w="7173" w:type="dxa"/>
          </w:tcPr>
          <w:p w:rsidR="001C5E4E" w:rsidRDefault="003E09C0">
            <w:pPr>
              <w:pStyle w:val="TableParagraph"/>
              <w:tabs>
                <w:tab w:val="left" w:pos="990"/>
              </w:tabs>
              <w:spacing w:before="53" w:line="264" w:lineRule="auto"/>
              <w:ind w:left="990" w:right="244" w:hanging="851"/>
            </w:pPr>
            <w:r>
              <w:t>Z650.3</w:t>
            </w:r>
            <w:r>
              <w:tab/>
              <w:t>The Consultant ensures that no premises are used in Providing the Works until</w:t>
            </w:r>
          </w:p>
          <w:p w:rsidR="001C5E4E" w:rsidRDefault="003E09C0">
            <w:pPr>
              <w:pStyle w:val="TableParagraph"/>
              <w:numPr>
                <w:ilvl w:val="0"/>
                <w:numId w:val="5"/>
              </w:numPr>
              <w:tabs>
                <w:tab w:val="left" w:pos="2267"/>
                <w:tab w:val="left" w:pos="2268"/>
                <w:tab w:val="left" w:pos="6588"/>
              </w:tabs>
              <w:spacing w:before="120"/>
              <w:ind w:hanging="709"/>
            </w:pPr>
            <w:r>
              <w:t>such premises have passed a</w:t>
            </w:r>
            <w:r>
              <w:rPr>
                <w:spacing w:val="-8"/>
              </w:rPr>
              <w:t xml:space="preserve"> </w:t>
            </w:r>
            <w:r>
              <w:t>Risk</w:t>
            </w:r>
            <w:r>
              <w:rPr>
                <w:spacing w:val="-5"/>
              </w:rPr>
              <w:t xml:space="preserve"> </w:t>
            </w:r>
            <w:r>
              <w:t>Assessment</w:t>
            </w:r>
            <w:r>
              <w:tab/>
              <w:t>or</w:t>
            </w:r>
          </w:p>
          <w:p w:rsidR="001C5E4E" w:rsidRDefault="003E09C0">
            <w:pPr>
              <w:pStyle w:val="TableParagraph"/>
              <w:numPr>
                <w:ilvl w:val="0"/>
                <w:numId w:val="5"/>
              </w:numPr>
              <w:tabs>
                <w:tab w:val="left" w:pos="2267"/>
                <w:tab w:val="left" w:pos="2268"/>
              </w:tabs>
              <w:spacing w:before="137" w:line="290" w:lineRule="atLeast"/>
              <w:ind w:right="205"/>
            </w:pPr>
            <w:r>
              <w:t>the Project Manager confirms to the Consultant that no Risk Assessment is</w:t>
            </w:r>
            <w:r>
              <w:rPr>
                <w:spacing w:val="-4"/>
              </w:rPr>
              <w:t xml:space="preserve"> </w:t>
            </w:r>
            <w:r>
              <w:t>required.</w:t>
            </w:r>
          </w:p>
        </w:tc>
      </w:tr>
    </w:tbl>
    <w:p w:rsidR="001C5E4E" w:rsidRDefault="001C5E4E">
      <w:pPr>
        <w:spacing w:line="290" w:lineRule="atLeast"/>
        <w:sectPr w:rsidR="001C5E4E">
          <w:pgSz w:w="11910" w:h="16850"/>
          <w:pgMar w:top="1400" w:right="620" w:bottom="1080" w:left="940" w:header="1112" w:footer="892" w:gutter="0"/>
          <w:cols w:space="720"/>
        </w:sectPr>
      </w:pPr>
    </w:p>
    <w:p w:rsidR="001C5E4E" w:rsidRDefault="001C5E4E">
      <w:pPr>
        <w:pStyle w:val="BodyText"/>
        <w:rPr>
          <w:sz w:val="20"/>
        </w:rPr>
      </w:pPr>
    </w:p>
    <w:p w:rsidR="001C5E4E" w:rsidRDefault="001C5E4E">
      <w:pPr>
        <w:pStyle w:val="BodyText"/>
        <w:spacing w:before="9"/>
        <w:rPr>
          <w:sz w:val="10"/>
        </w:rPr>
      </w:pPr>
    </w:p>
    <w:tbl>
      <w:tblPr>
        <w:tblW w:w="0" w:type="auto"/>
        <w:tblInd w:w="2379" w:type="dxa"/>
        <w:tblLayout w:type="fixed"/>
        <w:tblCellMar>
          <w:left w:w="0" w:type="dxa"/>
          <w:right w:w="0" w:type="dxa"/>
        </w:tblCellMar>
        <w:tblLook w:val="01E0" w:firstRow="1" w:lastRow="1" w:firstColumn="1" w:lastColumn="1" w:noHBand="0" w:noVBand="0"/>
      </w:tblPr>
      <w:tblGrid>
        <w:gridCol w:w="7160"/>
      </w:tblGrid>
      <w:tr w:rsidR="001C5E4E">
        <w:trPr>
          <w:trHeight w:val="2353"/>
        </w:trPr>
        <w:tc>
          <w:tcPr>
            <w:tcW w:w="7160" w:type="dxa"/>
          </w:tcPr>
          <w:p w:rsidR="001C5E4E" w:rsidRDefault="003E09C0">
            <w:pPr>
              <w:pStyle w:val="TableParagraph"/>
              <w:tabs>
                <w:tab w:val="left" w:pos="1050"/>
              </w:tabs>
              <w:spacing w:line="225" w:lineRule="exact"/>
              <w:ind w:left="200"/>
            </w:pPr>
            <w:r>
              <w:t>Z650.4</w:t>
            </w:r>
            <w:r>
              <w:tab/>
              <w:t>The Consultant complies with a request from the Project</w:t>
            </w:r>
            <w:r>
              <w:rPr>
                <w:spacing w:val="-14"/>
              </w:rPr>
              <w:t xml:space="preserve"> </w:t>
            </w:r>
            <w:r>
              <w:t>Manager</w:t>
            </w:r>
          </w:p>
          <w:p w:rsidR="001C5E4E" w:rsidRDefault="003E09C0">
            <w:pPr>
              <w:pStyle w:val="TableParagraph"/>
              <w:spacing w:before="26"/>
              <w:ind w:left="1050"/>
            </w:pPr>
            <w:r>
              <w:t>to provide any information required to allow the Employer to</w:t>
            </w:r>
          </w:p>
          <w:p w:rsidR="001C5E4E" w:rsidRDefault="003E09C0">
            <w:pPr>
              <w:pStyle w:val="TableParagraph"/>
              <w:numPr>
                <w:ilvl w:val="0"/>
                <w:numId w:val="4"/>
              </w:numPr>
              <w:tabs>
                <w:tab w:val="left" w:pos="2326"/>
                <w:tab w:val="left" w:pos="2327"/>
              </w:tabs>
              <w:spacing w:before="147" w:line="264" w:lineRule="auto"/>
              <w:ind w:right="285"/>
            </w:pPr>
            <w:r>
              <w:t>gain approval for storing data or allowing access to data from an offshore location in accordance with Z650.2</w:t>
            </w:r>
            <w:r>
              <w:rPr>
                <w:spacing w:val="-2"/>
              </w:rPr>
              <w:t xml:space="preserve"> </w:t>
            </w:r>
            <w:r>
              <w:t>or</w:t>
            </w:r>
          </w:p>
          <w:p w:rsidR="001C5E4E" w:rsidRDefault="003E09C0">
            <w:pPr>
              <w:pStyle w:val="TableParagraph"/>
              <w:numPr>
                <w:ilvl w:val="0"/>
                <w:numId w:val="3"/>
              </w:numPr>
              <w:tabs>
                <w:tab w:val="left" w:pos="2326"/>
                <w:tab w:val="left" w:pos="2327"/>
              </w:tabs>
              <w:spacing w:before="120" w:line="264" w:lineRule="auto"/>
              <w:ind w:right="685"/>
            </w:pPr>
            <w:r>
              <w:t>conduct a Risk Assessment for any premises in accordance with Z650.3.</w:t>
            </w:r>
          </w:p>
        </w:tc>
      </w:tr>
      <w:tr w:rsidR="001C5E4E">
        <w:trPr>
          <w:trHeight w:val="1005"/>
        </w:trPr>
        <w:tc>
          <w:tcPr>
            <w:tcW w:w="7160" w:type="dxa"/>
          </w:tcPr>
          <w:p w:rsidR="001C5E4E" w:rsidRDefault="003E09C0">
            <w:pPr>
              <w:pStyle w:val="TableParagraph"/>
              <w:tabs>
                <w:tab w:val="left" w:pos="1050"/>
              </w:tabs>
              <w:spacing w:before="53" w:line="264" w:lineRule="auto"/>
              <w:ind w:left="1050" w:right="366" w:hanging="851"/>
            </w:pPr>
            <w:r>
              <w:t>Z650.5</w:t>
            </w:r>
            <w:r>
              <w:tab/>
              <w:t>The Consultant ensures that any subcontract (at any stage of remoteness from the Employer) contains provisions to the same effect as this</w:t>
            </w:r>
            <w:r>
              <w:rPr>
                <w:spacing w:val="-5"/>
              </w:rPr>
              <w:t xml:space="preserve"> </w:t>
            </w:r>
            <w:r>
              <w:t>clause.</w:t>
            </w:r>
          </w:p>
        </w:tc>
      </w:tr>
      <w:tr w:rsidR="001C5E4E">
        <w:trPr>
          <w:trHeight w:val="613"/>
        </w:trPr>
        <w:tc>
          <w:tcPr>
            <w:tcW w:w="7160" w:type="dxa"/>
          </w:tcPr>
          <w:p w:rsidR="001C5E4E" w:rsidRDefault="003E09C0">
            <w:pPr>
              <w:pStyle w:val="TableParagraph"/>
              <w:tabs>
                <w:tab w:val="left" w:pos="1050"/>
              </w:tabs>
              <w:spacing w:before="32" w:line="290" w:lineRule="atLeast"/>
              <w:ind w:left="1050" w:right="370" w:hanging="851"/>
            </w:pPr>
            <w:r>
              <w:t>Z650.6</w:t>
            </w:r>
            <w:r>
              <w:tab/>
              <w:t>A failure to comply with this condition is treated as a substantial failure by the Consultant to comply with his</w:t>
            </w:r>
            <w:r>
              <w:rPr>
                <w:spacing w:val="-13"/>
              </w:rPr>
              <w:t xml:space="preserve"> </w:t>
            </w:r>
            <w:r>
              <w:t>obligations.</w:t>
            </w:r>
          </w:p>
        </w:tc>
      </w:tr>
    </w:tbl>
    <w:p w:rsidR="001C5E4E" w:rsidRDefault="001C5E4E">
      <w:pPr>
        <w:spacing w:line="290" w:lineRule="atLeast"/>
        <w:sectPr w:rsidR="001C5E4E">
          <w:pgSz w:w="11910" w:h="16850"/>
          <w:pgMar w:top="1400" w:right="620" w:bottom="1080" w:left="940" w:header="1112" w:footer="892" w:gutter="0"/>
          <w:cols w:space="720"/>
        </w:sectPr>
      </w:pPr>
    </w:p>
    <w:p w:rsidR="001C5E4E" w:rsidRDefault="001C5E4E">
      <w:pPr>
        <w:pStyle w:val="BodyText"/>
        <w:rPr>
          <w:sz w:val="20"/>
        </w:rPr>
      </w:pPr>
    </w:p>
    <w:p w:rsidR="001C5E4E" w:rsidRDefault="001C5E4E">
      <w:pPr>
        <w:pStyle w:val="BodyText"/>
        <w:rPr>
          <w:sz w:val="20"/>
        </w:rPr>
      </w:pPr>
    </w:p>
    <w:p w:rsidR="001C5E4E" w:rsidRDefault="001C5E4E">
      <w:pPr>
        <w:pStyle w:val="BodyText"/>
        <w:spacing w:before="3"/>
        <w:rPr>
          <w:sz w:val="24"/>
        </w:rPr>
      </w:pPr>
    </w:p>
    <w:p w:rsidR="001C5E4E" w:rsidRDefault="003E09C0">
      <w:pPr>
        <w:pStyle w:val="Heading1"/>
        <w:numPr>
          <w:ilvl w:val="1"/>
          <w:numId w:val="70"/>
        </w:numPr>
        <w:tabs>
          <w:tab w:val="left" w:pos="1276"/>
        </w:tabs>
        <w:spacing w:before="56"/>
        <w:ind w:left="1275" w:hanging="361"/>
        <w:jc w:val="left"/>
      </w:pPr>
      <w:bookmarkStart w:id="5" w:name="_bookmark4"/>
      <w:bookmarkEnd w:id="5"/>
      <w:r>
        <w:rPr>
          <w:color w:val="C00000"/>
          <w:u w:val="single" w:color="C00000"/>
        </w:rPr>
        <w:t>PROFESSIONAL SERVICES CONTRACT ANNEX E – THE</w:t>
      </w:r>
      <w:r>
        <w:rPr>
          <w:color w:val="C00000"/>
          <w:spacing w:val="-12"/>
          <w:u w:val="single" w:color="C00000"/>
        </w:rPr>
        <w:t xml:space="preserve"> </w:t>
      </w:r>
      <w:r>
        <w:rPr>
          <w:color w:val="C00000"/>
          <w:u w:val="single" w:color="C00000"/>
        </w:rPr>
        <w:t>SCOPE</w:t>
      </w:r>
    </w:p>
    <w:p w:rsidR="001C5E4E" w:rsidRDefault="001C5E4E">
      <w:pPr>
        <w:pStyle w:val="BodyText"/>
        <w:rPr>
          <w:b/>
          <w:sz w:val="20"/>
        </w:rPr>
      </w:pPr>
    </w:p>
    <w:p w:rsidR="001C5E4E" w:rsidRDefault="001C5E4E">
      <w:pPr>
        <w:pStyle w:val="BodyText"/>
        <w:spacing w:before="9"/>
        <w:rPr>
          <w:b/>
          <w:sz w:val="15"/>
        </w:rPr>
      </w:pPr>
    </w:p>
    <w:p w:rsidR="001C5E4E" w:rsidRDefault="003E09C0">
      <w:pPr>
        <w:pStyle w:val="ListParagraph"/>
        <w:numPr>
          <w:ilvl w:val="0"/>
          <w:numId w:val="2"/>
        </w:numPr>
        <w:tabs>
          <w:tab w:val="left" w:pos="1047"/>
          <w:tab w:val="left" w:pos="1048"/>
        </w:tabs>
        <w:spacing w:before="56"/>
        <w:rPr>
          <w:b/>
        </w:rPr>
      </w:pPr>
      <w:r>
        <w:rPr>
          <w:b/>
        </w:rPr>
        <w:t>THE</w:t>
      </w:r>
      <w:r>
        <w:rPr>
          <w:b/>
          <w:spacing w:val="-2"/>
        </w:rPr>
        <w:t xml:space="preserve"> </w:t>
      </w:r>
      <w:r>
        <w:rPr>
          <w:b/>
        </w:rPr>
        <w:t>SCOPE</w:t>
      </w:r>
    </w:p>
    <w:p w:rsidR="001C5E4E" w:rsidRDefault="001C5E4E">
      <w:pPr>
        <w:pStyle w:val="BodyText"/>
        <w:spacing w:before="2"/>
        <w:rPr>
          <w:b/>
          <w:sz w:val="26"/>
        </w:rPr>
      </w:pPr>
    </w:p>
    <w:p w:rsidR="001C5E4E" w:rsidRDefault="003E09C0">
      <w:pPr>
        <w:pStyle w:val="ListParagraph"/>
        <w:numPr>
          <w:ilvl w:val="1"/>
          <w:numId w:val="2"/>
        </w:numPr>
        <w:tabs>
          <w:tab w:val="left" w:pos="1047"/>
          <w:tab w:val="left" w:pos="1048"/>
        </w:tabs>
        <w:spacing w:line="312" w:lineRule="auto"/>
        <w:ind w:right="259"/>
      </w:pPr>
      <w:r>
        <w:t>The support and guidance provided to the Police is only for collisions involving an automated vehicle, where such a vehicle is defined as one equipped with SAE Level 2 safety system or greater and one in which the system provides autonomous lateral (steering) and longitudinal (acceleration/braking) control inputs for a specific driving</w:t>
      </w:r>
      <w:r>
        <w:rPr>
          <w:spacing w:val="-6"/>
        </w:rPr>
        <w:t xml:space="preserve"> </w:t>
      </w:r>
      <w:r>
        <w:t>situation.</w:t>
      </w:r>
    </w:p>
    <w:p w:rsidR="001C5E4E" w:rsidRDefault="001C5E4E">
      <w:pPr>
        <w:pStyle w:val="BodyText"/>
        <w:spacing w:before="9"/>
        <w:rPr>
          <w:sz w:val="19"/>
        </w:rPr>
      </w:pPr>
    </w:p>
    <w:p w:rsidR="001C5E4E" w:rsidRDefault="003E09C0">
      <w:pPr>
        <w:pStyle w:val="ListParagraph"/>
        <w:numPr>
          <w:ilvl w:val="1"/>
          <w:numId w:val="2"/>
        </w:numPr>
        <w:tabs>
          <w:tab w:val="left" w:pos="1047"/>
          <w:tab w:val="left" w:pos="1048"/>
        </w:tabs>
        <w:spacing w:line="312" w:lineRule="auto"/>
        <w:ind w:right="653"/>
      </w:pPr>
      <w:r>
        <w:t>The Consultant will provide support and guidance but will not direct the investigation of relevant collisions as this is the responsibility of the</w:t>
      </w:r>
      <w:r>
        <w:rPr>
          <w:spacing w:val="-8"/>
        </w:rPr>
        <w:t xml:space="preserve"> </w:t>
      </w:r>
      <w:r>
        <w:t>Police.</w:t>
      </w:r>
    </w:p>
    <w:p w:rsidR="001C5E4E" w:rsidRDefault="001C5E4E">
      <w:pPr>
        <w:pStyle w:val="BodyText"/>
        <w:spacing w:before="8"/>
        <w:rPr>
          <w:sz w:val="19"/>
        </w:rPr>
      </w:pPr>
    </w:p>
    <w:p w:rsidR="001C5E4E" w:rsidRDefault="003E09C0">
      <w:pPr>
        <w:pStyle w:val="ListParagraph"/>
        <w:numPr>
          <w:ilvl w:val="1"/>
          <w:numId w:val="2"/>
        </w:numPr>
        <w:tabs>
          <w:tab w:val="left" w:pos="1047"/>
          <w:tab w:val="left" w:pos="1048"/>
        </w:tabs>
        <w:spacing w:line="312" w:lineRule="auto"/>
        <w:ind w:right="833"/>
      </w:pPr>
      <w:r>
        <w:t>The Consultant will be responsible for developing the necessary contacts and data sharing agreements with the Police to enable them to provide email, telephone and potentially on-site support.</w:t>
      </w:r>
    </w:p>
    <w:p w:rsidR="001C5E4E" w:rsidRDefault="001C5E4E">
      <w:pPr>
        <w:pStyle w:val="BodyText"/>
        <w:spacing w:before="10"/>
        <w:rPr>
          <w:sz w:val="19"/>
        </w:rPr>
      </w:pPr>
    </w:p>
    <w:p w:rsidR="001C5E4E" w:rsidRDefault="003E09C0">
      <w:pPr>
        <w:pStyle w:val="ListParagraph"/>
        <w:numPr>
          <w:ilvl w:val="1"/>
          <w:numId w:val="2"/>
        </w:numPr>
        <w:tabs>
          <w:tab w:val="left" w:pos="1047"/>
          <w:tab w:val="left" w:pos="1048"/>
        </w:tabs>
        <w:spacing w:line="312" w:lineRule="auto"/>
        <w:ind w:right="431"/>
      </w:pPr>
      <w:r>
        <w:t>The Consultant will be responsible for maintaining ongoing awareness of the support that has been made available by this</w:t>
      </w:r>
      <w:r>
        <w:rPr>
          <w:spacing w:val="-5"/>
        </w:rPr>
        <w:t xml:space="preserve"> </w:t>
      </w:r>
      <w:r>
        <w:t>contract.</w:t>
      </w:r>
    </w:p>
    <w:p w:rsidR="001C5E4E" w:rsidRDefault="001C5E4E">
      <w:pPr>
        <w:pStyle w:val="BodyText"/>
        <w:spacing w:before="5"/>
        <w:rPr>
          <w:sz w:val="19"/>
        </w:rPr>
      </w:pPr>
    </w:p>
    <w:p w:rsidR="001C5E4E" w:rsidRDefault="003E09C0">
      <w:pPr>
        <w:pStyle w:val="ListParagraph"/>
        <w:numPr>
          <w:ilvl w:val="1"/>
          <w:numId w:val="2"/>
        </w:numPr>
        <w:tabs>
          <w:tab w:val="left" w:pos="1047"/>
          <w:tab w:val="left" w:pos="1048"/>
        </w:tabs>
        <w:spacing w:before="1" w:line="314" w:lineRule="auto"/>
        <w:ind w:right="258"/>
      </w:pPr>
      <w:r>
        <w:t>The Consultant will keep a record of support provided and details of collisions excluding any personal or sensitive</w:t>
      </w:r>
      <w:r>
        <w:rPr>
          <w:spacing w:val="1"/>
        </w:rPr>
        <w:t xml:space="preserve"> </w:t>
      </w:r>
      <w:r>
        <w:t>data.</w:t>
      </w:r>
    </w:p>
    <w:p w:rsidR="001C5E4E" w:rsidRDefault="001C5E4E">
      <w:pPr>
        <w:pStyle w:val="BodyText"/>
        <w:spacing w:before="3"/>
        <w:rPr>
          <w:sz w:val="19"/>
        </w:rPr>
      </w:pPr>
    </w:p>
    <w:p w:rsidR="001C5E4E" w:rsidRDefault="003E09C0">
      <w:pPr>
        <w:pStyle w:val="ListParagraph"/>
        <w:numPr>
          <w:ilvl w:val="1"/>
          <w:numId w:val="2"/>
        </w:numPr>
        <w:tabs>
          <w:tab w:val="left" w:pos="1047"/>
          <w:tab w:val="left" w:pos="1048"/>
        </w:tabs>
        <w:spacing w:line="312" w:lineRule="auto"/>
        <w:ind w:right="436"/>
      </w:pPr>
      <w:r>
        <w:t>The contract will be for 3 years with annual break points and will include the possibility of two one- year</w:t>
      </w:r>
      <w:r>
        <w:rPr>
          <w:spacing w:val="-2"/>
        </w:rPr>
        <w:t xml:space="preserve"> </w:t>
      </w:r>
      <w:r>
        <w:t>extensions.</w:t>
      </w:r>
    </w:p>
    <w:p w:rsidR="001C5E4E" w:rsidRDefault="001C5E4E">
      <w:pPr>
        <w:pStyle w:val="BodyText"/>
        <w:spacing w:before="8"/>
        <w:rPr>
          <w:sz w:val="19"/>
        </w:rPr>
      </w:pPr>
    </w:p>
    <w:p w:rsidR="001C5E4E" w:rsidRDefault="003E09C0">
      <w:pPr>
        <w:pStyle w:val="Heading1"/>
        <w:numPr>
          <w:ilvl w:val="0"/>
          <w:numId w:val="2"/>
        </w:numPr>
        <w:tabs>
          <w:tab w:val="left" w:pos="1047"/>
          <w:tab w:val="left" w:pos="1048"/>
        </w:tabs>
      </w:pPr>
      <w:r>
        <w:t>THE REQUIREMENT – AUTOMATED VEHICLE COLLISION</w:t>
      </w:r>
      <w:r>
        <w:rPr>
          <w:spacing w:val="-7"/>
        </w:rPr>
        <w:t xml:space="preserve"> </w:t>
      </w:r>
      <w:r>
        <w:t>SUPPORT</w:t>
      </w:r>
    </w:p>
    <w:p w:rsidR="001C5E4E" w:rsidRDefault="001C5E4E">
      <w:pPr>
        <w:pStyle w:val="BodyText"/>
        <w:spacing w:before="4"/>
        <w:rPr>
          <w:b/>
          <w:sz w:val="26"/>
        </w:rPr>
      </w:pPr>
    </w:p>
    <w:p w:rsidR="001C5E4E" w:rsidRDefault="003E09C0">
      <w:pPr>
        <w:pStyle w:val="ListParagraph"/>
        <w:numPr>
          <w:ilvl w:val="1"/>
          <w:numId w:val="2"/>
        </w:numPr>
        <w:tabs>
          <w:tab w:val="left" w:pos="1047"/>
          <w:tab w:val="left" w:pos="1048"/>
        </w:tabs>
        <w:spacing w:before="1" w:line="312" w:lineRule="auto"/>
        <w:ind w:right="444"/>
      </w:pPr>
      <w:r>
        <w:t>The Consultant will establish a Memorandum of Understanding with Police Forces, on behalf of the Employer, liaising with appropriate National Police bodies such as National Roads Policing Intelligence Forum (NRPIF) to ensure engagement and support for notifications and subsequent collaboration.</w:t>
      </w:r>
    </w:p>
    <w:p w:rsidR="001C5E4E" w:rsidRDefault="001C5E4E">
      <w:pPr>
        <w:pStyle w:val="BodyText"/>
        <w:spacing w:before="8"/>
        <w:rPr>
          <w:sz w:val="19"/>
        </w:rPr>
      </w:pPr>
    </w:p>
    <w:p w:rsidR="001C5E4E" w:rsidRDefault="003E09C0">
      <w:pPr>
        <w:pStyle w:val="ListParagraph"/>
        <w:numPr>
          <w:ilvl w:val="1"/>
          <w:numId w:val="2"/>
        </w:numPr>
        <w:tabs>
          <w:tab w:val="left" w:pos="1047"/>
          <w:tab w:val="left" w:pos="1048"/>
        </w:tabs>
        <w:spacing w:line="312" w:lineRule="auto"/>
        <w:ind w:right="451"/>
      </w:pPr>
      <w:r>
        <w:t>Where necessary the Consultant will update current automated vehicle support guidelines that are currently published on the National Crime Agency intranet enabling Police officers to access the guidance. The contractor may opt to publish the guidelines in other locations with the approval of the Employer’s project</w:t>
      </w:r>
      <w:r>
        <w:rPr>
          <w:spacing w:val="-5"/>
        </w:rPr>
        <w:t xml:space="preserve"> </w:t>
      </w:r>
      <w:r>
        <w:t>officer.</w:t>
      </w:r>
    </w:p>
    <w:p w:rsidR="001C5E4E" w:rsidRDefault="001C5E4E">
      <w:pPr>
        <w:pStyle w:val="BodyText"/>
        <w:spacing w:before="9"/>
        <w:rPr>
          <w:sz w:val="19"/>
        </w:rPr>
      </w:pPr>
    </w:p>
    <w:p w:rsidR="001C5E4E" w:rsidRDefault="003E09C0">
      <w:pPr>
        <w:pStyle w:val="ListParagraph"/>
        <w:numPr>
          <w:ilvl w:val="1"/>
          <w:numId w:val="2"/>
        </w:numPr>
        <w:tabs>
          <w:tab w:val="left" w:pos="1047"/>
          <w:tab w:val="left" w:pos="1048"/>
        </w:tabs>
        <w:spacing w:line="312" w:lineRule="auto"/>
        <w:ind w:right="357"/>
      </w:pPr>
      <w:r>
        <w:t>The Consultant will setup a notification phone line and email address for use of the police which will be staffed during office hours (9am –</w:t>
      </w:r>
      <w:r>
        <w:rPr>
          <w:spacing w:val="-5"/>
        </w:rPr>
        <w:t xml:space="preserve"> </w:t>
      </w:r>
      <w:r>
        <w:t>5pm).</w:t>
      </w:r>
    </w:p>
    <w:p w:rsidR="001C5E4E" w:rsidRDefault="001C5E4E">
      <w:pPr>
        <w:spacing w:line="312" w:lineRule="auto"/>
        <w:sectPr w:rsidR="001C5E4E">
          <w:pgSz w:w="11910" w:h="16850"/>
          <w:pgMar w:top="1400" w:right="620" w:bottom="1080" w:left="940" w:header="1112" w:footer="892" w:gutter="0"/>
          <w:cols w:space="720"/>
        </w:sectPr>
      </w:pPr>
    </w:p>
    <w:p w:rsidR="001C5E4E" w:rsidRDefault="001C5E4E">
      <w:pPr>
        <w:pStyle w:val="BodyText"/>
        <w:spacing w:before="7"/>
      </w:pPr>
    </w:p>
    <w:p w:rsidR="001C5E4E" w:rsidRDefault="003E09C0">
      <w:pPr>
        <w:pStyle w:val="ListParagraph"/>
        <w:numPr>
          <w:ilvl w:val="1"/>
          <w:numId w:val="2"/>
        </w:numPr>
        <w:tabs>
          <w:tab w:val="left" w:pos="1047"/>
          <w:tab w:val="left" w:pos="1048"/>
        </w:tabs>
        <w:spacing w:before="56"/>
      </w:pPr>
      <w:r>
        <w:t>All calls/emails and subsequent activities will be logged, escalating and reporting to the</w:t>
      </w:r>
      <w:r>
        <w:rPr>
          <w:spacing w:val="-21"/>
        </w:rPr>
        <w:t xml:space="preserve"> </w:t>
      </w:r>
      <w:r>
        <w:t>Employer’s</w:t>
      </w:r>
    </w:p>
    <w:p w:rsidR="001C5E4E" w:rsidRDefault="003E09C0">
      <w:pPr>
        <w:pStyle w:val="BodyText"/>
        <w:spacing w:before="79"/>
        <w:ind w:left="1047"/>
      </w:pPr>
      <w:r>
        <w:t>project officer as necessary.</w:t>
      </w:r>
    </w:p>
    <w:p w:rsidR="001C5E4E" w:rsidRDefault="001C5E4E">
      <w:pPr>
        <w:pStyle w:val="BodyText"/>
        <w:spacing w:before="5"/>
        <w:rPr>
          <w:sz w:val="26"/>
        </w:rPr>
      </w:pPr>
    </w:p>
    <w:p w:rsidR="001C5E4E" w:rsidRDefault="003E09C0">
      <w:pPr>
        <w:pStyle w:val="ListParagraph"/>
        <w:numPr>
          <w:ilvl w:val="1"/>
          <w:numId w:val="2"/>
        </w:numPr>
        <w:tabs>
          <w:tab w:val="left" w:pos="1047"/>
          <w:tab w:val="left" w:pos="1048"/>
        </w:tabs>
      </w:pPr>
      <w:r>
        <w:t>The log will include the following information as a</w:t>
      </w:r>
      <w:r>
        <w:rPr>
          <w:spacing w:val="-12"/>
        </w:rPr>
        <w:t xml:space="preserve"> </w:t>
      </w:r>
      <w:r>
        <w:t>minimum:</w:t>
      </w:r>
    </w:p>
    <w:p w:rsidR="001C5E4E" w:rsidRDefault="001C5E4E">
      <w:pPr>
        <w:pStyle w:val="BodyText"/>
        <w:spacing w:before="2"/>
        <w:rPr>
          <w:sz w:val="26"/>
        </w:rPr>
      </w:pPr>
    </w:p>
    <w:p w:rsidR="001C5E4E" w:rsidRDefault="003E09C0">
      <w:pPr>
        <w:pStyle w:val="ListParagraph"/>
        <w:numPr>
          <w:ilvl w:val="2"/>
          <w:numId w:val="2"/>
        </w:numPr>
        <w:tabs>
          <w:tab w:val="left" w:pos="2038"/>
          <w:tab w:val="left" w:pos="2039"/>
        </w:tabs>
      </w:pPr>
      <w:r>
        <w:t>Collision</w:t>
      </w:r>
      <w:r>
        <w:rPr>
          <w:spacing w:val="-5"/>
        </w:rPr>
        <w:t xml:space="preserve"> </w:t>
      </w:r>
      <w:r>
        <w:t>severity;</w:t>
      </w:r>
    </w:p>
    <w:p w:rsidR="001C5E4E" w:rsidRDefault="001C5E4E">
      <w:pPr>
        <w:pStyle w:val="BodyText"/>
        <w:spacing w:before="2"/>
        <w:rPr>
          <w:sz w:val="26"/>
        </w:rPr>
      </w:pPr>
    </w:p>
    <w:p w:rsidR="001C5E4E" w:rsidRDefault="003E09C0">
      <w:pPr>
        <w:pStyle w:val="ListParagraph"/>
        <w:numPr>
          <w:ilvl w:val="2"/>
          <w:numId w:val="2"/>
        </w:numPr>
        <w:tabs>
          <w:tab w:val="left" w:pos="2038"/>
          <w:tab w:val="left" w:pos="2039"/>
        </w:tabs>
      </w:pPr>
      <w:r>
        <w:t>Number of automated vehicles</w:t>
      </w:r>
      <w:r>
        <w:rPr>
          <w:spacing w:val="-6"/>
        </w:rPr>
        <w:t xml:space="preserve"> </w:t>
      </w:r>
      <w:r>
        <w:t>involved;</w:t>
      </w:r>
    </w:p>
    <w:p w:rsidR="001C5E4E" w:rsidRDefault="001C5E4E">
      <w:pPr>
        <w:pStyle w:val="BodyText"/>
        <w:spacing w:before="4"/>
        <w:rPr>
          <w:sz w:val="26"/>
        </w:rPr>
      </w:pPr>
    </w:p>
    <w:p w:rsidR="001C5E4E" w:rsidRDefault="003E09C0">
      <w:pPr>
        <w:pStyle w:val="ListParagraph"/>
        <w:numPr>
          <w:ilvl w:val="2"/>
          <w:numId w:val="2"/>
        </w:numPr>
        <w:tabs>
          <w:tab w:val="left" w:pos="2038"/>
          <w:tab w:val="left" w:pos="2039"/>
        </w:tabs>
      </w:pPr>
      <w:r>
        <w:t>Number of ‘normal’ vehicles</w:t>
      </w:r>
      <w:r>
        <w:rPr>
          <w:spacing w:val="-3"/>
        </w:rPr>
        <w:t xml:space="preserve"> </w:t>
      </w:r>
      <w:r>
        <w:t>involved;</w:t>
      </w:r>
    </w:p>
    <w:p w:rsidR="001C5E4E" w:rsidRDefault="001C5E4E">
      <w:pPr>
        <w:pStyle w:val="BodyText"/>
        <w:spacing w:before="3"/>
        <w:rPr>
          <w:sz w:val="26"/>
        </w:rPr>
      </w:pPr>
    </w:p>
    <w:p w:rsidR="001C5E4E" w:rsidRDefault="003E09C0">
      <w:pPr>
        <w:pStyle w:val="ListParagraph"/>
        <w:numPr>
          <w:ilvl w:val="2"/>
          <w:numId w:val="2"/>
        </w:numPr>
        <w:tabs>
          <w:tab w:val="left" w:pos="2038"/>
          <w:tab w:val="left" w:pos="2039"/>
        </w:tabs>
      </w:pPr>
      <w:r>
        <w:t>Number and severity of casualties in automated</w:t>
      </w:r>
      <w:r>
        <w:rPr>
          <w:spacing w:val="-11"/>
        </w:rPr>
        <w:t xml:space="preserve"> </w:t>
      </w:r>
      <w:r>
        <w:t>vehicles;</w:t>
      </w:r>
    </w:p>
    <w:p w:rsidR="001C5E4E" w:rsidRDefault="001C5E4E">
      <w:pPr>
        <w:pStyle w:val="BodyText"/>
        <w:spacing w:before="4"/>
        <w:rPr>
          <w:sz w:val="26"/>
        </w:rPr>
      </w:pPr>
    </w:p>
    <w:p w:rsidR="001C5E4E" w:rsidRDefault="003E09C0">
      <w:pPr>
        <w:pStyle w:val="ListParagraph"/>
        <w:numPr>
          <w:ilvl w:val="2"/>
          <w:numId w:val="2"/>
        </w:numPr>
        <w:tabs>
          <w:tab w:val="left" w:pos="2038"/>
          <w:tab w:val="left" w:pos="2039"/>
        </w:tabs>
      </w:pPr>
      <w:r>
        <w:t>Number and severity of casualties in ‘normal’</w:t>
      </w:r>
      <w:r>
        <w:rPr>
          <w:spacing w:val="-7"/>
        </w:rPr>
        <w:t xml:space="preserve"> </w:t>
      </w:r>
      <w:r>
        <w:t>vehicles;</w:t>
      </w:r>
    </w:p>
    <w:p w:rsidR="001C5E4E" w:rsidRDefault="001C5E4E">
      <w:pPr>
        <w:pStyle w:val="BodyText"/>
        <w:spacing w:before="2"/>
        <w:rPr>
          <w:sz w:val="26"/>
        </w:rPr>
      </w:pPr>
    </w:p>
    <w:p w:rsidR="001C5E4E" w:rsidRDefault="003E09C0">
      <w:pPr>
        <w:pStyle w:val="ListParagraph"/>
        <w:numPr>
          <w:ilvl w:val="2"/>
          <w:numId w:val="2"/>
        </w:numPr>
        <w:tabs>
          <w:tab w:val="left" w:pos="2038"/>
          <w:tab w:val="left" w:pos="2039"/>
        </w:tabs>
        <w:spacing w:before="1"/>
      </w:pPr>
      <w:r>
        <w:t>Outline of the advice provided to the</w:t>
      </w:r>
      <w:r>
        <w:rPr>
          <w:spacing w:val="-6"/>
        </w:rPr>
        <w:t xml:space="preserve"> </w:t>
      </w:r>
      <w:r>
        <w:t>Police;</w:t>
      </w:r>
    </w:p>
    <w:p w:rsidR="001C5E4E" w:rsidRDefault="001C5E4E">
      <w:pPr>
        <w:pStyle w:val="BodyText"/>
        <w:spacing w:before="4"/>
        <w:rPr>
          <w:sz w:val="26"/>
        </w:rPr>
      </w:pPr>
    </w:p>
    <w:p w:rsidR="001C5E4E" w:rsidRDefault="003E09C0">
      <w:pPr>
        <w:pStyle w:val="ListParagraph"/>
        <w:numPr>
          <w:ilvl w:val="2"/>
          <w:numId w:val="2"/>
        </w:numPr>
        <w:tabs>
          <w:tab w:val="left" w:pos="2038"/>
          <w:tab w:val="left" w:pos="2039"/>
        </w:tabs>
      </w:pPr>
      <w:r>
        <w:t>Collision</w:t>
      </w:r>
      <w:r>
        <w:rPr>
          <w:spacing w:val="-8"/>
        </w:rPr>
        <w:t xml:space="preserve"> </w:t>
      </w:r>
      <w:r>
        <w:t>date;</w:t>
      </w:r>
    </w:p>
    <w:p w:rsidR="001C5E4E" w:rsidRDefault="001C5E4E">
      <w:pPr>
        <w:pStyle w:val="BodyText"/>
        <w:spacing w:before="2"/>
        <w:rPr>
          <w:sz w:val="26"/>
        </w:rPr>
      </w:pPr>
    </w:p>
    <w:p w:rsidR="001C5E4E" w:rsidRDefault="003E09C0">
      <w:pPr>
        <w:pStyle w:val="ListParagraph"/>
        <w:numPr>
          <w:ilvl w:val="2"/>
          <w:numId w:val="2"/>
        </w:numPr>
        <w:tabs>
          <w:tab w:val="left" w:pos="2038"/>
          <w:tab w:val="left" w:pos="2039"/>
        </w:tabs>
      </w:pPr>
      <w:r>
        <w:t>Collision</w:t>
      </w:r>
      <w:r>
        <w:rPr>
          <w:spacing w:val="-5"/>
        </w:rPr>
        <w:t xml:space="preserve"> </w:t>
      </w:r>
      <w:r>
        <w:t>time;</w:t>
      </w:r>
    </w:p>
    <w:p w:rsidR="001C5E4E" w:rsidRDefault="001C5E4E">
      <w:pPr>
        <w:pStyle w:val="BodyText"/>
        <w:spacing w:before="4"/>
        <w:rPr>
          <w:sz w:val="26"/>
        </w:rPr>
      </w:pPr>
    </w:p>
    <w:p w:rsidR="001C5E4E" w:rsidRDefault="003E09C0">
      <w:pPr>
        <w:pStyle w:val="ListParagraph"/>
        <w:numPr>
          <w:ilvl w:val="2"/>
          <w:numId w:val="2"/>
        </w:numPr>
        <w:tabs>
          <w:tab w:val="left" w:pos="2038"/>
          <w:tab w:val="left" w:pos="2039"/>
        </w:tabs>
        <w:spacing w:before="1"/>
      </w:pPr>
      <w:r>
        <w:t>Make/Model of vehicles</w:t>
      </w:r>
      <w:r>
        <w:rPr>
          <w:spacing w:val="-4"/>
        </w:rPr>
        <w:t xml:space="preserve"> </w:t>
      </w:r>
      <w:r>
        <w:t>involved;</w:t>
      </w:r>
    </w:p>
    <w:p w:rsidR="001C5E4E" w:rsidRDefault="001C5E4E">
      <w:pPr>
        <w:pStyle w:val="BodyText"/>
        <w:spacing w:before="1"/>
        <w:rPr>
          <w:sz w:val="26"/>
        </w:rPr>
      </w:pPr>
    </w:p>
    <w:p w:rsidR="001C5E4E" w:rsidRDefault="003E09C0">
      <w:pPr>
        <w:pStyle w:val="ListParagraph"/>
        <w:numPr>
          <w:ilvl w:val="2"/>
          <w:numId w:val="2"/>
        </w:numPr>
        <w:tabs>
          <w:tab w:val="left" w:pos="2038"/>
          <w:tab w:val="left" w:pos="2039"/>
        </w:tabs>
        <w:spacing w:before="1"/>
      </w:pPr>
      <w:r>
        <w:t>Police force;</w:t>
      </w:r>
    </w:p>
    <w:p w:rsidR="001C5E4E" w:rsidRDefault="001C5E4E">
      <w:pPr>
        <w:pStyle w:val="BodyText"/>
        <w:spacing w:before="4"/>
        <w:rPr>
          <w:sz w:val="26"/>
        </w:rPr>
      </w:pPr>
    </w:p>
    <w:p w:rsidR="001C5E4E" w:rsidRDefault="003E09C0">
      <w:pPr>
        <w:pStyle w:val="ListParagraph"/>
        <w:numPr>
          <w:ilvl w:val="2"/>
          <w:numId w:val="2"/>
        </w:numPr>
        <w:tabs>
          <w:tab w:val="left" w:pos="2038"/>
          <w:tab w:val="left" w:pos="2039"/>
        </w:tabs>
      </w:pPr>
      <w:r>
        <w:t>Police reference;</w:t>
      </w:r>
    </w:p>
    <w:p w:rsidR="001C5E4E" w:rsidRDefault="001C5E4E">
      <w:pPr>
        <w:pStyle w:val="BodyText"/>
        <w:spacing w:before="2"/>
        <w:rPr>
          <w:sz w:val="26"/>
        </w:rPr>
      </w:pPr>
    </w:p>
    <w:p w:rsidR="001C5E4E" w:rsidRDefault="003E09C0">
      <w:pPr>
        <w:pStyle w:val="ListParagraph"/>
        <w:numPr>
          <w:ilvl w:val="2"/>
          <w:numId w:val="2"/>
        </w:numPr>
        <w:tabs>
          <w:tab w:val="left" w:pos="2038"/>
          <w:tab w:val="left" w:pos="2039"/>
        </w:tabs>
        <w:spacing w:before="1"/>
      </w:pPr>
      <w:r>
        <w:t>Description of collision including details of automated systems fitted to</w:t>
      </w:r>
      <w:r>
        <w:rPr>
          <w:spacing w:val="-17"/>
        </w:rPr>
        <w:t xml:space="preserve"> </w:t>
      </w:r>
      <w:r>
        <w:t>vehicles.</w:t>
      </w:r>
    </w:p>
    <w:p w:rsidR="001C5E4E" w:rsidRDefault="001C5E4E">
      <w:pPr>
        <w:pStyle w:val="BodyText"/>
        <w:spacing w:before="4"/>
        <w:rPr>
          <w:sz w:val="26"/>
        </w:rPr>
      </w:pPr>
    </w:p>
    <w:p w:rsidR="001C5E4E" w:rsidRDefault="003E09C0">
      <w:pPr>
        <w:pStyle w:val="ListParagraph"/>
        <w:numPr>
          <w:ilvl w:val="1"/>
          <w:numId w:val="2"/>
        </w:numPr>
        <w:tabs>
          <w:tab w:val="left" w:pos="1047"/>
          <w:tab w:val="left" w:pos="1048"/>
        </w:tabs>
        <w:spacing w:line="312" w:lineRule="auto"/>
        <w:ind w:right="563"/>
      </w:pPr>
      <w:r>
        <w:t>The Consultant’s support team must have significant relevant experience of collision investigation and a detailed understanding of the technology and systems fitted to automated</w:t>
      </w:r>
      <w:r>
        <w:rPr>
          <w:spacing w:val="-20"/>
        </w:rPr>
        <w:t xml:space="preserve"> </w:t>
      </w:r>
      <w:r>
        <w:t>vehicles.</w:t>
      </w:r>
    </w:p>
    <w:p w:rsidR="001C5E4E" w:rsidRDefault="001C5E4E">
      <w:pPr>
        <w:pStyle w:val="BodyText"/>
        <w:spacing w:before="8"/>
        <w:rPr>
          <w:sz w:val="19"/>
        </w:rPr>
      </w:pPr>
    </w:p>
    <w:p w:rsidR="001C5E4E" w:rsidRDefault="003E09C0">
      <w:pPr>
        <w:pStyle w:val="ListParagraph"/>
        <w:numPr>
          <w:ilvl w:val="1"/>
          <w:numId w:val="2"/>
        </w:numPr>
        <w:tabs>
          <w:tab w:val="left" w:pos="1047"/>
          <w:tab w:val="left" w:pos="1048"/>
        </w:tabs>
        <w:spacing w:line="312" w:lineRule="auto"/>
        <w:ind w:right="541"/>
      </w:pPr>
      <w:r>
        <w:t>Up to an hour of telephone/email support per enquiry will be pre-authorised, additional time, site visits or vehicle examination will need specific authorisation from the Employer’s project</w:t>
      </w:r>
      <w:r>
        <w:rPr>
          <w:spacing w:val="-30"/>
        </w:rPr>
        <w:t xml:space="preserve"> </w:t>
      </w:r>
      <w:r>
        <w:t>officer.</w:t>
      </w:r>
    </w:p>
    <w:p w:rsidR="001C5E4E" w:rsidRDefault="001C5E4E">
      <w:pPr>
        <w:pStyle w:val="BodyText"/>
        <w:spacing w:before="9"/>
        <w:rPr>
          <w:sz w:val="19"/>
        </w:rPr>
      </w:pPr>
    </w:p>
    <w:p w:rsidR="001C5E4E" w:rsidRDefault="003E09C0">
      <w:pPr>
        <w:pStyle w:val="Heading1"/>
        <w:numPr>
          <w:ilvl w:val="0"/>
          <w:numId w:val="2"/>
        </w:numPr>
        <w:tabs>
          <w:tab w:val="left" w:pos="1047"/>
          <w:tab w:val="left" w:pos="1048"/>
        </w:tabs>
      </w:pPr>
      <w:r>
        <w:t>KEY MILESTONES AND</w:t>
      </w:r>
      <w:r>
        <w:rPr>
          <w:spacing w:val="-1"/>
        </w:rPr>
        <w:t xml:space="preserve"> </w:t>
      </w:r>
      <w:r>
        <w:t>DELIVERABLES</w:t>
      </w:r>
    </w:p>
    <w:p w:rsidR="001C5E4E" w:rsidRDefault="001C5E4E">
      <w:pPr>
        <w:pStyle w:val="BodyText"/>
        <w:spacing w:before="2"/>
        <w:rPr>
          <w:b/>
          <w:sz w:val="26"/>
        </w:rPr>
      </w:pPr>
    </w:p>
    <w:p w:rsidR="001C5E4E" w:rsidRDefault="003E09C0">
      <w:pPr>
        <w:pStyle w:val="ListParagraph"/>
        <w:numPr>
          <w:ilvl w:val="1"/>
          <w:numId w:val="2"/>
        </w:numPr>
        <w:tabs>
          <w:tab w:val="left" w:pos="1047"/>
          <w:tab w:val="left" w:pos="1048"/>
        </w:tabs>
        <w:spacing w:line="312" w:lineRule="auto"/>
        <w:ind w:right="869"/>
      </w:pPr>
      <w:r>
        <w:t>The Consultant will maintain a log of all enquiries and report immediately to the Employer any collisions of significant</w:t>
      </w:r>
      <w:r>
        <w:rPr>
          <w:spacing w:val="-4"/>
        </w:rPr>
        <w:t xml:space="preserve"> </w:t>
      </w:r>
      <w:r>
        <w:t>interest.</w:t>
      </w:r>
    </w:p>
    <w:p w:rsidR="001C5E4E" w:rsidRDefault="001C5E4E">
      <w:pPr>
        <w:pStyle w:val="BodyText"/>
        <w:spacing w:before="8"/>
        <w:rPr>
          <w:sz w:val="19"/>
        </w:rPr>
      </w:pPr>
    </w:p>
    <w:p w:rsidR="001C5E4E" w:rsidRDefault="003E09C0">
      <w:pPr>
        <w:pStyle w:val="ListParagraph"/>
        <w:numPr>
          <w:ilvl w:val="2"/>
          <w:numId w:val="2"/>
        </w:numPr>
        <w:tabs>
          <w:tab w:val="left" w:pos="2038"/>
          <w:tab w:val="left" w:pos="2039"/>
        </w:tabs>
      </w:pPr>
      <w:r>
        <w:t>The following Contract milestones/deliverables shall</w:t>
      </w:r>
      <w:r>
        <w:rPr>
          <w:spacing w:val="-11"/>
        </w:rPr>
        <w:t xml:space="preserve"> </w:t>
      </w:r>
      <w:r>
        <w:t>apply:</w:t>
      </w:r>
    </w:p>
    <w:p w:rsidR="001C5E4E" w:rsidRDefault="001C5E4E">
      <w:pPr>
        <w:pStyle w:val="BodyText"/>
        <w:spacing w:before="3"/>
        <w:rPr>
          <w:sz w:val="26"/>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6"/>
        <w:gridCol w:w="4339"/>
        <w:gridCol w:w="2638"/>
      </w:tblGrid>
      <w:tr w:rsidR="001C5E4E">
        <w:trPr>
          <w:trHeight w:val="659"/>
        </w:trPr>
        <w:tc>
          <w:tcPr>
            <w:tcW w:w="2936" w:type="dxa"/>
            <w:shd w:val="clear" w:color="auto" w:fill="C5D9F0"/>
          </w:tcPr>
          <w:p w:rsidR="001C5E4E" w:rsidRDefault="003E09C0">
            <w:pPr>
              <w:pStyle w:val="TableParagraph"/>
              <w:spacing w:before="133"/>
              <w:ind w:left="437"/>
              <w:rPr>
                <w:b/>
              </w:rPr>
            </w:pPr>
            <w:r>
              <w:rPr>
                <w:b/>
              </w:rPr>
              <w:t>Milestone/Deliverable</w:t>
            </w:r>
          </w:p>
        </w:tc>
        <w:tc>
          <w:tcPr>
            <w:tcW w:w="4339" w:type="dxa"/>
            <w:shd w:val="clear" w:color="auto" w:fill="C5D9F0"/>
          </w:tcPr>
          <w:p w:rsidR="001C5E4E" w:rsidRDefault="003E09C0">
            <w:pPr>
              <w:pStyle w:val="TableParagraph"/>
              <w:spacing w:before="133"/>
              <w:ind w:left="1623" w:right="1618"/>
              <w:jc w:val="center"/>
              <w:rPr>
                <w:b/>
              </w:rPr>
            </w:pPr>
            <w:r>
              <w:rPr>
                <w:b/>
              </w:rPr>
              <w:t>Description</w:t>
            </w:r>
          </w:p>
        </w:tc>
        <w:tc>
          <w:tcPr>
            <w:tcW w:w="2638" w:type="dxa"/>
            <w:shd w:val="clear" w:color="auto" w:fill="C5D9F0"/>
          </w:tcPr>
          <w:p w:rsidR="001C5E4E" w:rsidRDefault="003E09C0">
            <w:pPr>
              <w:pStyle w:val="TableParagraph"/>
              <w:ind w:left="1100" w:right="268" w:hanging="810"/>
              <w:rPr>
                <w:b/>
              </w:rPr>
            </w:pPr>
            <w:r>
              <w:rPr>
                <w:b/>
              </w:rPr>
              <w:t>Timeframe or Delivery Date</w:t>
            </w:r>
          </w:p>
        </w:tc>
      </w:tr>
    </w:tbl>
    <w:p w:rsidR="001C5E4E" w:rsidRDefault="001C5E4E">
      <w:pPr>
        <w:sectPr w:rsidR="001C5E4E">
          <w:pgSz w:w="11910" w:h="16850"/>
          <w:pgMar w:top="1400" w:right="620" w:bottom="1360" w:left="940" w:header="1112" w:footer="892" w:gutter="0"/>
          <w:cols w:space="720"/>
        </w:sectPr>
      </w:pPr>
    </w:p>
    <w:p w:rsidR="001C5E4E" w:rsidRDefault="001C5E4E">
      <w:pPr>
        <w:pStyle w:val="BodyText"/>
        <w:spacing w:before="2" w:after="1"/>
        <w:rPr>
          <w:sz w:val="27"/>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6"/>
        <w:gridCol w:w="4339"/>
        <w:gridCol w:w="2638"/>
      </w:tblGrid>
      <w:tr w:rsidR="001C5E4E">
        <w:trPr>
          <w:trHeight w:val="657"/>
        </w:trPr>
        <w:tc>
          <w:tcPr>
            <w:tcW w:w="2936" w:type="dxa"/>
          </w:tcPr>
          <w:p w:rsidR="001C5E4E" w:rsidRDefault="003E09C0">
            <w:pPr>
              <w:pStyle w:val="TableParagraph"/>
              <w:spacing w:before="133"/>
              <w:ind w:left="8"/>
              <w:jc w:val="center"/>
            </w:pPr>
            <w:r>
              <w:t>1</w:t>
            </w:r>
          </w:p>
        </w:tc>
        <w:tc>
          <w:tcPr>
            <w:tcW w:w="4339" w:type="dxa"/>
          </w:tcPr>
          <w:p w:rsidR="001C5E4E" w:rsidRDefault="003E09C0">
            <w:pPr>
              <w:pStyle w:val="TableParagraph"/>
              <w:ind w:left="108" w:right="193"/>
            </w:pPr>
            <w:r>
              <w:t>Where necessary update currently published automated vehicle support guidelines.</w:t>
            </w:r>
          </w:p>
        </w:tc>
        <w:tc>
          <w:tcPr>
            <w:tcW w:w="2638" w:type="dxa"/>
          </w:tcPr>
          <w:p w:rsidR="001C5E4E" w:rsidRDefault="003E09C0">
            <w:pPr>
              <w:pStyle w:val="TableParagraph"/>
              <w:ind w:left="454" w:right="428" w:firstLine="57"/>
            </w:pPr>
            <w:r>
              <w:t>Within 2 weeks of Contract Start Date</w:t>
            </w:r>
          </w:p>
        </w:tc>
      </w:tr>
      <w:tr w:rsidR="001C5E4E">
        <w:trPr>
          <w:trHeight w:val="657"/>
        </w:trPr>
        <w:tc>
          <w:tcPr>
            <w:tcW w:w="2936" w:type="dxa"/>
          </w:tcPr>
          <w:p w:rsidR="001C5E4E" w:rsidRDefault="003E09C0">
            <w:pPr>
              <w:pStyle w:val="TableParagraph"/>
              <w:spacing w:before="133"/>
              <w:ind w:left="8"/>
              <w:jc w:val="center"/>
            </w:pPr>
            <w:r>
              <w:t>2</w:t>
            </w:r>
          </w:p>
        </w:tc>
        <w:tc>
          <w:tcPr>
            <w:tcW w:w="4339" w:type="dxa"/>
          </w:tcPr>
          <w:p w:rsidR="001C5E4E" w:rsidRDefault="003E09C0">
            <w:pPr>
              <w:pStyle w:val="TableParagraph"/>
              <w:ind w:left="108" w:right="439"/>
            </w:pPr>
            <w:r>
              <w:t>Review and where necessary update MoU with National Police bodies.</w:t>
            </w:r>
          </w:p>
        </w:tc>
        <w:tc>
          <w:tcPr>
            <w:tcW w:w="2638" w:type="dxa"/>
          </w:tcPr>
          <w:p w:rsidR="001C5E4E" w:rsidRDefault="003E09C0">
            <w:pPr>
              <w:pStyle w:val="TableParagraph"/>
              <w:ind w:left="454" w:right="428" w:firstLine="40"/>
            </w:pPr>
            <w:r>
              <w:t>Within 1 month of Contract Start Date</w:t>
            </w:r>
          </w:p>
        </w:tc>
      </w:tr>
      <w:tr w:rsidR="001C5E4E">
        <w:trPr>
          <w:trHeight w:val="1730"/>
        </w:trPr>
        <w:tc>
          <w:tcPr>
            <w:tcW w:w="2936" w:type="dxa"/>
          </w:tcPr>
          <w:p w:rsidR="001C5E4E" w:rsidRDefault="001C5E4E">
            <w:pPr>
              <w:pStyle w:val="TableParagraph"/>
            </w:pPr>
          </w:p>
          <w:p w:rsidR="001C5E4E" w:rsidRDefault="001C5E4E">
            <w:pPr>
              <w:pStyle w:val="TableParagraph"/>
              <w:spacing w:before="9"/>
              <w:rPr>
                <w:sz w:val="32"/>
              </w:rPr>
            </w:pPr>
          </w:p>
          <w:p w:rsidR="001C5E4E" w:rsidRDefault="003E09C0">
            <w:pPr>
              <w:pStyle w:val="TableParagraph"/>
              <w:ind w:left="8"/>
              <w:jc w:val="center"/>
            </w:pPr>
            <w:r>
              <w:t>3</w:t>
            </w:r>
          </w:p>
        </w:tc>
        <w:tc>
          <w:tcPr>
            <w:tcW w:w="4339" w:type="dxa"/>
          </w:tcPr>
          <w:p w:rsidR="001C5E4E" w:rsidRDefault="001C5E4E">
            <w:pPr>
              <w:pStyle w:val="TableParagraph"/>
            </w:pPr>
          </w:p>
          <w:p w:rsidR="001C5E4E" w:rsidRDefault="001C5E4E">
            <w:pPr>
              <w:pStyle w:val="TableParagraph"/>
              <w:spacing w:before="9"/>
              <w:rPr>
                <w:sz w:val="21"/>
              </w:rPr>
            </w:pPr>
          </w:p>
          <w:p w:rsidR="001C5E4E" w:rsidRDefault="003E09C0">
            <w:pPr>
              <w:pStyle w:val="TableParagraph"/>
              <w:ind w:left="108" w:right="900"/>
            </w:pPr>
            <w:r>
              <w:t>Ongoing monitoring and reporting of enquiries from Police.</w:t>
            </w:r>
          </w:p>
        </w:tc>
        <w:tc>
          <w:tcPr>
            <w:tcW w:w="2638" w:type="dxa"/>
          </w:tcPr>
          <w:p w:rsidR="001C5E4E" w:rsidRDefault="003E09C0">
            <w:pPr>
              <w:pStyle w:val="TableParagraph"/>
              <w:ind w:left="108" w:right="98" w:hanging="6"/>
              <w:jc w:val="center"/>
            </w:pPr>
            <w:r>
              <w:t>Monthly reporting for financial purposes, quarterly reporting for performance and forecasting throughout the contract duration.</w:t>
            </w:r>
          </w:p>
        </w:tc>
      </w:tr>
    </w:tbl>
    <w:p w:rsidR="001C5E4E" w:rsidRDefault="001C5E4E">
      <w:pPr>
        <w:pStyle w:val="BodyText"/>
        <w:spacing w:before="3"/>
        <w:rPr>
          <w:sz w:val="27"/>
        </w:rPr>
      </w:pPr>
    </w:p>
    <w:p w:rsidR="001C5E4E" w:rsidRDefault="003E09C0">
      <w:pPr>
        <w:pStyle w:val="Heading1"/>
        <w:numPr>
          <w:ilvl w:val="0"/>
          <w:numId w:val="2"/>
        </w:numPr>
        <w:tabs>
          <w:tab w:val="left" w:pos="1047"/>
          <w:tab w:val="left" w:pos="1048"/>
        </w:tabs>
        <w:spacing w:before="56"/>
      </w:pPr>
      <w:r>
        <w:t>MANAGEMENT INFORMATION/REPORTING</w:t>
      </w:r>
    </w:p>
    <w:p w:rsidR="001C5E4E" w:rsidRDefault="001C5E4E">
      <w:pPr>
        <w:pStyle w:val="BodyText"/>
        <w:spacing w:before="4"/>
        <w:rPr>
          <w:b/>
          <w:sz w:val="26"/>
        </w:rPr>
      </w:pPr>
    </w:p>
    <w:p w:rsidR="001C5E4E" w:rsidRDefault="003E09C0">
      <w:pPr>
        <w:pStyle w:val="ListParagraph"/>
        <w:numPr>
          <w:ilvl w:val="1"/>
          <w:numId w:val="2"/>
        </w:numPr>
        <w:tabs>
          <w:tab w:val="left" w:pos="1047"/>
          <w:tab w:val="left" w:pos="1048"/>
        </w:tabs>
        <w:spacing w:line="312" w:lineRule="auto"/>
        <w:ind w:right="322"/>
      </w:pPr>
      <w:r>
        <w:t>Progress will be formally reviewed quarterly, however in instances where there are significant issues additional reporting may be</w:t>
      </w:r>
      <w:r>
        <w:rPr>
          <w:spacing w:val="-5"/>
        </w:rPr>
        <w:t xml:space="preserve"> </w:t>
      </w:r>
      <w:r>
        <w:t>required.</w:t>
      </w:r>
    </w:p>
    <w:p w:rsidR="001C5E4E" w:rsidRDefault="001C5E4E">
      <w:pPr>
        <w:pStyle w:val="BodyText"/>
        <w:spacing w:before="8"/>
        <w:rPr>
          <w:sz w:val="19"/>
        </w:rPr>
      </w:pPr>
    </w:p>
    <w:p w:rsidR="001C5E4E" w:rsidRDefault="003E09C0">
      <w:pPr>
        <w:pStyle w:val="Heading1"/>
        <w:numPr>
          <w:ilvl w:val="0"/>
          <w:numId w:val="2"/>
        </w:numPr>
        <w:tabs>
          <w:tab w:val="left" w:pos="1047"/>
          <w:tab w:val="left" w:pos="1048"/>
        </w:tabs>
        <w:spacing w:before="1"/>
      </w:pPr>
      <w:r>
        <w:t>VOLUMES</w:t>
      </w:r>
    </w:p>
    <w:p w:rsidR="001C5E4E" w:rsidRDefault="001C5E4E">
      <w:pPr>
        <w:pStyle w:val="BodyText"/>
        <w:spacing w:before="1"/>
        <w:rPr>
          <w:b/>
          <w:sz w:val="26"/>
        </w:rPr>
      </w:pPr>
    </w:p>
    <w:p w:rsidR="001C5E4E" w:rsidRDefault="003E09C0">
      <w:pPr>
        <w:pStyle w:val="ListParagraph"/>
        <w:numPr>
          <w:ilvl w:val="1"/>
          <w:numId w:val="2"/>
        </w:numPr>
        <w:tabs>
          <w:tab w:val="left" w:pos="1047"/>
          <w:tab w:val="left" w:pos="1048"/>
        </w:tabs>
        <w:spacing w:before="1"/>
      </w:pPr>
      <w:r>
        <w:t>The Employer does not expect significant numbers of</w:t>
      </w:r>
      <w:r>
        <w:rPr>
          <w:spacing w:val="-8"/>
        </w:rPr>
        <w:t xml:space="preserve"> </w:t>
      </w:r>
      <w:r>
        <w:t>collisions.</w:t>
      </w:r>
    </w:p>
    <w:p w:rsidR="001C5E4E" w:rsidRDefault="001C5E4E">
      <w:pPr>
        <w:pStyle w:val="BodyText"/>
        <w:spacing w:before="4"/>
        <w:rPr>
          <w:sz w:val="26"/>
        </w:rPr>
      </w:pPr>
    </w:p>
    <w:p w:rsidR="001C5E4E" w:rsidRDefault="003E09C0">
      <w:pPr>
        <w:pStyle w:val="Heading1"/>
        <w:numPr>
          <w:ilvl w:val="0"/>
          <w:numId w:val="2"/>
        </w:numPr>
        <w:tabs>
          <w:tab w:val="left" w:pos="1047"/>
          <w:tab w:val="left" w:pos="1048"/>
        </w:tabs>
      </w:pPr>
      <w:r>
        <w:t>CONTINUOUS</w:t>
      </w:r>
      <w:r>
        <w:rPr>
          <w:spacing w:val="-2"/>
        </w:rPr>
        <w:t xml:space="preserve"> </w:t>
      </w:r>
      <w:r>
        <w:t>IMPROVEMENT</w:t>
      </w:r>
    </w:p>
    <w:p w:rsidR="001C5E4E" w:rsidRDefault="001C5E4E">
      <w:pPr>
        <w:pStyle w:val="BodyText"/>
        <w:spacing w:before="2"/>
        <w:rPr>
          <w:b/>
          <w:sz w:val="26"/>
        </w:rPr>
      </w:pPr>
    </w:p>
    <w:p w:rsidR="001C5E4E" w:rsidRDefault="003E09C0">
      <w:pPr>
        <w:pStyle w:val="ListParagraph"/>
        <w:numPr>
          <w:ilvl w:val="1"/>
          <w:numId w:val="2"/>
        </w:numPr>
        <w:tabs>
          <w:tab w:val="left" w:pos="1047"/>
          <w:tab w:val="left" w:pos="1048"/>
        </w:tabs>
        <w:spacing w:line="312" w:lineRule="auto"/>
        <w:ind w:right="288"/>
      </w:pPr>
      <w:r>
        <w:t>The Consultant will be expected to continually improve the way in which the required Services are to be delivered throughout the Contract duration.</w:t>
      </w:r>
    </w:p>
    <w:p w:rsidR="001C5E4E" w:rsidRDefault="001C5E4E">
      <w:pPr>
        <w:pStyle w:val="BodyText"/>
        <w:spacing w:before="9"/>
        <w:rPr>
          <w:sz w:val="19"/>
        </w:rPr>
      </w:pPr>
    </w:p>
    <w:p w:rsidR="001C5E4E" w:rsidRDefault="003E09C0">
      <w:pPr>
        <w:pStyle w:val="ListParagraph"/>
        <w:numPr>
          <w:ilvl w:val="1"/>
          <w:numId w:val="2"/>
        </w:numPr>
        <w:tabs>
          <w:tab w:val="left" w:pos="1047"/>
          <w:tab w:val="left" w:pos="1048"/>
        </w:tabs>
        <w:spacing w:line="312" w:lineRule="auto"/>
        <w:ind w:right="445"/>
      </w:pPr>
      <w:r>
        <w:t>The Consultant can present new ways of working to the Employer during quarterly Contract review meetings.</w:t>
      </w:r>
    </w:p>
    <w:p w:rsidR="001C5E4E" w:rsidRDefault="001C5E4E">
      <w:pPr>
        <w:pStyle w:val="BodyText"/>
        <w:spacing w:before="8"/>
        <w:rPr>
          <w:sz w:val="19"/>
        </w:rPr>
      </w:pPr>
    </w:p>
    <w:p w:rsidR="001C5E4E" w:rsidRDefault="003E09C0">
      <w:pPr>
        <w:pStyle w:val="ListParagraph"/>
        <w:numPr>
          <w:ilvl w:val="1"/>
          <w:numId w:val="2"/>
        </w:numPr>
        <w:tabs>
          <w:tab w:val="left" w:pos="1047"/>
          <w:tab w:val="left" w:pos="1048"/>
        </w:tabs>
      </w:pPr>
      <w:r>
        <w:t>Changes to the way in which the Services are to be delivered must be brought to the</w:t>
      </w:r>
      <w:r>
        <w:rPr>
          <w:spacing w:val="-11"/>
        </w:rPr>
        <w:t xml:space="preserve"> </w:t>
      </w:r>
      <w:r>
        <w:t>Employer’s</w:t>
      </w:r>
    </w:p>
    <w:p w:rsidR="001C5E4E" w:rsidRDefault="003E09C0">
      <w:pPr>
        <w:pStyle w:val="BodyText"/>
        <w:spacing w:before="79"/>
        <w:ind w:left="1047"/>
      </w:pPr>
      <w:r>
        <w:t>attention and agreed prior to any changes being implemented.</w:t>
      </w:r>
    </w:p>
    <w:p w:rsidR="001C5E4E" w:rsidRDefault="001C5E4E">
      <w:pPr>
        <w:pStyle w:val="BodyText"/>
        <w:spacing w:before="5"/>
        <w:rPr>
          <w:sz w:val="26"/>
        </w:rPr>
      </w:pPr>
    </w:p>
    <w:p w:rsidR="001C5E4E" w:rsidRDefault="003E09C0">
      <w:pPr>
        <w:pStyle w:val="Heading1"/>
        <w:numPr>
          <w:ilvl w:val="0"/>
          <w:numId w:val="2"/>
        </w:numPr>
        <w:tabs>
          <w:tab w:val="left" w:pos="1047"/>
          <w:tab w:val="left" w:pos="1048"/>
        </w:tabs>
      </w:pPr>
      <w:r>
        <w:t>QUALITY</w:t>
      </w:r>
    </w:p>
    <w:p w:rsidR="001C5E4E" w:rsidRDefault="001C5E4E">
      <w:pPr>
        <w:pStyle w:val="BodyText"/>
        <w:spacing w:before="2"/>
        <w:rPr>
          <w:b/>
          <w:sz w:val="26"/>
        </w:rPr>
      </w:pPr>
    </w:p>
    <w:p w:rsidR="001C5E4E" w:rsidRDefault="003E09C0">
      <w:pPr>
        <w:pStyle w:val="ListParagraph"/>
        <w:numPr>
          <w:ilvl w:val="0"/>
          <w:numId w:val="2"/>
        </w:numPr>
        <w:tabs>
          <w:tab w:val="left" w:pos="1047"/>
          <w:tab w:val="left" w:pos="1048"/>
        </w:tabs>
        <w:spacing w:line="312" w:lineRule="auto"/>
        <w:ind w:right="333"/>
        <w:rPr>
          <w:b/>
        </w:rPr>
      </w:pPr>
      <w:r>
        <w:rPr>
          <w:i/>
        </w:rPr>
        <w:t xml:space="preserve">Every case will be subject to review by the technical management team </w:t>
      </w:r>
      <w:r>
        <w:t xml:space="preserve">– At the Tender Clarification stage a response to our question confirmed that this was included in error and therefore is not part of the scope. Throughout the contract period the Consultant must work with the appointed technical management team to ensure output is technically correct and of acceptable quality. </w:t>
      </w:r>
      <w:r>
        <w:rPr>
          <w:b/>
        </w:rPr>
        <w:t>STAFF AND CUSTOMER</w:t>
      </w:r>
      <w:r>
        <w:rPr>
          <w:b/>
          <w:spacing w:val="-6"/>
        </w:rPr>
        <w:t xml:space="preserve"> </w:t>
      </w:r>
      <w:r>
        <w:rPr>
          <w:b/>
        </w:rPr>
        <w:t>SERVICE</w:t>
      </w:r>
    </w:p>
    <w:p w:rsidR="001C5E4E" w:rsidRDefault="001C5E4E">
      <w:pPr>
        <w:pStyle w:val="BodyText"/>
        <w:spacing w:before="10"/>
        <w:rPr>
          <w:b/>
          <w:sz w:val="19"/>
        </w:rPr>
      </w:pPr>
    </w:p>
    <w:p w:rsidR="001C5E4E" w:rsidRDefault="003E09C0">
      <w:pPr>
        <w:pStyle w:val="ListParagraph"/>
        <w:numPr>
          <w:ilvl w:val="1"/>
          <w:numId w:val="2"/>
        </w:numPr>
        <w:tabs>
          <w:tab w:val="left" w:pos="1047"/>
          <w:tab w:val="left" w:pos="1048"/>
        </w:tabs>
        <w:spacing w:line="312" w:lineRule="auto"/>
        <w:ind w:right="328"/>
      </w:pPr>
      <w:r>
        <w:t>The Consultant shall provide a sufficient level of resource throughout the duration of the Contract in order to consistently deliver a quality</w:t>
      </w:r>
      <w:r>
        <w:rPr>
          <w:spacing w:val="-5"/>
        </w:rPr>
        <w:t xml:space="preserve"> </w:t>
      </w:r>
      <w:r>
        <w:t>service.</w:t>
      </w:r>
    </w:p>
    <w:p w:rsidR="001C5E4E" w:rsidRDefault="001C5E4E">
      <w:pPr>
        <w:pStyle w:val="BodyText"/>
        <w:spacing w:before="8"/>
        <w:rPr>
          <w:sz w:val="19"/>
        </w:rPr>
      </w:pPr>
    </w:p>
    <w:p w:rsidR="001C5E4E" w:rsidRDefault="003E09C0">
      <w:pPr>
        <w:pStyle w:val="ListParagraph"/>
        <w:numPr>
          <w:ilvl w:val="1"/>
          <w:numId w:val="2"/>
        </w:numPr>
        <w:tabs>
          <w:tab w:val="left" w:pos="1047"/>
          <w:tab w:val="left" w:pos="1048"/>
        </w:tabs>
      </w:pPr>
      <w:r>
        <w:t>The Consultant’s staff assigned to the Contract shall have the relevant qualifications and</w:t>
      </w:r>
      <w:r>
        <w:rPr>
          <w:spacing w:val="-22"/>
        </w:rPr>
        <w:t xml:space="preserve"> </w:t>
      </w:r>
      <w:r>
        <w:t>experience</w:t>
      </w:r>
    </w:p>
    <w:p w:rsidR="001C5E4E" w:rsidRDefault="001C5E4E">
      <w:pPr>
        <w:sectPr w:rsidR="001C5E4E">
          <w:pgSz w:w="11910" w:h="16850"/>
          <w:pgMar w:top="1400" w:right="620" w:bottom="1360" w:left="940" w:header="1112" w:footer="892" w:gutter="0"/>
          <w:cols w:space="720"/>
        </w:sectPr>
      </w:pPr>
    </w:p>
    <w:p w:rsidR="001C5E4E" w:rsidRDefault="001C5E4E">
      <w:pPr>
        <w:pStyle w:val="BodyText"/>
        <w:spacing w:before="7"/>
      </w:pPr>
    </w:p>
    <w:p w:rsidR="001C5E4E" w:rsidRDefault="003E09C0">
      <w:pPr>
        <w:pStyle w:val="BodyText"/>
        <w:spacing w:before="56"/>
        <w:ind w:left="1047"/>
      </w:pPr>
      <w:r>
        <w:t>to deliver the Contract to the required standard.</w:t>
      </w:r>
    </w:p>
    <w:p w:rsidR="001C5E4E" w:rsidRDefault="001C5E4E">
      <w:pPr>
        <w:pStyle w:val="BodyText"/>
        <w:spacing w:before="2"/>
        <w:rPr>
          <w:sz w:val="26"/>
        </w:rPr>
      </w:pPr>
    </w:p>
    <w:p w:rsidR="001C5E4E" w:rsidRDefault="003E09C0">
      <w:pPr>
        <w:pStyle w:val="ListParagraph"/>
        <w:numPr>
          <w:ilvl w:val="1"/>
          <w:numId w:val="2"/>
        </w:numPr>
        <w:tabs>
          <w:tab w:val="left" w:pos="1047"/>
          <w:tab w:val="left" w:pos="1048"/>
        </w:tabs>
        <w:spacing w:line="312" w:lineRule="auto"/>
        <w:ind w:right="828"/>
      </w:pPr>
      <w:r>
        <w:t>The Consultant shall ensure that staff understand the Employer’s vision and objectives and will provide excellent customer service to the Employer throughout the duration of the</w:t>
      </w:r>
      <w:r>
        <w:rPr>
          <w:spacing w:val="-21"/>
        </w:rPr>
        <w:t xml:space="preserve"> </w:t>
      </w:r>
      <w:r>
        <w:t>Contract.</w:t>
      </w:r>
    </w:p>
    <w:p w:rsidR="001C5E4E" w:rsidRDefault="001C5E4E">
      <w:pPr>
        <w:pStyle w:val="BodyText"/>
        <w:spacing w:before="8"/>
        <w:rPr>
          <w:sz w:val="19"/>
        </w:rPr>
      </w:pPr>
    </w:p>
    <w:p w:rsidR="001C5E4E" w:rsidRDefault="003E09C0">
      <w:pPr>
        <w:pStyle w:val="Heading1"/>
        <w:numPr>
          <w:ilvl w:val="0"/>
          <w:numId w:val="2"/>
        </w:numPr>
        <w:tabs>
          <w:tab w:val="left" w:pos="1047"/>
          <w:tab w:val="left" w:pos="1048"/>
        </w:tabs>
      </w:pPr>
      <w:r>
        <w:t>SERVICE LEVELS AND</w:t>
      </w:r>
      <w:r>
        <w:rPr>
          <w:spacing w:val="-4"/>
        </w:rPr>
        <w:t xml:space="preserve"> </w:t>
      </w:r>
      <w:r>
        <w:t>PERFORMANCE</w:t>
      </w:r>
    </w:p>
    <w:p w:rsidR="001C5E4E" w:rsidRDefault="001C5E4E">
      <w:pPr>
        <w:pStyle w:val="BodyText"/>
        <w:spacing w:before="2"/>
        <w:rPr>
          <w:b/>
          <w:sz w:val="26"/>
        </w:rPr>
      </w:pPr>
    </w:p>
    <w:p w:rsidR="001C5E4E" w:rsidRDefault="003E09C0">
      <w:pPr>
        <w:pStyle w:val="ListParagraph"/>
        <w:numPr>
          <w:ilvl w:val="1"/>
          <w:numId w:val="2"/>
        </w:numPr>
        <w:tabs>
          <w:tab w:val="left" w:pos="1047"/>
          <w:tab w:val="left" w:pos="1048"/>
        </w:tabs>
      </w:pPr>
      <w:r>
        <w:t>The Employer will measure the quality of the Consultant’s delivery using the following</w:t>
      </w:r>
      <w:r>
        <w:rPr>
          <w:spacing w:val="-23"/>
        </w:rPr>
        <w:t xml:space="preserve"> </w:t>
      </w:r>
      <w:r>
        <w:t>KPI/SLA.</w:t>
      </w:r>
    </w:p>
    <w:p w:rsidR="001C5E4E" w:rsidRDefault="001C5E4E">
      <w:pPr>
        <w:pStyle w:val="BodyText"/>
        <w:rPr>
          <w:sz w:val="20"/>
        </w:rPr>
      </w:pPr>
    </w:p>
    <w:p w:rsidR="001C5E4E" w:rsidRDefault="001C5E4E">
      <w:pPr>
        <w:pStyle w:val="BodyText"/>
        <w:rPr>
          <w:sz w:val="20"/>
        </w:rPr>
      </w:pPr>
    </w:p>
    <w:p w:rsidR="001C5E4E" w:rsidRDefault="001C5E4E">
      <w:pPr>
        <w:pStyle w:val="BodyText"/>
        <w:spacing w:before="3" w:after="1"/>
        <w:rPr>
          <w:sz w:val="18"/>
        </w:rPr>
      </w:pPr>
    </w:p>
    <w:tbl>
      <w:tblPr>
        <w:tblW w:w="0" w:type="auto"/>
        <w:tblInd w:w="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3"/>
        <w:gridCol w:w="1760"/>
        <w:gridCol w:w="3769"/>
        <w:gridCol w:w="1650"/>
      </w:tblGrid>
      <w:tr w:rsidR="001C5E4E">
        <w:trPr>
          <w:trHeight w:val="508"/>
        </w:trPr>
        <w:tc>
          <w:tcPr>
            <w:tcW w:w="1123" w:type="dxa"/>
            <w:shd w:val="clear" w:color="auto" w:fill="DBE4F0"/>
          </w:tcPr>
          <w:p w:rsidR="001C5E4E" w:rsidRDefault="003E09C0">
            <w:pPr>
              <w:pStyle w:val="TableParagraph"/>
              <w:spacing w:line="268" w:lineRule="exact"/>
              <w:ind w:left="196" w:right="187"/>
              <w:jc w:val="center"/>
            </w:pPr>
            <w:r>
              <w:t>KPI/SLA</w:t>
            </w:r>
          </w:p>
        </w:tc>
        <w:tc>
          <w:tcPr>
            <w:tcW w:w="1760" w:type="dxa"/>
            <w:shd w:val="clear" w:color="auto" w:fill="DBE4F0"/>
          </w:tcPr>
          <w:p w:rsidR="001C5E4E" w:rsidRDefault="003E09C0">
            <w:pPr>
              <w:pStyle w:val="TableParagraph"/>
              <w:spacing w:line="268" w:lineRule="exact"/>
              <w:ind w:left="323"/>
            </w:pPr>
            <w:r>
              <w:t>Service Area</w:t>
            </w:r>
          </w:p>
        </w:tc>
        <w:tc>
          <w:tcPr>
            <w:tcW w:w="3769" w:type="dxa"/>
            <w:shd w:val="clear" w:color="auto" w:fill="DBE4F0"/>
          </w:tcPr>
          <w:p w:rsidR="001C5E4E" w:rsidRDefault="003E09C0">
            <w:pPr>
              <w:pStyle w:val="TableParagraph"/>
              <w:spacing w:line="268" w:lineRule="exact"/>
              <w:ind w:left="1012"/>
            </w:pPr>
            <w:r>
              <w:t>KPI/SLA description</w:t>
            </w:r>
          </w:p>
        </w:tc>
        <w:tc>
          <w:tcPr>
            <w:tcW w:w="1650" w:type="dxa"/>
            <w:shd w:val="clear" w:color="auto" w:fill="DBE4F0"/>
          </w:tcPr>
          <w:p w:rsidR="001C5E4E" w:rsidRDefault="003E09C0">
            <w:pPr>
              <w:pStyle w:val="TableParagraph"/>
              <w:spacing w:line="268" w:lineRule="exact"/>
              <w:ind w:left="534"/>
            </w:pPr>
            <w:r>
              <w:t>Target</w:t>
            </w:r>
          </w:p>
        </w:tc>
      </w:tr>
      <w:tr w:rsidR="001C5E4E">
        <w:trPr>
          <w:trHeight w:val="1583"/>
        </w:trPr>
        <w:tc>
          <w:tcPr>
            <w:tcW w:w="1123" w:type="dxa"/>
          </w:tcPr>
          <w:p w:rsidR="001C5E4E" w:rsidRDefault="003E09C0">
            <w:pPr>
              <w:pStyle w:val="TableParagraph"/>
              <w:spacing w:line="268" w:lineRule="exact"/>
              <w:ind w:left="11"/>
              <w:jc w:val="center"/>
            </w:pPr>
            <w:r>
              <w:t>1</w:t>
            </w:r>
          </w:p>
        </w:tc>
        <w:tc>
          <w:tcPr>
            <w:tcW w:w="1760" w:type="dxa"/>
          </w:tcPr>
          <w:p w:rsidR="001C5E4E" w:rsidRDefault="003E09C0">
            <w:pPr>
              <w:pStyle w:val="TableParagraph"/>
              <w:ind w:left="107" w:right="674"/>
            </w:pPr>
            <w:r>
              <w:t>Telephone support</w:t>
            </w:r>
          </w:p>
        </w:tc>
        <w:tc>
          <w:tcPr>
            <w:tcW w:w="3769" w:type="dxa"/>
          </w:tcPr>
          <w:p w:rsidR="001C5E4E" w:rsidRDefault="003E09C0">
            <w:pPr>
              <w:pStyle w:val="TableParagraph"/>
              <w:spacing w:line="268" w:lineRule="exact"/>
              <w:ind w:left="107"/>
            </w:pPr>
            <w:r>
              <w:t>Availability of telephone support</w:t>
            </w:r>
          </w:p>
        </w:tc>
        <w:tc>
          <w:tcPr>
            <w:tcW w:w="1650" w:type="dxa"/>
          </w:tcPr>
          <w:p w:rsidR="001C5E4E" w:rsidRDefault="003E09C0">
            <w:pPr>
              <w:pStyle w:val="TableParagraph"/>
              <w:ind w:left="107" w:right="95"/>
              <w:jc w:val="both"/>
            </w:pPr>
            <w:r>
              <w:t xml:space="preserve">During </w:t>
            </w:r>
            <w:r>
              <w:rPr>
                <w:spacing w:val="-3"/>
              </w:rPr>
              <w:t xml:space="preserve">office </w:t>
            </w:r>
            <w:r>
              <w:t xml:space="preserve">hours (9am </w:t>
            </w:r>
            <w:r>
              <w:rPr>
                <w:spacing w:val="-14"/>
              </w:rPr>
              <w:t xml:space="preserve">– </w:t>
            </w:r>
            <w:r>
              <w:t xml:space="preserve">5pm), </w:t>
            </w:r>
            <w:r>
              <w:rPr>
                <w:spacing w:val="-4"/>
              </w:rPr>
              <w:t xml:space="preserve">with </w:t>
            </w:r>
            <w:r>
              <w:t xml:space="preserve">same </w:t>
            </w:r>
            <w:r>
              <w:rPr>
                <w:spacing w:val="-3"/>
              </w:rPr>
              <w:t xml:space="preserve">working </w:t>
            </w:r>
            <w:r>
              <w:t>day response</w:t>
            </w:r>
          </w:p>
        </w:tc>
      </w:tr>
      <w:tr w:rsidR="001C5E4E">
        <w:trPr>
          <w:trHeight w:val="508"/>
        </w:trPr>
        <w:tc>
          <w:tcPr>
            <w:tcW w:w="1123" w:type="dxa"/>
          </w:tcPr>
          <w:p w:rsidR="001C5E4E" w:rsidRDefault="003E09C0">
            <w:pPr>
              <w:pStyle w:val="TableParagraph"/>
              <w:spacing w:line="268" w:lineRule="exact"/>
              <w:ind w:left="11"/>
              <w:jc w:val="center"/>
            </w:pPr>
            <w:r>
              <w:t>2</w:t>
            </w:r>
          </w:p>
        </w:tc>
        <w:tc>
          <w:tcPr>
            <w:tcW w:w="1760" w:type="dxa"/>
          </w:tcPr>
          <w:p w:rsidR="001C5E4E" w:rsidRDefault="003E09C0">
            <w:pPr>
              <w:pStyle w:val="TableParagraph"/>
              <w:spacing w:line="268" w:lineRule="exact"/>
              <w:ind w:left="107"/>
            </w:pPr>
            <w:r>
              <w:t>Email support</w:t>
            </w:r>
          </w:p>
        </w:tc>
        <w:tc>
          <w:tcPr>
            <w:tcW w:w="3769" w:type="dxa"/>
          </w:tcPr>
          <w:p w:rsidR="001C5E4E" w:rsidRDefault="003E09C0">
            <w:pPr>
              <w:pStyle w:val="TableParagraph"/>
              <w:spacing w:line="268" w:lineRule="exact"/>
              <w:ind w:left="107"/>
            </w:pPr>
            <w:r>
              <w:t>Response time</w:t>
            </w:r>
          </w:p>
        </w:tc>
        <w:tc>
          <w:tcPr>
            <w:tcW w:w="1650" w:type="dxa"/>
          </w:tcPr>
          <w:p w:rsidR="001C5E4E" w:rsidRDefault="003E09C0">
            <w:pPr>
              <w:pStyle w:val="TableParagraph"/>
              <w:spacing w:line="268" w:lineRule="exact"/>
              <w:ind w:left="107"/>
            </w:pPr>
            <w:r>
              <w:t>1 working day</w:t>
            </w:r>
          </w:p>
        </w:tc>
      </w:tr>
    </w:tbl>
    <w:p w:rsidR="001C5E4E" w:rsidRDefault="001C5E4E">
      <w:pPr>
        <w:pStyle w:val="BodyText"/>
        <w:rPr>
          <w:sz w:val="20"/>
        </w:rPr>
      </w:pPr>
    </w:p>
    <w:p w:rsidR="001C5E4E" w:rsidRDefault="001C5E4E">
      <w:pPr>
        <w:pStyle w:val="BodyText"/>
        <w:rPr>
          <w:sz w:val="17"/>
        </w:rPr>
      </w:pPr>
    </w:p>
    <w:p w:rsidR="001C5E4E" w:rsidRDefault="003E09C0">
      <w:pPr>
        <w:pStyle w:val="Heading1"/>
        <w:numPr>
          <w:ilvl w:val="0"/>
          <w:numId w:val="2"/>
        </w:numPr>
        <w:tabs>
          <w:tab w:val="left" w:pos="1047"/>
          <w:tab w:val="left" w:pos="1048"/>
        </w:tabs>
        <w:spacing w:before="56"/>
      </w:pPr>
      <w:r>
        <w:t>SECURITY AND CONFIDENTIALITY</w:t>
      </w:r>
      <w:r>
        <w:rPr>
          <w:spacing w:val="-4"/>
        </w:rPr>
        <w:t xml:space="preserve"> </w:t>
      </w:r>
      <w:r>
        <w:t>REQUIREMENTS</w:t>
      </w:r>
    </w:p>
    <w:p w:rsidR="001C5E4E" w:rsidRDefault="001C5E4E">
      <w:pPr>
        <w:pStyle w:val="BodyText"/>
        <w:spacing w:before="2"/>
        <w:rPr>
          <w:b/>
          <w:sz w:val="26"/>
        </w:rPr>
      </w:pPr>
    </w:p>
    <w:p w:rsidR="001C5E4E" w:rsidRDefault="003E09C0">
      <w:pPr>
        <w:pStyle w:val="ListParagraph"/>
        <w:numPr>
          <w:ilvl w:val="1"/>
          <w:numId w:val="2"/>
        </w:numPr>
        <w:tabs>
          <w:tab w:val="left" w:pos="1047"/>
          <w:tab w:val="left" w:pos="1048"/>
        </w:tabs>
        <w:spacing w:line="314" w:lineRule="auto"/>
        <w:ind w:right="538"/>
      </w:pPr>
      <w:r>
        <w:t>The Consultant will ensure that the procedures in place to provide support to the Police adhere to the requirements of the Data Protection Act</w:t>
      </w:r>
      <w:r>
        <w:rPr>
          <w:spacing w:val="-8"/>
        </w:rPr>
        <w:t xml:space="preserve"> </w:t>
      </w:r>
      <w:r>
        <w:t>2018.</w:t>
      </w:r>
    </w:p>
    <w:p w:rsidR="001C5E4E" w:rsidRDefault="001C5E4E">
      <w:pPr>
        <w:pStyle w:val="BodyText"/>
        <w:spacing w:before="3"/>
        <w:rPr>
          <w:sz w:val="19"/>
        </w:rPr>
      </w:pPr>
    </w:p>
    <w:p w:rsidR="001C5E4E" w:rsidRDefault="003E09C0">
      <w:pPr>
        <w:pStyle w:val="Heading1"/>
        <w:numPr>
          <w:ilvl w:val="0"/>
          <w:numId w:val="2"/>
        </w:numPr>
        <w:tabs>
          <w:tab w:val="left" w:pos="1047"/>
          <w:tab w:val="left" w:pos="1048"/>
        </w:tabs>
      </w:pPr>
      <w:r>
        <w:t>PAYMENT AND</w:t>
      </w:r>
      <w:r>
        <w:rPr>
          <w:spacing w:val="-5"/>
        </w:rPr>
        <w:t xml:space="preserve"> </w:t>
      </w:r>
      <w:r>
        <w:t>INVOICING</w:t>
      </w:r>
    </w:p>
    <w:p w:rsidR="001C5E4E" w:rsidRDefault="001C5E4E">
      <w:pPr>
        <w:pStyle w:val="BodyText"/>
        <w:spacing w:before="5"/>
        <w:rPr>
          <w:b/>
          <w:sz w:val="26"/>
        </w:rPr>
      </w:pPr>
    </w:p>
    <w:p w:rsidR="001C5E4E" w:rsidRDefault="003E09C0">
      <w:pPr>
        <w:pStyle w:val="ListParagraph"/>
        <w:numPr>
          <w:ilvl w:val="1"/>
          <w:numId w:val="2"/>
        </w:numPr>
        <w:tabs>
          <w:tab w:val="left" w:pos="1047"/>
          <w:tab w:val="left" w:pos="1048"/>
        </w:tabs>
      </w:pPr>
      <w:r>
        <w:t>Invoices will be reviewed and paid</w:t>
      </w:r>
      <w:r>
        <w:rPr>
          <w:spacing w:val="-6"/>
        </w:rPr>
        <w:t xml:space="preserve"> </w:t>
      </w:r>
      <w:r>
        <w:t>monthly.</w:t>
      </w:r>
    </w:p>
    <w:p w:rsidR="001C5E4E" w:rsidRDefault="001C5E4E">
      <w:pPr>
        <w:pStyle w:val="BodyText"/>
        <w:spacing w:before="2"/>
        <w:rPr>
          <w:sz w:val="26"/>
        </w:rPr>
      </w:pPr>
    </w:p>
    <w:p w:rsidR="001C5E4E" w:rsidRDefault="003E09C0">
      <w:pPr>
        <w:pStyle w:val="ListParagraph"/>
        <w:numPr>
          <w:ilvl w:val="1"/>
          <w:numId w:val="2"/>
        </w:numPr>
        <w:tabs>
          <w:tab w:val="left" w:pos="1047"/>
          <w:tab w:val="left" w:pos="1048"/>
        </w:tabs>
      </w:pPr>
      <w:r>
        <w:t>Payment can only be made following satisfactory delivery of pre-agreed services and</w:t>
      </w:r>
      <w:r>
        <w:rPr>
          <w:spacing w:val="-25"/>
        </w:rPr>
        <w:t xml:space="preserve"> </w:t>
      </w:r>
      <w:r>
        <w:t>deliverables.</w:t>
      </w:r>
    </w:p>
    <w:p w:rsidR="001C5E4E" w:rsidRDefault="001C5E4E">
      <w:pPr>
        <w:pStyle w:val="BodyText"/>
        <w:spacing w:before="4"/>
        <w:rPr>
          <w:sz w:val="26"/>
        </w:rPr>
      </w:pPr>
    </w:p>
    <w:p w:rsidR="001C5E4E" w:rsidRDefault="003E09C0">
      <w:pPr>
        <w:pStyle w:val="ListParagraph"/>
        <w:numPr>
          <w:ilvl w:val="1"/>
          <w:numId w:val="2"/>
        </w:numPr>
        <w:tabs>
          <w:tab w:val="left" w:pos="1047"/>
          <w:tab w:val="left" w:pos="1048"/>
        </w:tabs>
        <w:spacing w:line="312" w:lineRule="auto"/>
        <w:ind w:right="254"/>
      </w:pPr>
      <w:r>
        <w:t>Before payment can be considered, each invoice will be supported by a summary breakdown of work completed and the associated</w:t>
      </w:r>
      <w:r>
        <w:rPr>
          <w:spacing w:val="-5"/>
        </w:rPr>
        <w:t xml:space="preserve"> </w:t>
      </w:r>
      <w:r>
        <w:t>charges.</w:t>
      </w:r>
    </w:p>
    <w:p w:rsidR="001C5E4E" w:rsidRDefault="001C5E4E">
      <w:pPr>
        <w:pStyle w:val="BodyText"/>
        <w:spacing w:before="7"/>
        <w:rPr>
          <w:sz w:val="19"/>
        </w:rPr>
      </w:pPr>
    </w:p>
    <w:p w:rsidR="001C5E4E" w:rsidRDefault="003E09C0">
      <w:pPr>
        <w:pStyle w:val="ListParagraph"/>
        <w:numPr>
          <w:ilvl w:val="1"/>
          <w:numId w:val="2"/>
        </w:numPr>
        <w:tabs>
          <w:tab w:val="left" w:pos="1047"/>
          <w:tab w:val="left" w:pos="1048"/>
        </w:tabs>
      </w:pPr>
      <w:r>
        <w:t>Invoices should be submitted</w:t>
      </w:r>
      <w:r>
        <w:rPr>
          <w:spacing w:val="-1"/>
        </w:rPr>
        <w:t xml:space="preserve"> </w:t>
      </w:r>
      <w:r>
        <w:t>to:</w:t>
      </w:r>
    </w:p>
    <w:p w:rsidR="001C5E4E" w:rsidRDefault="001C5E4E">
      <w:pPr>
        <w:pStyle w:val="BodyText"/>
        <w:spacing w:before="4"/>
        <w:rPr>
          <w:sz w:val="26"/>
        </w:rPr>
      </w:pPr>
    </w:p>
    <w:p w:rsidR="001C5E4E" w:rsidRDefault="003E09C0">
      <w:pPr>
        <w:pStyle w:val="BodyText"/>
        <w:spacing w:line="453" w:lineRule="auto"/>
        <w:ind w:left="1635" w:right="6284"/>
      </w:pPr>
      <w:r>
        <w:t>DfT Shared Services Centre Accounts Payable Team</w:t>
      </w:r>
    </w:p>
    <w:p w:rsidR="001C5E4E" w:rsidRDefault="003E09C0">
      <w:pPr>
        <w:pStyle w:val="BodyText"/>
        <w:spacing w:before="3" w:line="348" w:lineRule="auto"/>
        <w:ind w:left="1635" w:right="6907"/>
      </w:pPr>
      <w:r>
        <w:t>5 Sandringham Park Swansea Vale Swansea</w:t>
      </w:r>
    </w:p>
    <w:p w:rsidR="001C5E4E" w:rsidRDefault="001C5E4E">
      <w:pPr>
        <w:spacing w:line="348" w:lineRule="auto"/>
        <w:sectPr w:rsidR="001C5E4E">
          <w:pgSz w:w="11910" w:h="16850"/>
          <w:pgMar w:top="1400" w:right="620" w:bottom="1360" w:left="940" w:header="1112" w:footer="892" w:gutter="0"/>
          <w:cols w:space="720"/>
        </w:sectPr>
      </w:pPr>
    </w:p>
    <w:p w:rsidR="001C5E4E" w:rsidRDefault="001C5E4E">
      <w:pPr>
        <w:pStyle w:val="BodyText"/>
        <w:spacing w:before="7"/>
      </w:pPr>
    </w:p>
    <w:p w:rsidR="001C5E4E" w:rsidRDefault="003E09C0">
      <w:pPr>
        <w:pStyle w:val="Heading1"/>
        <w:numPr>
          <w:ilvl w:val="0"/>
          <w:numId w:val="2"/>
        </w:numPr>
        <w:tabs>
          <w:tab w:val="left" w:pos="1047"/>
          <w:tab w:val="left" w:pos="1048"/>
        </w:tabs>
        <w:spacing w:before="56"/>
      </w:pPr>
      <w:r>
        <w:t>CONTRACT MANAGEMENT</w:t>
      </w:r>
    </w:p>
    <w:p w:rsidR="001C5E4E" w:rsidRDefault="001C5E4E">
      <w:pPr>
        <w:pStyle w:val="BodyText"/>
        <w:spacing w:before="2"/>
        <w:rPr>
          <w:b/>
          <w:sz w:val="26"/>
        </w:rPr>
      </w:pPr>
    </w:p>
    <w:p w:rsidR="001C5E4E" w:rsidRDefault="003E09C0">
      <w:pPr>
        <w:pStyle w:val="ListParagraph"/>
        <w:numPr>
          <w:ilvl w:val="1"/>
          <w:numId w:val="2"/>
        </w:numPr>
        <w:tabs>
          <w:tab w:val="left" w:pos="1047"/>
          <w:tab w:val="left" w:pos="1048"/>
        </w:tabs>
      </w:pPr>
      <w:r>
        <w:t>Attendance at Contract Review meetings shall be at the Consultant’s own</w:t>
      </w:r>
      <w:r>
        <w:rPr>
          <w:spacing w:val="-10"/>
        </w:rPr>
        <w:t xml:space="preserve"> </w:t>
      </w:r>
      <w:r>
        <w:t>expense.</w:t>
      </w:r>
    </w:p>
    <w:p w:rsidR="001C5E4E" w:rsidRDefault="001C5E4E">
      <w:pPr>
        <w:pStyle w:val="BodyText"/>
        <w:spacing w:before="4"/>
        <w:rPr>
          <w:sz w:val="26"/>
        </w:rPr>
      </w:pPr>
    </w:p>
    <w:p w:rsidR="001C5E4E" w:rsidRDefault="003E09C0">
      <w:pPr>
        <w:pStyle w:val="Heading1"/>
        <w:numPr>
          <w:ilvl w:val="0"/>
          <w:numId w:val="2"/>
        </w:numPr>
        <w:tabs>
          <w:tab w:val="left" w:pos="1047"/>
          <w:tab w:val="left" w:pos="1048"/>
        </w:tabs>
      </w:pPr>
      <w:r>
        <w:t>LOCATION</w:t>
      </w:r>
    </w:p>
    <w:p w:rsidR="001C5E4E" w:rsidRDefault="001C5E4E">
      <w:pPr>
        <w:pStyle w:val="BodyText"/>
        <w:spacing w:before="2"/>
        <w:rPr>
          <w:b/>
          <w:sz w:val="26"/>
        </w:rPr>
      </w:pPr>
    </w:p>
    <w:p w:rsidR="001C5E4E" w:rsidRDefault="003E09C0">
      <w:pPr>
        <w:pStyle w:val="ListParagraph"/>
        <w:numPr>
          <w:ilvl w:val="1"/>
          <w:numId w:val="2"/>
        </w:numPr>
        <w:tabs>
          <w:tab w:val="left" w:pos="1047"/>
          <w:tab w:val="left" w:pos="1048"/>
        </w:tabs>
        <w:spacing w:line="312" w:lineRule="auto"/>
        <w:ind w:right="554"/>
      </w:pPr>
      <w:r>
        <w:t>The support provided for road vehicle collisions on the roads of Great Britain. The Consultant may carry out work from a location of their</w:t>
      </w:r>
      <w:r>
        <w:rPr>
          <w:spacing w:val="-11"/>
        </w:rPr>
        <w:t xml:space="preserve"> </w:t>
      </w:r>
      <w:r>
        <w:t>choice.</w:t>
      </w:r>
    </w:p>
    <w:p w:rsidR="001C5E4E" w:rsidRDefault="001C5E4E">
      <w:pPr>
        <w:pStyle w:val="BodyText"/>
        <w:spacing w:before="8"/>
        <w:rPr>
          <w:sz w:val="19"/>
        </w:rPr>
      </w:pPr>
    </w:p>
    <w:p w:rsidR="001C5E4E" w:rsidRDefault="003E09C0">
      <w:pPr>
        <w:pStyle w:val="BodyText"/>
        <w:spacing w:before="1"/>
        <w:ind w:left="1030" w:right="1061"/>
        <w:jc w:val="center"/>
      </w:pPr>
      <w:r>
        <w:rPr>
          <w:color w:val="FF0000"/>
        </w:rPr>
        <w:t>TENDER RESPONSE</w:t>
      </w:r>
    </w:p>
    <w:p w:rsidR="001C5E4E" w:rsidRDefault="001C5E4E">
      <w:pPr>
        <w:pStyle w:val="BodyText"/>
        <w:spacing w:before="2"/>
        <w:rPr>
          <w:sz w:val="26"/>
        </w:rPr>
      </w:pPr>
    </w:p>
    <w:p w:rsidR="001C5E4E" w:rsidRDefault="007A4639">
      <w:pPr>
        <w:pStyle w:val="BodyText"/>
        <w:ind w:left="1030" w:right="1060"/>
        <w:jc w:val="center"/>
      </w:pPr>
      <w:r>
        <w:rPr>
          <w:color w:val="FF0000"/>
        </w:rPr>
        <w:t>REDACTED</w:t>
      </w:r>
    </w:p>
    <w:p w:rsidR="001C5E4E" w:rsidRDefault="001C5E4E">
      <w:pPr>
        <w:jc w:val="center"/>
        <w:sectPr w:rsidR="001C5E4E">
          <w:pgSz w:w="11910" w:h="16850"/>
          <w:pgMar w:top="1400" w:right="620" w:bottom="1360" w:left="940" w:header="1112" w:footer="892" w:gutter="0"/>
          <w:cols w:space="720"/>
        </w:sectPr>
      </w:pPr>
    </w:p>
    <w:p w:rsidR="001C5E4E" w:rsidRDefault="001C5E4E">
      <w:pPr>
        <w:pStyle w:val="BodyText"/>
        <w:spacing w:before="7"/>
      </w:pPr>
    </w:p>
    <w:p w:rsidR="001C5E4E" w:rsidRDefault="003E09C0">
      <w:pPr>
        <w:pStyle w:val="Heading1"/>
        <w:numPr>
          <w:ilvl w:val="0"/>
          <w:numId w:val="1"/>
        </w:numPr>
        <w:tabs>
          <w:tab w:val="left" w:pos="1275"/>
          <w:tab w:val="left" w:pos="1276"/>
        </w:tabs>
        <w:spacing w:before="56"/>
        <w:ind w:right="608"/>
      </w:pPr>
      <w:bookmarkStart w:id="6" w:name="_bookmark5"/>
      <w:bookmarkEnd w:id="6"/>
      <w:r>
        <w:rPr>
          <w:color w:val="C00000"/>
          <w:u w:val="single" w:color="C00000"/>
        </w:rPr>
        <w:t>PROFESSIONAL SERVICES CONTRACT ANNEX F – SCHEDULE OF WORK &amp; PRICING (INCLUDING PRICE LIST FROM ORIGINAL TENDER</w:t>
      </w:r>
      <w:r>
        <w:rPr>
          <w:color w:val="C00000"/>
          <w:spacing w:val="-5"/>
          <w:u w:val="single" w:color="C00000"/>
        </w:rPr>
        <w:t xml:space="preserve"> </w:t>
      </w:r>
      <w:r>
        <w:rPr>
          <w:color w:val="C00000"/>
          <w:u w:val="single" w:color="C00000"/>
        </w:rPr>
        <w:t>RESPONSE)</w:t>
      </w:r>
    </w:p>
    <w:p w:rsidR="001C5E4E" w:rsidRDefault="001C5E4E">
      <w:pPr>
        <w:pStyle w:val="BodyText"/>
        <w:spacing w:before="11"/>
        <w:rPr>
          <w:b/>
          <w:sz w:val="11"/>
        </w:rPr>
      </w:pPr>
    </w:p>
    <w:p w:rsidR="001C5E4E" w:rsidRDefault="001C5E4E">
      <w:pPr>
        <w:spacing w:line="264" w:lineRule="auto"/>
        <w:rPr>
          <w:rFonts w:ascii="Arial"/>
        </w:rPr>
      </w:pPr>
    </w:p>
    <w:p w:rsidR="007A4639" w:rsidRDefault="007A4639">
      <w:pPr>
        <w:spacing w:line="264" w:lineRule="auto"/>
        <w:rPr>
          <w:rFonts w:ascii="Arial"/>
        </w:rPr>
      </w:pPr>
    </w:p>
    <w:p w:rsidR="007A4639" w:rsidRDefault="007A4639" w:rsidP="007A4639">
      <w:pPr>
        <w:spacing w:line="264" w:lineRule="auto"/>
        <w:ind w:firstLine="720"/>
        <w:rPr>
          <w:rFonts w:ascii="Arial"/>
        </w:rPr>
        <w:sectPr w:rsidR="007A4639">
          <w:pgSz w:w="11910" w:h="16850"/>
          <w:pgMar w:top="1400" w:right="620" w:bottom="1360" w:left="940" w:header="1112" w:footer="892" w:gutter="0"/>
          <w:cols w:space="720"/>
        </w:sectPr>
      </w:pPr>
      <w:r>
        <w:rPr>
          <w:rFonts w:ascii="Arial"/>
        </w:rPr>
        <w:t xml:space="preserve">REDACTED </w:t>
      </w:r>
    </w:p>
    <w:p w:rsidR="001C5E4E" w:rsidRDefault="001C5E4E">
      <w:pPr>
        <w:pStyle w:val="BodyText"/>
        <w:spacing w:before="10"/>
        <w:rPr>
          <w:rFonts w:ascii="Arial"/>
        </w:rPr>
      </w:pPr>
    </w:p>
    <w:p w:rsidR="001C5E4E" w:rsidRDefault="001C5E4E">
      <w:pPr>
        <w:pStyle w:val="BodyText"/>
        <w:rPr>
          <w:sz w:val="10"/>
        </w:rPr>
      </w:pPr>
    </w:p>
    <w:p w:rsidR="001C5E4E" w:rsidRDefault="001C5E4E">
      <w:pPr>
        <w:pStyle w:val="BodyText"/>
        <w:rPr>
          <w:sz w:val="10"/>
        </w:rPr>
      </w:pPr>
    </w:p>
    <w:p w:rsidR="001C5E4E" w:rsidRDefault="001C5E4E">
      <w:pPr>
        <w:pStyle w:val="BodyText"/>
        <w:rPr>
          <w:sz w:val="10"/>
        </w:rPr>
      </w:pPr>
    </w:p>
    <w:p w:rsidR="001C5E4E" w:rsidRDefault="001C5E4E">
      <w:pPr>
        <w:pStyle w:val="BodyText"/>
        <w:rPr>
          <w:sz w:val="10"/>
        </w:rPr>
      </w:pPr>
    </w:p>
    <w:p w:rsidR="001C5E4E" w:rsidRDefault="001C5E4E">
      <w:pPr>
        <w:pStyle w:val="BodyText"/>
        <w:rPr>
          <w:sz w:val="10"/>
        </w:rPr>
      </w:pPr>
    </w:p>
    <w:p w:rsidR="001C5E4E" w:rsidRDefault="001C5E4E">
      <w:pPr>
        <w:pStyle w:val="BodyText"/>
        <w:rPr>
          <w:sz w:val="10"/>
        </w:rPr>
      </w:pPr>
    </w:p>
    <w:p w:rsidR="001C5E4E" w:rsidRDefault="003E09C0">
      <w:pPr>
        <w:pStyle w:val="Heading1"/>
        <w:numPr>
          <w:ilvl w:val="0"/>
          <w:numId w:val="1"/>
        </w:numPr>
        <w:tabs>
          <w:tab w:val="left" w:pos="1276"/>
        </w:tabs>
        <w:spacing w:before="56"/>
        <w:ind w:hanging="361"/>
      </w:pPr>
      <w:bookmarkStart w:id="7" w:name="_bookmark6"/>
      <w:bookmarkEnd w:id="7"/>
      <w:r>
        <w:rPr>
          <w:color w:val="C00000"/>
          <w:u w:val="single" w:color="C00000"/>
        </w:rPr>
        <w:t>PROFESSIONAL SERVICES CONTRACT ANNEX G – STAFF TRANSFER – NOT</w:t>
      </w:r>
      <w:r>
        <w:rPr>
          <w:color w:val="C00000"/>
          <w:spacing w:val="-6"/>
          <w:u w:val="single" w:color="C00000"/>
        </w:rPr>
        <w:t xml:space="preserve"> </w:t>
      </w:r>
      <w:r>
        <w:rPr>
          <w:color w:val="C00000"/>
          <w:u w:val="single" w:color="C00000"/>
        </w:rPr>
        <w:t>USED</w:t>
      </w:r>
    </w:p>
    <w:sectPr w:rsidR="001C5E4E">
      <w:pgSz w:w="11910" w:h="16850"/>
      <w:pgMar w:top="1400" w:right="620" w:bottom="1360" w:left="940" w:header="1112" w:footer="8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DDF" w:rsidRDefault="001D3DDF">
      <w:r>
        <w:separator/>
      </w:r>
    </w:p>
  </w:endnote>
  <w:endnote w:type="continuationSeparator" w:id="0">
    <w:p w:rsidR="001D3DDF" w:rsidRDefault="001D3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9C0" w:rsidRDefault="001D3DDF">
    <w:pPr>
      <w:pStyle w:val="BodyText"/>
      <w:spacing w:line="14" w:lineRule="auto"/>
      <w:rPr>
        <w:sz w:val="17"/>
      </w:rPr>
    </w:pPr>
    <w:r>
      <w:pict>
        <v:shapetype id="_x0000_t202" coordsize="21600,21600" o:spt="202" path="m,l,21600r21600,l21600,xe">
          <v:stroke joinstyle="miter"/>
          <v:path gradientshapeok="t" o:connecttype="rect"/>
        </v:shapetype>
        <v:shape id="_x0000_s2054" type="#_x0000_t202" style="position:absolute;margin-left:288.55pt;margin-top:780pt;width:18.25pt;height:14.35pt;z-index:-17499136;mso-position-horizontal-relative:page;mso-position-vertical-relative:page" filled="f" stroked="f">
          <v:textbox inset="0,0,0,0">
            <w:txbxContent>
              <w:p w:rsidR="003E09C0" w:rsidRDefault="003E09C0">
                <w:pPr>
                  <w:pStyle w:val="BodyText"/>
                  <w:spacing w:before="13"/>
                  <w:ind w:left="60"/>
                  <w:rPr>
                    <w:rFonts w:ascii="Arial"/>
                  </w:rPr>
                </w:pPr>
                <w:r>
                  <w:fldChar w:fldCharType="begin"/>
                </w:r>
                <w:r>
                  <w:rPr>
                    <w:rFonts w:ascii="Arial"/>
                  </w:rPr>
                  <w:instrText xml:space="preserve"> PAGE </w:instrText>
                </w:r>
                <w:r>
                  <w:fldChar w:fldCharType="separate"/>
                </w:r>
                <w:r w:rsidR="00607CD5">
                  <w:rPr>
                    <w:rFonts w:ascii="Arial"/>
                    <w:noProof/>
                  </w:rPr>
                  <w:t>3</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9C0" w:rsidRDefault="001D3DDF">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291.3pt;margin-top:782.45pt;width:17.05pt;height:13.15pt;z-index:-17498112;mso-position-horizontal-relative:page;mso-position-vertical-relative:page" filled="f" stroked="f">
          <v:textbox inset="0,0,0,0">
            <w:txbxContent>
              <w:p w:rsidR="003E09C0" w:rsidRDefault="003E09C0">
                <w:pPr>
                  <w:spacing w:before="12"/>
                  <w:ind w:left="60"/>
                  <w:rPr>
                    <w:rFonts w:ascii="Arial"/>
                    <w:sz w:val="20"/>
                  </w:rPr>
                </w:pPr>
                <w:r>
                  <w:fldChar w:fldCharType="begin"/>
                </w:r>
                <w:r>
                  <w:rPr>
                    <w:rFonts w:ascii="Arial"/>
                    <w:sz w:val="20"/>
                  </w:rPr>
                  <w:instrText xml:space="preserve"> PAGE </w:instrText>
                </w:r>
                <w:r>
                  <w:fldChar w:fldCharType="separate"/>
                </w:r>
                <w:r w:rsidR="00607CD5">
                  <w:rPr>
                    <w:rFonts w:ascii="Arial"/>
                    <w:noProof/>
                    <w:sz w:val="20"/>
                  </w:rPr>
                  <w:t>12</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9C0" w:rsidRDefault="001D3DDF">
    <w:pPr>
      <w:pStyle w:val="BodyText"/>
      <w:spacing w:line="14" w:lineRule="auto"/>
      <w:rPr>
        <w:sz w:val="20"/>
      </w:rPr>
    </w:pPr>
    <w:r>
      <w:pict>
        <v:line id="_x0000_s2050" style="position:absolute;z-index:-17497088;mso-position-horizontal-relative:page;mso-position-vertical-relative:page" from="56.75pt,769.75pt" to="551.75pt,769.75pt">
          <w10:wrap anchorx="page" anchory="page"/>
        </v:line>
      </w:pict>
    </w:r>
    <w:r>
      <w:pict>
        <v:shapetype id="_x0000_t202" coordsize="21600,21600" o:spt="202" path="m,l,21600r21600,l21600,xe">
          <v:stroke joinstyle="miter"/>
          <v:path gradientshapeok="t" o:connecttype="rect"/>
        </v:shapetype>
        <v:shape id="_x0000_s2049" type="#_x0000_t202" style="position:absolute;margin-left:291.3pt;margin-top:782.45pt;width:17.05pt;height:13.15pt;z-index:-17496576;mso-position-horizontal-relative:page;mso-position-vertical-relative:page" filled="f" stroked="f">
          <v:textbox inset="0,0,0,0">
            <w:txbxContent>
              <w:p w:rsidR="003E09C0" w:rsidRDefault="003E09C0">
                <w:pPr>
                  <w:spacing w:before="12"/>
                  <w:ind w:left="60"/>
                  <w:rPr>
                    <w:rFonts w:ascii="Arial"/>
                    <w:sz w:val="20"/>
                  </w:rPr>
                </w:pPr>
                <w:r>
                  <w:fldChar w:fldCharType="begin"/>
                </w:r>
                <w:r>
                  <w:rPr>
                    <w:rFonts w:ascii="Arial"/>
                    <w:sz w:val="20"/>
                  </w:rPr>
                  <w:instrText xml:space="preserve"> PAGE </w:instrText>
                </w:r>
                <w:r>
                  <w:fldChar w:fldCharType="separate"/>
                </w:r>
                <w:r w:rsidR="00607CD5">
                  <w:rPr>
                    <w:rFonts w:ascii="Arial"/>
                    <w:noProof/>
                    <w:sz w:val="20"/>
                  </w:rPr>
                  <w:t>22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DDF" w:rsidRDefault="001D3DDF">
      <w:r>
        <w:separator/>
      </w:r>
    </w:p>
  </w:footnote>
  <w:footnote w:type="continuationSeparator" w:id="0">
    <w:p w:rsidR="001D3DDF" w:rsidRDefault="001D3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9C0" w:rsidRDefault="001D3DDF">
    <w:pPr>
      <w:pStyle w:val="BodyText"/>
      <w:spacing w:line="14" w:lineRule="auto"/>
      <w:rPr>
        <w:sz w:val="20"/>
      </w:rPr>
    </w:pPr>
    <w:r>
      <w:pict>
        <v:line id="_x0000_s2053" style="position:absolute;z-index:-17498624;mso-position-horizontal-relative:page;mso-position-vertical-relative:page" from="56.75pt,65.25pt" to="551.75pt,65.25pt">
          <w10:wrap anchorx="page" anchory="page"/>
        </v:lin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9C0" w:rsidRDefault="001D3DDF">
    <w:pPr>
      <w:pStyle w:val="BodyText"/>
      <w:spacing w:line="14" w:lineRule="auto"/>
      <w:rPr>
        <w:sz w:val="20"/>
      </w:rPr>
    </w:pPr>
    <w:r>
      <w:pict>
        <v:line id="_x0000_s2051" style="position:absolute;z-index:-17497600;mso-position-horizontal-relative:page;mso-position-vertical-relative:page" from="56.75pt,65.25pt" to="551.75pt,65.25pt">
          <w10:wrap anchorx="page" anchory="page"/>
        </v:lin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1734"/>
    <w:multiLevelType w:val="hybridMultilevel"/>
    <w:tmpl w:val="BB449B64"/>
    <w:lvl w:ilvl="0" w:tplc="EE34E100">
      <w:numFmt w:val="bullet"/>
      <w:lvlText w:val=""/>
      <w:lvlJc w:val="left"/>
      <w:pPr>
        <w:ind w:left="390" w:hanging="284"/>
      </w:pPr>
      <w:rPr>
        <w:rFonts w:ascii="Symbol" w:eastAsia="Symbol" w:hAnsi="Symbol" w:cs="Symbol" w:hint="default"/>
        <w:w w:val="100"/>
        <w:sz w:val="22"/>
        <w:szCs w:val="22"/>
        <w:lang w:val="en-US" w:eastAsia="en-US" w:bidi="ar-SA"/>
      </w:rPr>
    </w:lvl>
    <w:lvl w:ilvl="1" w:tplc="6B9012BC">
      <w:numFmt w:val="bullet"/>
      <w:lvlText w:val="•"/>
      <w:lvlJc w:val="left"/>
      <w:pPr>
        <w:ind w:left="1087" w:hanging="284"/>
      </w:pPr>
      <w:rPr>
        <w:rFonts w:hint="default"/>
        <w:lang w:val="en-US" w:eastAsia="en-US" w:bidi="ar-SA"/>
      </w:rPr>
    </w:lvl>
    <w:lvl w:ilvl="2" w:tplc="F5C2D08C">
      <w:numFmt w:val="bullet"/>
      <w:lvlText w:val="•"/>
      <w:lvlJc w:val="left"/>
      <w:pPr>
        <w:ind w:left="1774" w:hanging="284"/>
      </w:pPr>
      <w:rPr>
        <w:rFonts w:hint="default"/>
        <w:lang w:val="en-US" w:eastAsia="en-US" w:bidi="ar-SA"/>
      </w:rPr>
    </w:lvl>
    <w:lvl w:ilvl="3" w:tplc="0A8C18FA">
      <w:numFmt w:val="bullet"/>
      <w:lvlText w:val="•"/>
      <w:lvlJc w:val="left"/>
      <w:pPr>
        <w:ind w:left="2461" w:hanging="284"/>
      </w:pPr>
      <w:rPr>
        <w:rFonts w:hint="default"/>
        <w:lang w:val="en-US" w:eastAsia="en-US" w:bidi="ar-SA"/>
      </w:rPr>
    </w:lvl>
    <w:lvl w:ilvl="4" w:tplc="95DA76AE">
      <w:numFmt w:val="bullet"/>
      <w:lvlText w:val="•"/>
      <w:lvlJc w:val="left"/>
      <w:pPr>
        <w:ind w:left="3148" w:hanging="284"/>
      </w:pPr>
      <w:rPr>
        <w:rFonts w:hint="default"/>
        <w:lang w:val="en-US" w:eastAsia="en-US" w:bidi="ar-SA"/>
      </w:rPr>
    </w:lvl>
    <w:lvl w:ilvl="5" w:tplc="54466394">
      <w:numFmt w:val="bullet"/>
      <w:lvlText w:val="•"/>
      <w:lvlJc w:val="left"/>
      <w:pPr>
        <w:ind w:left="3835" w:hanging="284"/>
      </w:pPr>
      <w:rPr>
        <w:rFonts w:hint="default"/>
        <w:lang w:val="en-US" w:eastAsia="en-US" w:bidi="ar-SA"/>
      </w:rPr>
    </w:lvl>
    <w:lvl w:ilvl="6" w:tplc="95DA4EF6">
      <w:numFmt w:val="bullet"/>
      <w:lvlText w:val="•"/>
      <w:lvlJc w:val="left"/>
      <w:pPr>
        <w:ind w:left="4522" w:hanging="284"/>
      </w:pPr>
      <w:rPr>
        <w:rFonts w:hint="default"/>
        <w:lang w:val="en-US" w:eastAsia="en-US" w:bidi="ar-SA"/>
      </w:rPr>
    </w:lvl>
    <w:lvl w:ilvl="7" w:tplc="994EC5D2">
      <w:numFmt w:val="bullet"/>
      <w:lvlText w:val="•"/>
      <w:lvlJc w:val="left"/>
      <w:pPr>
        <w:ind w:left="5209" w:hanging="284"/>
      </w:pPr>
      <w:rPr>
        <w:rFonts w:hint="default"/>
        <w:lang w:val="en-US" w:eastAsia="en-US" w:bidi="ar-SA"/>
      </w:rPr>
    </w:lvl>
    <w:lvl w:ilvl="8" w:tplc="AC56FBCC">
      <w:numFmt w:val="bullet"/>
      <w:lvlText w:val="•"/>
      <w:lvlJc w:val="left"/>
      <w:pPr>
        <w:ind w:left="5896" w:hanging="284"/>
      </w:pPr>
      <w:rPr>
        <w:rFonts w:hint="default"/>
        <w:lang w:val="en-US" w:eastAsia="en-US" w:bidi="ar-SA"/>
      </w:rPr>
    </w:lvl>
  </w:abstractNum>
  <w:abstractNum w:abstractNumId="1" w15:restartNumberingAfterBreak="0">
    <w:nsid w:val="00317D75"/>
    <w:multiLevelType w:val="hybridMultilevel"/>
    <w:tmpl w:val="A3FEC348"/>
    <w:lvl w:ilvl="0" w:tplc="3386FE5C">
      <w:numFmt w:val="bullet"/>
      <w:lvlText w:val=""/>
      <w:lvlJc w:val="left"/>
      <w:pPr>
        <w:ind w:left="391" w:hanging="284"/>
      </w:pPr>
      <w:rPr>
        <w:rFonts w:ascii="Symbol" w:eastAsia="Symbol" w:hAnsi="Symbol" w:cs="Symbol" w:hint="default"/>
        <w:w w:val="100"/>
        <w:sz w:val="22"/>
        <w:szCs w:val="22"/>
        <w:lang w:val="en-US" w:eastAsia="en-US" w:bidi="ar-SA"/>
      </w:rPr>
    </w:lvl>
    <w:lvl w:ilvl="1" w:tplc="B71425AC">
      <w:numFmt w:val="bullet"/>
      <w:lvlText w:val="•"/>
      <w:lvlJc w:val="left"/>
      <w:pPr>
        <w:ind w:left="1090" w:hanging="284"/>
      </w:pPr>
      <w:rPr>
        <w:rFonts w:hint="default"/>
        <w:lang w:val="en-US" w:eastAsia="en-US" w:bidi="ar-SA"/>
      </w:rPr>
    </w:lvl>
    <w:lvl w:ilvl="2" w:tplc="815AD0E2">
      <w:numFmt w:val="bullet"/>
      <w:lvlText w:val="•"/>
      <w:lvlJc w:val="left"/>
      <w:pPr>
        <w:ind w:left="1781" w:hanging="284"/>
      </w:pPr>
      <w:rPr>
        <w:rFonts w:hint="default"/>
        <w:lang w:val="en-US" w:eastAsia="en-US" w:bidi="ar-SA"/>
      </w:rPr>
    </w:lvl>
    <w:lvl w:ilvl="3" w:tplc="17B28A4E">
      <w:numFmt w:val="bullet"/>
      <w:lvlText w:val="•"/>
      <w:lvlJc w:val="left"/>
      <w:pPr>
        <w:ind w:left="2472" w:hanging="284"/>
      </w:pPr>
      <w:rPr>
        <w:rFonts w:hint="default"/>
        <w:lang w:val="en-US" w:eastAsia="en-US" w:bidi="ar-SA"/>
      </w:rPr>
    </w:lvl>
    <w:lvl w:ilvl="4" w:tplc="72186B72">
      <w:numFmt w:val="bullet"/>
      <w:lvlText w:val="•"/>
      <w:lvlJc w:val="left"/>
      <w:pPr>
        <w:ind w:left="3162" w:hanging="284"/>
      </w:pPr>
      <w:rPr>
        <w:rFonts w:hint="default"/>
        <w:lang w:val="en-US" w:eastAsia="en-US" w:bidi="ar-SA"/>
      </w:rPr>
    </w:lvl>
    <w:lvl w:ilvl="5" w:tplc="63285CA8">
      <w:numFmt w:val="bullet"/>
      <w:lvlText w:val="•"/>
      <w:lvlJc w:val="left"/>
      <w:pPr>
        <w:ind w:left="3853" w:hanging="284"/>
      </w:pPr>
      <w:rPr>
        <w:rFonts w:hint="default"/>
        <w:lang w:val="en-US" w:eastAsia="en-US" w:bidi="ar-SA"/>
      </w:rPr>
    </w:lvl>
    <w:lvl w:ilvl="6" w:tplc="EF44C188">
      <w:numFmt w:val="bullet"/>
      <w:lvlText w:val="•"/>
      <w:lvlJc w:val="left"/>
      <w:pPr>
        <w:ind w:left="4544" w:hanging="284"/>
      </w:pPr>
      <w:rPr>
        <w:rFonts w:hint="default"/>
        <w:lang w:val="en-US" w:eastAsia="en-US" w:bidi="ar-SA"/>
      </w:rPr>
    </w:lvl>
    <w:lvl w:ilvl="7" w:tplc="344EDF46">
      <w:numFmt w:val="bullet"/>
      <w:lvlText w:val="•"/>
      <w:lvlJc w:val="left"/>
      <w:pPr>
        <w:ind w:left="5234" w:hanging="284"/>
      </w:pPr>
      <w:rPr>
        <w:rFonts w:hint="default"/>
        <w:lang w:val="en-US" w:eastAsia="en-US" w:bidi="ar-SA"/>
      </w:rPr>
    </w:lvl>
    <w:lvl w:ilvl="8" w:tplc="080E7E1A">
      <w:numFmt w:val="bullet"/>
      <w:lvlText w:val="•"/>
      <w:lvlJc w:val="left"/>
      <w:pPr>
        <w:ind w:left="5925" w:hanging="284"/>
      </w:pPr>
      <w:rPr>
        <w:rFonts w:hint="default"/>
        <w:lang w:val="en-US" w:eastAsia="en-US" w:bidi="ar-SA"/>
      </w:rPr>
    </w:lvl>
  </w:abstractNum>
  <w:abstractNum w:abstractNumId="2" w15:restartNumberingAfterBreak="0">
    <w:nsid w:val="019D18B9"/>
    <w:multiLevelType w:val="hybridMultilevel"/>
    <w:tmpl w:val="32AA0562"/>
    <w:lvl w:ilvl="0" w:tplc="E85CAA5A">
      <w:numFmt w:val="bullet"/>
      <w:lvlText w:val="•"/>
      <w:lvlJc w:val="left"/>
      <w:pPr>
        <w:ind w:left="2538" w:hanging="721"/>
      </w:pPr>
      <w:rPr>
        <w:rFonts w:ascii="Carlito" w:eastAsia="Carlito" w:hAnsi="Carlito" w:cs="Carlito" w:hint="default"/>
        <w:w w:val="100"/>
        <w:sz w:val="22"/>
        <w:szCs w:val="22"/>
        <w:lang w:val="en-US" w:eastAsia="en-US" w:bidi="ar-SA"/>
      </w:rPr>
    </w:lvl>
    <w:lvl w:ilvl="1" w:tplc="F370BEAA">
      <w:numFmt w:val="bullet"/>
      <w:lvlText w:val="•"/>
      <w:lvlJc w:val="left"/>
      <w:pPr>
        <w:ind w:left="3990" w:hanging="569"/>
      </w:pPr>
      <w:rPr>
        <w:rFonts w:ascii="Carlito" w:eastAsia="Carlito" w:hAnsi="Carlito" w:cs="Carlito" w:hint="default"/>
        <w:w w:val="100"/>
        <w:sz w:val="22"/>
        <w:szCs w:val="22"/>
        <w:lang w:val="en-US" w:eastAsia="en-US" w:bidi="ar-SA"/>
      </w:rPr>
    </w:lvl>
    <w:lvl w:ilvl="2" w:tplc="29AAE42A">
      <w:numFmt w:val="bullet"/>
      <w:lvlText w:val="•"/>
      <w:lvlJc w:val="left"/>
      <w:pPr>
        <w:ind w:left="4705" w:hanging="569"/>
      </w:pPr>
      <w:rPr>
        <w:rFonts w:hint="default"/>
        <w:lang w:val="en-US" w:eastAsia="en-US" w:bidi="ar-SA"/>
      </w:rPr>
    </w:lvl>
    <w:lvl w:ilvl="3" w:tplc="9A6C85CE">
      <w:numFmt w:val="bullet"/>
      <w:lvlText w:val="•"/>
      <w:lvlJc w:val="left"/>
      <w:pPr>
        <w:ind w:left="5410" w:hanging="569"/>
      </w:pPr>
      <w:rPr>
        <w:rFonts w:hint="default"/>
        <w:lang w:val="en-US" w:eastAsia="en-US" w:bidi="ar-SA"/>
      </w:rPr>
    </w:lvl>
    <w:lvl w:ilvl="4" w:tplc="B41E832C">
      <w:numFmt w:val="bullet"/>
      <w:lvlText w:val="•"/>
      <w:lvlJc w:val="left"/>
      <w:pPr>
        <w:ind w:left="6115" w:hanging="569"/>
      </w:pPr>
      <w:rPr>
        <w:rFonts w:hint="default"/>
        <w:lang w:val="en-US" w:eastAsia="en-US" w:bidi="ar-SA"/>
      </w:rPr>
    </w:lvl>
    <w:lvl w:ilvl="5" w:tplc="90602B28">
      <w:numFmt w:val="bullet"/>
      <w:lvlText w:val="•"/>
      <w:lvlJc w:val="left"/>
      <w:pPr>
        <w:ind w:left="6820" w:hanging="569"/>
      </w:pPr>
      <w:rPr>
        <w:rFonts w:hint="default"/>
        <w:lang w:val="en-US" w:eastAsia="en-US" w:bidi="ar-SA"/>
      </w:rPr>
    </w:lvl>
    <w:lvl w:ilvl="6" w:tplc="FAAE6E04">
      <w:numFmt w:val="bullet"/>
      <w:lvlText w:val="•"/>
      <w:lvlJc w:val="left"/>
      <w:pPr>
        <w:ind w:left="7525" w:hanging="569"/>
      </w:pPr>
      <w:rPr>
        <w:rFonts w:hint="default"/>
        <w:lang w:val="en-US" w:eastAsia="en-US" w:bidi="ar-SA"/>
      </w:rPr>
    </w:lvl>
    <w:lvl w:ilvl="7" w:tplc="1A28BF74">
      <w:numFmt w:val="bullet"/>
      <w:lvlText w:val="•"/>
      <w:lvlJc w:val="left"/>
      <w:pPr>
        <w:ind w:left="8230" w:hanging="569"/>
      </w:pPr>
      <w:rPr>
        <w:rFonts w:hint="default"/>
        <w:lang w:val="en-US" w:eastAsia="en-US" w:bidi="ar-SA"/>
      </w:rPr>
    </w:lvl>
    <w:lvl w:ilvl="8" w:tplc="34DEA7F6">
      <w:numFmt w:val="bullet"/>
      <w:lvlText w:val="•"/>
      <w:lvlJc w:val="left"/>
      <w:pPr>
        <w:ind w:left="8936" w:hanging="569"/>
      </w:pPr>
      <w:rPr>
        <w:rFonts w:hint="default"/>
        <w:lang w:val="en-US" w:eastAsia="en-US" w:bidi="ar-SA"/>
      </w:rPr>
    </w:lvl>
  </w:abstractNum>
  <w:abstractNum w:abstractNumId="3" w15:restartNumberingAfterBreak="0">
    <w:nsid w:val="02AD68D0"/>
    <w:multiLevelType w:val="hybridMultilevel"/>
    <w:tmpl w:val="86E6C4C6"/>
    <w:lvl w:ilvl="0" w:tplc="94A2AA44">
      <w:numFmt w:val="bullet"/>
      <w:lvlText w:val=""/>
      <w:lvlJc w:val="left"/>
      <w:pPr>
        <w:ind w:left="2267" w:hanging="708"/>
      </w:pPr>
      <w:rPr>
        <w:rFonts w:ascii="Symbol" w:eastAsia="Symbol" w:hAnsi="Symbol" w:cs="Symbol" w:hint="default"/>
        <w:w w:val="100"/>
        <w:sz w:val="22"/>
        <w:szCs w:val="22"/>
        <w:lang w:val="en-US" w:eastAsia="en-US" w:bidi="ar-SA"/>
      </w:rPr>
    </w:lvl>
    <w:lvl w:ilvl="1" w:tplc="9B14E448">
      <w:numFmt w:val="bullet"/>
      <w:lvlText w:val="•"/>
      <w:lvlJc w:val="left"/>
      <w:pPr>
        <w:ind w:left="2751" w:hanging="708"/>
      </w:pPr>
      <w:rPr>
        <w:rFonts w:hint="default"/>
        <w:lang w:val="en-US" w:eastAsia="en-US" w:bidi="ar-SA"/>
      </w:rPr>
    </w:lvl>
    <w:lvl w:ilvl="2" w:tplc="2678539E">
      <w:numFmt w:val="bullet"/>
      <w:lvlText w:val="•"/>
      <w:lvlJc w:val="left"/>
      <w:pPr>
        <w:ind w:left="3242" w:hanging="708"/>
      </w:pPr>
      <w:rPr>
        <w:rFonts w:hint="default"/>
        <w:lang w:val="en-US" w:eastAsia="en-US" w:bidi="ar-SA"/>
      </w:rPr>
    </w:lvl>
    <w:lvl w:ilvl="3" w:tplc="36BAFE8E">
      <w:numFmt w:val="bullet"/>
      <w:lvlText w:val="•"/>
      <w:lvlJc w:val="left"/>
      <w:pPr>
        <w:ind w:left="3733" w:hanging="708"/>
      </w:pPr>
      <w:rPr>
        <w:rFonts w:hint="default"/>
        <w:lang w:val="en-US" w:eastAsia="en-US" w:bidi="ar-SA"/>
      </w:rPr>
    </w:lvl>
    <w:lvl w:ilvl="4" w:tplc="45A07CA8">
      <w:numFmt w:val="bullet"/>
      <w:lvlText w:val="•"/>
      <w:lvlJc w:val="left"/>
      <w:pPr>
        <w:ind w:left="4225" w:hanging="708"/>
      </w:pPr>
      <w:rPr>
        <w:rFonts w:hint="default"/>
        <w:lang w:val="en-US" w:eastAsia="en-US" w:bidi="ar-SA"/>
      </w:rPr>
    </w:lvl>
    <w:lvl w:ilvl="5" w:tplc="B3EE2E0C">
      <w:numFmt w:val="bullet"/>
      <w:lvlText w:val="•"/>
      <w:lvlJc w:val="left"/>
      <w:pPr>
        <w:ind w:left="4716" w:hanging="708"/>
      </w:pPr>
      <w:rPr>
        <w:rFonts w:hint="default"/>
        <w:lang w:val="en-US" w:eastAsia="en-US" w:bidi="ar-SA"/>
      </w:rPr>
    </w:lvl>
    <w:lvl w:ilvl="6" w:tplc="080E4220">
      <w:numFmt w:val="bullet"/>
      <w:lvlText w:val="•"/>
      <w:lvlJc w:val="left"/>
      <w:pPr>
        <w:ind w:left="5207" w:hanging="708"/>
      </w:pPr>
      <w:rPr>
        <w:rFonts w:hint="default"/>
        <w:lang w:val="en-US" w:eastAsia="en-US" w:bidi="ar-SA"/>
      </w:rPr>
    </w:lvl>
    <w:lvl w:ilvl="7" w:tplc="393642DE">
      <w:numFmt w:val="bullet"/>
      <w:lvlText w:val="•"/>
      <w:lvlJc w:val="left"/>
      <w:pPr>
        <w:ind w:left="5699" w:hanging="708"/>
      </w:pPr>
      <w:rPr>
        <w:rFonts w:hint="default"/>
        <w:lang w:val="en-US" w:eastAsia="en-US" w:bidi="ar-SA"/>
      </w:rPr>
    </w:lvl>
    <w:lvl w:ilvl="8" w:tplc="D1B22606">
      <w:numFmt w:val="bullet"/>
      <w:lvlText w:val="•"/>
      <w:lvlJc w:val="left"/>
      <w:pPr>
        <w:ind w:left="6190" w:hanging="708"/>
      </w:pPr>
      <w:rPr>
        <w:rFonts w:hint="default"/>
        <w:lang w:val="en-US" w:eastAsia="en-US" w:bidi="ar-SA"/>
      </w:rPr>
    </w:lvl>
  </w:abstractNum>
  <w:abstractNum w:abstractNumId="4" w15:restartNumberingAfterBreak="0">
    <w:nsid w:val="04B364AC"/>
    <w:multiLevelType w:val="hybridMultilevel"/>
    <w:tmpl w:val="CAC69C2C"/>
    <w:lvl w:ilvl="0" w:tplc="F1F03F94">
      <w:numFmt w:val="bullet"/>
      <w:lvlText w:val="•"/>
      <w:lvlJc w:val="left"/>
      <w:pPr>
        <w:ind w:left="1015" w:hanging="908"/>
      </w:pPr>
      <w:rPr>
        <w:rFonts w:ascii="Carlito" w:eastAsia="Carlito" w:hAnsi="Carlito" w:cs="Carlito" w:hint="default"/>
        <w:w w:val="100"/>
        <w:sz w:val="22"/>
        <w:szCs w:val="22"/>
        <w:lang w:val="en-US" w:eastAsia="en-US" w:bidi="ar-SA"/>
      </w:rPr>
    </w:lvl>
    <w:lvl w:ilvl="1" w:tplc="A664F420">
      <w:numFmt w:val="bullet"/>
      <w:lvlText w:val="•"/>
      <w:lvlJc w:val="left"/>
      <w:pPr>
        <w:ind w:left="1635" w:hanging="908"/>
      </w:pPr>
      <w:rPr>
        <w:rFonts w:hint="default"/>
        <w:lang w:val="en-US" w:eastAsia="en-US" w:bidi="ar-SA"/>
      </w:rPr>
    </w:lvl>
    <w:lvl w:ilvl="2" w:tplc="F3A0C1B2">
      <w:numFmt w:val="bullet"/>
      <w:lvlText w:val="•"/>
      <w:lvlJc w:val="left"/>
      <w:pPr>
        <w:ind w:left="2251" w:hanging="908"/>
      </w:pPr>
      <w:rPr>
        <w:rFonts w:hint="default"/>
        <w:lang w:val="en-US" w:eastAsia="en-US" w:bidi="ar-SA"/>
      </w:rPr>
    </w:lvl>
    <w:lvl w:ilvl="3" w:tplc="75CC8452">
      <w:numFmt w:val="bullet"/>
      <w:lvlText w:val="•"/>
      <w:lvlJc w:val="left"/>
      <w:pPr>
        <w:ind w:left="2867" w:hanging="908"/>
      </w:pPr>
      <w:rPr>
        <w:rFonts w:hint="default"/>
        <w:lang w:val="en-US" w:eastAsia="en-US" w:bidi="ar-SA"/>
      </w:rPr>
    </w:lvl>
    <w:lvl w:ilvl="4" w:tplc="E2CE976E">
      <w:numFmt w:val="bullet"/>
      <w:lvlText w:val="•"/>
      <w:lvlJc w:val="left"/>
      <w:pPr>
        <w:ind w:left="3482" w:hanging="908"/>
      </w:pPr>
      <w:rPr>
        <w:rFonts w:hint="default"/>
        <w:lang w:val="en-US" w:eastAsia="en-US" w:bidi="ar-SA"/>
      </w:rPr>
    </w:lvl>
    <w:lvl w:ilvl="5" w:tplc="047C6E40">
      <w:numFmt w:val="bullet"/>
      <w:lvlText w:val="•"/>
      <w:lvlJc w:val="left"/>
      <w:pPr>
        <w:ind w:left="4098" w:hanging="908"/>
      </w:pPr>
      <w:rPr>
        <w:rFonts w:hint="default"/>
        <w:lang w:val="en-US" w:eastAsia="en-US" w:bidi="ar-SA"/>
      </w:rPr>
    </w:lvl>
    <w:lvl w:ilvl="6" w:tplc="0F36E780">
      <w:numFmt w:val="bullet"/>
      <w:lvlText w:val="•"/>
      <w:lvlJc w:val="left"/>
      <w:pPr>
        <w:ind w:left="4714" w:hanging="908"/>
      </w:pPr>
      <w:rPr>
        <w:rFonts w:hint="default"/>
        <w:lang w:val="en-US" w:eastAsia="en-US" w:bidi="ar-SA"/>
      </w:rPr>
    </w:lvl>
    <w:lvl w:ilvl="7" w:tplc="A9080856">
      <w:numFmt w:val="bullet"/>
      <w:lvlText w:val="•"/>
      <w:lvlJc w:val="left"/>
      <w:pPr>
        <w:ind w:left="5329" w:hanging="908"/>
      </w:pPr>
      <w:rPr>
        <w:rFonts w:hint="default"/>
        <w:lang w:val="en-US" w:eastAsia="en-US" w:bidi="ar-SA"/>
      </w:rPr>
    </w:lvl>
    <w:lvl w:ilvl="8" w:tplc="2478959A">
      <w:numFmt w:val="bullet"/>
      <w:lvlText w:val="•"/>
      <w:lvlJc w:val="left"/>
      <w:pPr>
        <w:ind w:left="5945" w:hanging="908"/>
      </w:pPr>
      <w:rPr>
        <w:rFonts w:hint="default"/>
        <w:lang w:val="en-US" w:eastAsia="en-US" w:bidi="ar-SA"/>
      </w:rPr>
    </w:lvl>
  </w:abstractNum>
  <w:abstractNum w:abstractNumId="5" w15:restartNumberingAfterBreak="0">
    <w:nsid w:val="05802850"/>
    <w:multiLevelType w:val="hybridMultilevel"/>
    <w:tmpl w:val="5FE094D6"/>
    <w:lvl w:ilvl="0" w:tplc="70305760">
      <w:numFmt w:val="bullet"/>
      <w:lvlText w:val=""/>
      <w:lvlJc w:val="left"/>
      <w:pPr>
        <w:ind w:left="391" w:hanging="284"/>
      </w:pPr>
      <w:rPr>
        <w:rFonts w:ascii="Symbol" w:eastAsia="Symbol" w:hAnsi="Symbol" w:cs="Symbol" w:hint="default"/>
        <w:w w:val="100"/>
        <w:sz w:val="22"/>
        <w:szCs w:val="22"/>
        <w:lang w:val="en-US" w:eastAsia="en-US" w:bidi="ar-SA"/>
      </w:rPr>
    </w:lvl>
    <w:lvl w:ilvl="1" w:tplc="63621188">
      <w:numFmt w:val="bullet"/>
      <w:lvlText w:val=""/>
      <w:lvlJc w:val="left"/>
      <w:pPr>
        <w:ind w:left="703" w:hanging="312"/>
      </w:pPr>
      <w:rPr>
        <w:rFonts w:ascii="Symbol" w:eastAsia="Symbol" w:hAnsi="Symbol" w:cs="Symbol" w:hint="default"/>
        <w:w w:val="100"/>
        <w:sz w:val="22"/>
        <w:szCs w:val="22"/>
        <w:lang w:val="en-US" w:eastAsia="en-US" w:bidi="ar-SA"/>
      </w:rPr>
    </w:lvl>
    <w:lvl w:ilvl="2" w:tplc="0E24ECB6">
      <w:numFmt w:val="bullet"/>
      <w:lvlText w:val="•"/>
      <w:lvlJc w:val="left"/>
      <w:pPr>
        <w:ind w:left="1434" w:hanging="312"/>
      </w:pPr>
      <w:rPr>
        <w:rFonts w:hint="default"/>
        <w:lang w:val="en-US" w:eastAsia="en-US" w:bidi="ar-SA"/>
      </w:rPr>
    </w:lvl>
    <w:lvl w:ilvl="3" w:tplc="A310160A">
      <w:numFmt w:val="bullet"/>
      <w:lvlText w:val="•"/>
      <w:lvlJc w:val="left"/>
      <w:pPr>
        <w:ind w:left="2168" w:hanging="312"/>
      </w:pPr>
      <w:rPr>
        <w:rFonts w:hint="default"/>
        <w:lang w:val="en-US" w:eastAsia="en-US" w:bidi="ar-SA"/>
      </w:rPr>
    </w:lvl>
    <w:lvl w:ilvl="4" w:tplc="EE7C90E2">
      <w:numFmt w:val="bullet"/>
      <w:lvlText w:val="•"/>
      <w:lvlJc w:val="left"/>
      <w:pPr>
        <w:ind w:left="2902" w:hanging="312"/>
      </w:pPr>
      <w:rPr>
        <w:rFonts w:hint="default"/>
        <w:lang w:val="en-US" w:eastAsia="en-US" w:bidi="ar-SA"/>
      </w:rPr>
    </w:lvl>
    <w:lvl w:ilvl="5" w:tplc="D42878CC">
      <w:numFmt w:val="bullet"/>
      <w:lvlText w:val="•"/>
      <w:lvlJc w:val="left"/>
      <w:pPr>
        <w:ind w:left="3636" w:hanging="312"/>
      </w:pPr>
      <w:rPr>
        <w:rFonts w:hint="default"/>
        <w:lang w:val="en-US" w:eastAsia="en-US" w:bidi="ar-SA"/>
      </w:rPr>
    </w:lvl>
    <w:lvl w:ilvl="6" w:tplc="CC1CCDFE">
      <w:numFmt w:val="bullet"/>
      <w:lvlText w:val="•"/>
      <w:lvlJc w:val="left"/>
      <w:pPr>
        <w:ind w:left="4370" w:hanging="312"/>
      </w:pPr>
      <w:rPr>
        <w:rFonts w:hint="default"/>
        <w:lang w:val="en-US" w:eastAsia="en-US" w:bidi="ar-SA"/>
      </w:rPr>
    </w:lvl>
    <w:lvl w:ilvl="7" w:tplc="4454E0E6">
      <w:numFmt w:val="bullet"/>
      <w:lvlText w:val="•"/>
      <w:lvlJc w:val="left"/>
      <w:pPr>
        <w:ind w:left="5104" w:hanging="312"/>
      </w:pPr>
      <w:rPr>
        <w:rFonts w:hint="default"/>
        <w:lang w:val="en-US" w:eastAsia="en-US" w:bidi="ar-SA"/>
      </w:rPr>
    </w:lvl>
    <w:lvl w:ilvl="8" w:tplc="90BACF00">
      <w:numFmt w:val="bullet"/>
      <w:lvlText w:val="•"/>
      <w:lvlJc w:val="left"/>
      <w:pPr>
        <w:ind w:left="5838" w:hanging="312"/>
      </w:pPr>
      <w:rPr>
        <w:rFonts w:hint="default"/>
        <w:lang w:val="en-US" w:eastAsia="en-US" w:bidi="ar-SA"/>
      </w:rPr>
    </w:lvl>
  </w:abstractNum>
  <w:abstractNum w:abstractNumId="6" w15:restartNumberingAfterBreak="0">
    <w:nsid w:val="061C22CC"/>
    <w:multiLevelType w:val="hybridMultilevel"/>
    <w:tmpl w:val="66C2BB70"/>
    <w:lvl w:ilvl="0" w:tplc="5D2CE462">
      <w:numFmt w:val="bullet"/>
      <w:lvlText w:val=""/>
      <w:lvlJc w:val="left"/>
      <w:pPr>
        <w:ind w:left="106" w:hanging="687"/>
      </w:pPr>
      <w:rPr>
        <w:rFonts w:ascii="Symbol" w:eastAsia="Symbol" w:hAnsi="Symbol" w:cs="Symbol" w:hint="default"/>
        <w:w w:val="100"/>
        <w:sz w:val="22"/>
        <w:szCs w:val="22"/>
        <w:lang w:val="en-US" w:eastAsia="en-US" w:bidi="ar-SA"/>
      </w:rPr>
    </w:lvl>
    <w:lvl w:ilvl="1" w:tplc="2B884DDE">
      <w:numFmt w:val="bullet"/>
      <w:lvlText w:val="•"/>
      <w:lvlJc w:val="left"/>
      <w:pPr>
        <w:ind w:left="808" w:hanging="687"/>
      </w:pPr>
      <w:rPr>
        <w:rFonts w:hint="default"/>
        <w:lang w:val="en-US" w:eastAsia="en-US" w:bidi="ar-SA"/>
      </w:rPr>
    </w:lvl>
    <w:lvl w:ilvl="2" w:tplc="D09CB0B2">
      <w:numFmt w:val="bullet"/>
      <w:lvlText w:val="•"/>
      <w:lvlJc w:val="left"/>
      <w:pPr>
        <w:ind w:left="1516" w:hanging="687"/>
      </w:pPr>
      <w:rPr>
        <w:rFonts w:hint="default"/>
        <w:lang w:val="en-US" w:eastAsia="en-US" w:bidi="ar-SA"/>
      </w:rPr>
    </w:lvl>
    <w:lvl w:ilvl="3" w:tplc="1C0447CA">
      <w:numFmt w:val="bullet"/>
      <w:lvlText w:val="•"/>
      <w:lvlJc w:val="left"/>
      <w:pPr>
        <w:ind w:left="2224" w:hanging="687"/>
      </w:pPr>
      <w:rPr>
        <w:rFonts w:hint="default"/>
        <w:lang w:val="en-US" w:eastAsia="en-US" w:bidi="ar-SA"/>
      </w:rPr>
    </w:lvl>
    <w:lvl w:ilvl="4" w:tplc="60A07112">
      <w:numFmt w:val="bullet"/>
      <w:lvlText w:val="•"/>
      <w:lvlJc w:val="left"/>
      <w:pPr>
        <w:ind w:left="2932" w:hanging="687"/>
      </w:pPr>
      <w:rPr>
        <w:rFonts w:hint="default"/>
        <w:lang w:val="en-US" w:eastAsia="en-US" w:bidi="ar-SA"/>
      </w:rPr>
    </w:lvl>
    <w:lvl w:ilvl="5" w:tplc="5F6C3886">
      <w:numFmt w:val="bullet"/>
      <w:lvlText w:val="•"/>
      <w:lvlJc w:val="left"/>
      <w:pPr>
        <w:ind w:left="3641" w:hanging="687"/>
      </w:pPr>
      <w:rPr>
        <w:rFonts w:hint="default"/>
        <w:lang w:val="en-US" w:eastAsia="en-US" w:bidi="ar-SA"/>
      </w:rPr>
    </w:lvl>
    <w:lvl w:ilvl="6" w:tplc="D90A1302">
      <w:numFmt w:val="bullet"/>
      <w:lvlText w:val="•"/>
      <w:lvlJc w:val="left"/>
      <w:pPr>
        <w:ind w:left="4349" w:hanging="687"/>
      </w:pPr>
      <w:rPr>
        <w:rFonts w:hint="default"/>
        <w:lang w:val="en-US" w:eastAsia="en-US" w:bidi="ar-SA"/>
      </w:rPr>
    </w:lvl>
    <w:lvl w:ilvl="7" w:tplc="742C1FAA">
      <w:numFmt w:val="bullet"/>
      <w:lvlText w:val="•"/>
      <w:lvlJc w:val="left"/>
      <w:pPr>
        <w:ind w:left="5057" w:hanging="687"/>
      </w:pPr>
      <w:rPr>
        <w:rFonts w:hint="default"/>
        <w:lang w:val="en-US" w:eastAsia="en-US" w:bidi="ar-SA"/>
      </w:rPr>
    </w:lvl>
    <w:lvl w:ilvl="8" w:tplc="226622F0">
      <w:numFmt w:val="bullet"/>
      <w:lvlText w:val="•"/>
      <w:lvlJc w:val="left"/>
      <w:pPr>
        <w:ind w:left="5765" w:hanging="687"/>
      </w:pPr>
      <w:rPr>
        <w:rFonts w:hint="default"/>
        <w:lang w:val="en-US" w:eastAsia="en-US" w:bidi="ar-SA"/>
      </w:rPr>
    </w:lvl>
  </w:abstractNum>
  <w:abstractNum w:abstractNumId="7" w15:restartNumberingAfterBreak="0">
    <w:nsid w:val="08305B9C"/>
    <w:multiLevelType w:val="hybridMultilevel"/>
    <w:tmpl w:val="809C457E"/>
    <w:lvl w:ilvl="0" w:tplc="72742908">
      <w:numFmt w:val="bullet"/>
      <w:lvlText w:val=""/>
      <w:lvlJc w:val="left"/>
      <w:pPr>
        <w:ind w:left="3258" w:hanging="687"/>
      </w:pPr>
      <w:rPr>
        <w:rFonts w:ascii="Symbol" w:eastAsia="Symbol" w:hAnsi="Symbol" w:cs="Symbol" w:hint="default"/>
        <w:w w:val="100"/>
        <w:sz w:val="22"/>
        <w:szCs w:val="22"/>
        <w:lang w:val="en-US" w:eastAsia="en-US" w:bidi="ar-SA"/>
      </w:rPr>
    </w:lvl>
    <w:lvl w:ilvl="1" w:tplc="96387254">
      <w:numFmt w:val="bullet"/>
      <w:lvlText w:val="•"/>
      <w:lvlJc w:val="left"/>
      <w:pPr>
        <w:ind w:left="3968" w:hanging="687"/>
      </w:pPr>
      <w:rPr>
        <w:rFonts w:hint="default"/>
        <w:lang w:val="en-US" w:eastAsia="en-US" w:bidi="ar-SA"/>
      </w:rPr>
    </w:lvl>
    <w:lvl w:ilvl="2" w:tplc="63F87ED0">
      <w:numFmt w:val="bullet"/>
      <w:lvlText w:val="•"/>
      <w:lvlJc w:val="left"/>
      <w:pPr>
        <w:ind w:left="4677" w:hanging="687"/>
      </w:pPr>
      <w:rPr>
        <w:rFonts w:hint="default"/>
        <w:lang w:val="en-US" w:eastAsia="en-US" w:bidi="ar-SA"/>
      </w:rPr>
    </w:lvl>
    <w:lvl w:ilvl="3" w:tplc="966C2478">
      <w:numFmt w:val="bullet"/>
      <w:lvlText w:val="•"/>
      <w:lvlJc w:val="left"/>
      <w:pPr>
        <w:ind w:left="5385" w:hanging="687"/>
      </w:pPr>
      <w:rPr>
        <w:rFonts w:hint="default"/>
        <w:lang w:val="en-US" w:eastAsia="en-US" w:bidi="ar-SA"/>
      </w:rPr>
    </w:lvl>
    <w:lvl w:ilvl="4" w:tplc="72BACA9C">
      <w:numFmt w:val="bullet"/>
      <w:lvlText w:val="•"/>
      <w:lvlJc w:val="left"/>
      <w:pPr>
        <w:ind w:left="6094" w:hanging="687"/>
      </w:pPr>
      <w:rPr>
        <w:rFonts w:hint="default"/>
        <w:lang w:val="en-US" w:eastAsia="en-US" w:bidi="ar-SA"/>
      </w:rPr>
    </w:lvl>
    <w:lvl w:ilvl="5" w:tplc="3EF835B8">
      <w:numFmt w:val="bullet"/>
      <w:lvlText w:val="•"/>
      <w:lvlJc w:val="left"/>
      <w:pPr>
        <w:ind w:left="6803" w:hanging="687"/>
      </w:pPr>
      <w:rPr>
        <w:rFonts w:hint="default"/>
        <w:lang w:val="en-US" w:eastAsia="en-US" w:bidi="ar-SA"/>
      </w:rPr>
    </w:lvl>
    <w:lvl w:ilvl="6" w:tplc="60B46FC0">
      <w:numFmt w:val="bullet"/>
      <w:lvlText w:val="•"/>
      <w:lvlJc w:val="left"/>
      <w:pPr>
        <w:ind w:left="7511" w:hanging="687"/>
      </w:pPr>
      <w:rPr>
        <w:rFonts w:hint="default"/>
        <w:lang w:val="en-US" w:eastAsia="en-US" w:bidi="ar-SA"/>
      </w:rPr>
    </w:lvl>
    <w:lvl w:ilvl="7" w:tplc="B9D25406">
      <w:numFmt w:val="bullet"/>
      <w:lvlText w:val="•"/>
      <w:lvlJc w:val="left"/>
      <w:pPr>
        <w:ind w:left="8220" w:hanging="687"/>
      </w:pPr>
      <w:rPr>
        <w:rFonts w:hint="default"/>
        <w:lang w:val="en-US" w:eastAsia="en-US" w:bidi="ar-SA"/>
      </w:rPr>
    </w:lvl>
    <w:lvl w:ilvl="8" w:tplc="D05251B0">
      <w:numFmt w:val="bullet"/>
      <w:lvlText w:val="•"/>
      <w:lvlJc w:val="left"/>
      <w:pPr>
        <w:ind w:left="8929" w:hanging="687"/>
      </w:pPr>
      <w:rPr>
        <w:rFonts w:hint="default"/>
        <w:lang w:val="en-US" w:eastAsia="en-US" w:bidi="ar-SA"/>
      </w:rPr>
    </w:lvl>
  </w:abstractNum>
  <w:abstractNum w:abstractNumId="8" w15:restartNumberingAfterBreak="0">
    <w:nsid w:val="0C0F5D0D"/>
    <w:multiLevelType w:val="hybridMultilevel"/>
    <w:tmpl w:val="16309840"/>
    <w:lvl w:ilvl="0" w:tplc="6E2036A8">
      <w:numFmt w:val="bullet"/>
      <w:lvlText w:val=""/>
      <w:lvlJc w:val="left"/>
      <w:pPr>
        <w:ind w:left="828" w:hanging="361"/>
      </w:pPr>
      <w:rPr>
        <w:rFonts w:ascii="Symbol" w:eastAsia="Symbol" w:hAnsi="Symbol" w:cs="Symbol" w:hint="default"/>
        <w:w w:val="100"/>
        <w:sz w:val="22"/>
        <w:szCs w:val="22"/>
        <w:lang w:val="en-US" w:eastAsia="en-US" w:bidi="ar-SA"/>
      </w:rPr>
    </w:lvl>
    <w:lvl w:ilvl="1" w:tplc="276A725C">
      <w:numFmt w:val="bullet"/>
      <w:lvlText w:val="•"/>
      <w:lvlJc w:val="left"/>
      <w:pPr>
        <w:ind w:left="1456" w:hanging="361"/>
      </w:pPr>
      <w:rPr>
        <w:rFonts w:hint="default"/>
        <w:lang w:val="en-US" w:eastAsia="en-US" w:bidi="ar-SA"/>
      </w:rPr>
    </w:lvl>
    <w:lvl w:ilvl="2" w:tplc="946A195E">
      <w:numFmt w:val="bullet"/>
      <w:lvlText w:val="•"/>
      <w:lvlJc w:val="left"/>
      <w:pPr>
        <w:ind w:left="2093" w:hanging="361"/>
      </w:pPr>
      <w:rPr>
        <w:rFonts w:hint="default"/>
        <w:lang w:val="en-US" w:eastAsia="en-US" w:bidi="ar-SA"/>
      </w:rPr>
    </w:lvl>
    <w:lvl w:ilvl="3" w:tplc="93A216E2">
      <w:numFmt w:val="bullet"/>
      <w:lvlText w:val="•"/>
      <w:lvlJc w:val="left"/>
      <w:pPr>
        <w:ind w:left="2729" w:hanging="361"/>
      </w:pPr>
      <w:rPr>
        <w:rFonts w:hint="default"/>
        <w:lang w:val="en-US" w:eastAsia="en-US" w:bidi="ar-SA"/>
      </w:rPr>
    </w:lvl>
    <w:lvl w:ilvl="4" w:tplc="30C211B8">
      <w:numFmt w:val="bullet"/>
      <w:lvlText w:val="•"/>
      <w:lvlJc w:val="left"/>
      <w:pPr>
        <w:ind w:left="3366" w:hanging="361"/>
      </w:pPr>
      <w:rPr>
        <w:rFonts w:hint="default"/>
        <w:lang w:val="en-US" w:eastAsia="en-US" w:bidi="ar-SA"/>
      </w:rPr>
    </w:lvl>
    <w:lvl w:ilvl="5" w:tplc="384C05F0">
      <w:numFmt w:val="bullet"/>
      <w:lvlText w:val="•"/>
      <w:lvlJc w:val="left"/>
      <w:pPr>
        <w:ind w:left="4002" w:hanging="361"/>
      </w:pPr>
      <w:rPr>
        <w:rFonts w:hint="default"/>
        <w:lang w:val="en-US" w:eastAsia="en-US" w:bidi="ar-SA"/>
      </w:rPr>
    </w:lvl>
    <w:lvl w:ilvl="6" w:tplc="30823E94">
      <w:numFmt w:val="bullet"/>
      <w:lvlText w:val="•"/>
      <w:lvlJc w:val="left"/>
      <w:pPr>
        <w:ind w:left="4639" w:hanging="361"/>
      </w:pPr>
      <w:rPr>
        <w:rFonts w:hint="default"/>
        <w:lang w:val="en-US" w:eastAsia="en-US" w:bidi="ar-SA"/>
      </w:rPr>
    </w:lvl>
    <w:lvl w:ilvl="7" w:tplc="072C65E6">
      <w:numFmt w:val="bullet"/>
      <w:lvlText w:val="•"/>
      <w:lvlJc w:val="left"/>
      <w:pPr>
        <w:ind w:left="5275" w:hanging="361"/>
      </w:pPr>
      <w:rPr>
        <w:rFonts w:hint="default"/>
        <w:lang w:val="en-US" w:eastAsia="en-US" w:bidi="ar-SA"/>
      </w:rPr>
    </w:lvl>
    <w:lvl w:ilvl="8" w:tplc="8DEC1CCA">
      <w:numFmt w:val="bullet"/>
      <w:lvlText w:val="•"/>
      <w:lvlJc w:val="left"/>
      <w:pPr>
        <w:ind w:left="5912" w:hanging="361"/>
      </w:pPr>
      <w:rPr>
        <w:rFonts w:hint="default"/>
        <w:lang w:val="en-US" w:eastAsia="en-US" w:bidi="ar-SA"/>
      </w:rPr>
    </w:lvl>
  </w:abstractNum>
  <w:abstractNum w:abstractNumId="9" w15:restartNumberingAfterBreak="0">
    <w:nsid w:val="0CD92472"/>
    <w:multiLevelType w:val="hybridMultilevel"/>
    <w:tmpl w:val="AF560D46"/>
    <w:lvl w:ilvl="0" w:tplc="84A63BFE">
      <w:numFmt w:val="bullet"/>
      <w:lvlText w:val=""/>
      <w:lvlJc w:val="left"/>
      <w:pPr>
        <w:ind w:left="2267" w:hanging="708"/>
      </w:pPr>
      <w:rPr>
        <w:rFonts w:ascii="Symbol" w:eastAsia="Symbol" w:hAnsi="Symbol" w:cs="Symbol" w:hint="default"/>
        <w:w w:val="100"/>
        <w:sz w:val="22"/>
        <w:szCs w:val="22"/>
        <w:lang w:val="en-US" w:eastAsia="en-US" w:bidi="ar-SA"/>
      </w:rPr>
    </w:lvl>
    <w:lvl w:ilvl="1" w:tplc="0028711A">
      <w:numFmt w:val="bullet"/>
      <w:lvlText w:val="•"/>
      <w:lvlJc w:val="left"/>
      <w:pPr>
        <w:ind w:left="2751" w:hanging="708"/>
      </w:pPr>
      <w:rPr>
        <w:rFonts w:hint="default"/>
        <w:lang w:val="en-US" w:eastAsia="en-US" w:bidi="ar-SA"/>
      </w:rPr>
    </w:lvl>
    <w:lvl w:ilvl="2" w:tplc="93F839B2">
      <w:numFmt w:val="bullet"/>
      <w:lvlText w:val="•"/>
      <w:lvlJc w:val="left"/>
      <w:pPr>
        <w:ind w:left="3242" w:hanging="708"/>
      </w:pPr>
      <w:rPr>
        <w:rFonts w:hint="default"/>
        <w:lang w:val="en-US" w:eastAsia="en-US" w:bidi="ar-SA"/>
      </w:rPr>
    </w:lvl>
    <w:lvl w:ilvl="3" w:tplc="D3948412">
      <w:numFmt w:val="bullet"/>
      <w:lvlText w:val="•"/>
      <w:lvlJc w:val="left"/>
      <w:pPr>
        <w:ind w:left="3733" w:hanging="708"/>
      </w:pPr>
      <w:rPr>
        <w:rFonts w:hint="default"/>
        <w:lang w:val="en-US" w:eastAsia="en-US" w:bidi="ar-SA"/>
      </w:rPr>
    </w:lvl>
    <w:lvl w:ilvl="4" w:tplc="19564D80">
      <w:numFmt w:val="bullet"/>
      <w:lvlText w:val="•"/>
      <w:lvlJc w:val="left"/>
      <w:pPr>
        <w:ind w:left="4225" w:hanging="708"/>
      </w:pPr>
      <w:rPr>
        <w:rFonts w:hint="default"/>
        <w:lang w:val="en-US" w:eastAsia="en-US" w:bidi="ar-SA"/>
      </w:rPr>
    </w:lvl>
    <w:lvl w:ilvl="5" w:tplc="86341CB4">
      <w:numFmt w:val="bullet"/>
      <w:lvlText w:val="•"/>
      <w:lvlJc w:val="left"/>
      <w:pPr>
        <w:ind w:left="4716" w:hanging="708"/>
      </w:pPr>
      <w:rPr>
        <w:rFonts w:hint="default"/>
        <w:lang w:val="en-US" w:eastAsia="en-US" w:bidi="ar-SA"/>
      </w:rPr>
    </w:lvl>
    <w:lvl w:ilvl="6" w:tplc="96BAD708">
      <w:numFmt w:val="bullet"/>
      <w:lvlText w:val="•"/>
      <w:lvlJc w:val="left"/>
      <w:pPr>
        <w:ind w:left="5207" w:hanging="708"/>
      </w:pPr>
      <w:rPr>
        <w:rFonts w:hint="default"/>
        <w:lang w:val="en-US" w:eastAsia="en-US" w:bidi="ar-SA"/>
      </w:rPr>
    </w:lvl>
    <w:lvl w:ilvl="7" w:tplc="CEE22F02">
      <w:numFmt w:val="bullet"/>
      <w:lvlText w:val="•"/>
      <w:lvlJc w:val="left"/>
      <w:pPr>
        <w:ind w:left="5699" w:hanging="708"/>
      </w:pPr>
      <w:rPr>
        <w:rFonts w:hint="default"/>
        <w:lang w:val="en-US" w:eastAsia="en-US" w:bidi="ar-SA"/>
      </w:rPr>
    </w:lvl>
    <w:lvl w:ilvl="8" w:tplc="A91E80A6">
      <w:numFmt w:val="bullet"/>
      <w:lvlText w:val="•"/>
      <w:lvlJc w:val="left"/>
      <w:pPr>
        <w:ind w:left="6190" w:hanging="708"/>
      </w:pPr>
      <w:rPr>
        <w:rFonts w:hint="default"/>
        <w:lang w:val="en-US" w:eastAsia="en-US" w:bidi="ar-SA"/>
      </w:rPr>
    </w:lvl>
  </w:abstractNum>
  <w:abstractNum w:abstractNumId="10" w15:restartNumberingAfterBreak="0">
    <w:nsid w:val="0DCD1DAF"/>
    <w:multiLevelType w:val="hybridMultilevel"/>
    <w:tmpl w:val="E8DCC5C2"/>
    <w:lvl w:ilvl="0" w:tplc="19866C8C">
      <w:numFmt w:val="bullet"/>
      <w:lvlText w:val=""/>
      <w:lvlJc w:val="left"/>
      <w:pPr>
        <w:ind w:left="391" w:hanging="284"/>
      </w:pPr>
      <w:rPr>
        <w:rFonts w:ascii="Symbol" w:eastAsia="Symbol" w:hAnsi="Symbol" w:cs="Symbol" w:hint="default"/>
        <w:w w:val="100"/>
        <w:sz w:val="22"/>
        <w:szCs w:val="22"/>
        <w:lang w:val="en-US" w:eastAsia="en-US" w:bidi="ar-SA"/>
      </w:rPr>
    </w:lvl>
    <w:lvl w:ilvl="1" w:tplc="BDD06252">
      <w:numFmt w:val="bullet"/>
      <w:lvlText w:val="•"/>
      <w:lvlJc w:val="left"/>
      <w:pPr>
        <w:ind w:left="1090" w:hanging="284"/>
      </w:pPr>
      <w:rPr>
        <w:rFonts w:hint="default"/>
        <w:lang w:val="en-US" w:eastAsia="en-US" w:bidi="ar-SA"/>
      </w:rPr>
    </w:lvl>
    <w:lvl w:ilvl="2" w:tplc="6BA0342E">
      <w:numFmt w:val="bullet"/>
      <w:lvlText w:val="•"/>
      <w:lvlJc w:val="left"/>
      <w:pPr>
        <w:ind w:left="1781" w:hanging="284"/>
      </w:pPr>
      <w:rPr>
        <w:rFonts w:hint="default"/>
        <w:lang w:val="en-US" w:eastAsia="en-US" w:bidi="ar-SA"/>
      </w:rPr>
    </w:lvl>
    <w:lvl w:ilvl="3" w:tplc="45462032">
      <w:numFmt w:val="bullet"/>
      <w:lvlText w:val="•"/>
      <w:lvlJc w:val="left"/>
      <w:pPr>
        <w:ind w:left="2472" w:hanging="284"/>
      </w:pPr>
      <w:rPr>
        <w:rFonts w:hint="default"/>
        <w:lang w:val="en-US" w:eastAsia="en-US" w:bidi="ar-SA"/>
      </w:rPr>
    </w:lvl>
    <w:lvl w:ilvl="4" w:tplc="A4BC6F30">
      <w:numFmt w:val="bullet"/>
      <w:lvlText w:val="•"/>
      <w:lvlJc w:val="left"/>
      <w:pPr>
        <w:ind w:left="3162" w:hanging="284"/>
      </w:pPr>
      <w:rPr>
        <w:rFonts w:hint="default"/>
        <w:lang w:val="en-US" w:eastAsia="en-US" w:bidi="ar-SA"/>
      </w:rPr>
    </w:lvl>
    <w:lvl w:ilvl="5" w:tplc="124A08DE">
      <w:numFmt w:val="bullet"/>
      <w:lvlText w:val="•"/>
      <w:lvlJc w:val="left"/>
      <w:pPr>
        <w:ind w:left="3853" w:hanging="284"/>
      </w:pPr>
      <w:rPr>
        <w:rFonts w:hint="default"/>
        <w:lang w:val="en-US" w:eastAsia="en-US" w:bidi="ar-SA"/>
      </w:rPr>
    </w:lvl>
    <w:lvl w:ilvl="6" w:tplc="A4D290C0">
      <w:numFmt w:val="bullet"/>
      <w:lvlText w:val="•"/>
      <w:lvlJc w:val="left"/>
      <w:pPr>
        <w:ind w:left="4544" w:hanging="284"/>
      </w:pPr>
      <w:rPr>
        <w:rFonts w:hint="default"/>
        <w:lang w:val="en-US" w:eastAsia="en-US" w:bidi="ar-SA"/>
      </w:rPr>
    </w:lvl>
    <w:lvl w:ilvl="7" w:tplc="7A78CD0A">
      <w:numFmt w:val="bullet"/>
      <w:lvlText w:val="•"/>
      <w:lvlJc w:val="left"/>
      <w:pPr>
        <w:ind w:left="5234" w:hanging="284"/>
      </w:pPr>
      <w:rPr>
        <w:rFonts w:hint="default"/>
        <w:lang w:val="en-US" w:eastAsia="en-US" w:bidi="ar-SA"/>
      </w:rPr>
    </w:lvl>
    <w:lvl w:ilvl="8" w:tplc="8AB48CF0">
      <w:numFmt w:val="bullet"/>
      <w:lvlText w:val="•"/>
      <w:lvlJc w:val="left"/>
      <w:pPr>
        <w:ind w:left="5925" w:hanging="284"/>
      </w:pPr>
      <w:rPr>
        <w:rFonts w:hint="default"/>
        <w:lang w:val="en-US" w:eastAsia="en-US" w:bidi="ar-SA"/>
      </w:rPr>
    </w:lvl>
  </w:abstractNum>
  <w:abstractNum w:abstractNumId="11" w15:restartNumberingAfterBreak="0">
    <w:nsid w:val="0FAD0A27"/>
    <w:multiLevelType w:val="hybridMultilevel"/>
    <w:tmpl w:val="6DBE7EC0"/>
    <w:lvl w:ilvl="0" w:tplc="F658427A">
      <w:numFmt w:val="bullet"/>
      <w:lvlText w:val=""/>
      <w:lvlJc w:val="left"/>
      <w:pPr>
        <w:ind w:left="598" w:hanging="493"/>
      </w:pPr>
      <w:rPr>
        <w:rFonts w:ascii="Symbol" w:eastAsia="Symbol" w:hAnsi="Symbol" w:cs="Symbol" w:hint="default"/>
        <w:w w:val="100"/>
        <w:sz w:val="22"/>
        <w:szCs w:val="22"/>
        <w:lang w:val="en-US" w:eastAsia="en-US" w:bidi="ar-SA"/>
      </w:rPr>
    </w:lvl>
    <w:lvl w:ilvl="1" w:tplc="8FF4E822">
      <w:numFmt w:val="bullet"/>
      <w:lvlText w:val="•"/>
      <w:lvlJc w:val="left"/>
      <w:pPr>
        <w:ind w:left="1258" w:hanging="493"/>
      </w:pPr>
      <w:rPr>
        <w:rFonts w:hint="default"/>
        <w:lang w:val="en-US" w:eastAsia="en-US" w:bidi="ar-SA"/>
      </w:rPr>
    </w:lvl>
    <w:lvl w:ilvl="2" w:tplc="2602A13E">
      <w:numFmt w:val="bullet"/>
      <w:lvlText w:val="•"/>
      <w:lvlJc w:val="left"/>
      <w:pPr>
        <w:ind w:left="1916" w:hanging="493"/>
      </w:pPr>
      <w:rPr>
        <w:rFonts w:hint="default"/>
        <w:lang w:val="en-US" w:eastAsia="en-US" w:bidi="ar-SA"/>
      </w:rPr>
    </w:lvl>
    <w:lvl w:ilvl="3" w:tplc="6846B86E">
      <w:numFmt w:val="bullet"/>
      <w:lvlText w:val="•"/>
      <w:lvlJc w:val="left"/>
      <w:pPr>
        <w:ind w:left="2574" w:hanging="493"/>
      </w:pPr>
      <w:rPr>
        <w:rFonts w:hint="default"/>
        <w:lang w:val="en-US" w:eastAsia="en-US" w:bidi="ar-SA"/>
      </w:rPr>
    </w:lvl>
    <w:lvl w:ilvl="4" w:tplc="016AB28E">
      <w:numFmt w:val="bullet"/>
      <w:lvlText w:val="•"/>
      <w:lvlJc w:val="left"/>
      <w:pPr>
        <w:ind w:left="3232" w:hanging="493"/>
      </w:pPr>
      <w:rPr>
        <w:rFonts w:hint="default"/>
        <w:lang w:val="en-US" w:eastAsia="en-US" w:bidi="ar-SA"/>
      </w:rPr>
    </w:lvl>
    <w:lvl w:ilvl="5" w:tplc="67DA6D48">
      <w:numFmt w:val="bullet"/>
      <w:lvlText w:val="•"/>
      <w:lvlJc w:val="left"/>
      <w:pPr>
        <w:ind w:left="3891" w:hanging="493"/>
      </w:pPr>
      <w:rPr>
        <w:rFonts w:hint="default"/>
        <w:lang w:val="en-US" w:eastAsia="en-US" w:bidi="ar-SA"/>
      </w:rPr>
    </w:lvl>
    <w:lvl w:ilvl="6" w:tplc="CE44BADA">
      <w:numFmt w:val="bullet"/>
      <w:lvlText w:val="•"/>
      <w:lvlJc w:val="left"/>
      <w:pPr>
        <w:ind w:left="4549" w:hanging="493"/>
      </w:pPr>
      <w:rPr>
        <w:rFonts w:hint="default"/>
        <w:lang w:val="en-US" w:eastAsia="en-US" w:bidi="ar-SA"/>
      </w:rPr>
    </w:lvl>
    <w:lvl w:ilvl="7" w:tplc="DEA02BC4">
      <w:numFmt w:val="bullet"/>
      <w:lvlText w:val="•"/>
      <w:lvlJc w:val="left"/>
      <w:pPr>
        <w:ind w:left="5207" w:hanging="493"/>
      </w:pPr>
      <w:rPr>
        <w:rFonts w:hint="default"/>
        <w:lang w:val="en-US" w:eastAsia="en-US" w:bidi="ar-SA"/>
      </w:rPr>
    </w:lvl>
    <w:lvl w:ilvl="8" w:tplc="44CA8B1A">
      <w:numFmt w:val="bullet"/>
      <w:lvlText w:val="•"/>
      <w:lvlJc w:val="left"/>
      <w:pPr>
        <w:ind w:left="5865" w:hanging="493"/>
      </w:pPr>
      <w:rPr>
        <w:rFonts w:hint="default"/>
        <w:lang w:val="en-US" w:eastAsia="en-US" w:bidi="ar-SA"/>
      </w:rPr>
    </w:lvl>
  </w:abstractNum>
  <w:abstractNum w:abstractNumId="12" w15:restartNumberingAfterBreak="0">
    <w:nsid w:val="101E0FC9"/>
    <w:multiLevelType w:val="hybridMultilevel"/>
    <w:tmpl w:val="97E81730"/>
    <w:lvl w:ilvl="0" w:tplc="CF14E6BA">
      <w:numFmt w:val="bullet"/>
      <w:lvlText w:val=""/>
      <w:lvlJc w:val="left"/>
      <w:pPr>
        <w:ind w:left="826" w:hanging="687"/>
      </w:pPr>
      <w:rPr>
        <w:rFonts w:ascii="Symbol" w:eastAsia="Symbol" w:hAnsi="Symbol" w:cs="Symbol" w:hint="default"/>
        <w:w w:val="100"/>
        <w:sz w:val="22"/>
        <w:szCs w:val="22"/>
        <w:lang w:val="en-US" w:eastAsia="en-US" w:bidi="ar-SA"/>
      </w:rPr>
    </w:lvl>
    <w:lvl w:ilvl="1" w:tplc="F40C2774">
      <w:numFmt w:val="bullet"/>
      <w:lvlText w:val="•"/>
      <w:lvlJc w:val="left"/>
      <w:pPr>
        <w:ind w:left="1456" w:hanging="687"/>
      </w:pPr>
      <w:rPr>
        <w:rFonts w:hint="default"/>
        <w:lang w:val="en-US" w:eastAsia="en-US" w:bidi="ar-SA"/>
      </w:rPr>
    </w:lvl>
    <w:lvl w:ilvl="2" w:tplc="09F0B494">
      <w:numFmt w:val="bullet"/>
      <w:lvlText w:val="•"/>
      <w:lvlJc w:val="left"/>
      <w:pPr>
        <w:ind w:left="2092" w:hanging="687"/>
      </w:pPr>
      <w:rPr>
        <w:rFonts w:hint="default"/>
        <w:lang w:val="en-US" w:eastAsia="en-US" w:bidi="ar-SA"/>
      </w:rPr>
    </w:lvl>
    <w:lvl w:ilvl="3" w:tplc="084E18B2">
      <w:numFmt w:val="bullet"/>
      <w:lvlText w:val="•"/>
      <w:lvlJc w:val="left"/>
      <w:pPr>
        <w:ind w:left="2728" w:hanging="687"/>
      </w:pPr>
      <w:rPr>
        <w:rFonts w:hint="default"/>
        <w:lang w:val="en-US" w:eastAsia="en-US" w:bidi="ar-SA"/>
      </w:rPr>
    </w:lvl>
    <w:lvl w:ilvl="4" w:tplc="E256834E">
      <w:numFmt w:val="bullet"/>
      <w:lvlText w:val="•"/>
      <w:lvlJc w:val="left"/>
      <w:pPr>
        <w:ind w:left="3364" w:hanging="687"/>
      </w:pPr>
      <w:rPr>
        <w:rFonts w:hint="default"/>
        <w:lang w:val="en-US" w:eastAsia="en-US" w:bidi="ar-SA"/>
      </w:rPr>
    </w:lvl>
    <w:lvl w:ilvl="5" w:tplc="B4BE6DC6">
      <w:numFmt w:val="bullet"/>
      <w:lvlText w:val="•"/>
      <w:lvlJc w:val="left"/>
      <w:pPr>
        <w:ind w:left="4001" w:hanging="687"/>
      </w:pPr>
      <w:rPr>
        <w:rFonts w:hint="default"/>
        <w:lang w:val="en-US" w:eastAsia="en-US" w:bidi="ar-SA"/>
      </w:rPr>
    </w:lvl>
    <w:lvl w:ilvl="6" w:tplc="B4C8C99C">
      <w:numFmt w:val="bullet"/>
      <w:lvlText w:val="•"/>
      <w:lvlJc w:val="left"/>
      <w:pPr>
        <w:ind w:left="4637" w:hanging="687"/>
      </w:pPr>
      <w:rPr>
        <w:rFonts w:hint="default"/>
        <w:lang w:val="en-US" w:eastAsia="en-US" w:bidi="ar-SA"/>
      </w:rPr>
    </w:lvl>
    <w:lvl w:ilvl="7" w:tplc="EDF8E690">
      <w:numFmt w:val="bullet"/>
      <w:lvlText w:val="•"/>
      <w:lvlJc w:val="left"/>
      <w:pPr>
        <w:ind w:left="5273" w:hanging="687"/>
      </w:pPr>
      <w:rPr>
        <w:rFonts w:hint="default"/>
        <w:lang w:val="en-US" w:eastAsia="en-US" w:bidi="ar-SA"/>
      </w:rPr>
    </w:lvl>
    <w:lvl w:ilvl="8" w:tplc="A1BC494E">
      <w:numFmt w:val="bullet"/>
      <w:lvlText w:val="•"/>
      <w:lvlJc w:val="left"/>
      <w:pPr>
        <w:ind w:left="5909" w:hanging="687"/>
      </w:pPr>
      <w:rPr>
        <w:rFonts w:hint="default"/>
        <w:lang w:val="en-US" w:eastAsia="en-US" w:bidi="ar-SA"/>
      </w:rPr>
    </w:lvl>
  </w:abstractNum>
  <w:abstractNum w:abstractNumId="13" w15:restartNumberingAfterBreak="0">
    <w:nsid w:val="11CF5E74"/>
    <w:multiLevelType w:val="hybridMultilevel"/>
    <w:tmpl w:val="8F8ECB78"/>
    <w:lvl w:ilvl="0" w:tplc="3F367FCE">
      <w:numFmt w:val="bullet"/>
      <w:lvlText w:val="•"/>
      <w:lvlJc w:val="left"/>
      <w:pPr>
        <w:ind w:left="1560" w:hanging="557"/>
      </w:pPr>
      <w:rPr>
        <w:rFonts w:ascii="Carlito" w:eastAsia="Carlito" w:hAnsi="Carlito" w:cs="Carlito" w:hint="default"/>
        <w:w w:val="100"/>
        <w:sz w:val="22"/>
        <w:szCs w:val="22"/>
        <w:lang w:val="en-US" w:eastAsia="en-US" w:bidi="ar-SA"/>
      </w:rPr>
    </w:lvl>
    <w:lvl w:ilvl="1" w:tplc="A79ECFB2">
      <w:numFmt w:val="bullet"/>
      <w:lvlText w:val="•"/>
      <w:lvlJc w:val="left"/>
      <w:pPr>
        <w:ind w:left="2168" w:hanging="557"/>
      </w:pPr>
      <w:rPr>
        <w:rFonts w:hint="default"/>
        <w:lang w:val="en-US" w:eastAsia="en-US" w:bidi="ar-SA"/>
      </w:rPr>
    </w:lvl>
    <w:lvl w:ilvl="2" w:tplc="95BCD430">
      <w:numFmt w:val="bullet"/>
      <w:lvlText w:val="•"/>
      <w:lvlJc w:val="left"/>
      <w:pPr>
        <w:ind w:left="2777" w:hanging="557"/>
      </w:pPr>
      <w:rPr>
        <w:rFonts w:hint="default"/>
        <w:lang w:val="en-US" w:eastAsia="en-US" w:bidi="ar-SA"/>
      </w:rPr>
    </w:lvl>
    <w:lvl w:ilvl="3" w:tplc="D46A7B6E">
      <w:numFmt w:val="bullet"/>
      <w:lvlText w:val="•"/>
      <w:lvlJc w:val="left"/>
      <w:pPr>
        <w:ind w:left="3385" w:hanging="557"/>
      </w:pPr>
      <w:rPr>
        <w:rFonts w:hint="default"/>
        <w:lang w:val="en-US" w:eastAsia="en-US" w:bidi="ar-SA"/>
      </w:rPr>
    </w:lvl>
    <w:lvl w:ilvl="4" w:tplc="A1C8F89A">
      <w:numFmt w:val="bullet"/>
      <w:lvlText w:val="•"/>
      <w:lvlJc w:val="left"/>
      <w:pPr>
        <w:ind w:left="3994" w:hanging="557"/>
      </w:pPr>
      <w:rPr>
        <w:rFonts w:hint="default"/>
        <w:lang w:val="en-US" w:eastAsia="en-US" w:bidi="ar-SA"/>
      </w:rPr>
    </w:lvl>
    <w:lvl w:ilvl="5" w:tplc="DDDCBEF4">
      <w:numFmt w:val="bullet"/>
      <w:lvlText w:val="•"/>
      <w:lvlJc w:val="left"/>
      <w:pPr>
        <w:ind w:left="4603" w:hanging="557"/>
      </w:pPr>
      <w:rPr>
        <w:rFonts w:hint="default"/>
        <w:lang w:val="en-US" w:eastAsia="en-US" w:bidi="ar-SA"/>
      </w:rPr>
    </w:lvl>
    <w:lvl w:ilvl="6" w:tplc="1D06F73A">
      <w:numFmt w:val="bullet"/>
      <w:lvlText w:val="•"/>
      <w:lvlJc w:val="left"/>
      <w:pPr>
        <w:ind w:left="5211" w:hanging="557"/>
      </w:pPr>
      <w:rPr>
        <w:rFonts w:hint="default"/>
        <w:lang w:val="en-US" w:eastAsia="en-US" w:bidi="ar-SA"/>
      </w:rPr>
    </w:lvl>
    <w:lvl w:ilvl="7" w:tplc="10C254D2">
      <w:numFmt w:val="bullet"/>
      <w:lvlText w:val="•"/>
      <w:lvlJc w:val="left"/>
      <w:pPr>
        <w:ind w:left="5820" w:hanging="557"/>
      </w:pPr>
      <w:rPr>
        <w:rFonts w:hint="default"/>
        <w:lang w:val="en-US" w:eastAsia="en-US" w:bidi="ar-SA"/>
      </w:rPr>
    </w:lvl>
    <w:lvl w:ilvl="8" w:tplc="5C24428A">
      <w:numFmt w:val="bullet"/>
      <w:lvlText w:val="•"/>
      <w:lvlJc w:val="left"/>
      <w:pPr>
        <w:ind w:left="6428" w:hanging="557"/>
      </w:pPr>
      <w:rPr>
        <w:rFonts w:hint="default"/>
        <w:lang w:val="en-US" w:eastAsia="en-US" w:bidi="ar-SA"/>
      </w:rPr>
    </w:lvl>
  </w:abstractNum>
  <w:abstractNum w:abstractNumId="14" w15:restartNumberingAfterBreak="0">
    <w:nsid w:val="12F14C7B"/>
    <w:multiLevelType w:val="hybridMultilevel"/>
    <w:tmpl w:val="7D02485E"/>
    <w:lvl w:ilvl="0" w:tplc="909E84D4">
      <w:numFmt w:val="bullet"/>
      <w:lvlText w:val=""/>
      <w:lvlJc w:val="left"/>
      <w:pPr>
        <w:ind w:left="826" w:hanging="361"/>
      </w:pPr>
      <w:rPr>
        <w:rFonts w:ascii="Symbol" w:eastAsia="Symbol" w:hAnsi="Symbol" w:cs="Symbol" w:hint="default"/>
        <w:w w:val="100"/>
        <w:sz w:val="22"/>
        <w:szCs w:val="22"/>
        <w:lang w:val="en-US" w:eastAsia="en-US" w:bidi="ar-SA"/>
      </w:rPr>
    </w:lvl>
    <w:lvl w:ilvl="1" w:tplc="2DF8F974">
      <w:numFmt w:val="bullet"/>
      <w:lvlText w:val="•"/>
      <w:lvlJc w:val="left"/>
      <w:pPr>
        <w:ind w:left="1456" w:hanging="361"/>
      </w:pPr>
      <w:rPr>
        <w:rFonts w:hint="default"/>
        <w:lang w:val="en-US" w:eastAsia="en-US" w:bidi="ar-SA"/>
      </w:rPr>
    </w:lvl>
    <w:lvl w:ilvl="2" w:tplc="7968037C">
      <w:numFmt w:val="bullet"/>
      <w:lvlText w:val="•"/>
      <w:lvlJc w:val="left"/>
      <w:pPr>
        <w:ind w:left="2092" w:hanging="361"/>
      </w:pPr>
      <w:rPr>
        <w:rFonts w:hint="default"/>
        <w:lang w:val="en-US" w:eastAsia="en-US" w:bidi="ar-SA"/>
      </w:rPr>
    </w:lvl>
    <w:lvl w:ilvl="3" w:tplc="FBD830DE">
      <w:numFmt w:val="bullet"/>
      <w:lvlText w:val="•"/>
      <w:lvlJc w:val="left"/>
      <w:pPr>
        <w:ind w:left="2728" w:hanging="361"/>
      </w:pPr>
      <w:rPr>
        <w:rFonts w:hint="default"/>
        <w:lang w:val="en-US" w:eastAsia="en-US" w:bidi="ar-SA"/>
      </w:rPr>
    </w:lvl>
    <w:lvl w:ilvl="4" w:tplc="0F9E78EE">
      <w:numFmt w:val="bullet"/>
      <w:lvlText w:val="•"/>
      <w:lvlJc w:val="left"/>
      <w:pPr>
        <w:ind w:left="3365" w:hanging="361"/>
      </w:pPr>
      <w:rPr>
        <w:rFonts w:hint="default"/>
        <w:lang w:val="en-US" w:eastAsia="en-US" w:bidi="ar-SA"/>
      </w:rPr>
    </w:lvl>
    <w:lvl w:ilvl="5" w:tplc="E162E928">
      <w:numFmt w:val="bullet"/>
      <w:lvlText w:val="•"/>
      <w:lvlJc w:val="left"/>
      <w:pPr>
        <w:ind w:left="4001" w:hanging="361"/>
      </w:pPr>
      <w:rPr>
        <w:rFonts w:hint="default"/>
        <w:lang w:val="en-US" w:eastAsia="en-US" w:bidi="ar-SA"/>
      </w:rPr>
    </w:lvl>
    <w:lvl w:ilvl="6" w:tplc="5448BA30">
      <w:numFmt w:val="bullet"/>
      <w:lvlText w:val="•"/>
      <w:lvlJc w:val="left"/>
      <w:pPr>
        <w:ind w:left="4637" w:hanging="361"/>
      </w:pPr>
      <w:rPr>
        <w:rFonts w:hint="default"/>
        <w:lang w:val="en-US" w:eastAsia="en-US" w:bidi="ar-SA"/>
      </w:rPr>
    </w:lvl>
    <w:lvl w:ilvl="7" w:tplc="4636FC56">
      <w:numFmt w:val="bullet"/>
      <w:lvlText w:val="•"/>
      <w:lvlJc w:val="left"/>
      <w:pPr>
        <w:ind w:left="5274" w:hanging="361"/>
      </w:pPr>
      <w:rPr>
        <w:rFonts w:hint="default"/>
        <w:lang w:val="en-US" w:eastAsia="en-US" w:bidi="ar-SA"/>
      </w:rPr>
    </w:lvl>
    <w:lvl w:ilvl="8" w:tplc="0E263B1E">
      <w:numFmt w:val="bullet"/>
      <w:lvlText w:val="•"/>
      <w:lvlJc w:val="left"/>
      <w:pPr>
        <w:ind w:left="5910" w:hanging="361"/>
      </w:pPr>
      <w:rPr>
        <w:rFonts w:hint="default"/>
        <w:lang w:val="en-US" w:eastAsia="en-US" w:bidi="ar-SA"/>
      </w:rPr>
    </w:lvl>
  </w:abstractNum>
  <w:abstractNum w:abstractNumId="15" w15:restartNumberingAfterBreak="0">
    <w:nsid w:val="161305CE"/>
    <w:multiLevelType w:val="hybridMultilevel"/>
    <w:tmpl w:val="BAA25D9E"/>
    <w:lvl w:ilvl="0" w:tplc="F716A794">
      <w:start w:val="1"/>
      <w:numFmt w:val="decimal"/>
      <w:lvlText w:val="%1."/>
      <w:lvlJc w:val="left"/>
      <w:pPr>
        <w:ind w:left="6139" w:hanging="360"/>
      </w:pPr>
      <w:rPr>
        <w:rFonts w:ascii="Carlito" w:eastAsia="Carlito" w:hAnsi="Carlito" w:cs="Carlito" w:hint="default"/>
        <w:w w:val="100"/>
        <w:sz w:val="22"/>
        <w:szCs w:val="22"/>
        <w:lang w:val="en-US" w:eastAsia="en-US" w:bidi="ar-SA"/>
      </w:rPr>
    </w:lvl>
    <w:lvl w:ilvl="1" w:tplc="6FEA02BC">
      <w:start w:val="1"/>
      <w:numFmt w:val="lowerRoman"/>
      <w:lvlText w:val="%2."/>
      <w:lvlJc w:val="left"/>
      <w:pPr>
        <w:ind w:left="6679" w:hanging="720"/>
      </w:pPr>
      <w:rPr>
        <w:rFonts w:ascii="Arial" w:eastAsia="Arial" w:hAnsi="Arial" w:cs="Arial" w:hint="default"/>
        <w:spacing w:val="-2"/>
        <w:w w:val="100"/>
        <w:sz w:val="22"/>
        <w:szCs w:val="22"/>
        <w:lang w:val="en-US" w:eastAsia="en-US" w:bidi="ar-SA"/>
      </w:rPr>
    </w:lvl>
    <w:lvl w:ilvl="2" w:tplc="51BE7CAC">
      <w:numFmt w:val="bullet"/>
      <w:lvlText w:val="•"/>
      <w:lvlJc w:val="left"/>
      <w:pPr>
        <w:ind w:left="7087" w:hanging="720"/>
      </w:pPr>
      <w:rPr>
        <w:rFonts w:hint="default"/>
        <w:lang w:val="en-US" w:eastAsia="en-US" w:bidi="ar-SA"/>
      </w:rPr>
    </w:lvl>
    <w:lvl w:ilvl="3" w:tplc="49687548">
      <w:numFmt w:val="bullet"/>
      <w:lvlText w:val="•"/>
      <w:lvlJc w:val="left"/>
      <w:pPr>
        <w:ind w:left="7494" w:hanging="720"/>
      </w:pPr>
      <w:rPr>
        <w:rFonts w:hint="default"/>
        <w:lang w:val="en-US" w:eastAsia="en-US" w:bidi="ar-SA"/>
      </w:rPr>
    </w:lvl>
    <w:lvl w:ilvl="4" w:tplc="BC98A882">
      <w:numFmt w:val="bullet"/>
      <w:lvlText w:val="•"/>
      <w:lvlJc w:val="left"/>
      <w:pPr>
        <w:ind w:left="7902" w:hanging="720"/>
      </w:pPr>
      <w:rPr>
        <w:rFonts w:hint="default"/>
        <w:lang w:val="en-US" w:eastAsia="en-US" w:bidi="ar-SA"/>
      </w:rPr>
    </w:lvl>
    <w:lvl w:ilvl="5" w:tplc="08E4693C">
      <w:numFmt w:val="bullet"/>
      <w:lvlText w:val="•"/>
      <w:lvlJc w:val="left"/>
      <w:pPr>
        <w:ind w:left="8309" w:hanging="720"/>
      </w:pPr>
      <w:rPr>
        <w:rFonts w:hint="default"/>
        <w:lang w:val="en-US" w:eastAsia="en-US" w:bidi="ar-SA"/>
      </w:rPr>
    </w:lvl>
    <w:lvl w:ilvl="6" w:tplc="86E8188E">
      <w:numFmt w:val="bullet"/>
      <w:lvlText w:val="•"/>
      <w:lvlJc w:val="left"/>
      <w:pPr>
        <w:ind w:left="8716" w:hanging="720"/>
      </w:pPr>
      <w:rPr>
        <w:rFonts w:hint="default"/>
        <w:lang w:val="en-US" w:eastAsia="en-US" w:bidi="ar-SA"/>
      </w:rPr>
    </w:lvl>
    <w:lvl w:ilvl="7" w:tplc="6B9E1D52">
      <w:numFmt w:val="bullet"/>
      <w:lvlText w:val="•"/>
      <w:lvlJc w:val="left"/>
      <w:pPr>
        <w:ind w:left="9124" w:hanging="720"/>
      </w:pPr>
      <w:rPr>
        <w:rFonts w:hint="default"/>
        <w:lang w:val="en-US" w:eastAsia="en-US" w:bidi="ar-SA"/>
      </w:rPr>
    </w:lvl>
    <w:lvl w:ilvl="8" w:tplc="4446B0E6">
      <w:numFmt w:val="bullet"/>
      <w:lvlText w:val="•"/>
      <w:lvlJc w:val="left"/>
      <w:pPr>
        <w:ind w:left="9531" w:hanging="720"/>
      </w:pPr>
      <w:rPr>
        <w:rFonts w:hint="default"/>
        <w:lang w:val="en-US" w:eastAsia="en-US" w:bidi="ar-SA"/>
      </w:rPr>
    </w:lvl>
  </w:abstractNum>
  <w:abstractNum w:abstractNumId="16" w15:restartNumberingAfterBreak="0">
    <w:nsid w:val="16F031EA"/>
    <w:multiLevelType w:val="hybridMultilevel"/>
    <w:tmpl w:val="38069974"/>
    <w:lvl w:ilvl="0" w:tplc="9C223A52">
      <w:numFmt w:val="bullet"/>
      <w:lvlText w:val="•"/>
      <w:lvlJc w:val="left"/>
      <w:pPr>
        <w:ind w:left="1015" w:hanging="908"/>
      </w:pPr>
      <w:rPr>
        <w:rFonts w:ascii="Carlito" w:eastAsia="Carlito" w:hAnsi="Carlito" w:cs="Carlito" w:hint="default"/>
        <w:w w:val="100"/>
        <w:sz w:val="22"/>
        <w:szCs w:val="22"/>
        <w:lang w:val="en-US" w:eastAsia="en-US" w:bidi="ar-SA"/>
      </w:rPr>
    </w:lvl>
    <w:lvl w:ilvl="1" w:tplc="E068A576">
      <w:numFmt w:val="bullet"/>
      <w:lvlText w:val="•"/>
      <w:lvlJc w:val="left"/>
      <w:pPr>
        <w:ind w:left="1635" w:hanging="908"/>
      </w:pPr>
      <w:rPr>
        <w:rFonts w:hint="default"/>
        <w:lang w:val="en-US" w:eastAsia="en-US" w:bidi="ar-SA"/>
      </w:rPr>
    </w:lvl>
    <w:lvl w:ilvl="2" w:tplc="22AEC5B4">
      <w:numFmt w:val="bullet"/>
      <w:lvlText w:val="•"/>
      <w:lvlJc w:val="left"/>
      <w:pPr>
        <w:ind w:left="2250" w:hanging="908"/>
      </w:pPr>
      <w:rPr>
        <w:rFonts w:hint="default"/>
        <w:lang w:val="en-US" w:eastAsia="en-US" w:bidi="ar-SA"/>
      </w:rPr>
    </w:lvl>
    <w:lvl w:ilvl="3" w:tplc="238CF5A0">
      <w:numFmt w:val="bullet"/>
      <w:lvlText w:val="•"/>
      <w:lvlJc w:val="left"/>
      <w:pPr>
        <w:ind w:left="2865" w:hanging="908"/>
      </w:pPr>
      <w:rPr>
        <w:rFonts w:hint="default"/>
        <w:lang w:val="en-US" w:eastAsia="en-US" w:bidi="ar-SA"/>
      </w:rPr>
    </w:lvl>
    <w:lvl w:ilvl="4" w:tplc="8A463308">
      <w:numFmt w:val="bullet"/>
      <w:lvlText w:val="•"/>
      <w:lvlJc w:val="left"/>
      <w:pPr>
        <w:ind w:left="3481" w:hanging="908"/>
      </w:pPr>
      <w:rPr>
        <w:rFonts w:hint="default"/>
        <w:lang w:val="en-US" w:eastAsia="en-US" w:bidi="ar-SA"/>
      </w:rPr>
    </w:lvl>
    <w:lvl w:ilvl="5" w:tplc="458ED998">
      <w:numFmt w:val="bullet"/>
      <w:lvlText w:val="•"/>
      <w:lvlJc w:val="left"/>
      <w:pPr>
        <w:ind w:left="4096" w:hanging="908"/>
      </w:pPr>
      <w:rPr>
        <w:rFonts w:hint="default"/>
        <w:lang w:val="en-US" w:eastAsia="en-US" w:bidi="ar-SA"/>
      </w:rPr>
    </w:lvl>
    <w:lvl w:ilvl="6" w:tplc="17ACA134">
      <w:numFmt w:val="bullet"/>
      <w:lvlText w:val="•"/>
      <w:lvlJc w:val="left"/>
      <w:pPr>
        <w:ind w:left="4711" w:hanging="908"/>
      </w:pPr>
      <w:rPr>
        <w:rFonts w:hint="default"/>
        <w:lang w:val="en-US" w:eastAsia="en-US" w:bidi="ar-SA"/>
      </w:rPr>
    </w:lvl>
    <w:lvl w:ilvl="7" w:tplc="B17EA9F2">
      <w:numFmt w:val="bullet"/>
      <w:lvlText w:val="•"/>
      <w:lvlJc w:val="left"/>
      <w:pPr>
        <w:ind w:left="5327" w:hanging="908"/>
      </w:pPr>
      <w:rPr>
        <w:rFonts w:hint="default"/>
        <w:lang w:val="en-US" w:eastAsia="en-US" w:bidi="ar-SA"/>
      </w:rPr>
    </w:lvl>
    <w:lvl w:ilvl="8" w:tplc="4C2CADCC">
      <w:numFmt w:val="bullet"/>
      <w:lvlText w:val="•"/>
      <w:lvlJc w:val="left"/>
      <w:pPr>
        <w:ind w:left="5942" w:hanging="908"/>
      </w:pPr>
      <w:rPr>
        <w:rFonts w:hint="default"/>
        <w:lang w:val="en-US" w:eastAsia="en-US" w:bidi="ar-SA"/>
      </w:rPr>
    </w:lvl>
  </w:abstractNum>
  <w:abstractNum w:abstractNumId="17" w15:restartNumberingAfterBreak="0">
    <w:nsid w:val="176079A8"/>
    <w:multiLevelType w:val="hybridMultilevel"/>
    <w:tmpl w:val="F62A759C"/>
    <w:lvl w:ilvl="0" w:tplc="6CF0D142">
      <w:numFmt w:val="bullet"/>
      <w:lvlText w:val=""/>
      <w:lvlJc w:val="left"/>
      <w:pPr>
        <w:ind w:left="390" w:hanging="284"/>
      </w:pPr>
      <w:rPr>
        <w:rFonts w:ascii="Symbol" w:eastAsia="Symbol" w:hAnsi="Symbol" w:cs="Symbol" w:hint="default"/>
        <w:w w:val="100"/>
        <w:sz w:val="22"/>
        <w:szCs w:val="22"/>
        <w:lang w:val="en-US" w:eastAsia="en-US" w:bidi="ar-SA"/>
      </w:rPr>
    </w:lvl>
    <w:lvl w:ilvl="1" w:tplc="896A3E48">
      <w:numFmt w:val="bullet"/>
      <w:lvlText w:val="•"/>
      <w:lvlJc w:val="left"/>
      <w:pPr>
        <w:ind w:left="1083" w:hanging="284"/>
      </w:pPr>
      <w:rPr>
        <w:rFonts w:hint="default"/>
        <w:lang w:val="en-US" w:eastAsia="en-US" w:bidi="ar-SA"/>
      </w:rPr>
    </w:lvl>
    <w:lvl w:ilvl="2" w:tplc="CBEE0F24">
      <w:numFmt w:val="bullet"/>
      <w:lvlText w:val="•"/>
      <w:lvlJc w:val="left"/>
      <w:pPr>
        <w:ind w:left="1766" w:hanging="284"/>
      </w:pPr>
      <w:rPr>
        <w:rFonts w:hint="default"/>
        <w:lang w:val="en-US" w:eastAsia="en-US" w:bidi="ar-SA"/>
      </w:rPr>
    </w:lvl>
    <w:lvl w:ilvl="3" w:tplc="42169B2A">
      <w:numFmt w:val="bullet"/>
      <w:lvlText w:val="•"/>
      <w:lvlJc w:val="left"/>
      <w:pPr>
        <w:ind w:left="2449" w:hanging="284"/>
      </w:pPr>
      <w:rPr>
        <w:rFonts w:hint="default"/>
        <w:lang w:val="en-US" w:eastAsia="en-US" w:bidi="ar-SA"/>
      </w:rPr>
    </w:lvl>
    <w:lvl w:ilvl="4" w:tplc="28A8223A">
      <w:numFmt w:val="bullet"/>
      <w:lvlText w:val="•"/>
      <w:lvlJc w:val="left"/>
      <w:pPr>
        <w:ind w:left="3133" w:hanging="284"/>
      </w:pPr>
      <w:rPr>
        <w:rFonts w:hint="default"/>
        <w:lang w:val="en-US" w:eastAsia="en-US" w:bidi="ar-SA"/>
      </w:rPr>
    </w:lvl>
    <w:lvl w:ilvl="5" w:tplc="74E85FFA">
      <w:numFmt w:val="bullet"/>
      <w:lvlText w:val="•"/>
      <w:lvlJc w:val="left"/>
      <w:pPr>
        <w:ind w:left="3816" w:hanging="284"/>
      </w:pPr>
      <w:rPr>
        <w:rFonts w:hint="default"/>
        <w:lang w:val="en-US" w:eastAsia="en-US" w:bidi="ar-SA"/>
      </w:rPr>
    </w:lvl>
    <w:lvl w:ilvl="6" w:tplc="70D8705A">
      <w:numFmt w:val="bullet"/>
      <w:lvlText w:val="•"/>
      <w:lvlJc w:val="left"/>
      <w:pPr>
        <w:ind w:left="4499" w:hanging="284"/>
      </w:pPr>
      <w:rPr>
        <w:rFonts w:hint="default"/>
        <w:lang w:val="en-US" w:eastAsia="en-US" w:bidi="ar-SA"/>
      </w:rPr>
    </w:lvl>
    <w:lvl w:ilvl="7" w:tplc="915A967A">
      <w:numFmt w:val="bullet"/>
      <w:lvlText w:val="•"/>
      <w:lvlJc w:val="left"/>
      <w:pPr>
        <w:ind w:left="5183" w:hanging="284"/>
      </w:pPr>
      <w:rPr>
        <w:rFonts w:hint="default"/>
        <w:lang w:val="en-US" w:eastAsia="en-US" w:bidi="ar-SA"/>
      </w:rPr>
    </w:lvl>
    <w:lvl w:ilvl="8" w:tplc="4382605A">
      <w:numFmt w:val="bullet"/>
      <w:lvlText w:val="•"/>
      <w:lvlJc w:val="left"/>
      <w:pPr>
        <w:ind w:left="5866" w:hanging="284"/>
      </w:pPr>
      <w:rPr>
        <w:rFonts w:hint="default"/>
        <w:lang w:val="en-US" w:eastAsia="en-US" w:bidi="ar-SA"/>
      </w:rPr>
    </w:lvl>
  </w:abstractNum>
  <w:abstractNum w:abstractNumId="18" w15:restartNumberingAfterBreak="0">
    <w:nsid w:val="19034879"/>
    <w:multiLevelType w:val="hybridMultilevel"/>
    <w:tmpl w:val="23F4B776"/>
    <w:lvl w:ilvl="0" w:tplc="9BE88B70">
      <w:numFmt w:val="bullet"/>
      <w:lvlText w:val=""/>
      <w:lvlJc w:val="left"/>
      <w:pPr>
        <w:ind w:left="827" w:hanging="687"/>
      </w:pPr>
      <w:rPr>
        <w:rFonts w:ascii="Symbol" w:eastAsia="Symbol" w:hAnsi="Symbol" w:cs="Symbol" w:hint="default"/>
        <w:w w:val="100"/>
        <w:sz w:val="22"/>
        <w:szCs w:val="22"/>
        <w:lang w:val="en-US" w:eastAsia="en-US" w:bidi="ar-SA"/>
      </w:rPr>
    </w:lvl>
    <w:lvl w:ilvl="1" w:tplc="D73819FE">
      <w:numFmt w:val="bullet"/>
      <w:lvlText w:val="•"/>
      <w:lvlJc w:val="left"/>
      <w:pPr>
        <w:ind w:left="1456" w:hanging="687"/>
      </w:pPr>
      <w:rPr>
        <w:rFonts w:hint="default"/>
        <w:lang w:val="en-US" w:eastAsia="en-US" w:bidi="ar-SA"/>
      </w:rPr>
    </w:lvl>
    <w:lvl w:ilvl="2" w:tplc="8250B450">
      <w:numFmt w:val="bullet"/>
      <w:lvlText w:val="•"/>
      <w:lvlJc w:val="left"/>
      <w:pPr>
        <w:ind w:left="2092" w:hanging="687"/>
      </w:pPr>
      <w:rPr>
        <w:rFonts w:hint="default"/>
        <w:lang w:val="en-US" w:eastAsia="en-US" w:bidi="ar-SA"/>
      </w:rPr>
    </w:lvl>
    <w:lvl w:ilvl="3" w:tplc="DC541BC8">
      <w:numFmt w:val="bullet"/>
      <w:lvlText w:val="•"/>
      <w:lvlJc w:val="left"/>
      <w:pPr>
        <w:ind w:left="2728" w:hanging="687"/>
      </w:pPr>
      <w:rPr>
        <w:rFonts w:hint="default"/>
        <w:lang w:val="en-US" w:eastAsia="en-US" w:bidi="ar-SA"/>
      </w:rPr>
    </w:lvl>
    <w:lvl w:ilvl="4" w:tplc="08ECC314">
      <w:numFmt w:val="bullet"/>
      <w:lvlText w:val="•"/>
      <w:lvlJc w:val="left"/>
      <w:pPr>
        <w:ind w:left="3364" w:hanging="687"/>
      </w:pPr>
      <w:rPr>
        <w:rFonts w:hint="default"/>
        <w:lang w:val="en-US" w:eastAsia="en-US" w:bidi="ar-SA"/>
      </w:rPr>
    </w:lvl>
    <w:lvl w:ilvl="5" w:tplc="5DE8EDBE">
      <w:numFmt w:val="bullet"/>
      <w:lvlText w:val="•"/>
      <w:lvlJc w:val="left"/>
      <w:pPr>
        <w:ind w:left="4001" w:hanging="687"/>
      </w:pPr>
      <w:rPr>
        <w:rFonts w:hint="default"/>
        <w:lang w:val="en-US" w:eastAsia="en-US" w:bidi="ar-SA"/>
      </w:rPr>
    </w:lvl>
    <w:lvl w:ilvl="6" w:tplc="4A4A8C0C">
      <w:numFmt w:val="bullet"/>
      <w:lvlText w:val="•"/>
      <w:lvlJc w:val="left"/>
      <w:pPr>
        <w:ind w:left="4637" w:hanging="687"/>
      </w:pPr>
      <w:rPr>
        <w:rFonts w:hint="default"/>
        <w:lang w:val="en-US" w:eastAsia="en-US" w:bidi="ar-SA"/>
      </w:rPr>
    </w:lvl>
    <w:lvl w:ilvl="7" w:tplc="150E2FBE">
      <w:numFmt w:val="bullet"/>
      <w:lvlText w:val="•"/>
      <w:lvlJc w:val="left"/>
      <w:pPr>
        <w:ind w:left="5273" w:hanging="687"/>
      </w:pPr>
      <w:rPr>
        <w:rFonts w:hint="default"/>
        <w:lang w:val="en-US" w:eastAsia="en-US" w:bidi="ar-SA"/>
      </w:rPr>
    </w:lvl>
    <w:lvl w:ilvl="8" w:tplc="12E63D54">
      <w:numFmt w:val="bullet"/>
      <w:lvlText w:val="•"/>
      <w:lvlJc w:val="left"/>
      <w:pPr>
        <w:ind w:left="5909" w:hanging="687"/>
      </w:pPr>
      <w:rPr>
        <w:rFonts w:hint="default"/>
        <w:lang w:val="en-US" w:eastAsia="en-US" w:bidi="ar-SA"/>
      </w:rPr>
    </w:lvl>
  </w:abstractNum>
  <w:abstractNum w:abstractNumId="19" w15:restartNumberingAfterBreak="0">
    <w:nsid w:val="19545AA3"/>
    <w:multiLevelType w:val="hybridMultilevel"/>
    <w:tmpl w:val="B6DCBBC6"/>
    <w:lvl w:ilvl="0" w:tplc="45ECD294">
      <w:numFmt w:val="bullet"/>
      <w:lvlText w:val=""/>
      <w:lvlJc w:val="left"/>
      <w:pPr>
        <w:ind w:left="2327" w:hanging="708"/>
      </w:pPr>
      <w:rPr>
        <w:rFonts w:ascii="Symbol" w:eastAsia="Symbol" w:hAnsi="Symbol" w:cs="Symbol" w:hint="default"/>
        <w:w w:val="100"/>
        <w:sz w:val="22"/>
        <w:szCs w:val="22"/>
        <w:lang w:val="en-US" w:eastAsia="en-US" w:bidi="ar-SA"/>
      </w:rPr>
    </w:lvl>
    <w:lvl w:ilvl="1" w:tplc="038C935A">
      <w:numFmt w:val="bullet"/>
      <w:lvlText w:val="•"/>
      <w:lvlJc w:val="left"/>
      <w:pPr>
        <w:ind w:left="2804" w:hanging="708"/>
      </w:pPr>
      <w:rPr>
        <w:rFonts w:hint="default"/>
        <w:lang w:val="en-US" w:eastAsia="en-US" w:bidi="ar-SA"/>
      </w:rPr>
    </w:lvl>
    <w:lvl w:ilvl="2" w:tplc="90CC57F6">
      <w:numFmt w:val="bullet"/>
      <w:lvlText w:val="•"/>
      <w:lvlJc w:val="left"/>
      <w:pPr>
        <w:ind w:left="3288" w:hanging="708"/>
      </w:pPr>
      <w:rPr>
        <w:rFonts w:hint="default"/>
        <w:lang w:val="en-US" w:eastAsia="en-US" w:bidi="ar-SA"/>
      </w:rPr>
    </w:lvl>
    <w:lvl w:ilvl="3" w:tplc="10E44FC4">
      <w:numFmt w:val="bullet"/>
      <w:lvlText w:val="•"/>
      <w:lvlJc w:val="left"/>
      <w:pPr>
        <w:ind w:left="3772" w:hanging="708"/>
      </w:pPr>
      <w:rPr>
        <w:rFonts w:hint="default"/>
        <w:lang w:val="en-US" w:eastAsia="en-US" w:bidi="ar-SA"/>
      </w:rPr>
    </w:lvl>
    <w:lvl w:ilvl="4" w:tplc="9B2A264E">
      <w:numFmt w:val="bullet"/>
      <w:lvlText w:val="•"/>
      <w:lvlJc w:val="left"/>
      <w:pPr>
        <w:ind w:left="4256" w:hanging="708"/>
      </w:pPr>
      <w:rPr>
        <w:rFonts w:hint="default"/>
        <w:lang w:val="en-US" w:eastAsia="en-US" w:bidi="ar-SA"/>
      </w:rPr>
    </w:lvl>
    <w:lvl w:ilvl="5" w:tplc="EFBEE06C">
      <w:numFmt w:val="bullet"/>
      <w:lvlText w:val="•"/>
      <w:lvlJc w:val="left"/>
      <w:pPr>
        <w:ind w:left="4740" w:hanging="708"/>
      </w:pPr>
      <w:rPr>
        <w:rFonts w:hint="default"/>
        <w:lang w:val="en-US" w:eastAsia="en-US" w:bidi="ar-SA"/>
      </w:rPr>
    </w:lvl>
    <w:lvl w:ilvl="6" w:tplc="224031A6">
      <w:numFmt w:val="bullet"/>
      <w:lvlText w:val="•"/>
      <w:lvlJc w:val="left"/>
      <w:pPr>
        <w:ind w:left="5224" w:hanging="708"/>
      </w:pPr>
      <w:rPr>
        <w:rFonts w:hint="default"/>
        <w:lang w:val="en-US" w:eastAsia="en-US" w:bidi="ar-SA"/>
      </w:rPr>
    </w:lvl>
    <w:lvl w:ilvl="7" w:tplc="12E8B8BC">
      <w:numFmt w:val="bullet"/>
      <w:lvlText w:val="•"/>
      <w:lvlJc w:val="left"/>
      <w:pPr>
        <w:ind w:left="5708" w:hanging="708"/>
      </w:pPr>
      <w:rPr>
        <w:rFonts w:hint="default"/>
        <w:lang w:val="en-US" w:eastAsia="en-US" w:bidi="ar-SA"/>
      </w:rPr>
    </w:lvl>
    <w:lvl w:ilvl="8" w:tplc="87C624DA">
      <w:numFmt w:val="bullet"/>
      <w:lvlText w:val="•"/>
      <w:lvlJc w:val="left"/>
      <w:pPr>
        <w:ind w:left="6192" w:hanging="708"/>
      </w:pPr>
      <w:rPr>
        <w:rFonts w:hint="default"/>
        <w:lang w:val="en-US" w:eastAsia="en-US" w:bidi="ar-SA"/>
      </w:rPr>
    </w:lvl>
  </w:abstractNum>
  <w:abstractNum w:abstractNumId="20" w15:restartNumberingAfterBreak="0">
    <w:nsid w:val="1A38035E"/>
    <w:multiLevelType w:val="multilevel"/>
    <w:tmpl w:val="1C14768A"/>
    <w:lvl w:ilvl="0">
      <w:start w:val="3"/>
      <w:numFmt w:val="decimal"/>
      <w:lvlText w:val="%1"/>
      <w:lvlJc w:val="left"/>
      <w:pPr>
        <w:ind w:left="1710" w:hanging="852"/>
      </w:pPr>
      <w:rPr>
        <w:rFonts w:hint="default"/>
        <w:lang w:val="en-US" w:eastAsia="en-US" w:bidi="ar-SA"/>
      </w:rPr>
    </w:lvl>
    <w:lvl w:ilvl="1">
      <w:start w:val="1"/>
      <w:numFmt w:val="decimal"/>
      <w:lvlText w:val="%1.%2"/>
      <w:lvlJc w:val="left"/>
      <w:pPr>
        <w:ind w:left="1710" w:hanging="852"/>
      </w:pPr>
      <w:rPr>
        <w:rFonts w:ascii="Carlito" w:eastAsia="Carlito" w:hAnsi="Carlito" w:cs="Carlito" w:hint="default"/>
        <w:spacing w:val="-6"/>
        <w:w w:val="100"/>
        <w:sz w:val="22"/>
        <w:szCs w:val="22"/>
        <w:lang w:val="en-US" w:eastAsia="en-US" w:bidi="ar-SA"/>
      </w:rPr>
    </w:lvl>
    <w:lvl w:ilvl="2">
      <w:start w:val="1"/>
      <w:numFmt w:val="decimal"/>
      <w:lvlText w:val="%3."/>
      <w:lvlJc w:val="left"/>
      <w:pPr>
        <w:ind w:left="2134" w:hanging="425"/>
      </w:pPr>
      <w:rPr>
        <w:rFonts w:ascii="Arial" w:eastAsia="Arial" w:hAnsi="Arial" w:cs="Arial" w:hint="default"/>
        <w:spacing w:val="-1"/>
        <w:w w:val="100"/>
        <w:sz w:val="22"/>
        <w:szCs w:val="22"/>
        <w:lang w:val="en-US" w:eastAsia="en-US" w:bidi="ar-SA"/>
      </w:rPr>
    </w:lvl>
    <w:lvl w:ilvl="3">
      <w:start w:val="2"/>
      <w:numFmt w:val="decimal"/>
      <w:lvlText w:val="%4."/>
      <w:lvlJc w:val="left"/>
      <w:pPr>
        <w:ind w:left="6139" w:hanging="360"/>
      </w:pPr>
      <w:rPr>
        <w:rFonts w:ascii="Carlito" w:eastAsia="Carlito" w:hAnsi="Carlito" w:cs="Carlito" w:hint="default"/>
        <w:w w:val="100"/>
        <w:sz w:val="22"/>
        <w:szCs w:val="22"/>
        <w:lang w:val="en-US" w:eastAsia="en-US" w:bidi="ar-SA"/>
      </w:rPr>
    </w:lvl>
    <w:lvl w:ilvl="4">
      <w:numFmt w:val="bullet"/>
      <w:lvlText w:val="•"/>
      <w:lvlJc w:val="left"/>
      <w:pPr>
        <w:ind w:left="7191" w:hanging="360"/>
      </w:pPr>
      <w:rPr>
        <w:rFonts w:hint="default"/>
        <w:lang w:val="en-US" w:eastAsia="en-US" w:bidi="ar-SA"/>
      </w:rPr>
    </w:lvl>
    <w:lvl w:ilvl="5">
      <w:numFmt w:val="bullet"/>
      <w:lvlText w:val="•"/>
      <w:lvlJc w:val="left"/>
      <w:pPr>
        <w:ind w:left="7717" w:hanging="360"/>
      </w:pPr>
      <w:rPr>
        <w:rFonts w:hint="default"/>
        <w:lang w:val="en-US" w:eastAsia="en-US" w:bidi="ar-SA"/>
      </w:rPr>
    </w:lvl>
    <w:lvl w:ilvl="6">
      <w:numFmt w:val="bullet"/>
      <w:lvlText w:val="•"/>
      <w:lvlJc w:val="left"/>
      <w:pPr>
        <w:ind w:left="8243" w:hanging="360"/>
      </w:pPr>
      <w:rPr>
        <w:rFonts w:hint="default"/>
        <w:lang w:val="en-US" w:eastAsia="en-US" w:bidi="ar-SA"/>
      </w:rPr>
    </w:lvl>
    <w:lvl w:ilvl="7">
      <w:numFmt w:val="bullet"/>
      <w:lvlText w:val="•"/>
      <w:lvlJc w:val="left"/>
      <w:pPr>
        <w:ind w:left="8769" w:hanging="360"/>
      </w:pPr>
      <w:rPr>
        <w:rFonts w:hint="default"/>
        <w:lang w:val="en-US" w:eastAsia="en-US" w:bidi="ar-SA"/>
      </w:rPr>
    </w:lvl>
    <w:lvl w:ilvl="8">
      <w:numFmt w:val="bullet"/>
      <w:lvlText w:val="•"/>
      <w:lvlJc w:val="left"/>
      <w:pPr>
        <w:ind w:left="9294" w:hanging="360"/>
      </w:pPr>
      <w:rPr>
        <w:rFonts w:hint="default"/>
        <w:lang w:val="en-US" w:eastAsia="en-US" w:bidi="ar-SA"/>
      </w:rPr>
    </w:lvl>
  </w:abstractNum>
  <w:abstractNum w:abstractNumId="21" w15:restartNumberingAfterBreak="0">
    <w:nsid w:val="1ADA4244"/>
    <w:multiLevelType w:val="hybridMultilevel"/>
    <w:tmpl w:val="C0284162"/>
    <w:lvl w:ilvl="0" w:tplc="BE72CB8E">
      <w:numFmt w:val="bullet"/>
      <w:lvlText w:val=""/>
      <w:lvlJc w:val="left"/>
      <w:pPr>
        <w:ind w:left="391" w:hanging="284"/>
      </w:pPr>
      <w:rPr>
        <w:rFonts w:ascii="Symbol" w:eastAsia="Symbol" w:hAnsi="Symbol" w:cs="Symbol" w:hint="default"/>
        <w:w w:val="100"/>
        <w:sz w:val="22"/>
        <w:szCs w:val="22"/>
        <w:lang w:val="en-US" w:eastAsia="en-US" w:bidi="ar-SA"/>
      </w:rPr>
    </w:lvl>
    <w:lvl w:ilvl="1" w:tplc="A0E60DC4">
      <w:numFmt w:val="bullet"/>
      <w:lvlText w:val="•"/>
      <w:lvlJc w:val="left"/>
      <w:pPr>
        <w:ind w:left="1090" w:hanging="284"/>
      </w:pPr>
      <w:rPr>
        <w:rFonts w:hint="default"/>
        <w:lang w:val="en-US" w:eastAsia="en-US" w:bidi="ar-SA"/>
      </w:rPr>
    </w:lvl>
    <w:lvl w:ilvl="2" w:tplc="844A848E">
      <w:numFmt w:val="bullet"/>
      <w:lvlText w:val="•"/>
      <w:lvlJc w:val="left"/>
      <w:pPr>
        <w:ind w:left="1781" w:hanging="284"/>
      </w:pPr>
      <w:rPr>
        <w:rFonts w:hint="default"/>
        <w:lang w:val="en-US" w:eastAsia="en-US" w:bidi="ar-SA"/>
      </w:rPr>
    </w:lvl>
    <w:lvl w:ilvl="3" w:tplc="C5502B96">
      <w:numFmt w:val="bullet"/>
      <w:lvlText w:val="•"/>
      <w:lvlJc w:val="left"/>
      <w:pPr>
        <w:ind w:left="2472" w:hanging="284"/>
      </w:pPr>
      <w:rPr>
        <w:rFonts w:hint="default"/>
        <w:lang w:val="en-US" w:eastAsia="en-US" w:bidi="ar-SA"/>
      </w:rPr>
    </w:lvl>
    <w:lvl w:ilvl="4" w:tplc="7E30943C">
      <w:numFmt w:val="bullet"/>
      <w:lvlText w:val="•"/>
      <w:lvlJc w:val="left"/>
      <w:pPr>
        <w:ind w:left="3162" w:hanging="284"/>
      </w:pPr>
      <w:rPr>
        <w:rFonts w:hint="default"/>
        <w:lang w:val="en-US" w:eastAsia="en-US" w:bidi="ar-SA"/>
      </w:rPr>
    </w:lvl>
    <w:lvl w:ilvl="5" w:tplc="2548A1DA">
      <w:numFmt w:val="bullet"/>
      <w:lvlText w:val="•"/>
      <w:lvlJc w:val="left"/>
      <w:pPr>
        <w:ind w:left="3853" w:hanging="284"/>
      </w:pPr>
      <w:rPr>
        <w:rFonts w:hint="default"/>
        <w:lang w:val="en-US" w:eastAsia="en-US" w:bidi="ar-SA"/>
      </w:rPr>
    </w:lvl>
    <w:lvl w:ilvl="6" w:tplc="B1C098FC">
      <w:numFmt w:val="bullet"/>
      <w:lvlText w:val="•"/>
      <w:lvlJc w:val="left"/>
      <w:pPr>
        <w:ind w:left="4544" w:hanging="284"/>
      </w:pPr>
      <w:rPr>
        <w:rFonts w:hint="default"/>
        <w:lang w:val="en-US" w:eastAsia="en-US" w:bidi="ar-SA"/>
      </w:rPr>
    </w:lvl>
    <w:lvl w:ilvl="7" w:tplc="99749FD4">
      <w:numFmt w:val="bullet"/>
      <w:lvlText w:val="•"/>
      <w:lvlJc w:val="left"/>
      <w:pPr>
        <w:ind w:left="5234" w:hanging="284"/>
      </w:pPr>
      <w:rPr>
        <w:rFonts w:hint="default"/>
        <w:lang w:val="en-US" w:eastAsia="en-US" w:bidi="ar-SA"/>
      </w:rPr>
    </w:lvl>
    <w:lvl w:ilvl="8" w:tplc="134CCF36">
      <w:numFmt w:val="bullet"/>
      <w:lvlText w:val="•"/>
      <w:lvlJc w:val="left"/>
      <w:pPr>
        <w:ind w:left="5925" w:hanging="284"/>
      </w:pPr>
      <w:rPr>
        <w:rFonts w:hint="default"/>
        <w:lang w:val="en-US" w:eastAsia="en-US" w:bidi="ar-SA"/>
      </w:rPr>
    </w:lvl>
  </w:abstractNum>
  <w:abstractNum w:abstractNumId="22" w15:restartNumberingAfterBreak="0">
    <w:nsid w:val="250862BB"/>
    <w:multiLevelType w:val="hybridMultilevel"/>
    <w:tmpl w:val="D7AA1794"/>
    <w:lvl w:ilvl="0" w:tplc="CD7C91A6">
      <w:numFmt w:val="bullet"/>
      <w:lvlText w:val=""/>
      <w:lvlJc w:val="left"/>
      <w:pPr>
        <w:ind w:left="531" w:hanging="284"/>
      </w:pPr>
      <w:rPr>
        <w:rFonts w:ascii="Symbol" w:eastAsia="Symbol" w:hAnsi="Symbol" w:cs="Symbol" w:hint="default"/>
        <w:w w:val="100"/>
        <w:sz w:val="22"/>
        <w:szCs w:val="22"/>
        <w:lang w:val="en-US" w:eastAsia="en-US" w:bidi="ar-SA"/>
      </w:rPr>
    </w:lvl>
    <w:lvl w:ilvl="1" w:tplc="12988DAE">
      <w:numFmt w:val="bullet"/>
      <w:lvlText w:val="•"/>
      <w:lvlJc w:val="left"/>
      <w:pPr>
        <w:ind w:left="1226" w:hanging="284"/>
      </w:pPr>
      <w:rPr>
        <w:rFonts w:hint="default"/>
        <w:lang w:val="en-US" w:eastAsia="en-US" w:bidi="ar-SA"/>
      </w:rPr>
    </w:lvl>
    <w:lvl w:ilvl="2" w:tplc="D16A8BB8">
      <w:numFmt w:val="bullet"/>
      <w:lvlText w:val="•"/>
      <w:lvlJc w:val="left"/>
      <w:pPr>
        <w:ind w:left="1912" w:hanging="284"/>
      </w:pPr>
      <w:rPr>
        <w:rFonts w:hint="default"/>
        <w:lang w:val="en-US" w:eastAsia="en-US" w:bidi="ar-SA"/>
      </w:rPr>
    </w:lvl>
    <w:lvl w:ilvl="3" w:tplc="8C7ABB20">
      <w:numFmt w:val="bullet"/>
      <w:lvlText w:val="•"/>
      <w:lvlJc w:val="left"/>
      <w:pPr>
        <w:ind w:left="2598" w:hanging="284"/>
      </w:pPr>
      <w:rPr>
        <w:rFonts w:hint="default"/>
        <w:lang w:val="en-US" w:eastAsia="en-US" w:bidi="ar-SA"/>
      </w:rPr>
    </w:lvl>
    <w:lvl w:ilvl="4" w:tplc="2AC4EF40">
      <w:numFmt w:val="bullet"/>
      <w:lvlText w:val="•"/>
      <w:lvlJc w:val="left"/>
      <w:pPr>
        <w:ind w:left="3285" w:hanging="284"/>
      </w:pPr>
      <w:rPr>
        <w:rFonts w:hint="default"/>
        <w:lang w:val="en-US" w:eastAsia="en-US" w:bidi="ar-SA"/>
      </w:rPr>
    </w:lvl>
    <w:lvl w:ilvl="5" w:tplc="F8F20A66">
      <w:numFmt w:val="bullet"/>
      <w:lvlText w:val="•"/>
      <w:lvlJc w:val="left"/>
      <w:pPr>
        <w:ind w:left="3971" w:hanging="284"/>
      </w:pPr>
      <w:rPr>
        <w:rFonts w:hint="default"/>
        <w:lang w:val="en-US" w:eastAsia="en-US" w:bidi="ar-SA"/>
      </w:rPr>
    </w:lvl>
    <w:lvl w:ilvl="6" w:tplc="3D66EA94">
      <w:numFmt w:val="bullet"/>
      <w:lvlText w:val="•"/>
      <w:lvlJc w:val="left"/>
      <w:pPr>
        <w:ind w:left="4657" w:hanging="284"/>
      </w:pPr>
      <w:rPr>
        <w:rFonts w:hint="default"/>
        <w:lang w:val="en-US" w:eastAsia="en-US" w:bidi="ar-SA"/>
      </w:rPr>
    </w:lvl>
    <w:lvl w:ilvl="7" w:tplc="F746F8F8">
      <w:numFmt w:val="bullet"/>
      <w:lvlText w:val="•"/>
      <w:lvlJc w:val="left"/>
      <w:pPr>
        <w:ind w:left="5344" w:hanging="284"/>
      </w:pPr>
      <w:rPr>
        <w:rFonts w:hint="default"/>
        <w:lang w:val="en-US" w:eastAsia="en-US" w:bidi="ar-SA"/>
      </w:rPr>
    </w:lvl>
    <w:lvl w:ilvl="8" w:tplc="D9EE1792">
      <w:numFmt w:val="bullet"/>
      <w:lvlText w:val="•"/>
      <w:lvlJc w:val="left"/>
      <w:pPr>
        <w:ind w:left="6030" w:hanging="284"/>
      </w:pPr>
      <w:rPr>
        <w:rFonts w:hint="default"/>
        <w:lang w:val="en-US" w:eastAsia="en-US" w:bidi="ar-SA"/>
      </w:rPr>
    </w:lvl>
  </w:abstractNum>
  <w:abstractNum w:abstractNumId="23" w15:restartNumberingAfterBreak="0">
    <w:nsid w:val="25957966"/>
    <w:multiLevelType w:val="hybridMultilevel"/>
    <w:tmpl w:val="2FB00072"/>
    <w:lvl w:ilvl="0" w:tplc="93525EB6">
      <w:numFmt w:val="bullet"/>
      <w:lvlText w:val=""/>
      <w:lvlJc w:val="left"/>
      <w:pPr>
        <w:ind w:left="391" w:hanging="284"/>
      </w:pPr>
      <w:rPr>
        <w:rFonts w:ascii="Symbol" w:eastAsia="Symbol" w:hAnsi="Symbol" w:cs="Symbol" w:hint="default"/>
        <w:w w:val="100"/>
        <w:sz w:val="22"/>
        <w:szCs w:val="22"/>
        <w:lang w:val="en-US" w:eastAsia="en-US" w:bidi="ar-SA"/>
      </w:rPr>
    </w:lvl>
    <w:lvl w:ilvl="1" w:tplc="E8C0A324">
      <w:numFmt w:val="bullet"/>
      <w:lvlText w:val="•"/>
      <w:lvlJc w:val="left"/>
      <w:pPr>
        <w:ind w:left="1090" w:hanging="284"/>
      </w:pPr>
      <w:rPr>
        <w:rFonts w:hint="default"/>
        <w:lang w:val="en-US" w:eastAsia="en-US" w:bidi="ar-SA"/>
      </w:rPr>
    </w:lvl>
    <w:lvl w:ilvl="2" w:tplc="49BE574E">
      <w:numFmt w:val="bullet"/>
      <w:lvlText w:val="•"/>
      <w:lvlJc w:val="left"/>
      <w:pPr>
        <w:ind w:left="1781" w:hanging="284"/>
      </w:pPr>
      <w:rPr>
        <w:rFonts w:hint="default"/>
        <w:lang w:val="en-US" w:eastAsia="en-US" w:bidi="ar-SA"/>
      </w:rPr>
    </w:lvl>
    <w:lvl w:ilvl="3" w:tplc="DCA89E10">
      <w:numFmt w:val="bullet"/>
      <w:lvlText w:val="•"/>
      <w:lvlJc w:val="left"/>
      <w:pPr>
        <w:ind w:left="2472" w:hanging="284"/>
      </w:pPr>
      <w:rPr>
        <w:rFonts w:hint="default"/>
        <w:lang w:val="en-US" w:eastAsia="en-US" w:bidi="ar-SA"/>
      </w:rPr>
    </w:lvl>
    <w:lvl w:ilvl="4" w:tplc="44585496">
      <w:numFmt w:val="bullet"/>
      <w:lvlText w:val="•"/>
      <w:lvlJc w:val="left"/>
      <w:pPr>
        <w:ind w:left="3162" w:hanging="284"/>
      </w:pPr>
      <w:rPr>
        <w:rFonts w:hint="default"/>
        <w:lang w:val="en-US" w:eastAsia="en-US" w:bidi="ar-SA"/>
      </w:rPr>
    </w:lvl>
    <w:lvl w:ilvl="5" w:tplc="67187E9E">
      <w:numFmt w:val="bullet"/>
      <w:lvlText w:val="•"/>
      <w:lvlJc w:val="left"/>
      <w:pPr>
        <w:ind w:left="3853" w:hanging="284"/>
      </w:pPr>
      <w:rPr>
        <w:rFonts w:hint="default"/>
        <w:lang w:val="en-US" w:eastAsia="en-US" w:bidi="ar-SA"/>
      </w:rPr>
    </w:lvl>
    <w:lvl w:ilvl="6" w:tplc="1B26F58A">
      <w:numFmt w:val="bullet"/>
      <w:lvlText w:val="•"/>
      <w:lvlJc w:val="left"/>
      <w:pPr>
        <w:ind w:left="4544" w:hanging="284"/>
      </w:pPr>
      <w:rPr>
        <w:rFonts w:hint="default"/>
        <w:lang w:val="en-US" w:eastAsia="en-US" w:bidi="ar-SA"/>
      </w:rPr>
    </w:lvl>
    <w:lvl w:ilvl="7" w:tplc="3D740A08">
      <w:numFmt w:val="bullet"/>
      <w:lvlText w:val="•"/>
      <w:lvlJc w:val="left"/>
      <w:pPr>
        <w:ind w:left="5234" w:hanging="284"/>
      </w:pPr>
      <w:rPr>
        <w:rFonts w:hint="default"/>
        <w:lang w:val="en-US" w:eastAsia="en-US" w:bidi="ar-SA"/>
      </w:rPr>
    </w:lvl>
    <w:lvl w:ilvl="8" w:tplc="475A9D04">
      <w:numFmt w:val="bullet"/>
      <w:lvlText w:val="•"/>
      <w:lvlJc w:val="left"/>
      <w:pPr>
        <w:ind w:left="5925" w:hanging="284"/>
      </w:pPr>
      <w:rPr>
        <w:rFonts w:hint="default"/>
        <w:lang w:val="en-US" w:eastAsia="en-US" w:bidi="ar-SA"/>
      </w:rPr>
    </w:lvl>
  </w:abstractNum>
  <w:abstractNum w:abstractNumId="24" w15:restartNumberingAfterBreak="0">
    <w:nsid w:val="2C903F83"/>
    <w:multiLevelType w:val="hybridMultilevel"/>
    <w:tmpl w:val="ADAC3150"/>
    <w:lvl w:ilvl="0" w:tplc="2F00A12E">
      <w:start w:val="1"/>
      <w:numFmt w:val="upperLetter"/>
      <w:lvlText w:val="(%1)"/>
      <w:lvlJc w:val="left"/>
      <w:pPr>
        <w:ind w:left="1424" w:hanging="502"/>
      </w:pPr>
      <w:rPr>
        <w:rFonts w:ascii="Carlito" w:eastAsia="Carlito" w:hAnsi="Carlito" w:cs="Carlito" w:hint="default"/>
        <w:spacing w:val="-1"/>
        <w:w w:val="100"/>
        <w:sz w:val="22"/>
        <w:szCs w:val="22"/>
        <w:lang w:val="en-US" w:eastAsia="en-US" w:bidi="ar-SA"/>
      </w:rPr>
    </w:lvl>
    <w:lvl w:ilvl="1" w:tplc="04546ADA">
      <w:numFmt w:val="bullet"/>
      <w:lvlText w:val="•"/>
      <w:lvlJc w:val="left"/>
      <w:pPr>
        <w:ind w:left="2312" w:hanging="502"/>
      </w:pPr>
      <w:rPr>
        <w:rFonts w:hint="default"/>
        <w:lang w:val="en-US" w:eastAsia="en-US" w:bidi="ar-SA"/>
      </w:rPr>
    </w:lvl>
    <w:lvl w:ilvl="2" w:tplc="86CCC954">
      <w:numFmt w:val="bullet"/>
      <w:lvlText w:val="•"/>
      <w:lvlJc w:val="left"/>
      <w:pPr>
        <w:ind w:left="3205" w:hanging="502"/>
      </w:pPr>
      <w:rPr>
        <w:rFonts w:hint="default"/>
        <w:lang w:val="en-US" w:eastAsia="en-US" w:bidi="ar-SA"/>
      </w:rPr>
    </w:lvl>
    <w:lvl w:ilvl="3" w:tplc="476421D0">
      <w:numFmt w:val="bullet"/>
      <w:lvlText w:val="•"/>
      <w:lvlJc w:val="left"/>
      <w:pPr>
        <w:ind w:left="4097" w:hanging="502"/>
      </w:pPr>
      <w:rPr>
        <w:rFonts w:hint="default"/>
        <w:lang w:val="en-US" w:eastAsia="en-US" w:bidi="ar-SA"/>
      </w:rPr>
    </w:lvl>
    <w:lvl w:ilvl="4" w:tplc="A4DAD140">
      <w:numFmt w:val="bullet"/>
      <w:lvlText w:val="•"/>
      <w:lvlJc w:val="left"/>
      <w:pPr>
        <w:ind w:left="4990" w:hanging="502"/>
      </w:pPr>
      <w:rPr>
        <w:rFonts w:hint="default"/>
        <w:lang w:val="en-US" w:eastAsia="en-US" w:bidi="ar-SA"/>
      </w:rPr>
    </w:lvl>
    <w:lvl w:ilvl="5" w:tplc="29C4C84A">
      <w:numFmt w:val="bullet"/>
      <w:lvlText w:val="•"/>
      <w:lvlJc w:val="left"/>
      <w:pPr>
        <w:ind w:left="5883" w:hanging="502"/>
      </w:pPr>
      <w:rPr>
        <w:rFonts w:hint="default"/>
        <w:lang w:val="en-US" w:eastAsia="en-US" w:bidi="ar-SA"/>
      </w:rPr>
    </w:lvl>
    <w:lvl w:ilvl="6" w:tplc="6366B8CC">
      <w:numFmt w:val="bullet"/>
      <w:lvlText w:val="•"/>
      <w:lvlJc w:val="left"/>
      <w:pPr>
        <w:ind w:left="6775" w:hanging="502"/>
      </w:pPr>
      <w:rPr>
        <w:rFonts w:hint="default"/>
        <w:lang w:val="en-US" w:eastAsia="en-US" w:bidi="ar-SA"/>
      </w:rPr>
    </w:lvl>
    <w:lvl w:ilvl="7" w:tplc="097420C6">
      <w:numFmt w:val="bullet"/>
      <w:lvlText w:val="•"/>
      <w:lvlJc w:val="left"/>
      <w:pPr>
        <w:ind w:left="7668" w:hanging="502"/>
      </w:pPr>
      <w:rPr>
        <w:rFonts w:hint="default"/>
        <w:lang w:val="en-US" w:eastAsia="en-US" w:bidi="ar-SA"/>
      </w:rPr>
    </w:lvl>
    <w:lvl w:ilvl="8" w:tplc="B88EA2FE">
      <w:numFmt w:val="bullet"/>
      <w:lvlText w:val="•"/>
      <w:lvlJc w:val="left"/>
      <w:pPr>
        <w:ind w:left="8561" w:hanging="502"/>
      </w:pPr>
      <w:rPr>
        <w:rFonts w:hint="default"/>
        <w:lang w:val="en-US" w:eastAsia="en-US" w:bidi="ar-SA"/>
      </w:rPr>
    </w:lvl>
  </w:abstractNum>
  <w:abstractNum w:abstractNumId="25" w15:restartNumberingAfterBreak="0">
    <w:nsid w:val="2D025B6C"/>
    <w:multiLevelType w:val="hybridMultilevel"/>
    <w:tmpl w:val="30B2A9F4"/>
    <w:lvl w:ilvl="0" w:tplc="6026EA84">
      <w:numFmt w:val="bullet"/>
      <w:lvlText w:val=""/>
      <w:lvlJc w:val="left"/>
      <w:pPr>
        <w:ind w:left="2538" w:hanging="284"/>
      </w:pPr>
      <w:rPr>
        <w:rFonts w:ascii="Symbol" w:eastAsia="Symbol" w:hAnsi="Symbol" w:cs="Symbol" w:hint="default"/>
        <w:w w:val="100"/>
        <w:sz w:val="22"/>
        <w:szCs w:val="22"/>
        <w:lang w:val="en-US" w:eastAsia="en-US" w:bidi="ar-SA"/>
      </w:rPr>
    </w:lvl>
    <w:lvl w:ilvl="1" w:tplc="550869FE">
      <w:numFmt w:val="bullet"/>
      <w:lvlText w:val="•"/>
      <w:lvlJc w:val="left"/>
      <w:pPr>
        <w:ind w:left="3224" w:hanging="284"/>
      </w:pPr>
      <w:rPr>
        <w:rFonts w:hint="default"/>
        <w:lang w:val="en-US" w:eastAsia="en-US" w:bidi="ar-SA"/>
      </w:rPr>
    </w:lvl>
    <w:lvl w:ilvl="2" w:tplc="CAB07DD2">
      <w:numFmt w:val="bullet"/>
      <w:lvlText w:val="•"/>
      <w:lvlJc w:val="left"/>
      <w:pPr>
        <w:ind w:left="3909" w:hanging="284"/>
      </w:pPr>
      <w:rPr>
        <w:rFonts w:hint="default"/>
        <w:lang w:val="en-US" w:eastAsia="en-US" w:bidi="ar-SA"/>
      </w:rPr>
    </w:lvl>
    <w:lvl w:ilvl="3" w:tplc="444EE024">
      <w:numFmt w:val="bullet"/>
      <w:lvlText w:val="•"/>
      <w:lvlJc w:val="left"/>
      <w:pPr>
        <w:ind w:left="4594" w:hanging="284"/>
      </w:pPr>
      <w:rPr>
        <w:rFonts w:hint="default"/>
        <w:lang w:val="en-US" w:eastAsia="en-US" w:bidi="ar-SA"/>
      </w:rPr>
    </w:lvl>
    <w:lvl w:ilvl="4" w:tplc="5524DCC0">
      <w:numFmt w:val="bullet"/>
      <w:lvlText w:val="•"/>
      <w:lvlJc w:val="left"/>
      <w:pPr>
        <w:ind w:left="5278" w:hanging="284"/>
      </w:pPr>
      <w:rPr>
        <w:rFonts w:hint="default"/>
        <w:lang w:val="en-US" w:eastAsia="en-US" w:bidi="ar-SA"/>
      </w:rPr>
    </w:lvl>
    <w:lvl w:ilvl="5" w:tplc="4634B8CE">
      <w:numFmt w:val="bullet"/>
      <w:lvlText w:val="•"/>
      <w:lvlJc w:val="left"/>
      <w:pPr>
        <w:ind w:left="5963" w:hanging="284"/>
      </w:pPr>
      <w:rPr>
        <w:rFonts w:hint="default"/>
        <w:lang w:val="en-US" w:eastAsia="en-US" w:bidi="ar-SA"/>
      </w:rPr>
    </w:lvl>
    <w:lvl w:ilvl="6" w:tplc="4B7C6C82">
      <w:numFmt w:val="bullet"/>
      <w:lvlText w:val="•"/>
      <w:lvlJc w:val="left"/>
      <w:pPr>
        <w:ind w:left="6648" w:hanging="284"/>
      </w:pPr>
      <w:rPr>
        <w:rFonts w:hint="default"/>
        <w:lang w:val="en-US" w:eastAsia="en-US" w:bidi="ar-SA"/>
      </w:rPr>
    </w:lvl>
    <w:lvl w:ilvl="7" w:tplc="3C56FCB2">
      <w:numFmt w:val="bullet"/>
      <w:lvlText w:val="•"/>
      <w:lvlJc w:val="left"/>
      <w:pPr>
        <w:ind w:left="7332" w:hanging="284"/>
      </w:pPr>
      <w:rPr>
        <w:rFonts w:hint="default"/>
        <w:lang w:val="en-US" w:eastAsia="en-US" w:bidi="ar-SA"/>
      </w:rPr>
    </w:lvl>
    <w:lvl w:ilvl="8" w:tplc="DFAC7840">
      <w:numFmt w:val="bullet"/>
      <w:lvlText w:val="•"/>
      <w:lvlJc w:val="left"/>
      <w:pPr>
        <w:ind w:left="8017" w:hanging="284"/>
      </w:pPr>
      <w:rPr>
        <w:rFonts w:hint="default"/>
        <w:lang w:val="en-US" w:eastAsia="en-US" w:bidi="ar-SA"/>
      </w:rPr>
    </w:lvl>
  </w:abstractNum>
  <w:abstractNum w:abstractNumId="26" w15:restartNumberingAfterBreak="0">
    <w:nsid w:val="2EEB1B31"/>
    <w:multiLevelType w:val="hybridMultilevel"/>
    <w:tmpl w:val="DE760A98"/>
    <w:lvl w:ilvl="0" w:tplc="EA706594">
      <w:start w:val="1"/>
      <w:numFmt w:val="lowerLetter"/>
      <w:lvlText w:val="%1)"/>
      <w:lvlJc w:val="left"/>
      <w:pPr>
        <w:ind w:left="880" w:hanging="546"/>
      </w:pPr>
      <w:rPr>
        <w:rFonts w:ascii="Carlito" w:eastAsia="Carlito" w:hAnsi="Carlito" w:cs="Carlito" w:hint="default"/>
        <w:spacing w:val="-1"/>
        <w:w w:val="100"/>
        <w:sz w:val="22"/>
        <w:szCs w:val="22"/>
        <w:lang w:val="en-US" w:eastAsia="en-US" w:bidi="ar-SA"/>
      </w:rPr>
    </w:lvl>
    <w:lvl w:ilvl="1" w:tplc="46C68D5E">
      <w:start w:val="1"/>
      <w:numFmt w:val="lowerRoman"/>
      <w:lvlText w:val="%2)"/>
      <w:lvlJc w:val="left"/>
      <w:pPr>
        <w:ind w:left="1240" w:hanging="360"/>
      </w:pPr>
      <w:rPr>
        <w:rFonts w:ascii="Arial" w:eastAsia="Arial" w:hAnsi="Arial" w:cs="Arial" w:hint="default"/>
        <w:spacing w:val="-2"/>
        <w:w w:val="100"/>
        <w:sz w:val="22"/>
        <w:szCs w:val="22"/>
        <w:lang w:val="en-US" w:eastAsia="en-US" w:bidi="ar-SA"/>
      </w:rPr>
    </w:lvl>
    <w:lvl w:ilvl="2" w:tplc="D7B6EB1C">
      <w:numFmt w:val="bullet"/>
      <w:lvlText w:val="•"/>
      <w:lvlJc w:val="left"/>
      <w:pPr>
        <w:ind w:left="1906" w:hanging="360"/>
      </w:pPr>
      <w:rPr>
        <w:rFonts w:hint="default"/>
        <w:lang w:val="en-US" w:eastAsia="en-US" w:bidi="ar-SA"/>
      </w:rPr>
    </w:lvl>
    <w:lvl w:ilvl="3" w:tplc="1B481142">
      <w:numFmt w:val="bullet"/>
      <w:lvlText w:val="•"/>
      <w:lvlJc w:val="left"/>
      <w:pPr>
        <w:ind w:left="2572" w:hanging="360"/>
      </w:pPr>
      <w:rPr>
        <w:rFonts w:hint="default"/>
        <w:lang w:val="en-US" w:eastAsia="en-US" w:bidi="ar-SA"/>
      </w:rPr>
    </w:lvl>
    <w:lvl w:ilvl="4" w:tplc="6D7E00AE">
      <w:numFmt w:val="bullet"/>
      <w:lvlText w:val="•"/>
      <w:lvlJc w:val="left"/>
      <w:pPr>
        <w:ind w:left="3238" w:hanging="360"/>
      </w:pPr>
      <w:rPr>
        <w:rFonts w:hint="default"/>
        <w:lang w:val="en-US" w:eastAsia="en-US" w:bidi="ar-SA"/>
      </w:rPr>
    </w:lvl>
    <w:lvl w:ilvl="5" w:tplc="5A78050C">
      <w:numFmt w:val="bullet"/>
      <w:lvlText w:val="•"/>
      <w:lvlJc w:val="left"/>
      <w:pPr>
        <w:ind w:left="3904" w:hanging="360"/>
      </w:pPr>
      <w:rPr>
        <w:rFonts w:hint="default"/>
        <w:lang w:val="en-US" w:eastAsia="en-US" w:bidi="ar-SA"/>
      </w:rPr>
    </w:lvl>
    <w:lvl w:ilvl="6" w:tplc="F61E8EEC">
      <w:numFmt w:val="bullet"/>
      <w:lvlText w:val="•"/>
      <w:lvlJc w:val="left"/>
      <w:pPr>
        <w:ind w:left="4571" w:hanging="360"/>
      </w:pPr>
      <w:rPr>
        <w:rFonts w:hint="default"/>
        <w:lang w:val="en-US" w:eastAsia="en-US" w:bidi="ar-SA"/>
      </w:rPr>
    </w:lvl>
    <w:lvl w:ilvl="7" w:tplc="718EDF32">
      <w:numFmt w:val="bullet"/>
      <w:lvlText w:val="•"/>
      <w:lvlJc w:val="left"/>
      <w:pPr>
        <w:ind w:left="5237" w:hanging="360"/>
      </w:pPr>
      <w:rPr>
        <w:rFonts w:hint="default"/>
        <w:lang w:val="en-US" w:eastAsia="en-US" w:bidi="ar-SA"/>
      </w:rPr>
    </w:lvl>
    <w:lvl w:ilvl="8" w:tplc="09B82452">
      <w:numFmt w:val="bullet"/>
      <w:lvlText w:val="•"/>
      <w:lvlJc w:val="left"/>
      <w:pPr>
        <w:ind w:left="5903" w:hanging="360"/>
      </w:pPr>
      <w:rPr>
        <w:rFonts w:hint="default"/>
        <w:lang w:val="en-US" w:eastAsia="en-US" w:bidi="ar-SA"/>
      </w:rPr>
    </w:lvl>
  </w:abstractNum>
  <w:abstractNum w:abstractNumId="27" w15:restartNumberingAfterBreak="0">
    <w:nsid w:val="31677A16"/>
    <w:multiLevelType w:val="hybridMultilevel"/>
    <w:tmpl w:val="C9A454C2"/>
    <w:lvl w:ilvl="0" w:tplc="E8C425F6">
      <w:numFmt w:val="bullet"/>
      <w:lvlText w:val=""/>
      <w:lvlJc w:val="left"/>
      <w:pPr>
        <w:ind w:left="828" w:hanging="687"/>
      </w:pPr>
      <w:rPr>
        <w:rFonts w:ascii="Symbol" w:eastAsia="Symbol" w:hAnsi="Symbol" w:cs="Symbol" w:hint="default"/>
        <w:w w:val="100"/>
        <w:sz w:val="22"/>
        <w:szCs w:val="22"/>
        <w:lang w:val="en-US" w:eastAsia="en-US" w:bidi="ar-SA"/>
      </w:rPr>
    </w:lvl>
    <w:lvl w:ilvl="1" w:tplc="BB1C9A96">
      <w:numFmt w:val="bullet"/>
      <w:lvlText w:val="•"/>
      <w:lvlJc w:val="left"/>
      <w:pPr>
        <w:ind w:left="1456" w:hanging="687"/>
      </w:pPr>
      <w:rPr>
        <w:rFonts w:hint="default"/>
        <w:lang w:val="en-US" w:eastAsia="en-US" w:bidi="ar-SA"/>
      </w:rPr>
    </w:lvl>
    <w:lvl w:ilvl="2" w:tplc="01848EFA">
      <w:numFmt w:val="bullet"/>
      <w:lvlText w:val="•"/>
      <w:lvlJc w:val="left"/>
      <w:pPr>
        <w:ind w:left="2093" w:hanging="687"/>
      </w:pPr>
      <w:rPr>
        <w:rFonts w:hint="default"/>
        <w:lang w:val="en-US" w:eastAsia="en-US" w:bidi="ar-SA"/>
      </w:rPr>
    </w:lvl>
    <w:lvl w:ilvl="3" w:tplc="97701CAA">
      <w:numFmt w:val="bullet"/>
      <w:lvlText w:val="•"/>
      <w:lvlJc w:val="left"/>
      <w:pPr>
        <w:ind w:left="2729" w:hanging="687"/>
      </w:pPr>
      <w:rPr>
        <w:rFonts w:hint="default"/>
        <w:lang w:val="en-US" w:eastAsia="en-US" w:bidi="ar-SA"/>
      </w:rPr>
    </w:lvl>
    <w:lvl w:ilvl="4" w:tplc="08CE3CC0">
      <w:numFmt w:val="bullet"/>
      <w:lvlText w:val="•"/>
      <w:lvlJc w:val="left"/>
      <w:pPr>
        <w:ind w:left="3366" w:hanging="687"/>
      </w:pPr>
      <w:rPr>
        <w:rFonts w:hint="default"/>
        <w:lang w:val="en-US" w:eastAsia="en-US" w:bidi="ar-SA"/>
      </w:rPr>
    </w:lvl>
    <w:lvl w:ilvl="5" w:tplc="0CFED286">
      <w:numFmt w:val="bullet"/>
      <w:lvlText w:val="•"/>
      <w:lvlJc w:val="left"/>
      <w:pPr>
        <w:ind w:left="4002" w:hanging="687"/>
      </w:pPr>
      <w:rPr>
        <w:rFonts w:hint="default"/>
        <w:lang w:val="en-US" w:eastAsia="en-US" w:bidi="ar-SA"/>
      </w:rPr>
    </w:lvl>
    <w:lvl w:ilvl="6" w:tplc="0F3A977A">
      <w:numFmt w:val="bullet"/>
      <w:lvlText w:val="•"/>
      <w:lvlJc w:val="left"/>
      <w:pPr>
        <w:ind w:left="4639" w:hanging="687"/>
      </w:pPr>
      <w:rPr>
        <w:rFonts w:hint="default"/>
        <w:lang w:val="en-US" w:eastAsia="en-US" w:bidi="ar-SA"/>
      </w:rPr>
    </w:lvl>
    <w:lvl w:ilvl="7" w:tplc="D2F21042">
      <w:numFmt w:val="bullet"/>
      <w:lvlText w:val="•"/>
      <w:lvlJc w:val="left"/>
      <w:pPr>
        <w:ind w:left="5275" w:hanging="687"/>
      </w:pPr>
      <w:rPr>
        <w:rFonts w:hint="default"/>
        <w:lang w:val="en-US" w:eastAsia="en-US" w:bidi="ar-SA"/>
      </w:rPr>
    </w:lvl>
    <w:lvl w:ilvl="8" w:tplc="1D243582">
      <w:numFmt w:val="bullet"/>
      <w:lvlText w:val="•"/>
      <w:lvlJc w:val="left"/>
      <w:pPr>
        <w:ind w:left="5912" w:hanging="687"/>
      </w:pPr>
      <w:rPr>
        <w:rFonts w:hint="default"/>
        <w:lang w:val="en-US" w:eastAsia="en-US" w:bidi="ar-SA"/>
      </w:rPr>
    </w:lvl>
  </w:abstractNum>
  <w:abstractNum w:abstractNumId="28" w15:restartNumberingAfterBreak="0">
    <w:nsid w:val="33E51653"/>
    <w:multiLevelType w:val="hybridMultilevel"/>
    <w:tmpl w:val="219A88CA"/>
    <w:lvl w:ilvl="0" w:tplc="5292FD02">
      <w:numFmt w:val="bullet"/>
      <w:lvlText w:val=""/>
      <w:lvlJc w:val="left"/>
      <w:pPr>
        <w:ind w:left="106" w:hanging="284"/>
      </w:pPr>
      <w:rPr>
        <w:rFonts w:ascii="Symbol" w:eastAsia="Symbol" w:hAnsi="Symbol" w:cs="Symbol" w:hint="default"/>
        <w:w w:val="100"/>
        <w:sz w:val="22"/>
        <w:szCs w:val="22"/>
        <w:lang w:val="en-US" w:eastAsia="en-US" w:bidi="ar-SA"/>
      </w:rPr>
    </w:lvl>
    <w:lvl w:ilvl="1" w:tplc="C69E2D30">
      <w:numFmt w:val="bullet"/>
      <w:lvlText w:val="•"/>
      <w:lvlJc w:val="left"/>
      <w:pPr>
        <w:ind w:left="808" w:hanging="284"/>
      </w:pPr>
      <w:rPr>
        <w:rFonts w:hint="default"/>
        <w:lang w:val="en-US" w:eastAsia="en-US" w:bidi="ar-SA"/>
      </w:rPr>
    </w:lvl>
    <w:lvl w:ilvl="2" w:tplc="F126D3E6">
      <w:numFmt w:val="bullet"/>
      <w:lvlText w:val="•"/>
      <w:lvlJc w:val="left"/>
      <w:pPr>
        <w:ind w:left="1516" w:hanging="284"/>
      </w:pPr>
      <w:rPr>
        <w:rFonts w:hint="default"/>
        <w:lang w:val="en-US" w:eastAsia="en-US" w:bidi="ar-SA"/>
      </w:rPr>
    </w:lvl>
    <w:lvl w:ilvl="3" w:tplc="9E26B426">
      <w:numFmt w:val="bullet"/>
      <w:lvlText w:val="•"/>
      <w:lvlJc w:val="left"/>
      <w:pPr>
        <w:ind w:left="2224" w:hanging="284"/>
      </w:pPr>
      <w:rPr>
        <w:rFonts w:hint="default"/>
        <w:lang w:val="en-US" w:eastAsia="en-US" w:bidi="ar-SA"/>
      </w:rPr>
    </w:lvl>
    <w:lvl w:ilvl="4" w:tplc="A232FD30">
      <w:numFmt w:val="bullet"/>
      <w:lvlText w:val="•"/>
      <w:lvlJc w:val="left"/>
      <w:pPr>
        <w:ind w:left="2933" w:hanging="284"/>
      </w:pPr>
      <w:rPr>
        <w:rFonts w:hint="default"/>
        <w:lang w:val="en-US" w:eastAsia="en-US" w:bidi="ar-SA"/>
      </w:rPr>
    </w:lvl>
    <w:lvl w:ilvl="5" w:tplc="C38E9F04">
      <w:numFmt w:val="bullet"/>
      <w:lvlText w:val="•"/>
      <w:lvlJc w:val="left"/>
      <w:pPr>
        <w:ind w:left="3641" w:hanging="284"/>
      </w:pPr>
      <w:rPr>
        <w:rFonts w:hint="default"/>
        <w:lang w:val="en-US" w:eastAsia="en-US" w:bidi="ar-SA"/>
      </w:rPr>
    </w:lvl>
    <w:lvl w:ilvl="6" w:tplc="0C6041EC">
      <w:numFmt w:val="bullet"/>
      <w:lvlText w:val="•"/>
      <w:lvlJc w:val="left"/>
      <w:pPr>
        <w:ind w:left="4349" w:hanging="284"/>
      </w:pPr>
      <w:rPr>
        <w:rFonts w:hint="default"/>
        <w:lang w:val="en-US" w:eastAsia="en-US" w:bidi="ar-SA"/>
      </w:rPr>
    </w:lvl>
    <w:lvl w:ilvl="7" w:tplc="48C4F694">
      <w:numFmt w:val="bullet"/>
      <w:lvlText w:val="•"/>
      <w:lvlJc w:val="left"/>
      <w:pPr>
        <w:ind w:left="5058" w:hanging="284"/>
      </w:pPr>
      <w:rPr>
        <w:rFonts w:hint="default"/>
        <w:lang w:val="en-US" w:eastAsia="en-US" w:bidi="ar-SA"/>
      </w:rPr>
    </w:lvl>
    <w:lvl w:ilvl="8" w:tplc="1FE63B84">
      <w:numFmt w:val="bullet"/>
      <w:lvlText w:val="•"/>
      <w:lvlJc w:val="left"/>
      <w:pPr>
        <w:ind w:left="5766" w:hanging="284"/>
      </w:pPr>
      <w:rPr>
        <w:rFonts w:hint="default"/>
        <w:lang w:val="en-US" w:eastAsia="en-US" w:bidi="ar-SA"/>
      </w:rPr>
    </w:lvl>
  </w:abstractNum>
  <w:abstractNum w:abstractNumId="29" w15:restartNumberingAfterBreak="0">
    <w:nsid w:val="36761515"/>
    <w:multiLevelType w:val="hybridMultilevel"/>
    <w:tmpl w:val="020ABC0E"/>
    <w:lvl w:ilvl="0" w:tplc="16BCB3A8">
      <w:numFmt w:val="bullet"/>
      <w:lvlText w:val=""/>
      <w:lvlJc w:val="left"/>
      <w:pPr>
        <w:ind w:left="828" w:hanging="687"/>
      </w:pPr>
      <w:rPr>
        <w:rFonts w:ascii="Symbol" w:eastAsia="Symbol" w:hAnsi="Symbol" w:cs="Symbol" w:hint="default"/>
        <w:w w:val="100"/>
        <w:sz w:val="22"/>
        <w:szCs w:val="22"/>
        <w:lang w:val="en-US" w:eastAsia="en-US" w:bidi="ar-SA"/>
      </w:rPr>
    </w:lvl>
    <w:lvl w:ilvl="1" w:tplc="B85C27C4">
      <w:numFmt w:val="bullet"/>
      <w:lvlText w:val="•"/>
      <w:lvlJc w:val="left"/>
      <w:pPr>
        <w:ind w:left="1456" w:hanging="687"/>
      </w:pPr>
      <w:rPr>
        <w:rFonts w:hint="default"/>
        <w:lang w:val="en-US" w:eastAsia="en-US" w:bidi="ar-SA"/>
      </w:rPr>
    </w:lvl>
    <w:lvl w:ilvl="2" w:tplc="F370C392">
      <w:numFmt w:val="bullet"/>
      <w:lvlText w:val="•"/>
      <w:lvlJc w:val="left"/>
      <w:pPr>
        <w:ind w:left="2092" w:hanging="687"/>
      </w:pPr>
      <w:rPr>
        <w:rFonts w:hint="default"/>
        <w:lang w:val="en-US" w:eastAsia="en-US" w:bidi="ar-SA"/>
      </w:rPr>
    </w:lvl>
    <w:lvl w:ilvl="3" w:tplc="45E6F764">
      <w:numFmt w:val="bullet"/>
      <w:lvlText w:val="•"/>
      <w:lvlJc w:val="left"/>
      <w:pPr>
        <w:ind w:left="2729" w:hanging="687"/>
      </w:pPr>
      <w:rPr>
        <w:rFonts w:hint="default"/>
        <w:lang w:val="en-US" w:eastAsia="en-US" w:bidi="ar-SA"/>
      </w:rPr>
    </w:lvl>
    <w:lvl w:ilvl="4" w:tplc="723CC9CC">
      <w:numFmt w:val="bullet"/>
      <w:lvlText w:val="•"/>
      <w:lvlJc w:val="left"/>
      <w:pPr>
        <w:ind w:left="3365" w:hanging="687"/>
      </w:pPr>
      <w:rPr>
        <w:rFonts w:hint="default"/>
        <w:lang w:val="en-US" w:eastAsia="en-US" w:bidi="ar-SA"/>
      </w:rPr>
    </w:lvl>
    <w:lvl w:ilvl="5" w:tplc="4E2EC4BA">
      <w:numFmt w:val="bullet"/>
      <w:lvlText w:val="•"/>
      <w:lvlJc w:val="left"/>
      <w:pPr>
        <w:ind w:left="4002" w:hanging="687"/>
      </w:pPr>
      <w:rPr>
        <w:rFonts w:hint="default"/>
        <w:lang w:val="en-US" w:eastAsia="en-US" w:bidi="ar-SA"/>
      </w:rPr>
    </w:lvl>
    <w:lvl w:ilvl="6" w:tplc="B2BAFFA2">
      <w:numFmt w:val="bullet"/>
      <w:lvlText w:val="•"/>
      <w:lvlJc w:val="left"/>
      <w:pPr>
        <w:ind w:left="4638" w:hanging="687"/>
      </w:pPr>
      <w:rPr>
        <w:rFonts w:hint="default"/>
        <w:lang w:val="en-US" w:eastAsia="en-US" w:bidi="ar-SA"/>
      </w:rPr>
    </w:lvl>
    <w:lvl w:ilvl="7" w:tplc="AD1A3E80">
      <w:numFmt w:val="bullet"/>
      <w:lvlText w:val="•"/>
      <w:lvlJc w:val="left"/>
      <w:pPr>
        <w:ind w:left="5274" w:hanging="687"/>
      </w:pPr>
      <w:rPr>
        <w:rFonts w:hint="default"/>
        <w:lang w:val="en-US" w:eastAsia="en-US" w:bidi="ar-SA"/>
      </w:rPr>
    </w:lvl>
    <w:lvl w:ilvl="8" w:tplc="FF10CF32">
      <w:numFmt w:val="bullet"/>
      <w:lvlText w:val="•"/>
      <w:lvlJc w:val="left"/>
      <w:pPr>
        <w:ind w:left="5911" w:hanging="687"/>
      </w:pPr>
      <w:rPr>
        <w:rFonts w:hint="default"/>
        <w:lang w:val="en-US" w:eastAsia="en-US" w:bidi="ar-SA"/>
      </w:rPr>
    </w:lvl>
  </w:abstractNum>
  <w:abstractNum w:abstractNumId="30" w15:restartNumberingAfterBreak="0">
    <w:nsid w:val="3A790066"/>
    <w:multiLevelType w:val="hybridMultilevel"/>
    <w:tmpl w:val="D06A2A86"/>
    <w:lvl w:ilvl="0" w:tplc="C7DE26B2">
      <w:numFmt w:val="bullet"/>
      <w:lvlText w:val=""/>
      <w:lvlJc w:val="left"/>
      <w:pPr>
        <w:ind w:left="390" w:hanging="284"/>
      </w:pPr>
      <w:rPr>
        <w:rFonts w:ascii="Symbol" w:eastAsia="Symbol" w:hAnsi="Symbol" w:cs="Symbol" w:hint="default"/>
        <w:w w:val="100"/>
        <w:sz w:val="22"/>
        <w:szCs w:val="22"/>
        <w:lang w:val="en-US" w:eastAsia="en-US" w:bidi="ar-SA"/>
      </w:rPr>
    </w:lvl>
    <w:lvl w:ilvl="1" w:tplc="F24E447A">
      <w:numFmt w:val="bullet"/>
      <w:lvlText w:val="•"/>
      <w:lvlJc w:val="left"/>
      <w:pPr>
        <w:ind w:left="1087" w:hanging="284"/>
      </w:pPr>
      <w:rPr>
        <w:rFonts w:hint="default"/>
        <w:lang w:val="en-US" w:eastAsia="en-US" w:bidi="ar-SA"/>
      </w:rPr>
    </w:lvl>
    <w:lvl w:ilvl="2" w:tplc="58FE6792">
      <w:numFmt w:val="bullet"/>
      <w:lvlText w:val="•"/>
      <w:lvlJc w:val="left"/>
      <w:pPr>
        <w:ind w:left="1774" w:hanging="284"/>
      </w:pPr>
      <w:rPr>
        <w:rFonts w:hint="default"/>
        <w:lang w:val="en-US" w:eastAsia="en-US" w:bidi="ar-SA"/>
      </w:rPr>
    </w:lvl>
    <w:lvl w:ilvl="3" w:tplc="CACEBE46">
      <w:numFmt w:val="bullet"/>
      <w:lvlText w:val="•"/>
      <w:lvlJc w:val="left"/>
      <w:pPr>
        <w:ind w:left="2461" w:hanging="284"/>
      </w:pPr>
      <w:rPr>
        <w:rFonts w:hint="default"/>
        <w:lang w:val="en-US" w:eastAsia="en-US" w:bidi="ar-SA"/>
      </w:rPr>
    </w:lvl>
    <w:lvl w:ilvl="4" w:tplc="F508BD52">
      <w:numFmt w:val="bullet"/>
      <w:lvlText w:val="•"/>
      <w:lvlJc w:val="left"/>
      <w:pPr>
        <w:ind w:left="3148" w:hanging="284"/>
      </w:pPr>
      <w:rPr>
        <w:rFonts w:hint="default"/>
        <w:lang w:val="en-US" w:eastAsia="en-US" w:bidi="ar-SA"/>
      </w:rPr>
    </w:lvl>
    <w:lvl w:ilvl="5" w:tplc="A06E47D6">
      <w:numFmt w:val="bullet"/>
      <w:lvlText w:val="•"/>
      <w:lvlJc w:val="left"/>
      <w:pPr>
        <w:ind w:left="3835" w:hanging="284"/>
      </w:pPr>
      <w:rPr>
        <w:rFonts w:hint="default"/>
        <w:lang w:val="en-US" w:eastAsia="en-US" w:bidi="ar-SA"/>
      </w:rPr>
    </w:lvl>
    <w:lvl w:ilvl="6" w:tplc="60422968">
      <w:numFmt w:val="bullet"/>
      <w:lvlText w:val="•"/>
      <w:lvlJc w:val="left"/>
      <w:pPr>
        <w:ind w:left="4522" w:hanging="284"/>
      </w:pPr>
      <w:rPr>
        <w:rFonts w:hint="default"/>
        <w:lang w:val="en-US" w:eastAsia="en-US" w:bidi="ar-SA"/>
      </w:rPr>
    </w:lvl>
    <w:lvl w:ilvl="7" w:tplc="F6BA009A">
      <w:numFmt w:val="bullet"/>
      <w:lvlText w:val="•"/>
      <w:lvlJc w:val="left"/>
      <w:pPr>
        <w:ind w:left="5209" w:hanging="284"/>
      </w:pPr>
      <w:rPr>
        <w:rFonts w:hint="default"/>
        <w:lang w:val="en-US" w:eastAsia="en-US" w:bidi="ar-SA"/>
      </w:rPr>
    </w:lvl>
    <w:lvl w:ilvl="8" w:tplc="4D74D8C2">
      <w:numFmt w:val="bullet"/>
      <w:lvlText w:val="•"/>
      <w:lvlJc w:val="left"/>
      <w:pPr>
        <w:ind w:left="5896" w:hanging="284"/>
      </w:pPr>
      <w:rPr>
        <w:rFonts w:hint="default"/>
        <w:lang w:val="en-US" w:eastAsia="en-US" w:bidi="ar-SA"/>
      </w:rPr>
    </w:lvl>
  </w:abstractNum>
  <w:abstractNum w:abstractNumId="31" w15:restartNumberingAfterBreak="0">
    <w:nsid w:val="3BFB5E18"/>
    <w:multiLevelType w:val="hybridMultilevel"/>
    <w:tmpl w:val="F766C6C6"/>
    <w:lvl w:ilvl="0" w:tplc="2C6A4BD6">
      <w:numFmt w:val="bullet"/>
      <w:lvlText w:val=""/>
      <w:lvlJc w:val="left"/>
      <w:pPr>
        <w:ind w:left="391" w:hanging="284"/>
      </w:pPr>
      <w:rPr>
        <w:rFonts w:ascii="Symbol" w:eastAsia="Symbol" w:hAnsi="Symbol" w:cs="Symbol" w:hint="default"/>
        <w:w w:val="100"/>
        <w:sz w:val="22"/>
        <w:szCs w:val="22"/>
        <w:lang w:val="en-US" w:eastAsia="en-US" w:bidi="ar-SA"/>
      </w:rPr>
    </w:lvl>
    <w:lvl w:ilvl="1" w:tplc="D1B468AA">
      <w:numFmt w:val="bullet"/>
      <w:lvlText w:val="•"/>
      <w:lvlJc w:val="left"/>
      <w:pPr>
        <w:ind w:left="1090" w:hanging="284"/>
      </w:pPr>
      <w:rPr>
        <w:rFonts w:hint="default"/>
        <w:lang w:val="en-US" w:eastAsia="en-US" w:bidi="ar-SA"/>
      </w:rPr>
    </w:lvl>
    <w:lvl w:ilvl="2" w:tplc="AAA86978">
      <w:numFmt w:val="bullet"/>
      <w:lvlText w:val="•"/>
      <w:lvlJc w:val="left"/>
      <w:pPr>
        <w:ind w:left="1781" w:hanging="284"/>
      </w:pPr>
      <w:rPr>
        <w:rFonts w:hint="default"/>
        <w:lang w:val="en-US" w:eastAsia="en-US" w:bidi="ar-SA"/>
      </w:rPr>
    </w:lvl>
    <w:lvl w:ilvl="3" w:tplc="88DE2248">
      <w:numFmt w:val="bullet"/>
      <w:lvlText w:val="•"/>
      <w:lvlJc w:val="left"/>
      <w:pPr>
        <w:ind w:left="2472" w:hanging="284"/>
      </w:pPr>
      <w:rPr>
        <w:rFonts w:hint="default"/>
        <w:lang w:val="en-US" w:eastAsia="en-US" w:bidi="ar-SA"/>
      </w:rPr>
    </w:lvl>
    <w:lvl w:ilvl="4" w:tplc="87A67B60">
      <w:numFmt w:val="bullet"/>
      <w:lvlText w:val="•"/>
      <w:lvlJc w:val="left"/>
      <w:pPr>
        <w:ind w:left="3162" w:hanging="284"/>
      </w:pPr>
      <w:rPr>
        <w:rFonts w:hint="default"/>
        <w:lang w:val="en-US" w:eastAsia="en-US" w:bidi="ar-SA"/>
      </w:rPr>
    </w:lvl>
    <w:lvl w:ilvl="5" w:tplc="98FEE630">
      <w:numFmt w:val="bullet"/>
      <w:lvlText w:val="•"/>
      <w:lvlJc w:val="left"/>
      <w:pPr>
        <w:ind w:left="3853" w:hanging="284"/>
      </w:pPr>
      <w:rPr>
        <w:rFonts w:hint="default"/>
        <w:lang w:val="en-US" w:eastAsia="en-US" w:bidi="ar-SA"/>
      </w:rPr>
    </w:lvl>
    <w:lvl w:ilvl="6" w:tplc="3EE2D880">
      <w:numFmt w:val="bullet"/>
      <w:lvlText w:val="•"/>
      <w:lvlJc w:val="left"/>
      <w:pPr>
        <w:ind w:left="4544" w:hanging="284"/>
      </w:pPr>
      <w:rPr>
        <w:rFonts w:hint="default"/>
        <w:lang w:val="en-US" w:eastAsia="en-US" w:bidi="ar-SA"/>
      </w:rPr>
    </w:lvl>
    <w:lvl w:ilvl="7" w:tplc="54DC175C">
      <w:numFmt w:val="bullet"/>
      <w:lvlText w:val="•"/>
      <w:lvlJc w:val="left"/>
      <w:pPr>
        <w:ind w:left="5234" w:hanging="284"/>
      </w:pPr>
      <w:rPr>
        <w:rFonts w:hint="default"/>
        <w:lang w:val="en-US" w:eastAsia="en-US" w:bidi="ar-SA"/>
      </w:rPr>
    </w:lvl>
    <w:lvl w:ilvl="8" w:tplc="6ADACBA4">
      <w:numFmt w:val="bullet"/>
      <w:lvlText w:val="•"/>
      <w:lvlJc w:val="left"/>
      <w:pPr>
        <w:ind w:left="5925" w:hanging="284"/>
      </w:pPr>
      <w:rPr>
        <w:rFonts w:hint="default"/>
        <w:lang w:val="en-US" w:eastAsia="en-US" w:bidi="ar-SA"/>
      </w:rPr>
    </w:lvl>
  </w:abstractNum>
  <w:abstractNum w:abstractNumId="32" w15:restartNumberingAfterBreak="0">
    <w:nsid w:val="3EB15DA1"/>
    <w:multiLevelType w:val="hybridMultilevel"/>
    <w:tmpl w:val="82E61ADE"/>
    <w:lvl w:ilvl="0" w:tplc="F78C6FF4">
      <w:numFmt w:val="bullet"/>
      <w:lvlText w:val=""/>
      <w:lvlJc w:val="left"/>
      <w:pPr>
        <w:ind w:left="1297" w:hanging="360"/>
      </w:pPr>
      <w:rPr>
        <w:rFonts w:ascii="Symbol" w:eastAsia="Symbol" w:hAnsi="Symbol" w:cs="Symbol" w:hint="default"/>
        <w:w w:val="100"/>
        <w:sz w:val="22"/>
        <w:szCs w:val="22"/>
        <w:lang w:val="en-US" w:eastAsia="en-US" w:bidi="ar-SA"/>
      </w:rPr>
    </w:lvl>
    <w:lvl w:ilvl="1" w:tplc="75442A0A">
      <w:numFmt w:val="bullet"/>
      <w:lvlText w:val="•"/>
      <w:lvlJc w:val="left"/>
      <w:pPr>
        <w:ind w:left="1888" w:hanging="360"/>
      </w:pPr>
      <w:rPr>
        <w:rFonts w:hint="default"/>
        <w:lang w:val="en-US" w:eastAsia="en-US" w:bidi="ar-SA"/>
      </w:rPr>
    </w:lvl>
    <w:lvl w:ilvl="2" w:tplc="24D2FACA">
      <w:numFmt w:val="bullet"/>
      <w:lvlText w:val="•"/>
      <w:lvlJc w:val="left"/>
      <w:pPr>
        <w:ind w:left="2476" w:hanging="360"/>
      </w:pPr>
      <w:rPr>
        <w:rFonts w:hint="default"/>
        <w:lang w:val="en-US" w:eastAsia="en-US" w:bidi="ar-SA"/>
      </w:rPr>
    </w:lvl>
    <w:lvl w:ilvl="3" w:tplc="DD5478B6">
      <w:numFmt w:val="bullet"/>
      <w:lvlText w:val="•"/>
      <w:lvlJc w:val="left"/>
      <w:pPr>
        <w:ind w:left="3065" w:hanging="360"/>
      </w:pPr>
      <w:rPr>
        <w:rFonts w:hint="default"/>
        <w:lang w:val="en-US" w:eastAsia="en-US" w:bidi="ar-SA"/>
      </w:rPr>
    </w:lvl>
    <w:lvl w:ilvl="4" w:tplc="7C683760">
      <w:numFmt w:val="bullet"/>
      <w:lvlText w:val="•"/>
      <w:lvlJc w:val="left"/>
      <w:pPr>
        <w:ind w:left="3653" w:hanging="360"/>
      </w:pPr>
      <w:rPr>
        <w:rFonts w:hint="default"/>
        <w:lang w:val="en-US" w:eastAsia="en-US" w:bidi="ar-SA"/>
      </w:rPr>
    </w:lvl>
    <w:lvl w:ilvl="5" w:tplc="C1520688">
      <w:numFmt w:val="bullet"/>
      <w:lvlText w:val="•"/>
      <w:lvlJc w:val="left"/>
      <w:pPr>
        <w:ind w:left="4242" w:hanging="360"/>
      </w:pPr>
      <w:rPr>
        <w:rFonts w:hint="default"/>
        <w:lang w:val="en-US" w:eastAsia="en-US" w:bidi="ar-SA"/>
      </w:rPr>
    </w:lvl>
    <w:lvl w:ilvl="6" w:tplc="DD408CE0">
      <w:numFmt w:val="bullet"/>
      <w:lvlText w:val="•"/>
      <w:lvlJc w:val="left"/>
      <w:pPr>
        <w:ind w:left="4830" w:hanging="360"/>
      </w:pPr>
      <w:rPr>
        <w:rFonts w:hint="default"/>
        <w:lang w:val="en-US" w:eastAsia="en-US" w:bidi="ar-SA"/>
      </w:rPr>
    </w:lvl>
    <w:lvl w:ilvl="7" w:tplc="FB72029E">
      <w:numFmt w:val="bullet"/>
      <w:lvlText w:val="•"/>
      <w:lvlJc w:val="left"/>
      <w:pPr>
        <w:ind w:left="5418" w:hanging="360"/>
      </w:pPr>
      <w:rPr>
        <w:rFonts w:hint="default"/>
        <w:lang w:val="en-US" w:eastAsia="en-US" w:bidi="ar-SA"/>
      </w:rPr>
    </w:lvl>
    <w:lvl w:ilvl="8" w:tplc="CB0E797A">
      <w:numFmt w:val="bullet"/>
      <w:lvlText w:val="•"/>
      <w:lvlJc w:val="left"/>
      <w:pPr>
        <w:ind w:left="6007" w:hanging="360"/>
      </w:pPr>
      <w:rPr>
        <w:rFonts w:hint="default"/>
        <w:lang w:val="en-US" w:eastAsia="en-US" w:bidi="ar-SA"/>
      </w:rPr>
    </w:lvl>
  </w:abstractNum>
  <w:abstractNum w:abstractNumId="33" w15:restartNumberingAfterBreak="0">
    <w:nsid w:val="40C750C0"/>
    <w:multiLevelType w:val="hybridMultilevel"/>
    <w:tmpl w:val="48CAD30C"/>
    <w:lvl w:ilvl="0" w:tplc="F400530A">
      <w:numFmt w:val="bullet"/>
      <w:lvlText w:val=""/>
      <w:lvlJc w:val="left"/>
      <w:pPr>
        <w:ind w:left="390" w:hanging="284"/>
      </w:pPr>
      <w:rPr>
        <w:rFonts w:ascii="Symbol" w:eastAsia="Symbol" w:hAnsi="Symbol" w:cs="Symbol" w:hint="default"/>
        <w:w w:val="100"/>
        <w:sz w:val="22"/>
        <w:szCs w:val="22"/>
        <w:lang w:val="en-US" w:eastAsia="en-US" w:bidi="ar-SA"/>
      </w:rPr>
    </w:lvl>
    <w:lvl w:ilvl="1" w:tplc="40268570">
      <w:numFmt w:val="bullet"/>
      <w:lvlText w:val="•"/>
      <w:lvlJc w:val="left"/>
      <w:pPr>
        <w:ind w:left="1087" w:hanging="284"/>
      </w:pPr>
      <w:rPr>
        <w:rFonts w:hint="default"/>
        <w:lang w:val="en-US" w:eastAsia="en-US" w:bidi="ar-SA"/>
      </w:rPr>
    </w:lvl>
    <w:lvl w:ilvl="2" w:tplc="9A145D20">
      <w:numFmt w:val="bullet"/>
      <w:lvlText w:val="•"/>
      <w:lvlJc w:val="left"/>
      <w:pPr>
        <w:ind w:left="1774" w:hanging="284"/>
      </w:pPr>
      <w:rPr>
        <w:rFonts w:hint="default"/>
        <w:lang w:val="en-US" w:eastAsia="en-US" w:bidi="ar-SA"/>
      </w:rPr>
    </w:lvl>
    <w:lvl w:ilvl="3" w:tplc="EA7C3C5A">
      <w:numFmt w:val="bullet"/>
      <w:lvlText w:val="•"/>
      <w:lvlJc w:val="left"/>
      <w:pPr>
        <w:ind w:left="2461" w:hanging="284"/>
      </w:pPr>
      <w:rPr>
        <w:rFonts w:hint="default"/>
        <w:lang w:val="en-US" w:eastAsia="en-US" w:bidi="ar-SA"/>
      </w:rPr>
    </w:lvl>
    <w:lvl w:ilvl="4" w:tplc="DA1AC98E">
      <w:numFmt w:val="bullet"/>
      <w:lvlText w:val="•"/>
      <w:lvlJc w:val="left"/>
      <w:pPr>
        <w:ind w:left="3148" w:hanging="284"/>
      </w:pPr>
      <w:rPr>
        <w:rFonts w:hint="default"/>
        <w:lang w:val="en-US" w:eastAsia="en-US" w:bidi="ar-SA"/>
      </w:rPr>
    </w:lvl>
    <w:lvl w:ilvl="5" w:tplc="D84A3EE4">
      <w:numFmt w:val="bullet"/>
      <w:lvlText w:val="•"/>
      <w:lvlJc w:val="left"/>
      <w:pPr>
        <w:ind w:left="3835" w:hanging="284"/>
      </w:pPr>
      <w:rPr>
        <w:rFonts w:hint="default"/>
        <w:lang w:val="en-US" w:eastAsia="en-US" w:bidi="ar-SA"/>
      </w:rPr>
    </w:lvl>
    <w:lvl w:ilvl="6" w:tplc="18049726">
      <w:numFmt w:val="bullet"/>
      <w:lvlText w:val="•"/>
      <w:lvlJc w:val="left"/>
      <w:pPr>
        <w:ind w:left="4522" w:hanging="284"/>
      </w:pPr>
      <w:rPr>
        <w:rFonts w:hint="default"/>
        <w:lang w:val="en-US" w:eastAsia="en-US" w:bidi="ar-SA"/>
      </w:rPr>
    </w:lvl>
    <w:lvl w:ilvl="7" w:tplc="02D88542">
      <w:numFmt w:val="bullet"/>
      <w:lvlText w:val="•"/>
      <w:lvlJc w:val="left"/>
      <w:pPr>
        <w:ind w:left="5209" w:hanging="284"/>
      </w:pPr>
      <w:rPr>
        <w:rFonts w:hint="default"/>
        <w:lang w:val="en-US" w:eastAsia="en-US" w:bidi="ar-SA"/>
      </w:rPr>
    </w:lvl>
    <w:lvl w:ilvl="8" w:tplc="981AA0DA">
      <w:numFmt w:val="bullet"/>
      <w:lvlText w:val="•"/>
      <w:lvlJc w:val="left"/>
      <w:pPr>
        <w:ind w:left="5896" w:hanging="284"/>
      </w:pPr>
      <w:rPr>
        <w:rFonts w:hint="default"/>
        <w:lang w:val="en-US" w:eastAsia="en-US" w:bidi="ar-SA"/>
      </w:rPr>
    </w:lvl>
  </w:abstractNum>
  <w:abstractNum w:abstractNumId="34" w15:restartNumberingAfterBreak="0">
    <w:nsid w:val="410230B0"/>
    <w:multiLevelType w:val="hybridMultilevel"/>
    <w:tmpl w:val="F5CAF7E6"/>
    <w:lvl w:ilvl="0" w:tplc="CEF640CC">
      <w:numFmt w:val="bullet"/>
      <w:lvlText w:val=""/>
      <w:lvlJc w:val="left"/>
      <w:pPr>
        <w:ind w:left="390" w:hanging="284"/>
      </w:pPr>
      <w:rPr>
        <w:rFonts w:ascii="Symbol" w:eastAsia="Symbol" w:hAnsi="Symbol" w:cs="Symbol" w:hint="default"/>
        <w:w w:val="100"/>
        <w:sz w:val="22"/>
        <w:szCs w:val="22"/>
        <w:lang w:val="en-US" w:eastAsia="en-US" w:bidi="ar-SA"/>
      </w:rPr>
    </w:lvl>
    <w:lvl w:ilvl="1" w:tplc="67549B26">
      <w:numFmt w:val="bullet"/>
      <w:lvlText w:val="•"/>
      <w:lvlJc w:val="left"/>
      <w:pPr>
        <w:ind w:left="1083" w:hanging="284"/>
      </w:pPr>
      <w:rPr>
        <w:rFonts w:hint="default"/>
        <w:lang w:val="en-US" w:eastAsia="en-US" w:bidi="ar-SA"/>
      </w:rPr>
    </w:lvl>
    <w:lvl w:ilvl="2" w:tplc="8410FEE6">
      <w:numFmt w:val="bullet"/>
      <w:lvlText w:val="•"/>
      <w:lvlJc w:val="left"/>
      <w:pPr>
        <w:ind w:left="1766" w:hanging="284"/>
      </w:pPr>
      <w:rPr>
        <w:rFonts w:hint="default"/>
        <w:lang w:val="en-US" w:eastAsia="en-US" w:bidi="ar-SA"/>
      </w:rPr>
    </w:lvl>
    <w:lvl w:ilvl="3" w:tplc="6B70250C">
      <w:numFmt w:val="bullet"/>
      <w:lvlText w:val="•"/>
      <w:lvlJc w:val="left"/>
      <w:pPr>
        <w:ind w:left="2449" w:hanging="284"/>
      </w:pPr>
      <w:rPr>
        <w:rFonts w:hint="default"/>
        <w:lang w:val="en-US" w:eastAsia="en-US" w:bidi="ar-SA"/>
      </w:rPr>
    </w:lvl>
    <w:lvl w:ilvl="4" w:tplc="80E8A148">
      <w:numFmt w:val="bullet"/>
      <w:lvlText w:val="•"/>
      <w:lvlJc w:val="left"/>
      <w:pPr>
        <w:ind w:left="3133" w:hanging="284"/>
      </w:pPr>
      <w:rPr>
        <w:rFonts w:hint="default"/>
        <w:lang w:val="en-US" w:eastAsia="en-US" w:bidi="ar-SA"/>
      </w:rPr>
    </w:lvl>
    <w:lvl w:ilvl="5" w:tplc="C434847A">
      <w:numFmt w:val="bullet"/>
      <w:lvlText w:val="•"/>
      <w:lvlJc w:val="left"/>
      <w:pPr>
        <w:ind w:left="3816" w:hanging="284"/>
      </w:pPr>
      <w:rPr>
        <w:rFonts w:hint="default"/>
        <w:lang w:val="en-US" w:eastAsia="en-US" w:bidi="ar-SA"/>
      </w:rPr>
    </w:lvl>
    <w:lvl w:ilvl="6" w:tplc="E09A1238">
      <w:numFmt w:val="bullet"/>
      <w:lvlText w:val="•"/>
      <w:lvlJc w:val="left"/>
      <w:pPr>
        <w:ind w:left="4499" w:hanging="284"/>
      </w:pPr>
      <w:rPr>
        <w:rFonts w:hint="default"/>
        <w:lang w:val="en-US" w:eastAsia="en-US" w:bidi="ar-SA"/>
      </w:rPr>
    </w:lvl>
    <w:lvl w:ilvl="7" w:tplc="58CC212C">
      <w:numFmt w:val="bullet"/>
      <w:lvlText w:val="•"/>
      <w:lvlJc w:val="left"/>
      <w:pPr>
        <w:ind w:left="5183" w:hanging="284"/>
      </w:pPr>
      <w:rPr>
        <w:rFonts w:hint="default"/>
        <w:lang w:val="en-US" w:eastAsia="en-US" w:bidi="ar-SA"/>
      </w:rPr>
    </w:lvl>
    <w:lvl w:ilvl="8" w:tplc="E11A31E6">
      <w:numFmt w:val="bullet"/>
      <w:lvlText w:val="•"/>
      <w:lvlJc w:val="left"/>
      <w:pPr>
        <w:ind w:left="5866" w:hanging="284"/>
      </w:pPr>
      <w:rPr>
        <w:rFonts w:hint="default"/>
        <w:lang w:val="en-US" w:eastAsia="en-US" w:bidi="ar-SA"/>
      </w:rPr>
    </w:lvl>
  </w:abstractNum>
  <w:abstractNum w:abstractNumId="35" w15:restartNumberingAfterBreak="0">
    <w:nsid w:val="422F56F0"/>
    <w:multiLevelType w:val="hybridMultilevel"/>
    <w:tmpl w:val="EBE41FD4"/>
    <w:lvl w:ilvl="0" w:tplc="68227C22">
      <w:numFmt w:val="bullet"/>
      <w:lvlText w:val=""/>
      <w:lvlJc w:val="left"/>
      <w:pPr>
        <w:ind w:left="391" w:hanging="284"/>
      </w:pPr>
      <w:rPr>
        <w:rFonts w:ascii="Symbol" w:eastAsia="Symbol" w:hAnsi="Symbol" w:cs="Symbol" w:hint="default"/>
        <w:w w:val="100"/>
        <w:sz w:val="22"/>
        <w:szCs w:val="22"/>
        <w:lang w:val="en-US" w:eastAsia="en-US" w:bidi="ar-SA"/>
      </w:rPr>
    </w:lvl>
    <w:lvl w:ilvl="1" w:tplc="8E0E31BE">
      <w:numFmt w:val="bullet"/>
      <w:lvlText w:val="•"/>
      <w:lvlJc w:val="left"/>
      <w:pPr>
        <w:ind w:left="1090" w:hanging="284"/>
      </w:pPr>
      <w:rPr>
        <w:rFonts w:hint="default"/>
        <w:lang w:val="en-US" w:eastAsia="en-US" w:bidi="ar-SA"/>
      </w:rPr>
    </w:lvl>
    <w:lvl w:ilvl="2" w:tplc="D788315A">
      <w:numFmt w:val="bullet"/>
      <w:lvlText w:val="•"/>
      <w:lvlJc w:val="left"/>
      <w:pPr>
        <w:ind w:left="1781" w:hanging="284"/>
      </w:pPr>
      <w:rPr>
        <w:rFonts w:hint="default"/>
        <w:lang w:val="en-US" w:eastAsia="en-US" w:bidi="ar-SA"/>
      </w:rPr>
    </w:lvl>
    <w:lvl w:ilvl="3" w:tplc="C2168152">
      <w:numFmt w:val="bullet"/>
      <w:lvlText w:val="•"/>
      <w:lvlJc w:val="left"/>
      <w:pPr>
        <w:ind w:left="2472" w:hanging="284"/>
      </w:pPr>
      <w:rPr>
        <w:rFonts w:hint="default"/>
        <w:lang w:val="en-US" w:eastAsia="en-US" w:bidi="ar-SA"/>
      </w:rPr>
    </w:lvl>
    <w:lvl w:ilvl="4" w:tplc="86BEA208">
      <w:numFmt w:val="bullet"/>
      <w:lvlText w:val="•"/>
      <w:lvlJc w:val="left"/>
      <w:pPr>
        <w:ind w:left="3162" w:hanging="284"/>
      </w:pPr>
      <w:rPr>
        <w:rFonts w:hint="default"/>
        <w:lang w:val="en-US" w:eastAsia="en-US" w:bidi="ar-SA"/>
      </w:rPr>
    </w:lvl>
    <w:lvl w:ilvl="5" w:tplc="75522D2E">
      <w:numFmt w:val="bullet"/>
      <w:lvlText w:val="•"/>
      <w:lvlJc w:val="left"/>
      <w:pPr>
        <w:ind w:left="3853" w:hanging="284"/>
      </w:pPr>
      <w:rPr>
        <w:rFonts w:hint="default"/>
        <w:lang w:val="en-US" w:eastAsia="en-US" w:bidi="ar-SA"/>
      </w:rPr>
    </w:lvl>
    <w:lvl w:ilvl="6" w:tplc="AA061F8E">
      <w:numFmt w:val="bullet"/>
      <w:lvlText w:val="•"/>
      <w:lvlJc w:val="left"/>
      <w:pPr>
        <w:ind w:left="4544" w:hanging="284"/>
      </w:pPr>
      <w:rPr>
        <w:rFonts w:hint="default"/>
        <w:lang w:val="en-US" w:eastAsia="en-US" w:bidi="ar-SA"/>
      </w:rPr>
    </w:lvl>
    <w:lvl w:ilvl="7" w:tplc="F760CC2A">
      <w:numFmt w:val="bullet"/>
      <w:lvlText w:val="•"/>
      <w:lvlJc w:val="left"/>
      <w:pPr>
        <w:ind w:left="5234" w:hanging="284"/>
      </w:pPr>
      <w:rPr>
        <w:rFonts w:hint="default"/>
        <w:lang w:val="en-US" w:eastAsia="en-US" w:bidi="ar-SA"/>
      </w:rPr>
    </w:lvl>
    <w:lvl w:ilvl="8" w:tplc="E59E599E">
      <w:numFmt w:val="bullet"/>
      <w:lvlText w:val="•"/>
      <w:lvlJc w:val="left"/>
      <w:pPr>
        <w:ind w:left="5925" w:hanging="284"/>
      </w:pPr>
      <w:rPr>
        <w:rFonts w:hint="default"/>
        <w:lang w:val="en-US" w:eastAsia="en-US" w:bidi="ar-SA"/>
      </w:rPr>
    </w:lvl>
  </w:abstractNum>
  <w:abstractNum w:abstractNumId="36" w15:restartNumberingAfterBreak="0">
    <w:nsid w:val="43AC5D18"/>
    <w:multiLevelType w:val="hybridMultilevel"/>
    <w:tmpl w:val="41DE52DE"/>
    <w:lvl w:ilvl="0" w:tplc="6C824C36">
      <w:numFmt w:val="bullet"/>
      <w:lvlText w:val="•"/>
      <w:lvlJc w:val="left"/>
      <w:pPr>
        <w:ind w:left="106" w:hanging="721"/>
      </w:pPr>
      <w:rPr>
        <w:rFonts w:ascii="Carlito" w:eastAsia="Carlito" w:hAnsi="Carlito" w:cs="Carlito" w:hint="default"/>
        <w:w w:val="100"/>
        <w:sz w:val="22"/>
        <w:szCs w:val="22"/>
        <w:lang w:val="en-US" w:eastAsia="en-US" w:bidi="ar-SA"/>
      </w:rPr>
    </w:lvl>
    <w:lvl w:ilvl="1" w:tplc="410A6A8C">
      <w:numFmt w:val="bullet"/>
      <w:lvlText w:val="•"/>
      <w:lvlJc w:val="left"/>
      <w:pPr>
        <w:ind w:left="808" w:hanging="721"/>
      </w:pPr>
      <w:rPr>
        <w:rFonts w:hint="default"/>
        <w:lang w:val="en-US" w:eastAsia="en-US" w:bidi="ar-SA"/>
      </w:rPr>
    </w:lvl>
    <w:lvl w:ilvl="2" w:tplc="E318AB2E">
      <w:numFmt w:val="bullet"/>
      <w:lvlText w:val="•"/>
      <w:lvlJc w:val="left"/>
      <w:pPr>
        <w:ind w:left="1516" w:hanging="721"/>
      </w:pPr>
      <w:rPr>
        <w:rFonts w:hint="default"/>
        <w:lang w:val="en-US" w:eastAsia="en-US" w:bidi="ar-SA"/>
      </w:rPr>
    </w:lvl>
    <w:lvl w:ilvl="3" w:tplc="97D4143C">
      <w:numFmt w:val="bullet"/>
      <w:lvlText w:val="•"/>
      <w:lvlJc w:val="left"/>
      <w:pPr>
        <w:ind w:left="2224" w:hanging="721"/>
      </w:pPr>
      <w:rPr>
        <w:rFonts w:hint="default"/>
        <w:lang w:val="en-US" w:eastAsia="en-US" w:bidi="ar-SA"/>
      </w:rPr>
    </w:lvl>
    <w:lvl w:ilvl="4" w:tplc="7EA29ED2">
      <w:numFmt w:val="bullet"/>
      <w:lvlText w:val="•"/>
      <w:lvlJc w:val="left"/>
      <w:pPr>
        <w:ind w:left="2932" w:hanging="721"/>
      </w:pPr>
      <w:rPr>
        <w:rFonts w:hint="default"/>
        <w:lang w:val="en-US" w:eastAsia="en-US" w:bidi="ar-SA"/>
      </w:rPr>
    </w:lvl>
    <w:lvl w:ilvl="5" w:tplc="60341EA2">
      <w:numFmt w:val="bullet"/>
      <w:lvlText w:val="•"/>
      <w:lvlJc w:val="left"/>
      <w:pPr>
        <w:ind w:left="3640" w:hanging="721"/>
      </w:pPr>
      <w:rPr>
        <w:rFonts w:hint="default"/>
        <w:lang w:val="en-US" w:eastAsia="en-US" w:bidi="ar-SA"/>
      </w:rPr>
    </w:lvl>
    <w:lvl w:ilvl="6" w:tplc="6FD0F584">
      <w:numFmt w:val="bullet"/>
      <w:lvlText w:val="•"/>
      <w:lvlJc w:val="left"/>
      <w:pPr>
        <w:ind w:left="4348" w:hanging="721"/>
      </w:pPr>
      <w:rPr>
        <w:rFonts w:hint="default"/>
        <w:lang w:val="en-US" w:eastAsia="en-US" w:bidi="ar-SA"/>
      </w:rPr>
    </w:lvl>
    <w:lvl w:ilvl="7" w:tplc="9202E87E">
      <w:numFmt w:val="bullet"/>
      <w:lvlText w:val="•"/>
      <w:lvlJc w:val="left"/>
      <w:pPr>
        <w:ind w:left="5056" w:hanging="721"/>
      </w:pPr>
      <w:rPr>
        <w:rFonts w:hint="default"/>
        <w:lang w:val="en-US" w:eastAsia="en-US" w:bidi="ar-SA"/>
      </w:rPr>
    </w:lvl>
    <w:lvl w:ilvl="8" w:tplc="B2A88B86">
      <w:numFmt w:val="bullet"/>
      <w:lvlText w:val="•"/>
      <w:lvlJc w:val="left"/>
      <w:pPr>
        <w:ind w:left="5764" w:hanging="721"/>
      </w:pPr>
      <w:rPr>
        <w:rFonts w:hint="default"/>
        <w:lang w:val="en-US" w:eastAsia="en-US" w:bidi="ar-SA"/>
      </w:rPr>
    </w:lvl>
  </w:abstractNum>
  <w:abstractNum w:abstractNumId="37" w15:restartNumberingAfterBreak="0">
    <w:nsid w:val="45FB7CC8"/>
    <w:multiLevelType w:val="hybridMultilevel"/>
    <w:tmpl w:val="BB16CECC"/>
    <w:lvl w:ilvl="0" w:tplc="246A4040">
      <w:start w:val="1"/>
      <w:numFmt w:val="decimal"/>
      <w:lvlText w:val="%1."/>
      <w:lvlJc w:val="left"/>
      <w:pPr>
        <w:ind w:left="1710" w:hanging="852"/>
      </w:pPr>
      <w:rPr>
        <w:rFonts w:ascii="Carlito" w:eastAsia="Carlito" w:hAnsi="Carlito" w:cs="Carlito" w:hint="default"/>
        <w:spacing w:val="-2"/>
        <w:w w:val="100"/>
        <w:sz w:val="22"/>
        <w:szCs w:val="22"/>
        <w:lang w:val="en-US" w:eastAsia="en-US" w:bidi="ar-SA"/>
      </w:rPr>
    </w:lvl>
    <w:lvl w:ilvl="1" w:tplc="5246C35A">
      <w:numFmt w:val="bullet"/>
      <w:lvlText w:val="•"/>
      <w:lvlJc w:val="left"/>
      <w:pPr>
        <w:ind w:left="2582" w:hanging="852"/>
      </w:pPr>
      <w:rPr>
        <w:rFonts w:hint="default"/>
        <w:lang w:val="en-US" w:eastAsia="en-US" w:bidi="ar-SA"/>
      </w:rPr>
    </w:lvl>
    <w:lvl w:ilvl="2" w:tplc="D1A2DF10">
      <w:numFmt w:val="bullet"/>
      <w:lvlText w:val="•"/>
      <w:lvlJc w:val="left"/>
      <w:pPr>
        <w:ind w:left="3445" w:hanging="852"/>
      </w:pPr>
      <w:rPr>
        <w:rFonts w:hint="default"/>
        <w:lang w:val="en-US" w:eastAsia="en-US" w:bidi="ar-SA"/>
      </w:rPr>
    </w:lvl>
    <w:lvl w:ilvl="3" w:tplc="2B081E56">
      <w:numFmt w:val="bullet"/>
      <w:lvlText w:val="•"/>
      <w:lvlJc w:val="left"/>
      <w:pPr>
        <w:ind w:left="4307" w:hanging="852"/>
      </w:pPr>
      <w:rPr>
        <w:rFonts w:hint="default"/>
        <w:lang w:val="en-US" w:eastAsia="en-US" w:bidi="ar-SA"/>
      </w:rPr>
    </w:lvl>
    <w:lvl w:ilvl="4" w:tplc="267A8CB2">
      <w:numFmt w:val="bullet"/>
      <w:lvlText w:val="•"/>
      <w:lvlJc w:val="left"/>
      <w:pPr>
        <w:ind w:left="5170" w:hanging="852"/>
      </w:pPr>
      <w:rPr>
        <w:rFonts w:hint="default"/>
        <w:lang w:val="en-US" w:eastAsia="en-US" w:bidi="ar-SA"/>
      </w:rPr>
    </w:lvl>
    <w:lvl w:ilvl="5" w:tplc="21120368">
      <w:numFmt w:val="bullet"/>
      <w:lvlText w:val="•"/>
      <w:lvlJc w:val="left"/>
      <w:pPr>
        <w:ind w:left="6033" w:hanging="852"/>
      </w:pPr>
      <w:rPr>
        <w:rFonts w:hint="default"/>
        <w:lang w:val="en-US" w:eastAsia="en-US" w:bidi="ar-SA"/>
      </w:rPr>
    </w:lvl>
    <w:lvl w:ilvl="6" w:tplc="EC041AA4">
      <w:numFmt w:val="bullet"/>
      <w:lvlText w:val="•"/>
      <w:lvlJc w:val="left"/>
      <w:pPr>
        <w:ind w:left="6895" w:hanging="852"/>
      </w:pPr>
      <w:rPr>
        <w:rFonts w:hint="default"/>
        <w:lang w:val="en-US" w:eastAsia="en-US" w:bidi="ar-SA"/>
      </w:rPr>
    </w:lvl>
    <w:lvl w:ilvl="7" w:tplc="7B6427A4">
      <w:numFmt w:val="bullet"/>
      <w:lvlText w:val="•"/>
      <w:lvlJc w:val="left"/>
      <w:pPr>
        <w:ind w:left="7758" w:hanging="852"/>
      </w:pPr>
      <w:rPr>
        <w:rFonts w:hint="default"/>
        <w:lang w:val="en-US" w:eastAsia="en-US" w:bidi="ar-SA"/>
      </w:rPr>
    </w:lvl>
    <w:lvl w:ilvl="8" w:tplc="449684D8">
      <w:numFmt w:val="bullet"/>
      <w:lvlText w:val="•"/>
      <w:lvlJc w:val="left"/>
      <w:pPr>
        <w:ind w:left="8621" w:hanging="852"/>
      </w:pPr>
      <w:rPr>
        <w:rFonts w:hint="default"/>
        <w:lang w:val="en-US" w:eastAsia="en-US" w:bidi="ar-SA"/>
      </w:rPr>
    </w:lvl>
  </w:abstractNum>
  <w:abstractNum w:abstractNumId="38" w15:restartNumberingAfterBreak="0">
    <w:nsid w:val="46D76B6D"/>
    <w:multiLevelType w:val="hybridMultilevel"/>
    <w:tmpl w:val="E54AFDF0"/>
    <w:lvl w:ilvl="0" w:tplc="7974EF84">
      <w:numFmt w:val="bullet"/>
      <w:lvlText w:val=""/>
      <w:lvlJc w:val="left"/>
      <w:pPr>
        <w:ind w:left="390" w:hanging="284"/>
      </w:pPr>
      <w:rPr>
        <w:rFonts w:ascii="Symbol" w:eastAsia="Symbol" w:hAnsi="Symbol" w:cs="Symbol" w:hint="default"/>
        <w:w w:val="100"/>
        <w:sz w:val="22"/>
        <w:szCs w:val="22"/>
        <w:lang w:val="en-US" w:eastAsia="en-US" w:bidi="ar-SA"/>
      </w:rPr>
    </w:lvl>
    <w:lvl w:ilvl="1" w:tplc="24F8A85C">
      <w:numFmt w:val="bullet"/>
      <w:lvlText w:val="•"/>
      <w:lvlJc w:val="left"/>
      <w:pPr>
        <w:ind w:left="1083" w:hanging="284"/>
      </w:pPr>
      <w:rPr>
        <w:rFonts w:hint="default"/>
        <w:lang w:val="en-US" w:eastAsia="en-US" w:bidi="ar-SA"/>
      </w:rPr>
    </w:lvl>
    <w:lvl w:ilvl="2" w:tplc="72D25044">
      <w:numFmt w:val="bullet"/>
      <w:lvlText w:val="•"/>
      <w:lvlJc w:val="left"/>
      <w:pPr>
        <w:ind w:left="1766" w:hanging="284"/>
      </w:pPr>
      <w:rPr>
        <w:rFonts w:hint="default"/>
        <w:lang w:val="en-US" w:eastAsia="en-US" w:bidi="ar-SA"/>
      </w:rPr>
    </w:lvl>
    <w:lvl w:ilvl="3" w:tplc="CFE29704">
      <w:numFmt w:val="bullet"/>
      <w:lvlText w:val="•"/>
      <w:lvlJc w:val="left"/>
      <w:pPr>
        <w:ind w:left="2449" w:hanging="284"/>
      </w:pPr>
      <w:rPr>
        <w:rFonts w:hint="default"/>
        <w:lang w:val="en-US" w:eastAsia="en-US" w:bidi="ar-SA"/>
      </w:rPr>
    </w:lvl>
    <w:lvl w:ilvl="4" w:tplc="157A677C">
      <w:numFmt w:val="bullet"/>
      <w:lvlText w:val="•"/>
      <w:lvlJc w:val="left"/>
      <w:pPr>
        <w:ind w:left="3133" w:hanging="284"/>
      </w:pPr>
      <w:rPr>
        <w:rFonts w:hint="default"/>
        <w:lang w:val="en-US" w:eastAsia="en-US" w:bidi="ar-SA"/>
      </w:rPr>
    </w:lvl>
    <w:lvl w:ilvl="5" w:tplc="8DF8FD6A">
      <w:numFmt w:val="bullet"/>
      <w:lvlText w:val="•"/>
      <w:lvlJc w:val="left"/>
      <w:pPr>
        <w:ind w:left="3816" w:hanging="284"/>
      </w:pPr>
      <w:rPr>
        <w:rFonts w:hint="default"/>
        <w:lang w:val="en-US" w:eastAsia="en-US" w:bidi="ar-SA"/>
      </w:rPr>
    </w:lvl>
    <w:lvl w:ilvl="6" w:tplc="66DEE9F2">
      <w:numFmt w:val="bullet"/>
      <w:lvlText w:val="•"/>
      <w:lvlJc w:val="left"/>
      <w:pPr>
        <w:ind w:left="4499" w:hanging="284"/>
      </w:pPr>
      <w:rPr>
        <w:rFonts w:hint="default"/>
        <w:lang w:val="en-US" w:eastAsia="en-US" w:bidi="ar-SA"/>
      </w:rPr>
    </w:lvl>
    <w:lvl w:ilvl="7" w:tplc="8C74EAA0">
      <w:numFmt w:val="bullet"/>
      <w:lvlText w:val="•"/>
      <w:lvlJc w:val="left"/>
      <w:pPr>
        <w:ind w:left="5183" w:hanging="284"/>
      </w:pPr>
      <w:rPr>
        <w:rFonts w:hint="default"/>
        <w:lang w:val="en-US" w:eastAsia="en-US" w:bidi="ar-SA"/>
      </w:rPr>
    </w:lvl>
    <w:lvl w:ilvl="8" w:tplc="987A1A96">
      <w:numFmt w:val="bullet"/>
      <w:lvlText w:val="•"/>
      <w:lvlJc w:val="left"/>
      <w:pPr>
        <w:ind w:left="5866" w:hanging="284"/>
      </w:pPr>
      <w:rPr>
        <w:rFonts w:hint="default"/>
        <w:lang w:val="en-US" w:eastAsia="en-US" w:bidi="ar-SA"/>
      </w:rPr>
    </w:lvl>
  </w:abstractNum>
  <w:abstractNum w:abstractNumId="39" w15:restartNumberingAfterBreak="0">
    <w:nsid w:val="47415DB7"/>
    <w:multiLevelType w:val="hybridMultilevel"/>
    <w:tmpl w:val="01380F1A"/>
    <w:lvl w:ilvl="0" w:tplc="B73AAF90">
      <w:numFmt w:val="bullet"/>
      <w:lvlText w:val=""/>
      <w:lvlJc w:val="left"/>
      <w:pPr>
        <w:ind w:left="598" w:hanging="426"/>
      </w:pPr>
      <w:rPr>
        <w:rFonts w:ascii="Symbol" w:eastAsia="Symbol" w:hAnsi="Symbol" w:cs="Symbol" w:hint="default"/>
        <w:w w:val="100"/>
        <w:sz w:val="22"/>
        <w:szCs w:val="22"/>
        <w:lang w:val="en-US" w:eastAsia="en-US" w:bidi="ar-SA"/>
      </w:rPr>
    </w:lvl>
    <w:lvl w:ilvl="1" w:tplc="C9845BF2">
      <w:numFmt w:val="bullet"/>
      <w:lvlText w:val="•"/>
      <w:lvlJc w:val="left"/>
      <w:pPr>
        <w:ind w:left="1258" w:hanging="426"/>
      </w:pPr>
      <w:rPr>
        <w:rFonts w:hint="default"/>
        <w:lang w:val="en-US" w:eastAsia="en-US" w:bidi="ar-SA"/>
      </w:rPr>
    </w:lvl>
    <w:lvl w:ilvl="2" w:tplc="E08AB8C6">
      <w:numFmt w:val="bullet"/>
      <w:lvlText w:val="•"/>
      <w:lvlJc w:val="left"/>
      <w:pPr>
        <w:ind w:left="1916" w:hanging="426"/>
      </w:pPr>
      <w:rPr>
        <w:rFonts w:hint="default"/>
        <w:lang w:val="en-US" w:eastAsia="en-US" w:bidi="ar-SA"/>
      </w:rPr>
    </w:lvl>
    <w:lvl w:ilvl="3" w:tplc="303A6CD0">
      <w:numFmt w:val="bullet"/>
      <w:lvlText w:val="•"/>
      <w:lvlJc w:val="left"/>
      <w:pPr>
        <w:ind w:left="2574" w:hanging="426"/>
      </w:pPr>
      <w:rPr>
        <w:rFonts w:hint="default"/>
        <w:lang w:val="en-US" w:eastAsia="en-US" w:bidi="ar-SA"/>
      </w:rPr>
    </w:lvl>
    <w:lvl w:ilvl="4" w:tplc="EDAA104C">
      <w:numFmt w:val="bullet"/>
      <w:lvlText w:val="•"/>
      <w:lvlJc w:val="left"/>
      <w:pPr>
        <w:ind w:left="3232" w:hanging="426"/>
      </w:pPr>
      <w:rPr>
        <w:rFonts w:hint="default"/>
        <w:lang w:val="en-US" w:eastAsia="en-US" w:bidi="ar-SA"/>
      </w:rPr>
    </w:lvl>
    <w:lvl w:ilvl="5" w:tplc="6E9A834C">
      <w:numFmt w:val="bullet"/>
      <w:lvlText w:val="•"/>
      <w:lvlJc w:val="left"/>
      <w:pPr>
        <w:ind w:left="3891" w:hanging="426"/>
      </w:pPr>
      <w:rPr>
        <w:rFonts w:hint="default"/>
        <w:lang w:val="en-US" w:eastAsia="en-US" w:bidi="ar-SA"/>
      </w:rPr>
    </w:lvl>
    <w:lvl w:ilvl="6" w:tplc="60CE3168">
      <w:numFmt w:val="bullet"/>
      <w:lvlText w:val="•"/>
      <w:lvlJc w:val="left"/>
      <w:pPr>
        <w:ind w:left="4549" w:hanging="426"/>
      </w:pPr>
      <w:rPr>
        <w:rFonts w:hint="default"/>
        <w:lang w:val="en-US" w:eastAsia="en-US" w:bidi="ar-SA"/>
      </w:rPr>
    </w:lvl>
    <w:lvl w:ilvl="7" w:tplc="D45C7276">
      <w:numFmt w:val="bullet"/>
      <w:lvlText w:val="•"/>
      <w:lvlJc w:val="left"/>
      <w:pPr>
        <w:ind w:left="5207" w:hanging="426"/>
      </w:pPr>
      <w:rPr>
        <w:rFonts w:hint="default"/>
        <w:lang w:val="en-US" w:eastAsia="en-US" w:bidi="ar-SA"/>
      </w:rPr>
    </w:lvl>
    <w:lvl w:ilvl="8" w:tplc="7E248AD8">
      <w:numFmt w:val="bullet"/>
      <w:lvlText w:val="•"/>
      <w:lvlJc w:val="left"/>
      <w:pPr>
        <w:ind w:left="5865" w:hanging="426"/>
      </w:pPr>
      <w:rPr>
        <w:rFonts w:hint="default"/>
        <w:lang w:val="en-US" w:eastAsia="en-US" w:bidi="ar-SA"/>
      </w:rPr>
    </w:lvl>
  </w:abstractNum>
  <w:abstractNum w:abstractNumId="40" w15:restartNumberingAfterBreak="0">
    <w:nsid w:val="48756A85"/>
    <w:multiLevelType w:val="hybridMultilevel"/>
    <w:tmpl w:val="69F2EDBA"/>
    <w:lvl w:ilvl="0" w:tplc="86340E30">
      <w:numFmt w:val="bullet"/>
      <w:lvlText w:val="•"/>
      <w:lvlJc w:val="left"/>
      <w:pPr>
        <w:ind w:left="106" w:hanging="721"/>
      </w:pPr>
      <w:rPr>
        <w:rFonts w:ascii="Carlito" w:eastAsia="Carlito" w:hAnsi="Carlito" w:cs="Carlito" w:hint="default"/>
        <w:w w:val="100"/>
        <w:sz w:val="22"/>
        <w:szCs w:val="22"/>
        <w:lang w:val="en-US" w:eastAsia="en-US" w:bidi="ar-SA"/>
      </w:rPr>
    </w:lvl>
    <w:lvl w:ilvl="1" w:tplc="CDBC2C66">
      <w:numFmt w:val="bullet"/>
      <w:lvlText w:val="•"/>
      <w:lvlJc w:val="left"/>
      <w:pPr>
        <w:ind w:left="808" w:hanging="721"/>
      </w:pPr>
      <w:rPr>
        <w:rFonts w:hint="default"/>
        <w:lang w:val="en-US" w:eastAsia="en-US" w:bidi="ar-SA"/>
      </w:rPr>
    </w:lvl>
    <w:lvl w:ilvl="2" w:tplc="A72CB2DE">
      <w:numFmt w:val="bullet"/>
      <w:lvlText w:val="•"/>
      <w:lvlJc w:val="left"/>
      <w:pPr>
        <w:ind w:left="1516" w:hanging="721"/>
      </w:pPr>
      <w:rPr>
        <w:rFonts w:hint="default"/>
        <w:lang w:val="en-US" w:eastAsia="en-US" w:bidi="ar-SA"/>
      </w:rPr>
    </w:lvl>
    <w:lvl w:ilvl="3" w:tplc="6C20679A">
      <w:numFmt w:val="bullet"/>
      <w:lvlText w:val="•"/>
      <w:lvlJc w:val="left"/>
      <w:pPr>
        <w:ind w:left="2224" w:hanging="721"/>
      </w:pPr>
      <w:rPr>
        <w:rFonts w:hint="default"/>
        <w:lang w:val="en-US" w:eastAsia="en-US" w:bidi="ar-SA"/>
      </w:rPr>
    </w:lvl>
    <w:lvl w:ilvl="4" w:tplc="E3467654">
      <w:numFmt w:val="bullet"/>
      <w:lvlText w:val="•"/>
      <w:lvlJc w:val="left"/>
      <w:pPr>
        <w:ind w:left="2932" w:hanging="721"/>
      </w:pPr>
      <w:rPr>
        <w:rFonts w:hint="default"/>
        <w:lang w:val="en-US" w:eastAsia="en-US" w:bidi="ar-SA"/>
      </w:rPr>
    </w:lvl>
    <w:lvl w:ilvl="5" w:tplc="D638CD7C">
      <w:numFmt w:val="bullet"/>
      <w:lvlText w:val="•"/>
      <w:lvlJc w:val="left"/>
      <w:pPr>
        <w:ind w:left="3641" w:hanging="721"/>
      </w:pPr>
      <w:rPr>
        <w:rFonts w:hint="default"/>
        <w:lang w:val="en-US" w:eastAsia="en-US" w:bidi="ar-SA"/>
      </w:rPr>
    </w:lvl>
    <w:lvl w:ilvl="6" w:tplc="A036BCDA">
      <w:numFmt w:val="bullet"/>
      <w:lvlText w:val="•"/>
      <w:lvlJc w:val="left"/>
      <w:pPr>
        <w:ind w:left="4349" w:hanging="721"/>
      </w:pPr>
      <w:rPr>
        <w:rFonts w:hint="default"/>
        <w:lang w:val="en-US" w:eastAsia="en-US" w:bidi="ar-SA"/>
      </w:rPr>
    </w:lvl>
    <w:lvl w:ilvl="7" w:tplc="89A62C3E">
      <w:numFmt w:val="bullet"/>
      <w:lvlText w:val="•"/>
      <w:lvlJc w:val="left"/>
      <w:pPr>
        <w:ind w:left="5057" w:hanging="721"/>
      </w:pPr>
      <w:rPr>
        <w:rFonts w:hint="default"/>
        <w:lang w:val="en-US" w:eastAsia="en-US" w:bidi="ar-SA"/>
      </w:rPr>
    </w:lvl>
    <w:lvl w:ilvl="8" w:tplc="CD749B04">
      <w:numFmt w:val="bullet"/>
      <w:lvlText w:val="•"/>
      <w:lvlJc w:val="left"/>
      <w:pPr>
        <w:ind w:left="5765" w:hanging="721"/>
      </w:pPr>
      <w:rPr>
        <w:rFonts w:hint="default"/>
        <w:lang w:val="en-US" w:eastAsia="en-US" w:bidi="ar-SA"/>
      </w:rPr>
    </w:lvl>
  </w:abstractNum>
  <w:abstractNum w:abstractNumId="41" w15:restartNumberingAfterBreak="0">
    <w:nsid w:val="4AEB6407"/>
    <w:multiLevelType w:val="hybridMultilevel"/>
    <w:tmpl w:val="44C6E5A0"/>
    <w:lvl w:ilvl="0" w:tplc="AB16F83C">
      <w:start w:val="6"/>
      <w:numFmt w:val="upperLetter"/>
      <w:lvlText w:val="%1."/>
      <w:lvlJc w:val="left"/>
      <w:pPr>
        <w:ind w:left="1275" w:hanging="360"/>
      </w:pPr>
      <w:rPr>
        <w:rFonts w:ascii="Carlito" w:eastAsia="Carlito" w:hAnsi="Carlito" w:cs="Carlito" w:hint="default"/>
        <w:b/>
        <w:bCs/>
        <w:color w:val="C00000"/>
        <w:spacing w:val="-1"/>
        <w:w w:val="100"/>
        <w:sz w:val="22"/>
        <w:szCs w:val="22"/>
        <w:lang w:val="en-US" w:eastAsia="en-US" w:bidi="ar-SA"/>
      </w:rPr>
    </w:lvl>
    <w:lvl w:ilvl="1" w:tplc="D94A695C">
      <w:numFmt w:val="bullet"/>
      <w:lvlText w:val="•"/>
      <w:lvlJc w:val="left"/>
      <w:pPr>
        <w:ind w:left="2186" w:hanging="360"/>
      </w:pPr>
      <w:rPr>
        <w:rFonts w:hint="default"/>
        <w:lang w:val="en-US" w:eastAsia="en-US" w:bidi="ar-SA"/>
      </w:rPr>
    </w:lvl>
    <w:lvl w:ilvl="2" w:tplc="635AD0A6">
      <w:numFmt w:val="bullet"/>
      <w:lvlText w:val="•"/>
      <w:lvlJc w:val="left"/>
      <w:pPr>
        <w:ind w:left="3093" w:hanging="360"/>
      </w:pPr>
      <w:rPr>
        <w:rFonts w:hint="default"/>
        <w:lang w:val="en-US" w:eastAsia="en-US" w:bidi="ar-SA"/>
      </w:rPr>
    </w:lvl>
    <w:lvl w:ilvl="3" w:tplc="2F4E0F30">
      <w:numFmt w:val="bullet"/>
      <w:lvlText w:val="•"/>
      <w:lvlJc w:val="left"/>
      <w:pPr>
        <w:ind w:left="3999" w:hanging="360"/>
      </w:pPr>
      <w:rPr>
        <w:rFonts w:hint="default"/>
        <w:lang w:val="en-US" w:eastAsia="en-US" w:bidi="ar-SA"/>
      </w:rPr>
    </w:lvl>
    <w:lvl w:ilvl="4" w:tplc="14A8F492">
      <w:numFmt w:val="bullet"/>
      <w:lvlText w:val="•"/>
      <w:lvlJc w:val="left"/>
      <w:pPr>
        <w:ind w:left="4906" w:hanging="360"/>
      </w:pPr>
      <w:rPr>
        <w:rFonts w:hint="default"/>
        <w:lang w:val="en-US" w:eastAsia="en-US" w:bidi="ar-SA"/>
      </w:rPr>
    </w:lvl>
    <w:lvl w:ilvl="5" w:tplc="1690D148">
      <w:numFmt w:val="bullet"/>
      <w:lvlText w:val="•"/>
      <w:lvlJc w:val="left"/>
      <w:pPr>
        <w:ind w:left="5813" w:hanging="360"/>
      </w:pPr>
      <w:rPr>
        <w:rFonts w:hint="default"/>
        <w:lang w:val="en-US" w:eastAsia="en-US" w:bidi="ar-SA"/>
      </w:rPr>
    </w:lvl>
    <w:lvl w:ilvl="6" w:tplc="656C6EF0">
      <w:numFmt w:val="bullet"/>
      <w:lvlText w:val="•"/>
      <w:lvlJc w:val="left"/>
      <w:pPr>
        <w:ind w:left="6719" w:hanging="360"/>
      </w:pPr>
      <w:rPr>
        <w:rFonts w:hint="default"/>
        <w:lang w:val="en-US" w:eastAsia="en-US" w:bidi="ar-SA"/>
      </w:rPr>
    </w:lvl>
    <w:lvl w:ilvl="7" w:tplc="6CFEA446">
      <w:numFmt w:val="bullet"/>
      <w:lvlText w:val="•"/>
      <w:lvlJc w:val="left"/>
      <w:pPr>
        <w:ind w:left="7626" w:hanging="360"/>
      </w:pPr>
      <w:rPr>
        <w:rFonts w:hint="default"/>
        <w:lang w:val="en-US" w:eastAsia="en-US" w:bidi="ar-SA"/>
      </w:rPr>
    </w:lvl>
    <w:lvl w:ilvl="8" w:tplc="B5A6142A">
      <w:numFmt w:val="bullet"/>
      <w:lvlText w:val="•"/>
      <w:lvlJc w:val="left"/>
      <w:pPr>
        <w:ind w:left="8533" w:hanging="360"/>
      </w:pPr>
      <w:rPr>
        <w:rFonts w:hint="default"/>
        <w:lang w:val="en-US" w:eastAsia="en-US" w:bidi="ar-SA"/>
      </w:rPr>
    </w:lvl>
  </w:abstractNum>
  <w:abstractNum w:abstractNumId="42" w15:restartNumberingAfterBreak="0">
    <w:nsid w:val="4CBA4324"/>
    <w:multiLevelType w:val="multilevel"/>
    <w:tmpl w:val="3162F8E8"/>
    <w:lvl w:ilvl="0">
      <w:start w:val="2"/>
      <w:numFmt w:val="decimal"/>
      <w:lvlText w:val="%1"/>
      <w:lvlJc w:val="left"/>
      <w:pPr>
        <w:ind w:left="1566" w:hanging="708"/>
      </w:pPr>
      <w:rPr>
        <w:rFonts w:hint="default"/>
        <w:lang w:val="en-US" w:eastAsia="en-US" w:bidi="ar-SA"/>
      </w:rPr>
    </w:lvl>
    <w:lvl w:ilvl="1">
      <w:start w:val="2"/>
      <w:numFmt w:val="decimal"/>
      <w:lvlText w:val="%1.%2"/>
      <w:lvlJc w:val="left"/>
      <w:pPr>
        <w:ind w:left="1566" w:hanging="708"/>
      </w:pPr>
      <w:rPr>
        <w:rFonts w:ascii="Carlito" w:eastAsia="Carlito" w:hAnsi="Carlito" w:cs="Carlito" w:hint="default"/>
        <w:spacing w:val="-1"/>
        <w:w w:val="100"/>
        <w:sz w:val="22"/>
        <w:szCs w:val="22"/>
        <w:lang w:val="en-US" w:eastAsia="en-US" w:bidi="ar-SA"/>
      </w:rPr>
    </w:lvl>
    <w:lvl w:ilvl="2">
      <w:numFmt w:val="bullet"/>
      <w:lvlText w:val="•"/>
      <w:lvlJc w:val="left"/>
      <w:pPr>
        <w:ind w:left="3317" w:hanging="708"/>
      </w:pPr>
      <w:rPr>
        <w:rFonts w:hint="default"/>
        <w:lang w:val="en-US" w:eastAsia="en-US" w:bidi="ar-SA"/>
      </w:rPr>
    </w:lvl>
    <w:lvl w:ilvl="3">
      <w:numFmt w:val="bullet"/>
      <w:lvlText w:val="•"/>
      <w:lvlJc w:val="left"/>
      <w:pPr>
        <w:ind w:left="4195" w:hanging="708"/>
      </w:pPr>
      <w:rPr>
        <w:rFonts w:hint="default"/>
        <w:lang w:val="en-US" w:eastAsia="en-US" w:bidi="ar-SA"/>
      </w:rPr>
    </w:lvl>
    <w:lvl w:ilvl="4">
      <w:numFmt w:val="bullet"/>
      <w:lvlText w:val="•"/>
      <w:lvlJc w:val="left"/>
      <w:pPr>
        <w:ind w:left="5074" w:hanging="708"/>
      </w:pPr>
      <w:rPr>
        <w:rFonts w:hint="default"/>
        <w:lang w:val="en-US" w:eastAsia="en-US" w:bidi="ar-SA"/>
      </w:rPr>
    </w:lvl>
    <w:lvl w:ilvl="5">
      <w:numFmt w:val="bullet"/>
      <w:lvlText w:val="•"/>
      <w:lvlJc w:val="left"/>
      <w:pPr>
        <w:ind w:left="5953" w:hanging="708"/>
      </w:pPr>
      <w:rPr>
        <w:rFonts w:hint="default"/>
        <w:lang w:val="en-US" w:eastAsia="en-US" w:bidi="ar-SA"/>
      </w:rPr>
    </w:lvl>
    <w:lvl w:ilvl="6">
      <w:numFmt w:val="bullet"/>
      <w:lvlText w:val="•"/>
      <w:lvlJc w:val="left"/>
      <w:pPr>
        <w:ind w:left="6831" w:hanging="708"/>
      </w:pPr>
      <w:rPr>
        <w:rFonts w:hint="default"/>
        <w:lang w:val="en-US" w:eastAsia="en-US" w:bidi="ar-SA"/>
      </w:rPr>
    </w:lvl>
    <w:lvl w:ilvl="7">
      <w:numFmt w:val="bullet"/>
      <w:lvlText w:val="•"/>
      <w:lvlJc w:val="left"/>
      <w:pPr>
        <w:ind w:left="7710" w:hanging="708"/>
      </w:pPr>
      <w:rPr>
        <w:rFonts w:hint="default"/>
        <w:lang w:val="en-US" w:eastAsia="en-US" w:bidi="ar-SA"/>
      </w:rPr>
    </w:lvl>
    <w:lvl w:ilvl="8">
      <w:numFmt w:val="bullet"/>
      <w:lvlText w:val="•"/>
      <w:lvlJc w:val="left"/>
      <w:pPr>
        <w:ind w:left="8589" w:hanging="708"/>
      </w:pPr>
      <w:rPr>
        <w:rFonts w:hint="default"/>
        <w:lang w:val="en-US" w:eastAsia="en-US" w:bidi="ar-SA"/>
      </w:rPr>
    </w:lvl>
  </w:abstractNum>
  <w:abstractNum w:abstractNumId="43" w15:restartNumberingAfterBreak="0">
    <w:nsid w:val="4E0F68DD"/>
    <w:multiLevelType w:val="hybridMultilevel"/>
    <w:tmpl w:val="6832E156"/>
    <w:lvl w:ilvl="0" w:tplc="4BB84CAE">
      <w:start w:val="1"/>
      <w:numFmt w:val="lowerLetter"/>
      <w:lvlText w:val="%1)"/>
      <w:lvlJc w:val="left"/>
      <w:pPr>
        <w:ind w:left="3258" w:hanging="361"/>
        <w:jc w:val="right"/>
      </w:pPr>
      <w:rPr>
        <w:rFonts w:ascii="Carlito" w:eastAsia="Carlito" w:hAnsi="Carlito" w:cs="Carlito" w:hint="default"/>
        <w:spacing w:val="-1"/>
        <w:w w:val="100"/>
        <w:sz w:val="22"/>
        <w:szCs w:val="22"/>
        <w:lang w:val="en-US" w:eastAsia="en-US" w:bidi="ar-SA"/>
      </w:rPr>
    </w:lvl>
    <w:lvl w:ilvl="1" w:tplc="2F367EEA">
      <w:start w:val="1"/>
      <w:numFmt w:val="lowerRoman"/>
      <w:lvlText w:val="%2)"/>
      <w:lvlJc w:val="left"/>
      <w:pPr>
        <w:ind w:left="3618" w:hanging="360"/>
      </w:pPr>
      <w:rPr>
        <w:rFonts w:ascii="Arial" w:eastAsia="Arial" w:hAnsi="Arial" w:cs="Arial" w:hint="default"/>
        <w:spacing w:val="-2"/>
        <w:w w:val="100"/>
        <w:sz w:val="22"/>
        <w:szCs w:val="22"/>
        <w:lang w:val="en-US" w:eastAsia="en-US" w:bidi="ar-SA"/>
      </w:rPr>
    </w:lvl>
    <w:lvl w:ilvl="2" w:tplc="62F02420">
      <w:numFmt w:val="bullet"/>
      <w:lvlText w:val="•"/>
      <w:lvlJc w:val="left"/>
      <w:pPr>
        <w:ind w:left="4367" w:hanging="360"/>
      </w:pPr>
      <w:rPr>
        <w:rFonts w:hint="default"/>
        <w:lang w:val="en-US" w:eastAsia="en-US" w:bidi="ar-SA"/>
      </w:rPr>
    </w:lvl>
    <w:lvl w:ilvl="3" w:tplc="58144996">
      <w:numFmt w:val="bullet"/>
      <w:lvlText w:val="•"/>
      <w:lvlJc w:val="left"/>
      <w:pPr>
        <w:ind w:left="5114" w:hanging="360"/>
      </w:pPr>
      <w:rPr>
        <w:rFonts w:hint="default"/>
        <w:lang w:val="en-US" w:eastAsia="en-US" w:bidi="ar-SA"/>
      </w:rPr>
    </w:lvl>
    <w:lvl w:ilvl="4" w:tplc="806049BA">
      <w:numFmt w:val="bullet"/>
      <w:lvlText w:val="•"/>
      <w:lvlJc w:val="left"/>
      <w:pPr>
        <w:ind w:left="5862" w:hanging="360"/>
      </w:pPr>
      <w:rPr>
        <w:rFonts w:hint="default"/>
        <w:lang w:val="en-US" w:eastAsia="en-US" w:bidi="ar-SA"/>
      </w:rPr>
    </w:lvl>
    <w:lvl w:ilvl="5" w:tplc="E0C80794">
      <w:numFmt w:val="bullet"/>
      <w:lvlText w:val="•"/>
      <w:lvlJc w:val="left"/>
      <w:pPr>
        <w:ind w:left="6609" w:hanging="360"/>
      </w:pPr>
      <w:rPr>
        <w:rFonts w:hint="default"/>
        <w:lang w:val="en-US" w:eastAsia="en-US" w:bidi="ar-SA"/>
      </w:rPr>
    </w:lvl>
    <w:lvl w:ilvl="6" w:tplc="FD484AC8">
      <w:numFmt w:val="bullet"/>
      <w:lvlText w:val="•"/>
      <w:lvlJc w:val="left"/>
      <w:pPr>
        <w:ind w:left="7356" w:hanging="360"/>
      </w:pPr>
      <w:rPr>
        <w:rFonts w:hint="default"/>
        <w:lang w:val="en-US" w:eastAsia="en-US" w:bidi="ar-SA"/>
      </w:rPr>
    </w:lvl>
    <w:lvl w:ilvl="7" w:tplc="5A38981C">
      <w:numFmt w:val="bullet"/>
      <w:lvlText w:val="•"/>
      <w:lvlJc w:val="left"/>
      <w:pPr>
        <w:ind w:left="8104" w:hanging="360"/>
      </w:pPr>
      <w:rPr>
        <w:rFonts w:hint="default"/>
        <w:lang w:val="en-US" w:eastAsia="en-US" w:bidi="ar-SA"/>
      </w:rPr>
    </w:lvl>
    <w:lvl w:ilvl="8" w:tplc="E388582A">
      <w:numFmt w:val="bullet"/>
      <w:lvlText w:val="•"/>
      <w:lvlJc w:val="left"/>
      <w:pPr>
        <w:ind w:left="8851" w:hanging="360"/>
      </w:pPr>
      <w:rPr>
        <w:rFonts w:hint="default"/>
        <w:lang w:val="en-US" w:eastAsia="en-US" w:bidi="ar-SA"/>
      </w:rPr>
    </w:lvl>
  </w:abstractNum>
  <w:abstractNum w:abstractNumId="44" w15:restartNumberingAfterBreak="0">
    <w:nsid w:val="535D5FF2"/>
    <w:multiLevelType w:val="hybridMultilevel"/>
    <w:tmpl w:val="17C8C942"/>
    <w:lvl w:ilvl="0" w:tplc="8E70CBDA">
      <w:numFmt w:val="bullet"/>
      <w:lvlText w:val=""/>
      <w:lvlJc w:val="left"/>
      <w:pPr>
        <w:ind w:left="390" w:hanging="284"/>
      </w:pPr>
      <w:rPr>
        <w:rFonts w:ascii="Symbol" w:eastAsia="Symbol" w:hAnsi="Symbol" w:cs="Symbol" w:hint="default"/>
        <w:w w:val="100"/>
        <w:sz w:val="22"/>
        <w:szCs w:val="22"/>
        <w:lang w:val="en-US" w:eastAsia="en-US" w:bidi="ar-SA"/>
      </w:rPr>
    </w:lvl>
    <w:lvl w:ilvl="1" w:tplc="F96E770E">
      <w:numFmt w:val="bullet"/>
      <w:lvlText w:val="•"/>
      <w:lvlJc w:val="left"/>
      <w:pPr>
        <w:ind w:left="1083" w:hanging="284"/>
      </w:pPr>
      <w:rPr>
        <w:rFonts w:hint="default"/>
        <w:lang w:val="en-US" w:eastAsia="en-US" w:bidi="ar-SA"/>
      </w:rPr>
    </w:lvl>
    <w:lvl w:ilvl="2" w:tplc="C8261668">
      <w:numFmt w:val="bullet"/>
      <w:lvlText w:val="•"/>
      <w:lvlJc w:val="left"/>
      <w:pPr>
        <w:ind w:left="1766" w:hanging="284"/>
      </w:pPr>
      <w:rPr>
        <w:rFonts w:hint="default"/>
        <w:lang w:val="en-US" w:eastAsia="en-US" w:bidi="ar-SA"/>
      </w:rPr>
    </w:lvl>
    <w:lvl w:ilvl="3" w:tplc="DAA0DEF2">
      <w:numFmt w:val="bullet"/>
      <w:lvlText w:val="•"/>
      <w:lvlJc w:val="left"/>
      <w:pPr>
        <w:ind w:left="2449" w:hanging="284"/>
      </w:pPr>
      <w:rPr>
        <w:rFonts w:hint="default"/>
        <w:lang w:val="en-US" w:eastAsia="en-US" w:bidi="ar-SA"/>
      </w:rPr>
    </w:lvl>
    <w:lvl w:ilvl="4" w:tplc="7FDA2DEE">
      <w:numFmt w:val="bullet"/>
      <w:lvlText w:val="•"/>
      <w:lvlJc w:val="left"/>
      <w:pPr>
        <w:ind w:left="3133" w:hanging="284"/>
      </w:pPr>
      <w:rPr>
        <w:rFonts w:hint="default"/>
        <w:lang w:val="en-US" w:eastAsia="en-US" w:bidi="ar-SA"/>
      </w:rPr>
    </w:lvl>
    <w:lvl w:ilvl="5" w:tplc="7DFEE87A">
      <w:numFmt w:val="bullet"/>
      <w:lvlText w:val="•"/>
      <w:lvlJc w:val="left"/>
      <w:pPr>
        <w:ind w:left="3816" w:hanging="284"/>
      </w:pPr>
      <w:rPr>
        <w:rFonts w:hint="default"/>
        <w:lang w:val="en-US" w:eastAsia="en-US" w:bidi="ar-SA"/>
      </w:rPr>
    </w:lvl>
    <w:lvl w:ilvl="6" w:tplc="36723988">
      <w:numFmt w:val="bullet"/>
      <w:lvlText w:val="•"/>
      <w:lvlJc w:val="left"/>
      <w:pPr>
        <w:ind w:left="4499" w:hanging="284"/>
      </w:pPr>
      <w:rPr>
        <w:rFonts w:hint="default"/>
        <w:lang w:val="en-US" w:eastAsia="en-US" w:bidi="ar-SA"/>
      </w:rPr>
    </w:lvl>
    <w:lvl w:ilvl="7" w:tplc="7DAEF47C">
      <w:numFmt w:val="bullet"/>
      <w:lvlText w:val="•"/>
      <w:lvlJc w:val="left"/>
      <w:pPr>
        <w:ind w:left="5183" w:hanging="284"/>
      </w:pPr>
      <w:rPr>
        <w:rFonts w:hint="default"/>
        <w:lang w:val="en-US" w:eastAsia="en-US" w:bidi="ar-SA"/>
      </w:rPr>
    </w:lvl>
    <w:lvl w:ilvl="8" w:tplc="D58A88AE">
      <w:numFmt w:val="bullet"/>
      <w:lvlText w:val="•"/>
      <w:lvlJc w:val="left"/>
      <w:pPr>
        <w:ind w:left="5866" w:hanging="284"/>
      </w:pPr>
      <w:rPr>
        <w:rFonts w:hint="default"/>
        <w:lang w:val="en-US" w:eastAsia="en-US" w:bidi="ar-SA"/>
      </w:rPr>
    </w:lvl>
  </w:abstractNum>
  <w:abstractNum w:abstractNumId="45" w15:restartNumberingAfterBreak="0">
    <w:nsid w:val="56B767A5"/>
    <w:multiLevelType w:val="hybridMultilevel"/>
    <w:tmpl w:val="D9CC0E64"/>
    <w:lvl w:ilvl="0" w:tplc="7A44F22C">
      <w:numFmt w:val="bullet"/>
      <w:lvlText w:val="•"/>
      <w:lvlJc w:val="left"/>
      <w:pPr>
        <w:ind w:left="1015" w:hanging="908"/>
      </w:pPr>
      <w:rPr>
        <w:rFonts w:ascii="Carlito" w:eastAsia="Carlito" w:hAnsi="Carlito" w:cs="Carlito" w:hint="default"/>
        <w:w w:val="100"/>
        <w:sz w:val="22"/>
        <w:szCs w:val="22"/>
        <w:lang w:val="en-US" w:eastAsia="en-US" w:bidi="ar-SA"/>
      </w:rPr>
    </w:lvl>
    <w:lvl w:ilvl="1" w:tplc="272E92EA">
      <w:numFmt w:val="bullet"/>
      <w:lvlText w:val="•"/>
      <w:lvlJc w:val="left"/>
      <w:pPr>
        <w:ind w:left="1635" w:hanging="908"/>
      </w:pPr>
      <w:rPr>
        <w:rFonts w:hint="default"/>
        <w:lang w:val="en-US" w:eastAsia="en-US" w:bidi="ar-SA"/>
      </w:rPr>
    </w:lvl>
    <w:lvl w:ilvl="2" w:tplc="AF1A06D2">
      <w:numFmt w:val="bullet"/>
      <w:lvlText w:val="•"/>
      <w:lvlJc w:val="left"/>
      <w:pPr>
        <w:ind w:left="2251" w:hanging="908"/>
      </w:pPr>
      <w:rPr>
        <w:rFonts w:hint="default"/>
        <w:lang w:val="en-US" w:eastAsia="en-US" w:bidi="ar-SA"/>
      </w:rPr>
    </w:lvl>
    <w:lvl w:ilvl="3" w:tplc="F3965CDA">
      <w:numFmt w:val="bullet"/>
      <w:lvlText w:val="•"/>
      <w:lvlJc w:val="left"/>
      <w:pPr>
        <w:ind w:left="2867" w:hanging="908"/>
      </w:pPr>
      <w:rPr>
        <w:rFonts w:hint="default"/>
        <w:lang w:val="en-US" w:eastAsia="en-US" w:bidi="ar-SA"/>
      </w:rPr>
    </w:lvl>
    <w:lvl w:ilvl="4" w:tplc="854AD5D8">
      <w:numFmt w:val="bullet"/>
      <w:lvlText w:val="•"/>
      <w:lvlJc w:val="left"/>
      <w:pPr>
        <w:ind w:left="3482" w:hanging="908"/>
      </w:pPr>
      <w:rPr>
        <w:rFonts w:hint="default"/>
        <w:lang w:val="en-US" w:eastAsia="en-US" w:bidi="ar-SA"/>
      </w:rPr>
    </w:lvl>
    <w:lvl w:ilvl="5" w:tplc="73FAC2C2">
      <w:numFmt w:val="bullet"/>
      <w:lvlText w:val="•"/>
      <w:lvlJc w:val="left"/>
      <w:pPr>
        <w:ind w:left="4098" w:hanging="908"/>
      </w:pPr>
      <w:rPr>
        <w:rFonts w:hint="default"/>
        <w:lang w:val="en-US" w:eastAsia="en-US" w:bidi="ar-SA"/>
      </w:rPr>
    </w:lvl>
    <w:lvl w:ilvl="6" w:tplc="3488B764">
      <w:numFmt w:val="bullet"/>
      <w:lvlText w:val="•"/>
      <w:lvlJc w:val="left"/>
      <w:pPr>
        <w:ind w:left="4714" w:hanging="908"/>
      </w:pPr>
      <w:rPr>
        <w:rFonts w:hint="default"/>
        <w:lang w:val="en-US" w:eastAsia="en-US" w:bidi="ar-SA"/>
      </w:rPr>
    </w:lvl>
    <w:lvl w:ilvl="7" w:tplc="0F184E3A">
      <w:numFmt w:val="bullet"/>
      <w:lvlText w:val="•"/>
      <w:lvlJc w:val="left"/>
      <w:pPr>
        <w:ind w:left="5329" w:hanging="908"/>
      </w:pPr>
      <w:rPr>
        <w:rFonts w:hint="default"/>
        <w:lang w:val="en-US" w:eastAsia="en-US" w:bidi="ar-SA"/>
      </w:rPr>
    </w:lvl>
    <w:lvl w:ilvl="8" w:tplc="79E0EBC8">
      <w:numFmt w:val="bullet"/>
      <w:lvlText w:val="•"/>
      <w:lvlJc w:val="left"/>
      <w:pPr>
        <w:ind w:left="5945" w:hanging="908"/>
      </w:pPr>
      <w:rPr>
        <w:rFonts w:hint="default"/>
        <w:lang w:val="en-US" w:eastAsia="en-US" w:bidi="ar-SA"/>
      </w:rPr>
    </w:lvl>
  </w:abstractNum>
  <w:abstractNum w:abstractNumId="46" w15:restartNumberingAfterBreak="0">
    <w:nsid w:val="56B81204"/>
    <w:multiLevelType w:val="hybridMultilevel"/>
    <w:tmpl w:val="AE0483E8"/>
    <w:lvl w:ilvl="0" w:tplc="D2BAD266">
      <w:numFmt w:val="bullet"/>
      <w:lvlText w:val=""/>
      <w:lvlJc w:val="left"/>
      <w:pPr>
        <w:ind w:left="390" w:hanging="284"/>
      </w:pPr>
      <w:rPr>
        <w:rFonts w:ascii="Symbol" w:eastAsia="Symbol" w:hAnsi="Symbol" w:cs="Symbol" w:hint="default"/>
        <w:w w:val="100"/>
        <w:sz w:val="22"/>
        <w:szCs w:val="22"/>
        <w:lang w:val="en-US" w:eastAsia="en-US" w:bidi="ar-SA"/>
      </w:rPr>
    </w:lvl>
    <w:lvl w:ilvl="1" w:tplc="53CAE5D6">
      <w:numFmt w:val="bullet"/>
      <w:lvlText w:val="•"/>
      <w:lvlJc w:val="left"/>
      <w:pPr>
        <w:ind w:left="1087" w:hanging="284"/>
      </w:pPr>
      <w:rPr>
        <w:rFonts w:hint="default"/>
        <w:lang w:val="en-US" w:eastAsia="en-US" w:bidi="ar-SA"/>
      </w:rPr>
    </w:lvl>
    <w:lvl w:ilvl="2" w:tplc="CA386422">
      <w:numFmt w:val="bullet"/>
      <w:lvlText w:val="•"/>
      <w:lvlJc w:val="left"/>
      <w:pPr>
        <w:ind w:left="1774" w:hanging="284"/>
      </w:pPr>
      <w:rPr>
        <w:rFonts w:hint="default"/>
        <w:lang w:val="en-US" w:eastAsia="en-US" w:bidi="ar-SA"/>
      </w:rPr>
    </w:lvl>
    <w:lvl w:ilvl="3" w:tplc="E0D87E9C">
      <w:numFmt w:val="bullet"/>
      <w:lvlText w:val="•"/>
      <w:lvlJc w:val="left"/>
      <w:pPr>
        <w:ind w:left="2461" w:hanging="284"/>
      </w:pPr>
      <w:rPr>
        <w:rFonts w:hint="default"/>
        <w:lang w:val="en-US" w:eastAsia="en-US" w:bidi="ar-SA"/>
      </w:rPr>
    </w:lvl>
    <w:lvl w:ilvl="4" w:tplc="C31A61C6">
      <w:numFmt w:val="bullet"/>
      <w:lvlText w:val="•"/>
      <w:lvlJc w:val="left"/>
      <w:pPr>
        <w:ind w:left="3148" w:hanging="284"/>
      </w:pPr>
      <w:rPr>
        <w:rFonts w:hint="default"/>
        <w:lang w:val="en-US" w:eastAsia="en-US" w:bidi="ar-SA"/>
      </w:rPr>
    </w:lvl>
    <w:lvl w:ilvl="5" w:tplc="80C47890">
      <w:numFmt w:val="bullet"/>
      <w:lvlText w:val="•"/>
      <w:lvlJc w:val="left"/>
      <w:pPr>
        <w:ind w:left="3835" w:hanging="284"/>
      </w:pPr>
      <w:rPr>
        <w:rFonts w:hint="default"/>
        <w:lang w:val="en-US" w:eastAsia="en-US" w:bidi="ar-SA"/>
      </w:rPr>
    </w:lvl>
    <w:lvl w:ilvl="6" w:tplc="BCD2685E">
      <w:numFmt w:val="bullet"/>
      <w:lvlText w:val="•"/>
      <w:lvlJc w:val="left"/>
      <w:pPr>
        <w:ind w:left="4522" w:hanging="284"/>
      </w:pPr>
      <w:rPr>
        <w:rFonts w:hint="default"/>
        <w:lang w:val="en-US" w:eastAsia="en-US" w:bidi="ar-SA"/>
      </w:rPr>
    </w:lvl>
    <w:lvl w:ilvl="7" w:tplc="47BA2CE8">
      <w:numFmt w:val="bullet"/>
      <w:lvlText w:val="•"/>
      <w:lvlJc w:val="left"/>
      <w:pPr>
        <w:ind w:left="5209" w:hanging="284"/>
      </w:pPr>
      <w:rPr>
        <w:rFonts w:hint="default"/>
        <w:lang w:val="en-US" w:eastAsia="en-US" w:bidi="ar-SA"/>
      </w:rPr>
    </w:lvl>
    <w:lvl w:ilvl="8" w:tplc="34E24A40">
      <w:numFmt w:val="bullet"/>
      <w:lvlText w:val="•"/>
      <w:lvlJc w:val="left"/>
      <w:pPr>
        <w:ind w:left="5896" w:hanging="284"/>
      </w:pPr>
      <w:rPr>
        <w:rFonts w:hint="default"/>
        <w:lang w:val="en-US" w:eastAsia="en-US" w:bidi="ar-SA"/>
      </w:rPr>
    </w:lvl>
  </w:abstractNum>
  <w:abstractNum w:abstractNumId="47" w15:restartNumberingAfterBreak="0">
    <w:nsid w:val="5D7E7D40"/>
    <w:multiLevelType w:val="hybridMultilevel"/>
    <w:tmpl w:val="9822CB34"/>
    <w:lvl w:ilvl="0" w:tplc="3260EBB4">
      <w:start w:val="1"/>
      <w:numFmt w:val="upperLetter"/>
      <w:lvlText w:val="%1."/>
      <w:lvlJc w:val="left"/>
      <w:pPr>
        <w:ind w:left="1710" w:hanging="852"/>
      </w:pPr>
      <w:rPr>
        <w:rFonts w:ascii="Carlito" w:eastAsia="Carlito" w:hAnsi="Carlito" w:cs="Carlito" w:hint="default"/>
        <w:spacing w:val="-1"/>
        <w:w w:val="100"/>
        <w:sz w:val="22"/>
        <w:szCs w:val="22"/>
        <w:lang w:val="en-US" w:eastAsia="en-US" w:bidi="ar-SA"/>
      </w:rPr>
    </w:lvl>
    <w:lvl w:ilvl="1" w:tplc="F03CEE04">
      <w:start w:val="1"/>
      <w:numFmt w:val="upperLetter"/>
      <w:lvlText w:val="%2."/>
      <w:lvlJc w:val="left"/>
      <w:pPr>
        <w:ind w:left="1938" w:hanging="360"/>
        <w:jc w:val="right"/>
      </w:pPr>
      <w:rPr>
        <w:rFonts w:ascii="Carlito" w:eastAsia="Carlito" w:hAnsi="Carlito" w:cs="Carlito" w:hint="default"/>
        <w:b/>
        <w:bCs/>
        <w:color w:val="C00000"/>
        <w:w w:val="100"/>
        <w:sz w:val="22"/>
        <w:szCs w:val="22"/>
        <w:lang w:val="en-US" w:eastAsia="en-US" w:bidi="ar-SA"/>
      </w:rPr>
    </w:lvl>
    <w:lvl w:ilvl="2" w:tplc="A1EA1D6C">
      <w:numFmt w:val="bullet"/>
      <w:lvlText w:val=""/>
      <w:lvlJc w:val="left"/>
      <w:pPr>
        <w:ind w:left="3018" w:hanging="361"/>
      </w:pPr>
      <w:rPr>
        <w:rFonts w:ascii="Symbol" w:eastAsia="Symbol" w:hAnsi="Symbol" w:cs="Symbol" w:hint="default"/>
        <w:w w:val="100"/>
        <w:sz w:val="22"/>
        <w:szCs w:val="22"/>
        <w:lang w:val="en-US" w:eastAsia="en-US" w:bidi="ar-SA"/>
      </w:rPr>
    </w:lvl>
    <w:lvl w:ilvl="3" w:tplc="326842D6">
      <w:numFmt w:val="bullet"/>
      <w:lvlText w:val="•"/>
      <w:lvlJc w:val="left"/>
      <w:pPr>
        <w:ind w:left="3935" w:hanging="361"/>
      </w:pPr>
      <w:rPr>
        <w:rFonts w:hint="default"/>
        <w:lang w:val="en-US" w:eastAsia="en-US" w:bidi="ar-SA"/>
      </w:rPr>
    </w:lvl>
    <w:lvl w:ilvl="4" w:tplc="6142ABA2">
      <w:numFmt w:val="bullet"/>
      <w:lvlText w:val="•"/>
      <w:lvlJc w:val="left"/>
      <w:pPr>
        <w:ind w:left="4851" w:hanging="361"/>
      </w:pPr>
      <w:rPr>
        <w:rFonts w:hint="default"/>
        <w:lang w:val="en-US" w:eastAsia="en-US" w:bidi="ar-SA"/>
      </w:rPr>
    </w:lvl>
    <w:lvl w:ilvl="5" w:tplc="042C8112">
      <w:numFmt w:val="bullet"/>
      <w:lvlText w:val="•"/>
      <w:lvlJc w:val="left"/>
      <w:pPr>
        <w:ind w:left="5767" w:hanging="361"/>
      </w:pPr>
      <w:rPr>
        <w:rFonts w:hint="default"/>
        <w:lang w:val="en-US" w:eastAsia="en-US" w:bidi="ar-SA"/>
      </w:rPr>
    </w:lvl>
    <w:lvl w:ilvl="6" w:tplc="15B06424">
      <w:numFmt w:val="bullet"/>
      <w:lvlText w:val="•"/>
      <w:lvlJc w:val="left"/>
      <w:pPr>
        <w:ind w:left="6683" w:hanging="361"/>
      </w:pPr>
      <w:rPr>
        <w:rFonts w:hint="default"/>
        <w:lang w:val="en-US" w:eastAsia="en-US" w:bidi="ar-SA"/>
      </w:rPr>
    </w:lvl>
    <w:lvl w:ilvl="7" w:tplc="16B214C6">
      <w:numFmt w:val="bullet"/>
      <w:lvlText w:val="•"/>
      <w:lvlJc w:val="left"/>
      <w:pPr>
        <w:ind w:left="7599" w:hanging="361"/>
      </w:pPr>
      <w:rPr>
        <w:rFonts w:hint="default"/>
        <w:lang w:val="en-US" w:eastAsia="en-US" w:bidi="ar-SA"/>
      </w:rPr>
    </w:lvl>
    <w:lvl w:ilvl="8" w:tplc="54B87248">
      <w:numFmt w:val="bullet"/>
      <w:lvlText w:val="•"/>
      <w:lvlJc w:val="left"/>
      <w:pPr>
        <w:ind w:left="8514" w:hanging="361"/>
      </w:pPr>
      <w:rPr>
        <w:rFonts w:hint="default"/>
        <w:lang w:val="en-US" w:eastAsia="en-US" w:bidi="ar-SA"/>
      </w:rPr>
    </w:lvl>
  </w:abstractNum>
  <w:abstractNum w:abstractNumId="48" w15:restartNumberingAfterBreak="0">
    <w:nsid w:val="5DBE05EE"/>
    <w:multiLevelType w:val="hybridMultilevel"/>
    <w:tmpl w:val="52724C0E"/>
    <w:lvl w:ilvl="0" w:tplc="40FC5724">
      <w:numFmt w:val="bullet"/>
      <w:lvlText w:val=""/>
      <w:lvlJc w:val="left"/>
      <w:pPr>
        <w:ind w:left="106" w:hanging="284"/>
      </w:pPr>
      <w:rPr>
        <w:rFonts w:ascii="Symbol" w:eastAsia="Symbol" w:hAnsi="Symbol" w:cs="Symbol" w:hint="default"/>
        <w:w w:val="100"/>
        <w:sz w:val="22"/>
        <w:szCs w:val="22"/>
        <w:lang w:val="en-US" w:eastAsia="en-US" w:bidi="ar-SA"/>
      </w:rPr>
    </w:lvl>
    <w:lvl w:ilvl="1" w:tplc="882C7078">
      <w:numFmt w:val="bullet"/>
      <w:lvlText w:val="•"/>
      <w:lvlJc w:val="left"/>
      <w:pPr>
        <w:ind w:left="830" w:hanging="284"/>
      </w:pPr>
      <w:rPr>
        <w:rFonts w:hint="default"/>
        <w:lang w:val="en-US" w:eastAsia="en-US" w:bidi="ar-SA"/>
      </w:rPr>
    </w:lvl>
    <w:lvl w:ilvl="2" w:tplc="19982E80">
      <w:numFmt w:val="bullet"/>
      <w:lvlText w:val="•"/>
      <w:lvlJc w:val="left"/>
      <w:pPr>
        <w:ind w:left="1560" w:hanging="284"/>
      </w:pPr>
      <w:rPr>
        <w:rFonts w:hint="default"/>
        <w:lang w:val="en-US" w:eastAsia="en-US" w:bidi="ar-SA"/>
      </w:rPr>
    </w:lvl>
    <w:lvl w:ilvl="3" w:tplc="65F62E24">
      <w:numFmt w:val="bullet"/>
      <w:lvlText w:val="•"/>
      <w:lvlJc w:val="left"/>
      <w:pPr>
        <w:ind w:left="2290" w:hanging="284"/>
      </w:pPr>
      <w:rPr>
        <w:rFonts w:hint="default"/>
        <w:lang w:val="en-US" w:eastAsia="en-US" w:bidi="ar-SA"/>
      </w:rPr>
    </w:lvl>
    <w:lvl w:ilvl="4" w:tplc="7A36D96A">
      <w:numFmt w:val="bullet"/>
      <w:lvlText w:val="•"/>
      <w:lvlJc w:val="left"/>
      <w:pPr>
        <w:ind w:left="3021" w:hanging="284"/>
      </w:pPr>
      <w:rPr>
        <w:rFonts w:hint="default"/>
        <w:lang w:val="en-US" w:eastAsia="en-US" w:bidi="ar-SA"/>
      </w:rPr>
    </w:lvl>
    <w:lvl w:ilvl="5" w:tplc="580E6368">
      <w:numFmt w:val="bullet"/>
      <w:lvlText w:val="•"/>
      <w:lvlJc w:val="left"/>
      <w:pPr>
        <w:ind w:left="3751" w:hanging="284"/>
      </w:pPr>
      <w:rPr>
        <w:rFonts w:hint="default"/>
        <w:lang w:val="en-US" w:eastAsia="en-US" w:bidi="ar-SA"/>
      </w:rPr>
    </w:lvl>
    <w:lvl w:ilvl="6" w:tplc="12D4C022">
      <w:numFmt w:val="bullet"/>
      <w:lvlText w:val="•"/>
      <w:lvlJc w:val="left"/>
      <w:pPr>
        <w:ind w:left="4481" w:hanging="284"/>
      </w:pPr>
      <w:rPr>
        <w:rFonts w:hint="default"/>
        <w:lang w:val="en-US" w:eastAsia="en-US" w:bidi="ar-SA"/>
      </w:rPr>
    </w:lvl>
    <w:lvl w:ilvl="7" w:tplc="5F048308">
      <w:numFmt w:val="bullet"/>
      <w:lvlText w:val="•"/>
      <w:lvlJc w:val="left"/>
      <w:pPr>
        <w:ind w:left="5212" w:hanging="284"/>
      </w:pPr>
      <w:rPr>
        <w:rFonts w:hint="default"/>
        <w:lang w:val="en-US" w:eastAsia="en-US" w:bidi="ar-SA"/>
      </w:rPr>
    </w:lvl>
    <w:lvl w:ilvl="8" w:tplc="3474998E">
      <w:numFmt w:val="bullet"/>
      <w:lvlText w:val="•"/>
      <w:lvlJc w:val="left"/>
      <w:pPr>
        <w:ind w:left="5942" w:hanging="284"/>
      </w:pPr>
      <w:rPr>
        <w:rFonts w:hint="default"/>
        <w:lang w:val="en-US" w:eastAsia="en-US" w:bidi="ar-SA"/>
      </w:rPr>
    </w:lvl>
  </w:abstractNum>
  <w:abstractNum w:abstractNumId="49" w15:restartNumberingAfterBreak="0">
    <w:nsid w:val="635B60C4"/>
    <w:multiLevelType w:val="hybridMultilevel"/>
    <w:tmpl w:val="F96087F2"/>
    <w:lvl w:ilvl="0" w:tplc="D90AFC94">
      <w:numFmt w:val="bullet"/>
      <w:lvlText w:val=""/>
      <w:lvlJc w:val="left"/>
      <w:pPr>
        <w:ind w:left="391" w:hanging="284"/>
      </w:pPr>
      <w:rPr>
        <w:rFonts w:ascii="Symbol" w:eastAsia="Symbol" w:hAnsi="Symbol" w:cs="Symbol" w:hint="default"/>
        <w:w w:val="100"/>
        <w:sz w:val="22"/>
        <w:szCs w:val="22"/>
        <w:lang w:val="en-US" w:eastAsia="en-US" w:bidi="ar-SA"/>
      </w:rPr>
    </w:lvl>
    <w:lvl w:ilvl="1" w:tplc="60CE4132">
      <w:numFmt w:val="bullet"/>
      <w:lvlText w:val="•"/>
      <w:lvlJc w:val="left"/>
      <w:pPr>
        <w:ind w:left="1090" w:hanging="284"/>
      </w:pPr>
      <w:rPr>
        <w:rFonts w:hint="default"/>
        <w:lang w:val="en-US" w:eastAsia="en-US" w:bidi="ar-SA"/>
      </w:rPr>
    </w:lvl>
    <w:lvl w:ilvl="2" w:tplc="97064BEC">
      <w:numFmt w:val="bullet"/>
      <w:lvlText w:val="•"/>
      <w:lvlJc w:val="left"/>
      <w:pPr>
        <w:ind w:left="1781" w:hanging="284"/>
      </w:pPr>
      <w:rPr>
        <w:rFonts w:hint="default"/>
        <w:lang w:val="en-US" w:eastAsia="en-US" w:bidi="ar-SA"/>
      </w:rPr>
    </w:lvl>
    <w:lvl w:ilvl="3" w:tplc="F32C97AA">
      <w:numFmt w:val="bullet"/>
      <w:lvlText w:val="•"/>
      <w:lvlJc w:val="left"/>
      <w:pPr>
        <w:ind w:left="2472" w:hanging="284"/>
      </w:pPr>
      <w:rPr>
        <w:rFonts w:hint="default"/>
        <w:lang w:val="en-US" w:eastAsia="en-US" w:bidi="ar-SA"/>
      </w:rPr>
    </w:lvl>
    <w:lvl w:ilvl="4" w:tplc="BD2A8616">
      <w:numFmt w:val="bullet"/>
      <w:lvlText w:val="•"/>
      <w:lvlJc w:val="left"/>
      <w:pPr>
        <w:ind w:left="3162" w:hanging="284"/>
      </w:pPr>
      <w:rPr>
        <w:rFonts w:hint="default"/>
        <w:lang w:val="en-US" w:eastAsia="en-US" w:bidi="ar-SA"/>
      </w:rPr>
    </w:lvl>
    <w:lvl w:ilvl="5" w:tplc="98D83D5E">
      <w:numFmt w:val="bullet"/>
      <w:lvlText w:val="•"/>
      <w:lvlJc w:val="left"/>
      <w:pPr>
        <w:ind w:left="3853" w:hanging="284"/>
      </w:pPr>
      <w:rPr>
        <w:rFonts w:hint="default"/>
        <w:lang w:val="en-US" w:eastAsia="en-US" w:bidi="ar-SA"/>
      </w:rPr>
    </w:lvl>
    <w:lvl w:ilvl="6" w:tplc="CFC8D732">
      <w:numFmt w:val="bullet"/>
      <w:lvlText w:val="•"/>
      <w:lvlJc w:val="left"/>
      <w:pPr>
        <w:ind w:left="4544" w:hanging="284"/>
      </w:pPr>
      <w:rPr>
        <w:rFonts w:hint="default"/>
        <w:lang w:val="en-US" w:eastAsia="en-US" w:bidi="ar-SA"/>
      </w:rPr>
    </w:lvl>
    <w:lvl w:ilvl="7" w:tplc="2682D4C2">
      <w:numFmt w:val="bullet"/>
      <w:lvlText w:val="•"/>
      <w:lvlJc w:val="left"/>
      <w:pPr>
        <w:ind w:left="5234" w:hanging="284"/>
      </w:pPr>
      <w:rPr>
        <w:rFonts w:hint="default"/>
        <w:lang w:val="en-US" w:eastAsia="en-US" w:bidi="ar-SA"/>
      </w:rPr>
    </w:lvl>
    <w:lvl w:ilvl="8" w:tplc="AC98C1BE">
      <w:numFmt w:val="bullet"/>
      <w:lvlText w:val="•"/>
      <w:lvlJc w:val="left"/>
      <w:pPr>
        <w:ind w:left="5925" w:hanging="284"/>
      </w:pPr>
      <w:rPr>
        <w:rFonts w:hint="default"/>
        <w:lang w:val="en-US" w:eastAsia="en-US" w:bidi="ar-SA"/>
      </w:rPr>
    </w:lvl>
  </w:abstractNum>
  <w:abstractNum w:abstractNumId="50" w15:restartNumberingAfterBreak="0">
    <w:nsid w:val="63C004A5"/>
    <w:multiLevelType w:val="hybridMultilevel"/>
    <w:tmpl w:val="D676047C"/>
    <w:lvl w:ilvl="0" w:tplc="7E12E43E">
      <w:numFmt w:val="bullet"/>
      <w:lvlText w:val=""/>
      <w:lvlJc w:val="left"/>
      <w:pPr>
        <w:ind w:left="389" w:hanging="284"/>
      </w:pPr>
      <w:rPr>
        <w:rFonts w:ascii="Symbol" w:eastAsia="Symbol" w:hAnsi="Symbol" w:cs="Symbol" w:hint="default"/>
        <w:w w:val="100"/>
        <w:sz w:val="22"/>
        <w:szCs w:val="22"/>
        <w:lang w:val="en-US" w:eastAsia="en-US" w:bidi="ar-SA"/>
      </w:rPr>
    </w:lvl>
    <w:lvl w:ilvl="1" w:tplc="DA28EE68">
      <w:numFmt w:val="bullet"/>
      <w:lvlText w:val="•"/>
      <w:lvlJc w:val="left"/>
      <w:pPr>
        <w:ind w:left="1082" w:hanging="284"/>
      </w:pPr>
      <w:rPr>
        <w:rFonts w:hint="default"/>
        <w:lang w:val="en-US" w:eastAsia="en-US" w:bidi="ar-SA"/>
      </w:rPr>
    </w:lvl>
    <w:lvl w:ilvl="2" w:tplc="C5F2836E">
      <w:numFmt w:val="bullet"/>
      <w:lvlText w:val="•"/>
      <w:lvlJc w:val="left"/>
      <w:pPr>
        <w:ind w:left="1784" w:hanging="284"/>
      </w:pPr>
      <w:rPr>
        <w:rFonts w:hint="default"/>
        <w:lang w:val="en-US" w:eastAsia="en-US" w:bidi="ar-SA"/>
      </w:rPr>
    </w:lvl>
    <w:lvl w:ilvl="3" w:tplc="A38CA636">
      <w:numFmt w:val="bullet"/>
      <w:lvlText w:val="•"/>
      <w:lvlJc w:val="left"/>
      <w:pPr>
        <w:ind w:left="2486" w:hanging="284"/>
      </w:pPr>
      <w:rPr>
        <w:rFonts w:hint="default"/>
        <w:lang w:val="en-US" w:eastAsia="en-US" w:bidi="ar-SA"/>
      </w:rPr>
    </w:lvl>
    <w:lvl w:ilvl="4" w:tplc="0408F2EA">
      <w:numFmt w:val="bullet"/>
      <w:lvlText w:val="•"/>
      <w:lvlJc w:val="left"/>
      <w:pPr>
        <w:ind w:left="3189" w:hanging="284"/>
      </w:pPr>
      <w:rPr>
        <w:rFonts w:hint="default"/>
        <w:lang w:val="en-US" w:eastAsia="en-US" w:bidi="ar-SA"/>
      </w:rPr>
    </w:lvl>
    <w:lvl w:ilvl="5" w:tplc="7E40C806">
      <w:numFmt w:val="bullet"/>
      <w:lvlText w:val="•"/>
      <w:lvlJc w:val="left"/>
      <w:pPr>
        <w:ind w:left="3891" w:hanging="284"/>
      </w:pPr>
      <w:rPr>
        <w:rFonts w:hint="default"/>
        <w:lang w:val="en-US" w:eastAsia="en-US" w:bidi="ar-SA"/>
      </w:rPr>
    </w:lvl>
    <w:lvl w:ilvl="6" w:tplc="1DAE075A">
      <w:numFmt w:val="bullet"/>
      <w:lvlText w:val="•"/>
      <w:lvlJc w:val="left"/>
      <w:pPr>
        <w:ind w:left="4593" w:hanging="284"/>
      </w:pPr>
      <w:rPr>
        <w:rFonts w:hint="default"/>
        <w:lang w:val="en-US" w:eastAsia="en-US" w:bidi="ar-SA"/>
      </w:rPr>
    </w:lvl>
    <w:lvl w:ilvl="7" w:tplc="4F76DF8E">
      <w:numFmt w:val="bullet"/>
      <w:lvlText w:val="•"/>
      <w:lvlJc w:val="left"/>
      <w:pPr>
        <w:ind w:left="5296" w:hanging="284"/>
      </w:pPr>
      <w:rPr>
        <w:rFonts w:hint="default"/>
        <w:lang w:val="en-US" w:eastAsia="en-US" w:bidi="ar-SA"/>
      </w:rPr>
    </w:lvl>
    <w:lvl w:ilvl="8" w:tplc="FF6A3F52">
      <w:numFmt w:val="bullet"/>
      <w:lvlText w:val="•"/>
      <w:lvlJc w:val="left"/>
      <w:pPr>
        <w:ind w:left="5998" w:hanging="284"/>
      </w:pPr>
      <w:rPr>
        <w:rFonts w:hint="default"/>
        <w:lang w:val="en-US" w:eastAsia="en-US" w:bidi="ar-SA"/>
      </w:rPr>
    </w:lvl>
  </w:abstractNum>
  <w:abstractNum w:abstractNumId="51" w15:restartNumberingAfterBreak="0">
    <w:nsid w:val="64805490"/>
    <w:multiLevelType w:val="hybridMultilevel"/>
    <w:tmpl w:val="B414179C"/>
    <w:lvl w:ilvl="0" w:tplc="0A32792E">
      <w:numFmt w:val="bullet"/>
      <w:lvlText w:val=""/>
      <w:lvlJc w:val="left"/>
      <w:pPr>
        <w:ind w:left="2327" w:hanging="850"/>
      </w:pPr>
      <w:rPr>
        <w:rFonts w:ascii="Symbol" w:eastAsia="Symbol" w:hAnsi="Symbol" w:cs="Symbol" w:hint="default"/>
        <w:w w:val="100"/>
        <w:sz w:val="22"/>
        <w:szCs w:val="22"/>
        <w:lang w:val="en-US" w:eastAsia="en-US" w:bidi="ar-SA"/>
      </w:rPr>
    </w:lvl>
    <w:lvl w:ilvl="1" w:tplc="48AAF38A">
      <w:numFmt w:val="bullet"/>
      <w:lvlText w:val="•"/>
      <w:lvlJc w:val="left"/>
      <w:pPr>
        <w:ind w:left="2804" w:hanging="850"/>
      </w:pPr>
      <w:rPr>
        <w:rFonts w:hint="default"/>
        <w:lang w:val="en-US" w:eastAsia="en-US" w:bidi="ar-SA"/>
      </w:rPr>
    </w:lvl>
    <w:lvl w:ilvl="2" w:tplc="7B9207AC">
      <w:numFmt w:val="bullet"/>
      <w:lvlText w:val="•"/>
      <w:lvlJc w:val="left"/>
      <w:pPr>
        <w:ind w:left="3288" w:hanging="850"/>
      </w:pPr>
      <w:rPr>
        <w:rFonts w:hint="default"/>
        <w:lang w:val="en-US" w:eastAsia="en-US" w:bidi="ar-SA"/>
      </w:rPr>
    </w:lvl>
    <w:lvl w:ilvl="3" w:tplc="B5E80220">
      <w:numFmt w:val="bullet"/>
      <w:lvlText w:val="•"/>
      <w:lvlJc w:val="left"/>
      <w:pPr>
        <w:ind w:left="3772" w:hanging="850"/>
      </w:pPr>
      <w:rPr>
        <w:rFonts w:hint="default"/>
        <w:lang w:val="en-US" w:eastAsia="en-US" w:bidi="ar-SA"/>
      </w:rPr>
    </w:lvl>
    <w:lvl w:ilvl="4" w:tplc="CC9E5386">
      <w:numFmt w:val="bullet"/>
      <w:lvlText w:val="•"/>
      <w:lvlJc w:val="left"/>
      <w:pPr>
        <w:ind w:left="4256" w:hanging="850"/>
      </w:pPr>
      <w:rPr>
        <w:rFonts w:hint="default"/>
        <w:lang w:val="en-US" w:eastAsia="en-US" w:bidi="ar-SA"/>
      </w:rPr>
    </w:lvl>
    <w:lvl w:ilvl="5" w:tplc="97D09A70">
      <w:numFmt w:val="bullet"/>
      <w:lvlText w:val="•"/>
      <w:lvlJc w:val="left"/>
      <w:pPr>
        <w:ind w:left="4740" w:hanging="850"/>
      </w:pPr>
      <w:rPr>
        <w:rFonts w:hint="default"/>
        <w:lang w:val="en-US" w:eastAsia="en-US" w:bidi="ar-SA"/>
      </w:rPr>
    </w:lvl>
    <w:lvl w:ilvl="6" w:tplc="58FAE02A">
      <w:numFmt w:val="bullet"/>
      <w:lvlText w:val="•"/>
      <w:lvlJc w:val="left"/>
      <w:pPr>
        <w:ind w:left="5224" w:hanging="850"/>
      </w:pPr>
      <w:rPr>
        <w:rFonts w:hint="default"/>
        <w:lang w:val="en-US" w:eastAsia="en-US" w:bidi="ar-SA"/>
      </w:rPr>
    </w:lvl>
    <w:lvl w:ilvl="7" w:tplc="3A16CF1C">
      <w:numFmt w:val="bullet"/>
      <w:lvlText w:val="•"/>
      <w:lvlJc w:val="left"/>
      <w:pPr>
        <w:ind w:left="5708" w:hanging="850"/>
      </w:pPr>
      <w:rPr>
        <w:rFonts w:hint="default"/>
        <w:lang w:val="en-US" w:eastAsia="en-US" w:bidi="ar-SA"/>
      </w:rPr>
    </w:lvl>
    <w:lvl w:ilvl="8" w:tplc="1A5EEB22">
      <w:numFmt w:val="bullet"/>
      <w:lvlText w:val="•"/>
      <w:lvlJc w:val="left"/>
      <w:pPr>
        <w:ind w:left="6192" w:hanging="850"/>
      </w:pPr>
      <w:rPr>
        <w:rFonts w:hint="default"/>
        <w:lang w:val="en-US" w:eastAsia="en-US" w:bidi="ar-SA"/>
      </w:rPr>
    </w:lvl>
  </w:abstractNum>
  <w:abstractNum w:abstractNumId="52" w15:restartNumberingAfterBreak="0">
    <w:nsid w:val="64FE34D8"/>
    <w:multiLevelType w:val="hybridMultilevel"/>
    <w:tmpl w:val="1DE078F4"/>
    <w:lvl w:ilvl="0" w:tplc="99164A62">
      <w:numFmt w:val="bullet"/>
      <w:lvlText w:val=""/>
      <w:lvlJc w:val="left"/>
      <w:pPr>
        <w:ind w:left="1185" w:hanging="348"/>
      </w:pPr>
      <w:rPr>
        <w:rFonts w:ascii="Symbol" w:eastAsia="Symbol" w:hAnsi="Symbol" w:cs="Symbol" w:hint="default"/>
        <w:w w:val="100"/>
        <w:sz w:val="22"/>
        <w:szCs w:val="22"/>
        <w:lang w:val="en-US" w:eastAsia="en-US" w:bidi="ar-SA"/>
      </w:rPr>
    </w:lvl>
    <w:lvl w:ilvl="1" w:tplc="1C2AFE2E">
      <w:numFmt w:val="bullet"/>
      <w:lvlText w:val=""/>
      <w:lvlJc w:val="left"/>
      <w:pPr>
        <w:ind w:left="1541" w:hanging="356"/>
      </w:pPr>
      <w:rPr>
        <w:rFonts w:ascii="Symbol" w:eastAsia="Symbol" w:hAnsi="Symbol" w:cs="Symbol" w:hint="default"/>
        <w:w w:val="100"/>
        <w:sz w:val="22"/>
        <w:szCs w:val="22"/>
        <w:lang w:val="en-US" w:eastAsia="en-US" w:bidi="ar-SA"/>
      </w:rPr>
    </w:lvl>
    <w:lvl w:ilvl="2" w:tplc="BBAA0A12">
      <w:numFmt w:val="bullet"/>
      <w:lvlText w:val="•"/>
      <w:lvlJc w:val="left"/>
      <w:pPr>
        <w:ind w:left="2167" w:hanging="356"/>
      </w:pPr>
      <w:rPr>
        <w:rFonts w:hint="default"/>
        <w:lang w:val="en-US" w:eastAsia="en-US" w:bidi="ar-SA"/>
      </w:rPr>
    </w:lvl>
    <w:lvl w:ilvl="3" w:tplc="AF3290AA">
      <w:numFmt w:val="bullet"/>
      <w:lvlText w:val="•"/>
      <w:lvlJc w:val="left"/>
      <w:pPr>
        <w:ind w:left="2794" w:hanging="356"/>
      </w:pPr>
      <w:rPr>
        <w:rFonts w:hint="default"/>
        <w:lang w:val="en-US" w:eastAsia="en-US" w:bidi="ar-SA"/>
      </w:rPr>
    </w:lvl>
    <w:lvl w:ilvl="4" w:tplc="32148644">
      <w:numFmt w:val="bullet"/>
      <w:lvlText w:val="•"/>
      <w:lvlJc w:val="left"/>
      <w:pPr>
        <w:ind w:left="3421" w:hanging="356"/>
      </w:pPr>
      <w:rPr>
        <w:rFonts w:hint="default"/>
        <w:lang w:val="en-US" w:eastAsia="en-US" w:bidi="ar-SA"/>
      </w:rPr>
    </w:lvl>
    <w:lvl w:ilvl="5" w:tplc="81588B38">
      <w:numFmt w:val="bullet"/>
      <w:lvlText w:val="•"/>
      <w:lvlJc w:val="left"/>
      <w:pPr>
        <w:ind w:left="4048" w:hanging="356"/>
      </w:pPr>
      <w:rPr>
        <w:rFonts w:hint="default"/>
        <w:lang w:val="en-US" w:eastAsia="en-US" w:bidi="ar-SA"/>
      </w:rPr>
    </w:lvl>
    <w:lvl w:ilvl="6" w:tplc="5B901774">
      <w:numFmt w:val="bullet"/>
      <w:lvlText w:val="•"/>
      <w:lvlJc w:val="left"/>
      <w:pPr>
        <w:ind w:left="4675" w:hanging="356"/>
      </w:pPr>
      <w:rPr>
        <w:rFonts w:hint="default"/>
        <w:lang w:val="en-US" w:eastAsia="en-US" w:bidi="ar-SA"/>
      </w:rPr>
    </w:lvl>
    <w:lvl w:ilvl="7" w:tplc="3F7CE922">
      <w:numFmt w:val="bullet"/>
      <w:lvlText w:val="•"/>
      <w:lvlJc w:val="left"/>
      <w:pPr>
        <w:ind w:left="5302" w:hanging="356"/>
      </w:pPr>
      <w:rPr>
        <w:rFonts w:hint="default"/>
        <w:lang w:val="en-US" w:eastAsia="en-US" w:bidi="ar-SA"/>
      </w:rPr>
    </w:lvl>
    <w:lvl w:ilvl="8" w:tplc="3A3C6CB6">
      <w:numFmt w:val="bullet"/>
      <w:lvlText w:val="•"/>
      <w:lvlJc w:val="left"/>
      <w:pPr>
        <w:ind w:left="5929" w:hanging="356"/>
      </w:pPr>
      <w:rPr>
        <w:rFonts w:hint="default"/>
        <w:lang w:val="en-US" w:eastAsia="en-US" w:bidi="ar-SA"/>
      </w:rPr>
    </w:lvl>
  </w:abstractNum>
  <w:abstractNum w:abstractNumId="53" w15:restartNumberingAfterBreak="0">
    <w:nsid w:val="657B74C6"/>
    <w:multiLevelType w:val="hybridMultilevel"/>
    <w:tmpl w:val="5586845E"/>
    <w:lvl w:ilvl="0" w:tplc="AEFC8108">
      <w:numFmt w:val="bullet"/>
      <w:lvlText w:val="•"/>
      <w:lvlJc w:val="left"/>
      <w:pPr>
        <w:ind w:left="106" w:hanging="721"/>
      </w:pPr>
      <w:rPr>
        <w:rFonts w:ascii="Carlito" w:eastAsia="Carlito" w:hAnsi="Carlito" w:cs="Carlito" w:hint="default"/>
        <w:w w:val="100"/>
        <w:sz w:val="22"/>
        <w:szCs w:val="22"/>
        <w:lang w:val="en-US" w:eastAsia="en-US" w:bidi="ar-SA"/>
      </w:rPr>
    </w:lvl>
    <w:lvl w:ilvl="1" w:tplc="9E30022A">
      <w:numFmt w:val="bullet"/>
      <w:lvlText w:val="•"/>
      <w:lvlJc w:val="left"/>
      <w:pPr>
        <w:ind w:left="808" w:hanging="721"/>
      </w:pPr>
      <w:rPr>
        <w:rFonts w:hint="default"/>
        <w:lang w:val="en-US" w:eastAsia="en-US" w:bidi="ar-SA"/>
      </w:rPr>
    </w:lvl>
    <w:lvl w:ilvl="2" w:tplc="6152061C">
      <w:numFmt w:val="bullet"/>
      <w:lvlText w:val="•"/>
      <w:lvlJc w:val="left"/>
      <w:pPr>
        <w:ind w:left="1516" w:hanging="721"/>
      </w:pPr>
      <w:rPr>
        <w:rFonts w:hint="default"/>
        <w:lang w:val="en-US" w:eastAsia="en-US" w:bidi="ar-SA"/>
      </w:rPr>
    </w:lvl>
    <w:lvl w:ilvl="3" w:tplc="BB0E8EE8">
      <w:numFmt w:val="bullet"/>
      <w:lvlText w:val="•"/>
      <w:lvlJc w:val="left"/>
      <w:pPr>
        <w:ind w:left="2224" w:hanging="721"/>
      </w:pPr>
      <w:rPr>
        <w:rFonts w:hint="default"/>
        <w:lang w:val="en-US" w:eastAsia="en-US" w:bidi="ar-SA"/>
      </w:rPr>
    </w:lvl>
    <w:lvl w:ilvl="4" w:tplc="DCFC36D4">
      <w:numFmt w:val="bullet"/>
      <w:lvlText w:val="•"/>
      <w:lvlJc w:val="left"/>
      <w:pPr>
        <w:ind w:left="2933" w:hanging="721"/>
      </w:pPr>
      <w:rPr>
        <w:rFonts w:hint="default"/>
        <w:lang w:val="en-US" w:eastAsia="en-US" w:bidi="ar-SA"/>
      </w:rPr>
    </w:lvl>
    <w:lvl w:ilvl="5" w:tplc="E7F0A046">
      <w:numFmt w:val="bullet"/>
      <w:lvlText w:val="•"/>
      <w:lvlJc w:val="left"/>
      <w:pPr>
        <w:ind w:left="3641" w:hanging="721"/>
      </w:pPr>
      <w:rPr>
        <w:rFonts w:hint="default"/>
        <w:lang w:val="en-US" w:eastAsia="en-US" w:bidi="ar-SA"/>
      </w:rPr>
    </w:lvl>
    <w:lvl w:ilvl="6" w:tplc="326E101E">
      <w:numFmt w:val="bullet"/>
      <w:lvlText w:val="•"/>
      <w:lvlJc w:val="left"/>
      <w:pPr>
        <w:ind w:left="4349" w:hanging="721"/>
      </w:pPr>
      <w:rPr>
        <w:rFonts w:hint="default"/>
        <w:lang w:val="en-US" w:eastAsia="en-US" w:bidi="ar-SA"/>
      </w:rPr>
    </w:lvl>
    <w:lvl w:ilvl="7" w:tplc="C0949DE6">
      <w:numFmt w:val="bullet"/>
      <w:lvlText w:val="•"/>
      <w:lvlJc w:val="left"/>
      <w:pPr>
        <w:ind w:left="5058" w:hanging="721"/>
      </w:pPr>
      <w:rPr>
        <w:rFonts w:hint="default"/>
        <w:lang w:val="en-US" w:eastAsia="en-US" w:bidi="ar-SA"/>
      </w:rPr>
    </w:lvl>
    <w:lvl w:ilvl="8" w:tplc="10FAC2AA">
      <w:numFmt w:val="bullet"/>
      <w:lvlText w:val="•"/>
      <w:lvlJc w:val="left"/>
      <w:pPr>
        <w:ind w:left="5766" w:hanging="721"/>
      </w:pPr>
      <w:rPr>
        <w:rFonts w:hint="default"/>
        <w:lang w:val="en-US" w:eastAsia="en-US" w:bidi="ar-SA"/>
      </w:rPr>
    </w:lvl>
  </w:abstractNum>
  <w:abstractNum w:abstractNumId="54" w15:restartNumberingAfterBreak="0">
    <w:nsid w:val="663A7A42"/>
    <w:multiLevelType w:val="hybridMultilevel"/>
    <w:tmpl w:val="0C16EE84"/>
    <w:lvl w:ilvl="0" w:tplc="E0362B5A">
      <w:numFmt w:val="bullet"/>
      <w:lvlText w:val=""/>
      <w:lvlJc w:val="left"/>
      <w:pPr>
        <w:ind w:left="826" w:hanging="687"/>
      </w:pPr>
      <w:rPr>
        <w:rFonts w:ascii="Symbol" w:eastAsia="Symbol" w:hAnsi="Symbol" w:cs="Symbol" w:hint="default"/>
        <w:w w:val="100"/>
        <w:sz w:val="22"/>
        <w:szCs w:val="22"/>
        <w:lang w:val="en-US" w:eastAsia="en-US" w:bidi="ar-SA"/>
      </w:rPr>
    </w:lvl>
    <w:lvl w:ilvl="1" w:tplc="63AE6526">
      <w:numFmt w:val="bullet"/>
      <w:lvlText w:val="•"/>
      <w:lvlJc w:val="left"/>
      <w:pPr>
        <w:ind w:left="1456" w:hanging="687"/>
      </w:pPr>
      <w:rPr>
        <w:rFonts w:hint="default"/>
        <w:lang w:val="en-US" w:eastAsia="en-US" w:bidi="ar-SA"/>
      </w:rPr>
    </w:lvl>
    <w:lvl w:ilvl="2" w:tplc="BDCCB1A6">
      <w:numFmt w:val="bullet"/>
      <w:lvlText w:val="•"/>
      <w:lvlJc w:val="left"/>
      <w:pPr>
        <w:ind w:left="2092" w:hanging="687"/>
      </w:pPr>
      <w:rPr>
        <w:rFonts w:hint="default"/>
        <w:lang w:val="en-US" w:eastAsia="en-US" w:bidi="ar-SA"/>
      </w:rPr>
    </w:lvl>
    <w:lvl w:ilvl="3" w:tplc="C452177E">
      <w:numFmt w:val="bullet"/>
      <w:lvlText w:val="•"/>
      <w:lvlJc w:val="left"/>
      <w:pPr>
        <w:ind w:left="2729" w:hanging="687"/>
      </w:pPr>
      <w:rPr>
        <w:rFonts w:hint="default"/>
        <w:lang w:val="en-US" w:eastAsia="en-US" w:bidi="ar-SA"/>
      </w:rPr>
    </w:lvl>
    <w:lvl w:ilvl="4" w:tplc="91969D78">
      <w:numFmt w:val="bullet"/>
      <w:lvlText w:val="•"/>
      <w:lvlJc w:val="left"/>
      <w:pPr>
        <w:ind w:left="3365" w:hanging="687"/>
      </w:pPr>
      <w:rPr>
        <w:rFonts w:hint="default"/>
        <w:lang w:val="en-US" w:eastAsia="en-US" w:bidi="ar-SA"/>
      </w:rPr>
    </w:lvl>
    <w:lvl w:ilvl="5" w:tplc="8A58F7F2">
      <w:numFmt w:val="bullet"/>
      <w:lvlText w:val="•"/>
      <w:lvlJc w:val="left"/>
      <w:pPr>
        <w:ind w:left="4002" w:hanging="687"/>
      </w:pPr>
      <w:rPr>
        <w:rFonts w:hint="default"/>
        <w:lang w:val="en-US" w:eastAsia="en-US" w:bidi="ar-SA"/>
      </w:rPr>
    </w:lvl>
    <w:lvl w:ilvl="6" w:tplc="8766BA9C">
      <w:numFmt w:val="bullet"/>
      <w:lvlText w:val="•"/>
      <w:lvlJc w:val="left"/>
      <w:pPr>
        <w:ind w:left="4638" w:hanging="687"/>
      </w:pPr>
      <w:rPr>
        <w:rFonts w:hint="default"/>
        <w:lang w:val="en-US" w:eastAsia="en-US" w:bidi="ar-SA"/>
      </w:rPr>
    </w:lvl>
    <w:lvl w:ilvl="7" w:tplc="81307E26">
      <w:numFmt w:val="bullet"/>
      <w:lvlText w:val="•"/>
      <w:lvlJc w:val="left"/>
      <w:pPr>
        <w:ind w:left="5274" w:hanging="687"/>
      </w:pPr>
      <w:rPr>
        <w:rFonts w:hint="default"/>
        <w:lang w:val="en-US" w:eastAsia="en-US" w:bidi="ar-SA"/>
      </w:rPr>
    </w:lvl>
    <w:lvl w:ilvl="8" w:tplc="DC264D5A">
      <w:numFmt w:val="bullet"/>
      <w:lvlText w:val="•"/>
      <w:lvlJc w:val="left"/>
      <w:pPr>
        <w:ind w:left="5911" w:hanging="687"/>
      </w:pPr>
      <w:rPr>
        <w:rFonts w:hint="default"/>
        <w:lang w:val="en-US" w:eastAsia="en-US" w:bidi="ar-SA"/>
      </w:rPr>
    </w:lvl>
  </w:abstractNum>
  <w:abstractNum w:abstractNumId="55" w15:restartNumberingAfterBreak="0">
    <w:nsid w:val="67573197"/>
    <w:multiLevelType w:val="hybridMultilevel"/>
    <w:tmpl w:val="378092E6"/>
    <w:lvl w:ilvl="0" w:tplc="04F209F0">
      <w:numFmt w:val="bullet"/>
      <w:lvlText w:val=""/>
      <w:lvlJc w:val="left"/>
      <w:pPr>
        <w:ind w:left="479" w:hanging="320"/>
      </w:pPr>
      <w:rPr>
        <w:rFonts w:ascii="Symbol" w:eastAsia="Symbol" w:hAnsi="Symbol" w:cs="Symbol" w:hint="default"/>
        <w:w w:val="100"/>
        <w:sz w:val="22"/>
        <w:szCs w:val="22"/>
        <w:lang w:val="en-US" w:eastAsia="en-US" w:bidi="ar-SA"/>
      </w:rPr>
    </w:lvl>
    <w:lvl w:ilvl="1" w:tplc="82A2E9CE">
      <w:numFmt w:val="bullet"/>
      <w:lvlText w:val="•"/>
      <w:lvlJc w:val="left"/>
      <w:pPr>
        <w:ind w:left="1155" w:hanging="320"/>
      </w:pPr>
      <w:rPr>
        <w:rFonts w:hint="default"/>
        <w:lang w:val="en-US" w:eastAsia="en-US" w:bidi="ar-SA"/>
      </w:rPr>
    </w:lvl>
    <w:lvl w:ilvl="2" w:tplc="08B0A2BA">
      <w:numFmt w:val="bullet"/>
      <w:lvlText w:val="•"/>
      <w:lvlJc w:val="left"/>
      <w:pPr>
        <w:ind w:left="1831" w:hanging="320"/>
      </w:pPr>
      <w:rPr>
        <w:rFonts w:hint="default"/>
        <w:lang w:val="en-US" w:eastAsia="en-US" w:bidi="ar-SA"/>
      </w:rPr>
    </w:lvl>
    <w:lvl w:ilvl="3" w:tplc="59904274">
      <w:numFmt w:val="bullet"/>
      <w:lvlText w:val="•"/>
      <w:lvlJc w:val="left"/>
      <w:pPr>
        <w:ind w:left="2506" w:hanging="320"/>
      </w:pPr>
      <w:rPr>
        <w:rFonts w:hint="default"/>
        <w:lang w:val="en-US" w:eastAsia="en-US" w:bidi="ar-SA"/>
      </w:rPr>
    </w:lvl>
    <w:lvl w:ilvl="4" w:tplc="D04EE01E">
      <w:numFmt w:val="bullet"/>
      <w:lvlText w:val="•"/>
      <w:lvlJc w:val="left"/>
      <w:pPr>
        <w:ind w:left="3182" w:hanging="320"/>
      </w:pPr>
      <w:rPr>
        <w:rFonts w:hint="default"/>
        <w:lang w:val="en-US" w:eastAsia="en-US" w:bidi="ar-SA"/>
      </w:rPr>
    </w:lvl>
    <w:lvl w:ilvl="5" w:tplc="9F5E5904">
      <w:numFmt w:val="bullet"/>
      <w:lvlText w:val="•"/>
      <w:lvlJc w:val="left"/>
      <w:pPr>
        <w:ind w:left="3858" w:hanging="320"/>
      </w:pPr>
      <w:rPr>
        <w:rFonts w:hint="default"/>
        <w:lang w:val="en-US" w:eastAsia="en-US" w:bidi="ar-SA"/>
      </w:rPr>
    </w:lvl>
    <w:lvl w:ilvl="6" w:tplc="49128FAC">
      <w:numFmt w:val="bullet"/>
      <w:lvlText w:val="•"/>
      <w:lvlJc w:val="left"/>
      <w:pPr>
        <w:ind w:left="4533" w:hanging="320"/>
      </w:pPr>
      <w:rPr>
        <w:rFonts w:hint="default"/>
        <w:lang w:val="en-US" w:eastAsia="en-US" w:bidi="ar-SA"/>
      </w:rPr>
    </w:lvl>
    <w:lvl w:ilvl="7" w:tplc="230001DE">
      <w:numFmt w:val="bullet"/>
      <w:lvlText w:val="•"/>
      <w:lvlJc w:val="left"/>
      <w:pPr>
        <w:ind w:left="5209" w:hanging="320"/>
      </w:pPr>
      <w:rPr>
        <w:rFonts w:hint="default"/>
        <w:lang w:val="en-US" w:eastAsia="en-US" w:bidi="ar-SA"/>
      </w:rPr>
    </w:lvl>
    <w:lvl w:ilvl="8" w:tplc="EA94D874">
      <w:numFmt w:val="bullet"/>
      <w:lvlText w:val="•"/>
      <w:lvlJc w:val="left"/>
      <w:pPr>
        <w:ind w:left="5884" w:hanging="320"/>
      </w:pPr>
      <w:rPr>
        <w:rFonts w:hint="default"/>
        <w:lang w:val="en-US" w:eastAsia="en-US" w:bidi="ar-SA"/>
      </w:rPr>
    </w:lvl>
  </w:abstractNum>
  <w:abstractNum w:abstractNumId="56" w15:restartNumberingAfterBreak="0">
    <w:nsid w:val="68304594"/>
    <w:multiLevelType w:val="hybridMultilevel"/>
    <w:tmpl w:val="03EA8C0A"/>
    <w:lvl w:ilvl="0" w:tplc="CB66A2F8">
      <w:numFmt w:val="bullet"/>
      <w:lvlText w:val=""/>
      <w:lvlJc w:val="left"/>
      <w:pPr>
        <w:ind w:left="389" w:hanging="284"/>
      </w:pPr>
      <w:rPr>
        <w:rFonts w:ascii="Symbol" w:eastAsia="Symbol" w:hAnsi="Symbol" w:cs="Symbol" w:hint="default"/>
        <w:w w:val="100"/>
        <w:sz w:val="22"/>
        <w:szCs w:val="22"/>
        <w:lang w:val="en-US" w:eastAsia="en-US" w:bidi="ar-SA"/>
      </w:rPr>
    </w:lvl>
    <w:lvl w:ilvl="1" w:tplc="8F9CD27A">
      <w:numFmt w:val="bullet"/>
      <w:lvlText w:val="•"/>
      <w:lvlJc w:val="left"/>
      <w:pPr>
        <w:ind w:left="1060" w:hanging="284"/>
      </w:pPr>
      <w:rPr>
        <w:rFonts w:hint="default"/>
        <w:lang w:val="en-US" w:eastAsia="en-US" w:bidi="ar-SA"/>
      </w:rPr>
    </w:lvl>
    <w:lvl w:ilvl="2" w:tplc="522A7D5C">
      <w:numFmt w:val="bullet"/>
      <w:lvlText w:val="•"/>
      <w:lvlJc w:val="left"/>
      <w:pPr>
        <w:ind w:left="1740" w:hanging="284"/>
      </w:pPr>
      <w:rPr>
        <w:rFonts w:hint="default"/>
        <w:lang w:val="en-US" w:eastAsia="en-US" w:bidi="ar-SA"/>
      </w:rPr>
    </w:lvl>
    <w:lvl w:ilvl="3" w:tplc="CF4AC768">
      <w:numFmt w:val="bullet"/>
      <w:lvlText w:val="•"/>
      <w:lvlJc w:val="left"/>
      <w:pPr>
        <w:ind w:left="2420" w:hanging="284"/>
      </w:pPr>
      <w:rPr>
        <w:rFonts w:hint="default"/>
        <w:lang w:val="en-US" w:eastAsia="en-US" w:bidi="ar-SA"/>
      </w:rPr>
    </w:lvl>
    <w:lvl w:ilvl="4" w:tplc="5B10E6BC">
      <w:numFmt w:val="bullet"/>
      <w:lvlText w:val="•"/>
      <w:lvlJc w:val="left"/>
      <w:pPr>
        <w:ind w:left="3100" w:hanging="284"/>
      </w:pPr>
      <w:rPr>
        <w:rFonts w:hint="default"/>
        <w:lang w:val="en-US" w:eastAsia="en-US" w:bidi="ar-SA"/>
      </w:rPr>
    </w:lvl>
    <w:lvl w:ilvl="5" w:tplc="80B2A964">
      <w:numFmt w:val="bullet"/>
      <w:lvlText w:val="•"/>
      <w:lvlJc w:val="left"/>
      <w:pPr>
        <w:ind w:left="3781" w:hanging="284"/>
      </w:pPr>
      <w:rPr>
        <w:rFonts w:hint="default"/>
        <w:lang w:val="en-US" w:eastAsia="en-US" w:bidi="ar-SA"/>
      </w:rPr>
    </w:lvl>
    <w:lvl w:ilvl="6" w:tplc="E56058CC">
      <w:numFmt w:val="bullet"/>
      <w:lvlText w:val="•"/>
      <w:lvlJc w:val="left"/>
      <w:pPr>
        <w:ind w:left="4461" w:hanging="284"/>
      </w:pPr>
      <w:rPr>
        <w:rFonts w:hint="default"/>
        <w:lang w:val="en-US" w:eastAsia="en-US" w:bidi="ar-SA"/>
      </w:rPr>
    </w:lvl>
    <w:lvl w:ilvl="7" w:tplc="FB429E92">
      <w:numFmt w:val="bullet"/>
      <w:lvlText w:val="•"/>
      <w:lvlJc w:val="left"/>
      <w:pPr>
        <w:ind w:left="5141" w:hanging="284"/>
      </w:pPr>
      <w:rPr>
        <w:rFonts w:hint="default"/>
        <w:lang w:val="en-US" w:eastAsia="en-US" w:bidi="ar-SA"/>
      </w:rPr>
    </w:lvl>
    <w:lvl w:ilvl="8" w:tplc="BFA6E6B6">
      <w:numFmt w:val="bullet"/>
      <w:lvlText w:val="•"/>
      <w:lvlJc w:val="left"/>
      <w:pPr>
        <w:ind w:left="5821" w:hanging="284"/>
      </w:pPr>
      <w:rPr>
        <w:rFonts w:hint="default"/>
        <w:lang w:val="en-US" w:eastAsia="en-US" w:bidi="ar-SA"/>
      </w:rPr>
    </w:lvl>
  </w:abstractNum>
  <w:abstractNum w:abstractNumId="57" w15:restartNumberingAfterBreak="0">
    <w:nsid w:val="6A797C9D"/>
    <w:multiLevelType w:val="hybridMultilevel"/>
    <w:tmpl w:val="C6206730"/>
    <w:lvl w:ilvl="0" w:tplc="00C4D8B2">
      <w:start w:val="1"/>
      <w:numFmt w:val="decimal"/>
      <w:lvlText w:val="%1."/>
      <w:lvlJc w:val="left"/>
      <w:pPr>
        <w:ind w:left="1578" w:hanging="720"/>
      </w:pPr>
      <w:rPr>
        <w:rFonts w:ascii="Carlito" w:eastAsia="Carlito" w:hAnsi="Carlito" w:cs="Carlito" w:hint="default"/>
        <w:b/>
        <w:bCs/>
        <w:spacing w:val="-4"/>
        <w:w w:val="100"/>
        <w:sz w:val="22"/>
        <w:szCs w:val="22"/>
        <w:lang w:val="en-US" w:eastAsia="en-US" w:bidi="ar-SA"/>
      </w:rPr>
    </w:lvl>
    <w:lvl w:ilvl="1" w:tplc="CE6A2DF4">
      <w:numFmt w:val="bullet"/>
      <w:lvlText w:val=""/>
      <w:lvlJc w:val="left"/>
      <w:pPr>
        <w:ind w:left="2298" w:hanging="360"/>
      </w:pPr>
      <w:rPr>
        <w:rFonts w:ascii="Symbol" w:eastAsia="Symbol" w:hAnsi="Symbol" w:cs="Symbol" w:hint="default"/>
        <w:w w:val="100"/>
        <w:sz w:val="22"/>
        <w:szCs w:val="22"/>
        <w:lang w:val="en-US" w:eastAsia="en-US" w:bidi="ar-SA"/>
      </w:rPr>
    </w:lvl>
    <w:lvl w:ilvl="2" w:tplc="2FE26AB0">
      <w:numFmt w:val="bullet"/>
      <w:lvlText w:val="•"/>
      <w:lvlJc w:val="left"/>
      <w:pPr>
        <w:ind w:left="3194" w:hanging="360"/>
      </w:pPr>
      <w:rPr>
        <w:rFonts w:hint="default"/>
        <w:lang w:val="en-US" w:eastAsia="en-US" w:bidi="ar-SA"/>
      </w:rPr>
    </w:lvl>
    <w:lvl w:ilvl="3" w:tplc="56707B0C">
      <w:numFmt w:val="bullet"/>
      <w:lvlText w:val="•"/>
      <w:lvlJc w:val="left"/>
      <w:pPr>
        <w:ind w:left="4088" w:hanging="360"/>
      </w:pPr>
      <w:rPr>
        <w:rFonts w:hint="default"/>
        <w:lang w:val="en-US" w:eastAsia="en-US" w:bidi="ar-SA"/>
      </w:rPr>
    </w:lvl>
    <w:lvl w:ilvl="4" w:tplc="02FCF2B8">
      <w:numFmt w:val="bullet"/>
      <w:lvlText w:val="•"/>
      <w:lvlJc w:val="left"/>
      <w:pPr>
        <w:ind w:left="4982" w:hanging="360"/>
      </w:pPr>
      <w:rPr>
        <w:rFonts w:hint="default"/>
        <w:lang w:val="en-US" w:eastAsia="en-US" w:bidi="ar-SA"/>
      </w:rPr>
    </w:lvl>
    <w:lvl w:ilvl="5" w:tplc="2A763764">
      <w:numFmt w:val="bullet"/>
      <w:lvlText w:val="•"/>
      <w:lvlJc w:val="left"/>
      <w:pPr>
        <w:ind w:left="5876" w:hanging="360"/>
      </w:pPr>
      <w:rPr>
        <w:rFonts w:hint="default"/>
        <w:lang w:val="en-US" w:eastAsia="en-US" w:bidi="ar-SA"/>
      </w:rPr>
    </w:lvl>
    <w:lvl w:ilvl="6" w:tplc="717C14BC">
      <w:numFmt w:val="bullet"/>
      <w:lvlText w:val="•"/>
      <w:lvlJc w:val="left"/>
      <w:pPr>
        <w:ind w:left="6770" w:hanging="360"/>
      </w:pPr>
      <w:rPr>
        <w:rFonts w:hint="default"/>
        <w:lang w:val="en-US" w:eastAsia="en-US" w:bidi="ar-SA"/>
      </w:rPr>
    </w:lvl>
    <w:lvl w:ilvl="7" w:tplc="CB32CEA8">
      <w:numFmt w:val="bullet"/>
      <w:lvlText w:val="•"/>
      <w:lvlJc w:val="left"/>
      <w:pPr>
        <w:ind w:left="7664" w:hanging="360"/>
      </w:pPr>
      <w:rPr>
        <w:rFonts w:hint="default"/>
        <w:lang w:val="en-US" w:eastAsia="en-US" w:bidi="ar-SA"/>
      </w:rPr>
    </w:lvl>
    <w:lvl w:ilvl="8" w:tplc="989050E2">
      <w:numFmt w:val="bullet"/>
      <w:lvlText w:val="•"/>
      <w:lvlJc w:val="left"/>
      <w:pPr>
        <w:ind w:left="8558" w:hanging="360"/>
      </w:pPr>
      <w:rPr>
        <w:rFonts w:hint="default"/>
        <w:lang w:val="en-US" w:eastAsia="en-US" w:bidi="ar-SA"/>
      </w:rPr>
    </w:lvl>
  </w:abstractNum>
  <w:abstractNum w:abstractNumId="58" w15:restartNumberingAfterBreak="0">
    <w:nsid w:val="6B85244D"/>
    <w:multiLevelType w:val="hybridMultilevel"/>
    <w:tmpl w:val="883835B4"/>
    <w:lvl w:ilvl="0" w:tplc="C3BA41D6">
      <w:start w:val="1"/>
      <w:numFmt w:val="decimal"/>
      <w:lvlText w:val="%1."/>
      <w:lvlJc w:val="left"/>
      <w:pPr>
        <w:ind w:left="6139" w:hanging="360"/>
      </w:pPr>
      <w:rPr>
        <w:rFonts w:ascii="Carlito" w:eastAsia="Carlito" w:hAnsi="Carlito" w:cs="Carlito" w:hint="default"/>
        <w:w w:val="100"/>
        <w:sz w:val="22"/>
        <w:szCs w:val="22"/>
        <w:lang w:val="en-US" w:eastAsia="en-US" w:bidi="ar-SA"/>
      </w:rPr>
    </w:lvl>
    <w:lvl w:ilvl="1" w:tplc="1A00DF1C">
      <w:numFmt w:val="bullet"/>
      <w:lvlText w:val="•"/>
      <w:lvlJc w:val="left"/>
      <w:pPr>
        <w:ind w:left="6560" w:hanging="360"/>
      </w:pPr>
      <w:rPr>
        <w:rFonts w:hint="default"/>
        <w:lang w:val="en-US" w:eastAsia="en-US" w:bidi="ar-SA"/>
      </w:rPr>
    </w:lvl>
    <w:lvl w:ilvl="2" w:tplc="C794F614">
      <w:numFmt w:val="bullet"/>
      <w:lvlText w:val="•"/>
      <w:lvlJc w:val="left"/>
      <w:pPr>
        <w:ind w:left="6981" w:hanging="360"/>
      </w:pPr>
      <w:rPr>
        <w:rFonts w:hint="default"/>
        <w:lang w:val="en-US" w:eastAsia="en-US" w:bidi="ar-SA"/>
      </w:rPr>
    </w:lvl>
    <w:lvl w:ilvl="3" w:tplc="1026C03A">
      <w:numFmt w:val="bullet"/>
      <w:lvlText w:val="•"/>
      <w:lvlJc w:val="left"/>
      <w:pPr>
        <w:ind w:left="7401" w:hanging="360"/>
      </w:pPr>
      <w:rPr>
        <w:rFonts w:hint="default"/>
        <w:lang w:val="en-US" w:eastAsia="en-US" w:bidi="ar-SA"/>
      </w:rPr>
    </w:lvl>
    <w:lvl w:ilvl="4" w:tplc="037E7028">
      <w:numFmt w:val="bullet"/>
      <w:lvlText w:val="•"/>
      <w:lvlJc w:val="left"/>
      <w:pPr>
        <w:ind w:left="7822" w:hanging="360"/>
      </w:pPr>
      <w:rPr>
        <w:rFonts w:hint="default"/>
        <w:lang w:val="en-US" w:eastAsia="en-US" w:bidi="ar-SA"/>
      </w:rPr>
    </w:lvl>
    <w:lvl w:ilvl="5" w:tplc="3F5C0198">
      <w:numFmt w:val="bullet"/>
      <w:lvlText w:val="•"/>
      <w:lvlJc w:val="left"/>
      <w:pPr>
        <w:ind w:left="8243" w:hanging="360"/>
      </w:pPr>
      <w:rPr>
        <w:rFonts w:hint="default"/>
        <w:lang w:val="en-US" w:eastAsia="en-US" w:bidi="ar-SA"/>
      </w:rPr>
    </w:lvl>
    <w:lvl w:ilvl="6" w:tplc="9EFCCBCC">
      <w:numFmt w:val="bullet"/>
      <w:lvlText w:val="•"/>
      <w:lvlJc w:val="left"/>
      <w:pPr>
        <w:ind w:left="8663" w:hanging="360"/>
      </w:pPr>
      <w:rPr>
        <w:rFonts w:hint="default"/>
        <w:lang w:val="en-US" w:eastAsia="en-US" w:bidi="ar-SA"/>
      </w:rPr>
    </w:lvl>
    <w:lvl w:ilvl="7" w:tplc="DFFA02FA">
      <w:numFmt w:val="bullet"/>
      <w:lvlText w:val="•"/>
      <w:lvlJc w:val="left"/>
      <w:pPr>
        <w:ind w:left="9084" w:hanging="360"/>
      </w:pPr>
      <w:rPr>
        <w:rFonts w:hint="default"/>
        <w:lang w:val="en-US" w:eastAsia="en-US" w:bidi="ar-SA"/>
      </w:rPr>
    </w:lvl>
    <w:lvl w:ilvl="8" w:tplc="829658A6">
      <w:numFmt w:val="bullet"/>
      <w:lvlText w:val="•"/>
      <w:lvlJc w:val="left"/>
      <w:pPr>
        <w:ind w:left="9505" w:hanging="360"/>
      </w:pPr>
      <w:rPr>
        <w:rFonts w:hint="default"/>
        <w:lang w:val="en-US" w:eastAsia="en-US" w:bidi="ar-SA"/>
      </w:rPr>
    </w:lvl>
  </w:abstractNum>
  <w:abstractNum w:abstractNumId="59" w15:restartNumberingAfterBreak="0">
    <w:nsid w:val="6EBF6DDF"/>
    <w:multiLevelType w:val="hybridMultilevel"/>
    <w:tmpl w:val="A55418CA"/>
    <w:lvl w:ilvl="0" w:tplc="666CC7D8">
      <w:numFmt w:val="bullet"/>
      <w:lvlText w:val=""/>
      <w:lvlJc w:val="left"/>
      <w:pPr>
        <w:ind w:left="3034" w:hanging="360"/>
      </w:pPr>
      <w:rPr>
        <w:rFonts w:ascii="Symbol" w:eastAsia="Symbol" w:hAnsi="Symbol" w:cs="Symbol" w:hint="default"/>
        <w:w w:val="100"/>
        <w:sz w:val="22"/>
        <w:szCs w:val="22"/>
        <w:lang w:val="en-US" w:eastAsia="en-US" w:bidi="ar-SA"/>
      </w:rPr>
    </w:lvl>
    <w:lvl w:ilvl="1" w:tplc="2092F538">
      <w:numFmt w:val="bullet"/>
      <w:lvlText w:val=""/>
      <w:lvlJc w:val="left"/>
      <w:pPr>
        <w:ind w:left="3754" w:hanging="360"/>
      </w:pPr>
      <w:rPr>
        <w:rFonts w:ascii="Wingdings" w:eastAsia="Wingdings" w:hAnsi="Wingdings" w:cs="Wingdings" w:hint="default"/>
        <w:w w:val="100"/>
        <w:sz w:val="22"/>
        <w:szCs w:val="22"/>
        <w:lang w:val="en-US" w:eastAsia="en-US" w:bidi="ar-SA"/>
      </w:rPr>
    </w:lvl>
    <w:lvl w:ilvl="2" w:tplc="FFF60A50">
      <w:numFmt w:val="bullet"/>
      <w:lvlText w:val="•"/>
      <w:lvlJc w:val="left"/>
      <w:pPr>
        <w:ind w:left="4385" w:hanging="360"/>
      </w:pPr>
      <w:rPr>
        <w:rFonts w:hint="default"/>
        <w:lang w:val="en-US" w:eastAsia="en-US" w:bidi="ar-SA"/>
      </w:rPr>
    </w:lvl>
    <w:lvl w:ilvl="3" w:tplc="E43E9910">
      <w:numFmt w:val="bullet"/>
      <w:lvlText w:val="•"/>
      <w:lvlJc w:val="left"/>
      <w:pPr>
        <w:ind w:left="5010" w:hanging="360"/>
      </w:pPr>
      <w:rPr>
        <w:rFonts w:hint="default"/>
        <w:lang w:val="en-US" w:eastAsia="en-US" w:bidi="ar-SA"/>
      </w:rPr>
    </w:lvl>
    <w:lvl w:ilvl="4" w:tplc="9C7CF1DA">
      <w:numFmt w:val="bullet"/>
      <w:lvlText w:val="•"/>
      <w:lvlJc w:val="left"/>
      <w:pPr>
        <w:ind w:left="5635" w:hanging="360"/>
      </w:pPr>
      <w:rPr>
        <w:rFonts w:hint="default"/>
        <w:lang w:val="en-US" w:eastAsia="en-US" w:bidi="ar-SA"/>
      </w:rPr>
    </w:lvl>
    <w:lvl w:ilvl="5" w:tplc="EACE602A">
      <w:numFmt w:val="bullet"/>
      <w:lvlText w:val="•"/>
      <w:lvlJc w:val="left"/>
      <w:pPr>
        <w:ind w:left="6260" w:hanging="360"/>
      </w:pPr>
      <w:rPr>
        <w:rFonts w:hint="default"/>
        <w:lang w:val="en-US" w:eastAsia="en-US" w:bidi="ar-SA"/>
      </w:rPr>
    </w:lvl>
    <w:lvl w:ilvl="6" w:tplc="89E6CE7C">
      <w:numFmt w:val="bullet"/>
      <w:lvlText w:val="•"/>
      <w:lvlJc w:val="left"/>
      <w:pPr>
        <w:ind w:left="6886" w:hanging="360"/>
      </w:pPr>
      <w:rPr>
        <w:rFonts w:hint="default"/>
        <w:lang w:val="en-US" w:eastAsia="en-US" w:bidi="ar-SA"/>
      </w:rPr>
    </w:lvl>
    <w:lvl w:ilvl="7" w:tplc="F618B160">
      <w:numFmt w:val="bullet"/>
      <w:lvlText w:val="•"/>
      <w:lvlJc w:val="left"/>
      <w:pPr>
        <w:ind w:left="7511" w:hanging="360"/>
      </w:pPr>
      <w:rPr>
        <w:rFonts w:hint="default"/>
        <w:lang w:val="en-US" w:eastAsia="en-US" w:bidi="ar-SA"/>
      </w:rPr>
    </w:lvl>
    <w:lvl w:ilvl="8" w:tplc="5024C8EA">
      <w:numFmt w:val="bullet"/>
      <w:lvlText w:val="•"/>
      <w:lvlJc w:val="left"/>
      <w:pPr>
        <w:ind w:left="8136" w:hanging="360"/>
      </w:pPr>
      <w:rPr>
        <w:rFonts w:hint="default"/>
        <w:lang w:val="en-US" w:eastAsia="en-US" w:bidi="ar-SA"/>
      </w:rPr>
    </w:lvl>
  </w:abstractNum>
  <w:abstractNum w:abstractNumId="60" w15:restartNumberingAfterBreak="0">
    <w:nsid w:val="70331F0B"/>
    <w:multiLevelType w:val="hybridMultilevel"/>
    <w:tmpl w:val="3D4E6398"/>
    <w:lvl w:ilvl="0" w:tplc="2B3852DC">
      <w:numFmt w:val="bullet"/>
      <w:lvlText w:val=""/>
      <w:lvlJc w:val="left"/>
      <w:pPr>
        <w:ind w:left="826" w:hanging="361"/>
      </w:pPr>
      <w:rPr>
        <w:rFonts w:ascii="Symbol" w:eastAsia="Symbol" w:hAnsi="Symbol" w:cs="Symbol" w:hint="default"/>
        <w:w w:val="100"/>
        <w:sz w:val="22"/>
        <w:szCs w:val="22"/>
        <w:lang w:val="en-US" w:eastAsia="en-US" w:bidi="ar-SA"/>
      </w:rPr>
    </w:lvl>
    <w:lvl w:ilvl="1" w:tplc="429815D2">
      <w:numFmt w:val="bullet"/>
      <w:lvlText w:val="•"/>
      <w:lvlJc w:val="left"/>
      <w:pPr>
        <w:ind w:left="1456" w:hanging="361"/>
      </w:pPr>
      <w:rPr>
        <w:rFonts w:hint="default"/>
        <w:lang w:val="en-US" w:eastAsia="en-US" w:bidi="ar-SA"/>
      </w:rPr>
    </w:lvl>
    <w:lvl w:ilvl="2" w:tplc="79B0EAF8">
      <w:numFmt w:val="bullet"/>
      <w:lvlText w:val="•"/>
      <w:lvlJc w:val="left"/>
      <w:pPr>
        <w:ind w:left="2092" w:hanging="361"/>
      </w:pPr>
      <w:rPr>
        <w:rFonts w:hint="default"/>
        <w:lang w:val="en-US" w:eastAsia="en-US" w:bidi="ar-SA"/>
      </w:rPr>
    </w:lvl>
    <w:lvl w:ilvl="3" w:tplc="F530D698">
      <w:numFmt w:val="bullet"/>
      <w:lvlText w:val="•"/>
      <w:lvlJc w:val="left"/>
      <w:pPr>
        <w:ind w:left="2729" w:hanging="361"/>
      </w:pPr>
      <w:rPr>
        <w:rFonts w:hint="default"/>
        <w:lang w:val="en-US" w:eastAsia="en-US" w:bidi="ar-SA"/>
      </w:rPr>
    </w:lvl>
    <w:lvl w:ilvl="4" w:tplc="1DF0E060">
      <w:numFmt w:val="bullet"/>
      <w:lvlText w:val="•"/>
      <w:lvlJc w:val="left"/>
      <w:pPr>
        <w:ind w:left="3365" w:hanging="361"/>
      </w:pPr>
      <w:rPr>
        <w:rFonts w:hint="default"/>
        <w:lang w:val="en-US" w:eastAsia="en-US" w:bidi="ar-SA"/>
      </w:rPr>
    </w:lvl>
    <w:lvl w:ilvl="5" w:tplc="534E5206">
      <w:numFmt w:val="bullet"/>
      <w:lvlText w:val="•"/>
      <w:lvlJc w:val="left"/>
      <w:pPr>
        <w:ind w:left="4002" w:hanging="361"/>
      </w:pPr>
      <w:rPr>
        <w:rFonts w:hint="default"/>
        <w:lang w:val="en-US" w:eastAsia="en-US" w:bidi="ar-SA"/>
      </w:rPr>
    </w:lvl>
    <w:lvl w:ilvl="6" w:tplc="3202CB3C">
      <w:numFmt w:val="bullet"/>
      <w:lvlText w:val="•"/>
      <w:lvlJc w:val="left"/>
      <w:pPr>
        <w:ind w:left="4638" w:hanging="361"/>
      </w:pPr>
      <w:rPr>
        <w:rFonts w:hint="default"/>
        <w:lang w:val="en-US" w:eastAsia="en-US" w:bidi="ar-SA"/>
      </w:rPr>
    </w:lvl>
    <w:lvl w:ilvl="7" w:tplc="6486FD5C">
      <w:numFmt w:val="bullet"/>
      <w:lvlText w:val="•"/>
      <w:lvlJc w:val="left"/>
      <w:pPr>
        <w:ind w:left="5274" w:hanging="361"/>
      </w:pPr>
      <w:rPr>
        <w:rFonts w:hint="default"/>
        <w:lang w:val="en-US" w:eastAsia="en-US" w:bidi="ar-SA"/>
      </w:rPr>
    </w:lvl>
    <w:lvl w:ilvl="8" w:tplc="80C0B862">
      <w:numFmt w:val="bullet"/>
      <w:lvlText w:val="•"/>
      <w:lvlJc w:val="left"/>
      <w:pPr>
        <w:ind w:left="5911" w:hanging="361"/>
      </w:pPr>
      <w:rPr>
        <w:rFonts w:hint="default"/>
        <w:lang w:val="en-US" w:eastAsia="en-US" w:bidi="ar-SA"/>
      </w:rPr>
    </w:lvl>
  </w:abstractNum>
  <w:abstractNum w:abstractNumId="61" w15:restartNumberingAfterBreak="0">
    <w:nsid w:val="72241B62"/>
    <w:multiLevelType w:val="hybridMultilevel"/>
    <w:tmpl w:val="691A89AC"/>
    <w:lvl w:ilvl="0" w:tplc="229036D6">
      <w:numFmt w:val="bullet"/>
      <w:lvlText w:val=""/>
      <w:lvlJc w:val="left"/>
      <w:pPr>
        <w:ind w:left="389" w:hanging="284"/>
      </w:pPr>
      <w:rPr>
        <w:rFonts w:ascii="Symbol" w:eastAsia="Symbol" w:hAnsi="Symbol" w:cs="Symbol" w:hint="default"/>
        <w:w w:val="100"/>
        <w:sz w:val="22"/>
        <w:szCs w:val="22"/>
        <w:lang w:val="en-US" w:eastAsia="en-US" w:bidi="ar-SA"/>
      </w:rPr>
    </w:lvl>
    <w:lvl w:ilvl="1" w:tplc="192284FC">
      <w:numFmt w:val="bullet"/>
      <w:lvlText w:val="•"/>
      <w:lvlJc w:val="left"/>
      <w:pPr>
        <w:ind w:left="1082" w:hanging="284"/>
      </w:pPr>
      <w:rPr>
        <w:rFonts w:hint="default"/>
        <w:lang w:val="en-US" w:eastAsia="en-US" w:bidi="ar-SA"/>
      </w:rPr>
    </w:lvl>
    <w:lvl w:ilvl="2" w:tplc="234A553E">
      <w:numFmt w:val="bullet"/>
      <w:lvlText w:val="•"/>
      <w:lvlJc w:val="left"/>
      <w:pPr>
        <w:ind w:left="1784" w:hanging="284"/>
      </w:pPr>
      <w:rPr>
        <w:rFonts w:hint="default"/>
        <w:lang w:val="en-US" w:eastAsia="en-US" w:bidi="ar-SA"/>
      </w:rPr>
    </w:lvl>
    <w:lvl w:ilvl="3" w:tplc="A2E84300">
      <w:numFmt w:val="bullet"/>
      <w:lvlText w:val="•"/>
      <w:lvlJc w:val="left"/>
      <w:pPr>
        <w:ind w:left="2486" w:hanging="284"/>
      </w:pPr>
      <w:rPr>
        <w:rFonts w:hint="default"/>
        <w:lang w:val="en-US" w:eastAsia="en-US" w:bidi="ar-SA"/>
      </w:rPr>
    </w:lvl>
    <w:lvl w:ilvl="4" w:tplc="E9BC6A14">
      <w:numFmt w:val="bullet"/>
      <w:lvlText w:val="•"/>
      <w:lvlJc w:val="left"/>
      <w:pPr>
        <w:ind w:left="3189" w:hanging="284"/>
      </w:pPr>
      <w:rPr>
        <w:rFonts w:hint="default"/>
        <w:lang w:val="en-US" w:eastAsia="en-US" w:bidi="ar-SA"/>
      </w:rPr>
    </w:lvl>
    <w:lvl w:ilvl="5" w:tplc="DEFC168A">
      <w:numFmt w:val="bullet"/>
      <w:lvlText w:val="•"/>
      <w:lvlJc w:val="left"/>
      <w:pPr>
        <w:ind w:left="3891" w:hanging="284"/>
      </w:pPr>
      <w:rPr>
        <w:rFonts w:hint="default"/>
        <w:lang w:val="en-US" w:eastAsia="en-US" w:bidi="ar-SA"/>
      </w:rPr>
    </w:lvl>
    <w:lvl w:ilvl="6" w:tplc="02280776">
      <w:numFmt w:val="bullet"/>
      <w:lvlText w:val="•"/>
      <w:lvlJc w:val="left"/>
      <w:pPr>
        <w:ind w:left="4593" w:hanging="284"/>
      </w:pPr>
      <w:rPr>
        <w:rFonts w:hint="default"/>
        <w:lang w:val="en-US" w:eastAsia="en-US" w:bidi="ar-SA"/>
      </w:rPr>
    </w:lvl>
    <w:lvl w:ilvl="7" w:tplc="7A82661A">
      <w:numFmt w:val="bullet"/>
      <w:lvlText w:val="•"/>
      <w:lvlJc w:val="left"/>
      <w:pPr>
        <w:ind w:left="5296" w:hanging="284"/>
      </w:pPr>
      <w:rPr>
        <w:rFonts w:hint="default"/>
        <w:lang w:val="en-US" w:eastAsia="en-US" w:bidi="ar-SA"/>
      </w:rPr>
    </w:lvl>
    <w:lvl w:ilvl="8" w:tplc="8EAA72E8">
      <w:numFmt w:val="bullet"/>
      <w:lvlText w:val="•"/>
      <w:lvlJc w:val="left"/>
      <w:pPr>
        <w:ind w:left="5998" w:hanging="284"/>
      </w:pPr>
      <w:rPr>
        <w:rFonts w:hint="default"/>
        <w:lang w:val="en-US" w:eastAsia="en-US" w:bidi="ar-SA"/>
      </w:rPr>
    </w:lvl>
  </w:abstractNum>
  <w:abstractNum w:abstractNumId="62" w15:restartNumberingAfterBreak="0">
    <w:nsid w:val="73030873"/>
    <w:multiLevelType w:val="hybridMultilevel"/>
    <w:tmpl w:val="C4243522"/>
    <w:lvl w:ilvl="0" w:tplc="E6DE917E">
      <w:numFmt w:val="bullet"/>
      <w:lvlText w:val=""/>
      <w:lvlJc w:val="left"/>
      <w:pPr>
        <w:ind w:left="1185" w:hanging="358"/>
      </w:pPr>
      <w:rPr>
        <w:rFonts w:ascii="Symbol" w:eastAsia="Symbol" w:hAnsi="Symbol" w:cs="Symbol" w:hint="default"/>
        <w:w w:val="100"/>
        <w:sz w:val="22"/>
        <w:szCs w:val="22"/>
        <w:lang w:val="en-US" w:eastAsia="en-US" w:bidi="ar-SA"/>
      </w:rPr>
    </w:lvl>
    <w:lvl w:ilvl="1" w:tplc="0804C1AE">
      <w:numFmt w:val="bullet"/>
      <w:lvlText w:val=""/>
      <w:lvlJc w:val="left"/>
      <w:pPr>
        <w:ind w:left="1541" w:hanging="356"/>
      </w:pPr>
      <w:rPr>
        <w:rFonts w:ascii="Symbol" w:eastAsia="Symbol" w:hAnsi="Symbol" w:cs="Symbol" w:hint="default"/>
        <w:w w:val="100"/>
        <w:sz w:val="22"/>
        <w:szCs w:val="22"/>
        <w:lang w:val="en-US" w:eastAsia="en-US" w:bidi="ar-SA"/>
      </w:rPr>
    </w:lvl>
    <w:lvl w:ilvl="2" w:tplc="C0EE0504">
      <w:numFmt w:val="bullet"/>
      <w:lvlText w:val="•"/>
      <w:lvlJc w:val="left"/>
      <w:pPr>
        <w:ind w:left="2167" w:hanging="356"/>
      </w:pPr>
      <w:rPr>
        <w:rFonts w:hint="default"/>
        <w:lang w:val="en-US" w:eastAsia="en-US" w:bidi="ar-SA"/>
      </w:rPr>
    </w:lvl>
    <w:lvl w:ilvl="3" w:tplc="B64AE9A4">
      <w:numFmt w:val="bullet"/>
      <w:lvlText w:val="•"/>
      <w:lvlJc w:val="left"/>
      <w:pPr>
        <w:ind w:left="2794" w:hanging="356"/>
      </w:pPr>
      <w:rPr>
        <w:rFonts w:hint="default"/>
        <w:lang w:val="en-US" w:eastAsia="en-US" w:bidi="ar-SA"/>
      </w:rPr>
    </w:lvl>
    <w:lvl w:ilvl="4" w:tplc="E52C64D0">
      <w:numFmt w:val="bullet"/>
      <w:lvlText w:val="•"/>
      <w:lvlJc w:val="left"/>
      <w:pPr>
        <w:ind w:left="3421" w:hanging="356"/>
      </w:pPr>
      <w:rPr>
        <w:rFonts w:hint="default"/>
        <w:lang w:val="en-US" w:eastAsia="en-US" w:bidi="ar-SA"/>
      </w:rPr>
    </w:lvl>
    <w:lvl w:ilvl="5" w:tplc="04907086">
      <w:numFmt w:val="bullet"/>
      <w:lvlText w:val="•"/>
      <w:lvlJc w:val="left"/>
      <w:pPr>
        <w:ind w:left="4048" w:hanging="356"/>
      </w:pPr>
      <w:rPr>
        <w:rFonts w:hint="default"/>
        <w:lang w:val="en-US" w:eastAsia="en-US" w:bidi="ar-SA"/>
      </w:rPr>
    </w:lvl>
    <w:lvl w:ilvl="6" w:tplc="53AECCAC">
      <w:numFmt w:val="bullet"/>
      <w:lvlText w:val="•"/>
      <w:lvlJc w:val="left"/>
      <w:pPr>
        <w:ind w:left="4675" w:hanging="356"/>
      </w:pPr>
      <w:rPr>
        <w:rFonts w:hint="default"/>
        <w:lang w:val="en-US" w:eastAsia="en-US" w:bidi="ar-SA"/>
      </w:rPr>
    </w:lvl>
    <w:lvl w:ilvl="7" w:tplc="A0B26920">
      <w:numFmt w:val="bullet"/>
      <w:lvlText w:val="•"/>
      <w:lvlJc w:val="left"/>
      <w:pPr>
        <w:ind w:left="5302" w:hanging="356"/>
      </w:pPr>
      <w:rPr>
        <w:rFonts w:hint="default"/>
        <w:lang w:val="en-US" w:eastAsia="en-US" w:bidi="ar-SA"/>
      </w:rPr>
    </w:lvl>
    <w:lvl w:ilvl="8" w:tplc="7E8C3BBE">
      <w:numFmt w:val="bullet"/>
      <w:lvlText w:val="•"/>
      <w:lvlJc w:val="left"/>
      <w:pPr>
        <w:ind w:left="5929" w:hanging="356"/>
      </w:pPr>
      <w:rPr>
        <w:rFonts w:hint="default"/>
        <w:lang w:val="en-US" w:eastAsia="en-US" w:bidi="ar-SA"/>
      </w:rPr>
    </w:lvl>
  </w:abstractNum>
  <w:abstractNum w:abstractNumId="63" w15:restartNumberingAfterBreak="0">
    <w:nsid w:val="76197DD5"/>
    <w:multiLevelType w:val="hybridMultilevel"/>
    <w:tmpl w:val="6C987BAE"/>
    <w:lvl w:ilvl="0" w:tplc="275C736C">
      <w:numFmt w:val="bullet"/>
      <w:lvlText w:val=""/>
      <w:lvlJc w:val="left"/>
      <w:pPr>
        <w:ind w:left="106" w:hanging="687"/>
      </w:pPr>
      <w:rPr>
        <w:rFonts w:ascii="Symbol" w:eastAsia="Symbol" w:hAnsi="Symbol" w:cs="Symbol" w:hint="default"/>
        <w:w w:val="100"/>
        <w:sz w:val="22"/>
        <w:szCs w:val="22"/>
        <w:lang w:val="en-US" w:eastAsia="en-US" w:bidi="ar-SA"/>
      </w:rPr>
    </w:lvl>
    <w:lvl w:ilvl="1" w:tplc="5E846E98">
      <w:numFmt w:val="bullet"/>
      <w:lvlText w:val="•"/>
      <w:lvlJc w:val="left"/>
      <w:pPr>
        <w:ind w:left="808" w:hanging="687"/>
      </w:pPr>
      <w:rPr>
        <w:rFonts w:hint="default"/>
        <w:lang w:val="en-US" w:eastAsia="en-US" w:bidi="ar-SA"/>
      </w:rPr>
    </w:lvl>
    <w:lvl w:ilvl="2" w:tplc="52AE72EC">
      <w:numFmt w:val="bullet"/>
      <w:lvlText w:val="•"/>
      <w:lvlJc w:val="left"/>
      <w:pPr>
        <w:ind w:left="1516" w:hanging="687"/>
      </w:pPr>
      <w:rPr>
        <w:rFonts w:hint="default"/>
        <w:lang w:val="en-US" w:eastAsia="en-US" w:bidi="ar-SA"/>
      </w:rPr>
    </w:lvl>
    <w:lvl w:ilvl="3" w:tplc="51500064">
      <w:numFmt w:val="bullet"/>
      <w:lvlText w:val="•"/>
      <w:lvlJc w:val="left"/>
      <w:pPr>
        <w:ind w:left="2224" w:hanging="687"/>
      </w:pPr>
      <w:rPr>
        <w:rFonts w:hint="default"/>
        <w:lang w:val="en-US" w:eastAsia="en-US" w:bidi="ar-SA"/>
      </w:rPr>
    </w:lvl>
    <w:lvl w:ilvl="4" w:tplc="37481B6E">
      <w:numFmt w:val="bullet"/>
      <w:lvlText w:val="•"/>
      <w:lvlJc w:val="left"/>
      <w:pPr>
        <w:ind w:left="2932" w:hanging="687"/>
      </w:pPr>
      <w:rPr>
        <w:rFonts w:hint="default"/>
        <w:lang w:val="en-US" w:eastAsia="en-US" w:bidi="ar-SA"/>
      </w:rPr>
    </w:lvl>
    <w:lvl w:ilvl="5" w:tplc="B4887734">
      <w:numFmt w:val="bullet"/>
      <w:lvlText w:val="•"/>
      <w:lvlJc w:val="left"/>
      <w:pPr>
        <w:ind w:left="3641" w:hanging="687"/>
      </w:pPr>
      <w:rPr>
        <w:rFonts w:hint="default"/>
        <w:lang w:val="en-US" w:eastAsia="en-US" w:bidi="ar-SA"/>
      </w:rPr>
    </w:lvl>
    <w:lvl w:ilvl="6" w:tplc="A3685778">
      <w:numFmt w:val="bullet"/>
      <w:lvlText w:val="•"/>
      <w:lvlJc w:val="left"/>
      <w:pPr>
        <w:ind w:left="4349" w:hanging="687"/>
      </w:pPr>
      <w:rPr>
        <w:rFonts w:hint="default"/>
        <w:lang w:val="en-US" w:eastAsia="en-US" w:bidi="ar-SA"/>
      </w:rPr>
    </w:lvl>
    <w:lvl w:ilvl="7" w:tplc="0CC2A9FA">
      <w:numFmt w:val="bullet"/>
      <w:lvlText w:val="•"/>
      <w:lvlJc w:val="left"/>
      <w:pPr>
        <w:ind w:left="5057" w:hanging="687"/>
      </w:pPr>
      <w:rPr>
        <w:rFonts w:hint="default"/>
        <w:lang w:val="en-US" w:eastAsia="en-US" w:bidi="ar-SA"/>
      </w:rPr>
    </w:lvl>
    <w:lvl w:ilvl="8" w:tplc="6E589EE2">
      <w:numFmt w:val="bullet"/>
      <w:lvlText w:val="•"/>
      <w:lvlJc w:val="left"/>
      <w:pPr>
        <w:ind w:left="5765" w:hanging="687"/>
      </w:pPr>
      <w:rPr>
        <w:rFonts w:hint="default"/>
        <w:lang w:val="en-US" w:eastAsia="en-US" w:bidi="ar-SA"/>
      </w:rPr>
    </w:lvl>
  </w:abstractNum>
  <w:abstractNum w:abstractNumId="64" w15:restartNumberingAfterBreak="0">
    <w:nsid w:val="77C80ADE"/>
    <w:multiLevelType w:val="hybridMultilevel"/>
    <w:tmpl w:val="1EFC27A8"/>
    <w:lvl w:ilvl="0" w:tplc="DB1C6AE8">
      <w:numFmt w:val="bullet"/>
      <w:lvlText w:val=""/>
      <w:lvlJc w:val="left"/>
      <w:pPr>
        <w:ind w:left="391" w:hanging="284"/>
      </w:pPr>
      <w:rPr>
        <w:rFonts w:ascii="Symbol" w:eastAsia="Symbol" w:hAnsi="Symbol" w:cs="Symbol" w:hint="default"/>
        <w:w w:val="100"/>
        <w:sz w:val="22"/>
        <w:szCs w:val="22"/>
        <w:lang w:val="en-US" w:eastAsia="en-US" w:bidi="ar-SA"/>
      </w:rPr>
    </w:lvl>
    <w:lvl w:ilvl="1" w:tplc="CB60B830">
      <w:numFmt w:val="bullet"/>
      <w:lvlText w:val="•"/>
      <w:lvlJc w:val="left"/>
      <w:pPr>
        <w:ind w:left="1090" w:hanging="284"/>
      </w:pPr>
      <w:rPr>
        <w:rFonts w:hint="default"/>
        <w:lang w:val="en-US" w:eastAsia="en-US" w:bidi="ar-SA"/>
      </w:rPr>
    </w:lvl>
    <w:lvl w:ilvl="2" w:tplc="8556B9C4">
      <w:numFmt w:val="bullet"/>
      <w:lvlText w:val="•"/>
      <w:lvlJc w:val="left"/>
      <w:pPr>
        <w:ind w:left="1781" w:hanging="284"/>
      </w:pPr>
      <w:rPr>
        <w:rFonts w:hint="default"/>
        <w:lang w:val="en-US" w:eastAsia="en-US" w:bidi="ar-SA"/>
      </w:rPr>
    </w:lvl>
    <w:lvl w:ilvl="3" w:tplc="3FFC1F8E">
      <w:numFmt w:val="bullet"/>
      <w:lvlText w:val="•"/>
      <w:lvlJc w:val="left"/>
      <w:pPr>
        <w:ind w:left="2472" w:hanging="284"/>
      </w:pPr>
      <w:rPr>
        <w:rFonts w:hint="default"/>
        <w:lang w:val="en-US" w:eastAsia="en-US" w:bidi="ar-SA"/>
      </w:rPr>
    </w:lvl>
    <w:lvl w:ilvl="4" w:tplc="08D2CB6A">
      <w:numFmt w:val="bullet"/>
      <w:lvlText w:val="•"/>
      <w:lvlJc w:val="left"/>
      <w:pPr>
        <w:ind w:left="3162" w:hanging="284"/>
      </w:pPr>
      <w:rPr>
        <w:rFonts w:hint="default"/>
        <w:lang w:val="en-US" w:eastAsia="en-US" w:bidi="ar-SA"/>
      </w:rPr>
    </w:lvl>
    <w:lvl w:ilvl="5" w:tplc="4EEC0E2C">
      <w:numFmt w:val="bullet"/>
      <w:lvlText w:val="•"/>
      <w:lvlJc w:val="left"/>
      <w:pPr>
        <w:ind w:left="3853" w:hanging="284"/>
      </w:pPr>
      <w:rPr>
        <w:rFonts w:hint="default"/>
        <w:lang w:val="en-US" w:eastAsia="en-US" w:bidi="ar-SA"/>
      </w:rPr>
    </w:lvl>
    <w:lvl w:ilvl="6" w:tplc="0262E8BC">
      <w:numFmt w:val="bullet"/>
      <w:lvlText w:val="•"/>
      <w:lvlJc w:val="left"/>
      <w:pPr>
        <w:ind w:left="4544" w:hanging="284"/>
      </w:pPr>
      <w:rPr>
        <w:rFonts w:hint="default"/>
        <w:lang w:val="en-US" w:eastAsia="en-US" w:bidi="ar-SA"/>
      </w:rPr>
    </w:lvl>
    <w:lvl w:ilvl="7" w:tplc="0EE819CA">
      <w:numFmt w:val="bullet"/>
      <w:lvlText w:val="•"/>
      <w:lvlJc w:val="left"/>
      <w:pPr>
        <w:ind w:left="5234" w:hanging="284"/>
      </w:pPr>
      <w:rPr>
        <w:rFonts w:hint="default"/>
        <w:lang w:val="en-US" w:eastAsia="en-US" w:bidi="ar-SA"/>
      </w:rPr>
    </w:lvl>
    <w:lvl w:ilvl="8" w:tplc="DE7CE4F8">
      <w:numFmt w:val="bullet"/>
      <w:lvlText w:val="•"/>
      <w:lvlJc w:val="left"/>
      <w:pPr>
        <w:ind w:left="5925" w:hanging="284"/>
      </w:pPr>
      <w:rPr>
        <w:rFonts w:hint="default"/>
        <w:lang w:val="en-US" w:eastAsia="en-US" w:bidi="ar-SA"/>
      </w:rPr>
    </w:lvl>
  </w:abstractNum>
  <w:abstractNum w:abstractNumId="65" w15:restartNumberingAfterBreak="0">
    <w:nsid w:val="7B4F6213"/>
    <w:multiLevelType w:val="hybridMultilevel"/>
    <w:tmpl w:val="5F8ABF32"/>
    <w:lvl w:ilvl="0" w:tplc="991C63BC">
      <w:numFmt w:val="bullet"/>
      <w:lvlText w:val=""/>
      <w:lvlJc w:val="left"/>
      <w:pPr>
        <w:ind w:left="390" w:hanging="284"/>
      </w:pPr>
      <w:rPr>
        <w:rFonts w:ascii="Symbol" w:eastAsia="Symbol" w:hAnsi="Symbol" w:cs="Symbol" w:hint="default"/>
        <w:w w:val="100"/>
        <w:sz w:val="22"/>
        <w:szCs w:val="22"/>
        <w:lang w:val="en-US" w:eastAsia="en-US" w:bidi="ar-SA"/>
      </w:rPr>
    </w:lvl>
    <w:lvl w:ilvl="1" w:tplc="A75268C0">
      <w:numFmt w:val="bullet"/>
      <w:lvlText w:val="•"/>
      <w:lvlJc w:val="left"/>
      <w:pPr>
        <w:ind w:left="1083" w:hanging="284"/>
      </w:pPr>
      <w:rPr>
        <w:rFonts w:hint="default"/>
        <w:lang w:val="en-US" w:eastAsia="en-US" w:bidi="ar-SA"/>
      </w:rPr>
    </w:lvl>
    <w:lvl w:ilvl="2" w:tplc="F5402A14">
      <w:numFmt w:val="bullet"/>
      <w:lvlText w:val="•"/>
      <w:lvlJc w:val="left"/>
      <w:pPr>
        <w:ind w:left="1766" w:hanging="284"/>
      </w:pPr>
      <w:rPr>
        <w:rFonts w:hint="default"/>
        <w:lang w:val="en-US" w:eastAsia="en-US" w:bidi="ar-SA"/>
      </w:rPr>
    </w:lvl>
    <w:lvl w:ilvl="3" w:tplc="90C2E5B8">
      <w:numFmt w:val="bullet"/>
      <w:lvlText w:val="•"/>
      <w:lvlJc w:val="left"/>
      <w:pPr>
        <w:ind w:left="2449" w:hanging="284"/>
      </w:pPr>
      <w:rPr>
        <w:rFonts w:hint="default"/>
        <w:lang w:val="en-US" w:eastAsia="en-US" w:bidi="ar-SA"/>
      </w:rPr>
    </w:lvl>
    <w:lvl w:ilvl="4" w:tplc="64C8EAD6">
      <w:numFmt w:val="bullet"/>
      <w:lvlText w:val="•"/>
      <w:lvlJc w:val="left"/>
      <w:pPr>
        <w:ind w:left="3133" w:hanging="284"/>
      </w:pPr>
      <w:rPr>
        <w:rFonts w:hint="default"/>
        <w:lang w:val="en-US" w:eastAsia="en-US" w:bidi="ar-SA"/>
      </w:rPr>
    </w:lvl>
    <w:lvl w:ilvl="5" w:tplc="994EE434">
      <w:numFmt w:val="bullet"/>
      <w:lvlText w:val="•"/>
      <w:lvlJc w:val="left"/>
      <w:pPr>
        <w:ind w:left="3816" w:hanging="284"/>
      </w:pPr>
      <w:rPr>
        <w:rFonts w:hint="default"/>
        <w:lang w:val="en-US" w:eastAsia="en-US" w:bidi="ar-SA"/>
      </w:rPr>
    </w:lvl>
    <w:lvl w:ilvl="6" w:tplc="2438C058">
      <w:numFmt w:val="bullet"/>
      <w:lvlText w:val="•"/>
      <w:lvlJc w:val="left"/>
      <w:pPr>
        <w:ind w:left="4499" w:hanging="284"/>
      </w:pPr>
      <w:rPr>
        <w:rFonts w:hint="default"/>
        <w:lang w:val="en-US" w:eastAsia="en-US" w:bidi="ar-SA"/>
      </w:rPr>
    </w:lvl>
    <w:lvl w:ilvl="7" w:tplc="9A76360A">
      <w:numFmt w:val="bullet"/>
      <w:lvlText w:val="•"/>
      <w:lvlJc w:val="left"/>
      <w:pPr>
        <w:ind w:left="5183" w:hanging="284"/>
      </w:pPr>
      <w:rPr>
        <w:rFonts w:hint="default"/>
        <w:lang w:val="en-US" w:eastAsia="en-US" w:bidi="ar-SA"/>
      </w:rPr>
    </w:lvl>
    <w:lvl w:ilvl="8" w:tplc="8B0A800A">
      <w:numFmt w:val="bullet"/>
      <w:lvlText w:val="•"/>
      <w:lvlJc w:val="left"/>
      <w:pPr>
        <w:ind w:left="5866" w:hanging="284"/>
      </w:pPr>
      <w:rPr>
        <w:rFonts w:hint="default"/>
        <w:lang w:val="en-US" w:eastAsia="en-US" w:bidi="ar-SA"/>
      </w:rPr>
    </w:lvl>
  </w:abstractNum>
  <w:abstractNum w:abstractNumId="66" w15:restartNumberingAfterBreak="0">
    <w:nsid w:val="7BC764F8"/>
    <w:multiLevelType w:val="hybridMultilevel"/>
    <w:tmpl w:val="AA8412C8"/>
    <w:lvl w:ilvl="0" w:tplc="D834C318">
      <w:numFmt w:val="bullet"/>
      <w:lvlText w:val=""/>
      <w:lvlJc w:val="left"/>
      <w:pPr>
        <w:ind w:left="828" w:hanging="361"/>
      </w:pPr>
      <w:rPr>
        <w:rFonts w:ascii="Symbol" w:eastAsia="Symbol" w:hAnsi="Symbol" w:cs="Symbol" w:hint="default"/>
        <w:w w:val="100"/>
        <w:sz w:val="22"/>
        <w:szCs w:val="22"/>
        <w:lang w:val="en-US" w:eastAsia="en-US" w:bidi="ar-SA"/>
      </w:rPr>
    </w:lvl>
    <w:lvl w:ilvl="1" w:tplc="1DDCC80C">
      <w:numFmt w:val="bullet"/>
      <w:lvlText w:val="•"/>
      <w:lvlJc w:val="left"/>
      <w:pPr>
        <w:ind w:left="1456" w:hanging="361"/>
      </w:pPr>
      <w:rPr>
        <w:rFonts w:hint="default"/>
        <w:lang w:val="en-US" w:eastAsia="en-US" w:bidi="ar-SA"/>
      </w:rPr>
    </w:lvl>
    <w:lvl w:ilvl="2" w:tplc="E8BC1546">
      <w:numFmt w:val="bullet"/>
      <w:lvlText w:val="•"/>
      <w:lvlJc w:val="left"/>
      <w:pPr>
        <w:ind w:left="2093" w:hanging="361"/>
      </w:pPr>
      <w:rPr>
        <w:rFonts w:hint="default"/>
        <w:lang w:val="en-US" w:eastAsia="en-US" w:bidi="ar-SA"/>
      </w:rPr>
    </w:lvl>
    <w:lvl w:ilvl="3" w:tplc="7EB8D5BC">
      <w:numFmt w:val="bullet"/>
      <w:lvlText w:val="•"/>
      <w:lvlJc w:val="left"/>
      <w:pPr>
        <w:ind w:left="2729" w:hanging="361"/>
      </w:pPr>
      <w:rPr>
        <w:rFonts w:hint="default"/>
        <w:lang w:val="en-US" w:eastAsia="en-US" w:bidi="ar-SA"/>
      </w:rPr>
    </w:lvl>
    <w:lvl w:ilvl="4" w:tplc="41A4BF3C">
      <w:numFmt w:val="bullet"/>
      <w:lvlText w:val="•"/>
      <w:lvlJc w:val="left"/>
      <w:pPr>
        <w:ind w:left="3366" w:hanging="361"/>
      </w:pPr>
      <w:rPr>
        <w:rFonts w:hint="default"/>
        <w:lang w:val="en-US" w:eastAsia="en-US" w:bidi="ar-SA"/>
      </w:rPr>
    </w:lvl>
    <w:lvl w:ilvl="5" w:tplc="E496CE1A">
      <w:numFmt w:val="bullet"/>
      <w:lvlText w:val="•"/>
      <w:lvlJc w:val="left"/>
      <w:pPr>
        <w:ind w:left="4002" w:hanging="361"/>
      </w:pPr>
      <w:rPr>
        <w:rFonts w:hint="default"/>
        <w:lang w:val="en-US" w:eastAsia="en-US" w:bidi="ar-SA"/>
      </w:rPr>
    </w:lvl>
    <w:lvl w:ilvl="6" w:tplc="6770BBF6">
      <w:numFmt w:val="bullet"/>
      <w:lvlText w:val="•"/>
      <w:lvlJc w:val="left"/>
      <w:pPr>
        <w:ind w:left="4639" w:hanging="361"/>
      </w:pPr>
      <w:rPr>
        <w:rFonts w:hint="default"/>
        <w:lang w:val="en-US" w:eastAsia="en-US" w:bidi="ar-SA"/>
      </w:rPr>
    </w:lvl>
    <w:lvl w:ilvl="7" w:tplc="4ECC6B14">
      <w:numFmt w:val="bullet"/>
      <w:lvlText w:val="•"/>
      <w:lvlJc w:val="left"/>
      <w:pPr>
        <w:ind w:left="5275" w:hanging="361"/>
      </w:pPr>
      <w:rPr>
        <w:rFonts w:hint="default"/>
        <w:lang w:val="en-US" w:eastAsia="en-US" w:bidi="ar-SA"/>
      </w:rPr>
    </w:lvl>
    <w:lvl w:ilvl="8" w:tplc="6D4EEC4E">
      <w:numFmt w:val="bullet"/>
      <w:lvlText w:val="•"/>
      <w:lvlJc w:val="left"/>
      <w:pPr>
        <w:ind w:left="5912" w:hanging="361"/>
      </w:pPr>
      <w:rPr>
        <w:rFonts w:hint="default"/>
        <w:lang w:val="en-US" w:eastAsia="en-US" w:bidi="ar-SA"/>
      </w:rPr>
    </w:lvl>
  </w:abstractNum>
  <w:abstractNum w:abstractNumId="67" w15:restartNumberingAfterBreak="0">
    <w:nsid w:val="7E1D689D"/>
    <w:multiLevelType w:val="hybridMultilevel"/>
    <w:tmpl w:val="4AFC3662"/>
    <w:lvl w:ilvl="0" w:tplc="B4689DC8">
      <w:numFmt w:val="bullet"/>
      <w:lvlText w:val="•"/>
      <w:lvlJc w:val="left"/>
      <w:pPr>
        <w:ind w:left="1015" w:hanging="908"/>
      </w:pPr>
      <w:rPr>
        <w:rFonts w:ascii="Carlito" w:eastAsia="Carlito" w:hAnsi="Carlito" w:cs="Carlito" w:hint="default"/>
        <w:w w:val="100"/>
        <w:sz w:val="22"/>
        <w:szCs w:val="22"/>
        <w:lang w:val="en-US" w:eastAsia="en-US" w:bidi="ar-SA"/>
      </w:rPr>
    </w:lvl>
    <w:lvl w:ilvl="1" w:tplc="8738D554">
      <w:numFmt w:val="bullet"/>
      <w:lvlText w:val="•"/>
      <w:lvlJc w:val="left"/>
      <w:pPr>
        <w:ind w:left="1015" w:hanging="557"/>
      </w:pPr>
      <w:rPr>
        <w:rFonts w:ascii="Carlito" w:eastAsia="Carlito" w:hAnsi="Carlito" w:cs="Carlito" w:hint="default"/>
        <w:w w:val="100"/>
        <w:sz w:val="22"/>
        <w:szCs w:val="22"/>
        <w:lang w:val="en-US" w:eastAsia="en-US" w:bidi="ar-SA"/>
      </w:rPr>
    </w:lvl>
    <w:lvl w:ilvl="2" w:tplc="7586F1C0">
      <w:numFmt w:val="bullet"/>
      <w:lvlText w:val="•"/>
      <w:lvlJc w:val="left"/>
      <w:pPr>
        <w:ind w:left="2252" w:hanging="557"/>
      </w:pPr>
      <w:rPr>
        <w:rFonts w:hint="default"/>
        <w:lang w:val="en-US" w:eastAsia="en-US" w:bidi="ar-SA"/>
      </w:rPr>
    </w:lvl>
    <w:lvl w:ilvl="3" w:tplc="D18EDEEA">
      <w:numFmt w:val="bullet"/>
      <w:lvlText w:val="•"/>
      <w:lvlJc w:val="left"/>
      <w:pPr>
        <w:ind w:left="2868" w:hanging="557"/>
      </w:pPr>
      <w:rPr>
        <w:rFonts w:hint="default"/>
        <w:lang w:val="en-US" w:eastAsia="en-US" w:bidi="ar-SA"/>
      </w:rPr>
    </w:lvl>
    <w:lvl w:ilvl="4" w:tplc="31169812">
      <w:numFmt w:val="bullet"/>
      <w:lvlText w:val="•"/>
      <w:lvlJc w:val="left"/>
      <w:pPr>
        <w:ind w:left="3484" w:hanging="557"/>
      </w:pPr>
      <w:rPr>
        <w:rFonts w:hint="default"/>
        <w:lang w:val="en-US" w:eastAsia="en-US" w:bidi="ar-SA"/>
      </w:rPr>
    </w:lvl>
    <w:lvl w:ilvl="5" w:tplc="7D941992">
      <w:numFmt w:val="bullet"/>
      <w:lvlText w:val="•"/>
      <w:lvlJc w:val="left"/>
      <w:pPr>
        <w:ind w:left="4100" w:hanging="557"/>
      </w:pPr>
      <w:rPr>
        <w:rFonts w:hint="default"/>
        <w:lang w:val="en-US" w:eastAsia="en-US" w:bidi="ar-SA"/>
      </w:rPr>
    </w:lvl>
    <w:lvl w:ilvl="6" w:tplc="7E62E0B0">
      <w:numFmt w:val="bullet"/>
      <w:lvlText w:val="•"/>
      <w:lvlJc w:val="left"/>
      <w:pPr>
        <w:ind w:left="4716" w:hanging="557"/>
      </w:pPr>
      <w:rPr>
        <w:rFonts w:hint="default"/>
        <w:lang w:val="en-US" w:eastAsia="en-US" w:bidi="ar-SA"/>
      </w:rPr>
    </w:lvl>
    <w:lvl w:ilvl="7" w:tplc="55680E1A">
      <w:numFmt w:val="bullet"/>
      <w:lvlText w:val="•"/>
      <w:lvlJc w:val="left"/>
      <w:pPr>
        <w:ind w:left="5332" w:hanging="557"/>
      </w:pPr>
      <w:rPr>
        <w:rFonts w:hint="default"/>
        <w:lang w:val="en-US" w:eastAsia="en-US" w:bidi="ar-SA"/>
      </w:rPr>
    </w:lvl>
    <w:lvl w:ilvl="8" w:tplc="4A9A669E">
      <w:numFmt w:val="bullet"/>
      <w:lvlText w:val="•"/>
      <w:lvlJc w:val="left"/>
      <w:pPr>
        <w:ind w:left="5948" w:hanging="557"/>
      </w:pPr>
      <w:rPr>
        <w:rFonts w:hint="default"/>
        <w:lang w:val="en-US" w:eastAsia="en-US" w:bidi="ar-SA"/>
      </w:rPr>
    </w:lvl>
  </w:abstractNum>
  <w:abstractNum w:abstractNumId="68" w15:restartNumberingAfterBreak="0">
    <w:nsid w:val="7E2E0B30"/>
    <w:multiLevelType w:val="multilevel"/>
    <w:tmpl w:val="6C625EA4"/>
    <w:lvl w:ilvl="0">
      <w:start w:val="1"/>
      <w:numFmt w:val="decimal"/>
      <w:lvlText w:val="%1."/>
      <w:lvlJc w:val="left"/>
      <w:pPr>
        <w:ind w:left="1047" w:hanging="853"/>
      </w:pPr>
      <w:rPr>
        <w:rFonts w:ascii="Carlito" w:eastAsia="Carlito" w:hAnsi="Carlito" w:cs="Carlito" w:hint="default"/>
        <w:w w:val="100"/>
        <w:sz w:val="22"/>
        <w:szCs w:val="22"/>
        <w:lang w:val="en-US" w:eastAsia="en-US" w:bidi="ar-SA"/>
      </w:rPr>
    </w:lvl>
    <w:lvl w:ilvl="1">
      <w:start w:val="1"/>
      <w:numFmt w:val="decimal"/>
      <w:lvlText w:val="%1.%2"/>
      <w:lvlJc w:val="left"/>
      <w:pPr>
        <w:ind w:left="1047" w:hanging="853"/>
      </w:pPr>
      <w:rPr>
        <w:rFonts w:ascii="Carlito" w:eastAsia="Carlito" w:hAnsi="Carlito" w:cs="Carlito" w:hint="default"/>
        <w:spacing w:val="-1"/>
        <w:w w:val="100"/>
        <w:sz w:val="22"/>
        <w:szCs w:val="22"/>
        <w:lang w:val="en-US" w:eastAsia="en-US" w:bidi="ar-SA"/>
      </w:rPr>
    </w:lvl>
    <w:lvl w:ilvl="2">
      <w:start w:val="1"/>
      <w:numFmt w:val="decimal"/>
      <w:lvlText w:val="%1.%2.%3"/>
      <w:lvlJc w:val="left"/>
      <w:pPr>
        <w:ind w:left="2038" w:hanging="992"/>
      </w:pPr>
      <w:rPr>
        <w:rFonts w:ascii="Carlito" w:eastAsia="Carlito" w:hAnsi="Carlito" w:cs="Carlito" w:hint="default"/>
        <w:spacing w:val="-1"/>
        <w:w w:val="100"/>
        <w:sz w:val="22"/>
        <w:szCs w:val="22"/>
        <w:lang w:val="en-US" w:eastAsia="en-US" w:bidi="ar-SA"/>
      </w:rPr>
    </w:lvl>
    <w:lvl w:ilvl="3">
      <w:numFmt w:val="bullet"/>
      <w:lvlText w:val="•"/>
      <w:lvlJc w:val="left"/>
      <w:pPr>
        <w:ind w:left="3885" w:hanging="992"/>
      </w:pPr>
      <w:rPr>
        <w:rFonts w:hint="default"/>
        <w:lang w:val="en-US" w:eastAsia="en-US" w:bidi="ar-SA"/>
      </w:rPr>
    </w:lvl>
    <w:lvl w:ilvl="4">
      <w:numFmt w:val="bullet"/>
      <w:lvlText w:val="•"/>
      <w:lvlJc w:val="left"/>
      <w:pPr>
        <w:ind w:left="4808" w:hanging="992"/>
      </w:pPr>
      <w:rPr>
        <w:rFonts w:hint="default"/>
        <w:lang w:val="en-US" w:eastAsia="en-US" w:bidi="ar-SA"/>
      </w:rPr>
    </w:lvl>
    <w:lvl w:ilvl="5">
      <w:numFmt w:val="bullet"/>
      <w:lvlText w:val="•"/>
      <w:lvlJc w:val="left"/>
      <w:pPr>
        <w:ind w:left="5731" w:hanging="992"/>
      </w:pPr>
      <w:rPr>
        <w:rFonts w:hint="default"/>
        <w:lang w:val="en-US" w:eastAsia="en-US" w:bidi="ar-SA"/>
      </w:rPr>
    </w:lvl>
    <w:lvl w:ilvl="6">
      <w:numFmt w:val="bullet"/>
      <w:lvlText w:val="•"/>
      <w:lvlJc w:val="left"/>
      <w:pPr>
        <w:ind w:left="6654" w:hanging="992"/>
      </w:pPr>
      <w:rPr>
        <w:rFonts w:hint="default"/>
        <w:lang w:val="en-US" w:eastAsia="en-US" w:bidi="ar-SA"/>
      </w:rPr>
    </w:lvl>
    <w:lvl w:ilvl="7">
      <w:numFmt w:val="bullet"/>
      <w:lvlText w:val="•"/>
      <w:lvlJc w:val="left"/>
      <w:pPr>
        <w:ind w:left="7577" w:hanging="992"/>
      </w:pPr>
      <w:rPr>
        <w:rFonts w:hint="default"/>
        <w:lang w:val="en-US" w:eastAsia="en-US" w:bidi="ar-SA"/>
      </w:rPr>
    </w:lvl>
    <w:lvl w:ilvl="8">
      <w:numFmt w:val="bullet"/>
      <w:lvlText w:val="•"/>
      <w:lvlJc w:val="left"/>
      <w:pPr>
        <w:ind w:left="8500" w:hanging="992"/>
      </w:pPr>
      <w:rPr>
        <w:rFonts w:hint="default"/>
        <w:lang w:val="en-US" w:eastAsia="en-US" w:bidi="ar-SA"/>
      </w:rPr>
    </w:lvl>
  </w:abstractNum>
  <w:abstractNum w:abstractNumId="69" w15:restartNumberingAfterBreak="0">
    <w:nsid w:val="7FBE7A4A"/>
    <w:multiLevelType w:val="hybridMultilevel"/>
    <w:tmpl w:val="718EC6D8"/>
    <w:lvl w:ilvl="0" w:tplc="E2183960">
      <w:numFmt w:val="bullet"/>
      <w:lvlText w:val=""/>
      <w:lvlJc w:val="left"/>
      <w:pPr>
        <w:ind w:left="1262" w:hanging="360"/>
      </w:pPr>
      <w:rPr>
        <w:rFonts w:ascii="Symbol" w:eastAsia="Symbol" w:hAnsi="Symbol" w:cs="Symbol" w:hint="default"/>
        <w:w w:val="100"/>
        <w:sz w:val="22"/>
        <w:szCs w:val="22"/>
        <w:lang w:val="en-US" w:eastAsia="en-US" w:bidi="ar-SA"/>
      </w:rPr>
    </w:lvl>
    <w:lvl w:ilvl="1" w:tplc="6F0A3930">
      <w:numFmt w:val="bullet"/>
      <w:lvlText w:val="•"/>
      <w:lvlJc w:val="left"/>
      <w:pPr>
        <w:ind w:left="1894" w:hanging="360"/>
      </w:pPr>
      <w:rPr>
        <w:rFonts w:hint="default"/>
        <w:lang w:val="en-US" w:eastAsia="en-US" w:bidi="ar-SA"/>
      </w:rPr>
    </w:lvl>
    <w:lvl w:ilvl="2" w:tplc="71BEF1AE">
      <w:numFmt w:val="bullet"/>
      <w:lvlText w:val="•"/>
      <w:lvlJc w:val="left"/>
      <w:pPr>
        <w:ind w:left="2529" w:hanging="360"/>
      </w:pPr>
      <w:rPr>
        <w:rFonts w:hint="default"/>
        <w:lang w:val="en-US" w:eastAsia="en-US" w:bidi="ar-SA"/>
      </w:rPr>
    </w:lvl>
    <w:lvl w:ilvl="3" w:tplc="45CAC87C">
      <w:numFmt w:val="bullet"/>
      <w:lvlText w:val="•"/>
      <w:lvlJc w:val="left"/>
      <w:pPr>
        <w:ind w:left="3164" w:hanging="360"/>
      </w:pPr>
      <w:rPr>
        <w:rFonts w:hint="default"/>
        <w:lang w:val="en-US" w:eastAsia="en-US" w:bidi="ar-SA"/>
      </w:rPr>
    </w:lvl>
    <w:lvl w:ilvl="4" w:tplc="E8FEF378">
      <w:numFmt w:val="bullet"/>
      <w:lvlText w:val="•"/>
      <w:lvlJc w:val="left"/>
      <w:pPr>
        <w:ind w:left="3799" w:hanging="360"/>
      </w:pPr>
      <w:rPr>
        <w:rFonts w:hint="default"/>
        <w:lang w:val="en-US" w:eastAsia="en-US" w:bidi="ar-SA"/>
      </w:rPr>
    </w:lvl>
    <w:lvl w:ilvl="5" w:tplc="C944C5A6">
      <w:numFmt w:val="bullet"/>
      <w:lvlText w:val="•"/>
      <w:lvlJc w:val="left"/>
      <w:pPr>
        <w:ind w:left="4434" w:hanging="360"/>
      </w:pPr>
      <w:rPr>
        <w:rFonts w:hint="default"/>
        <w:lang w:val="en-US" w:eastAsia="en-US" w:bidi="ar-SA"/>
      </w:rPr>
    </w:lvl>
    <w:lvl w:ilvl="6" w:tplc="262A7AB8">
      <w:numFmt w:val="bullet"/>
      <w:lvlText w:val="•"/>
      <w:lvlJc w:val="left"/>
      <w:pPr>
        <w:ind w:left="5068" w:hanging="360"/>
      </w:pPr>
      <w:rPr>
        <w:rFonts w:hint="default"/>
        <w:lang w:val="en-US" w:eastAsia="en-US" w:bidi="ar-SA"/>
      </w:rPr>
    </w:lvl>
    <w:lvl w:ilvl="7" w:tplc="53984FA0">
      <w:numFmt w:val="bullet"/>
      <w:lvlText w:val="•"/>
      <w:lvlJc w:val="left"/>
      <w:pPr>
        <w:ind w:left="5703" w:hanging="360"/>
      </w:pPr>
      <w:rPr>
        <w:rFonts w:hint="default"/>
        <w:lang w:val="en-US" w:eastAsia="en-US" w:bidi="ar-SA"/>
      </w:rPr>
    </w:lvl>
    <w:lvl w:ilvl="8" w:tplc="0F14DCDC">
      <w:numFmt w:val="bullet"/>
      <w:lvlText w:val="•"/>
      <w:lvlJc w:val="left"/>
      <w:pPr>
        <w:ind w:left="6338" w:hanging="360"/>
      </w:pPr>
      <w:rPr>
        <w:rFonts w:hint="default"/>
        <w:lang w:val="en-US" w:eastAsia="en-US" w:bidi="ar-SA"/>
      </w:rPr>
    </w:lvl>
  </w:abstractNum>
  <w:num w:numId="1">
    <w:abstractNumId w:val="41"/>
  </w:num>
  <w:num w:numId="2">
    <w:abstractNumId w:val="68"/>
  </w:num>
  <w:num w:numId="3">
    <w:abstractNumId w:val="51"/>
  </w:num>
  <w:num w:numId="4">
    <w:abstractNumId w:val="19"/>
  </w:num>
  <w:num w:numId="5">
    <w:abstractNumId w:val="9"/>
  </w:num>
  <w:num w:numId="6">
    <w:abstractNumId w:val="3"/>
  </w:num>
  <w:num w:numId="7">
    <w:abstractNumId w:val="16"/>
  </w:num>
  <w:num w:numId="8">
    <w:abstractNumId w:val="4"/>
  </w:num>
  <w:num w:numId="9">
    <w:abstractNumId w:val="45"/>
  </w:num>
  <w:num w:numId="10">
    <w:abstractNumId w:val="67"/>
  </w:num>
  <w:num w:numId="11">
    <w:abstractNumId w:val="13"/>
  </w:num>
  <w:num w:numId="12">
    <w:abstractNumId w:val="69"/>
  </w:num>
  <w:num w:numId="13">
    <w:abstractNumId w:val="32"/>
  </w:num>
  <w:num w:numId="14">
    <w:abstractNumId w:val="60"/>
  </w:num>
  <w:num w:numId="15">
    <w:abstractNumId w:val="14"/>
  </w:num>
  <w:num w:numId="16">
    <w:abstractNumId w:val="28"/>
  </w:num>
  <w:num w:numId="17">
    <w:abstractNumId w:val="53"/>
  </w:num>
  <w:num w:numId="18">
    <w:abstractNumId w:val="39"/>
  </w:num>
  <w:num w:numId="19">
    <w:abstractNumId w:val="11"/>
  </w:num>
  <w:num w:numId="20">
    <w:abstractNumId w:val="56"/>
  </w:num>
  <w:num w:numId="21">
    <w:abstractNumId w:val="40"/>
  </w:num>
  <w:num w:numId="22">
    <w:abstractNumId w:val="36"/>
  </w:num>
  <w:num w:numId="23">
    <w:abstractNumId w:val="2"/>
  </w:num>
  <w:num w:numId="24">
    <w:abstractNumId w:val="12"/>
  </w:num>
  <w:num w:numId="25">
    <w:abstractNumId w:val="54"/>
  </w:num>
  <w:num w:numId="26">
    <w:abstractNumId w:val="63"/>
  </w:num>
  <w:num w:numId="27">
    <w:abstractNumId w:val="58"/>
  </w:num>
  <w:num w:numId="28">
    <w:abstractNumId w:val="15"/>
  </w:num>
  <w:num w:numId="29">
    <w:abstractNumId w:val="66"/>
  </w:num>
  <w:num w:numId="30">
    <w:abstractNumId w:val="7"/>
  </w:num>
  <w:num w:numId="31">
    <w:abstractNumId w:val="18"/>
  </w:num>
  <w:num w:numId="32">
    <w:abstractNumId w:val="6"/>
  </w:num>
  <w:num w:numId="33">
    <w:abstractNumId w:val="43"/>
  </w:num>
  <w:num w:numId="34">
    <w:abstractNumId w:val="55"/>
  </w:num>
  <w:num w:numId="35">
    <w:abstractNumId w:val="26"/>
  </w:num>
  <w:num w:numId="36">
    <w:abstractNumId w:val="52"/>
  </w:num>
  <w:num w:numId="37">
    <w:abstractNumId w:val="62"/>
  </w:num>
  <w:num w:numId="38">
    <w:abstractNumId w:val="29"/>
  </w:num>
  <w:num w:numId="39">
    <w:abstractNumId w:val="27"/>
  </w:num>
  <w:num w:numId="40">
    <w:abstractNumId w:val="8"/>
  </w:num>
  <w:num w:numId="41">
    <w:abstractNumId w:val="61"/>
  </w:num>
  <w:num w:numId="42">
    <w:abstractNumId w:val="50"/>
  </w:num>
  <w:num w:numId="43">
    <w:abstractNumId w:val="48"/>
  </w:num>
  <w:num w:numId="44">
    <w:abstractNumId w:val="22"/>
  </w:num>
  <w:num w:numId="45">
    <w:abstractNumId w:val="34"/>
  </w:num>
  <w:num w:numId="46">
    <w:abstractNumId w:val="38"/>
  </w:num>
  <w:num w:numId="47">
    <w:abstractNumId w:val="17"/>
  </w:num>
  <w:num w:numId="48">
    <w:abstractNumId w:val="65"/>
  </w:num>
  <w:num w:numId="49">
    <w:abstractNumId w:val="44"/>
  </w:num>
  <w:num w:numId="50">
    <w:abstractNumId w:val="59"/>
  </w:num>
  <w:num w:numId="51">
    <w:abstractNumId w:val="25"/>
  </w:num>
  <w:num w:numId="52">
    <w:abstractNumId w:val="46"/>
  </w:num>
  <w:num w:numId="53">
    <w:abstractNumId w:val="0"/>
  </w:num>
  <w:num w:numId="54">
    <w:abstractNumId w:val="33"/>
  </w:num>
  <w:num w:numId="55">
    <w:abstractNumId w:val="30"/>
  </w:num>
  <w:num w:numId="56">
    <w:abstractNumId w:val="5"/>
  </w:num>
  <w:num w:numId="57">
    <w:abstractNumId w:val="49"/>
  </w:num>
  <w:num w:numId="58">
    <w:abstractNumId w:val="21"/>
  </w:num>
  <w:num w:numId="59">
    <w:abstractNumId w:val="64"/>
  </w:num>
  <w:num w:numId="60">
    <w:abstractNumId w:val="35"/>
  </w:num>
  <w:num w:numId="61">
    <w:abstractNumId w:val="31"/>
  </w:num>
  <w:num w:numId="62">
    <w:abstractNumId w:val="1"/>
  </w:num>
  <w:num w:numId="63">
    <w:abstractNumId w:val="10"/>
  </w:num>
  <w:num w:numId="64">
    <w:abstractNumId w:val="23"/>
  </w:num>
  <w:num w:numId="65">
    <w:abstractNumId w:val="20"/>
  </w:num>
  <w:num w:numId="66">
    <w:abstractNumId w:val="42"/>
  </w:num>
  <w:num w:numId="67">
    <w:abstractNumId w:val="57"/>
  </w:num>
  <w:num w:numId="68">
    <w:abstractNumId w:val="24"/>
  </w:num>
  <w:num w:numId="69">
    <w:abstractNumId w:val="37"/>
  </w:num>
  <w:num w:numId="70">
    <w:abstractNumId w:val="4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1C5E4E"/>
    <w:rsid w:val="001C5E4E"/>
    <w:rsid w:val="001D3DDF"/>
    <w:rsid w:val="00303CA1"/>
    <w:rsid w:val="003E09C0"/>
    <w:rsid w:val="00607CD5"/>
    <w:rsid w:val="007A4639"/>
    <w:rsid w:val="00C70C33"/>
    <w:rsid w:val="00D463F3"/>
    <w:rsid w:val="00E81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36B8875C-D902-46D9-835C-2BBDB86CC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rlito" w:eastAsia="Carlito" w:hAnsi="Carlito" w:cs="Carlito"/>
    </w:rPr>
  </w:style>
  <w:style w:type="paragraph" w:styleId="Heading1">
    <w:name w:val="heading 1"/>
    <w:basedOn w:val="Normal"/>
    <w:uiPriority w:val="1"/>
    <w:qFormat/>
    <w:pPr>
      <w:ind w:left="104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60"/>
      <w:ind w:left="1710" w:hanging="852"/>
    </w:pPr>
  </w:style>
  <w:style w:type="paragraph" w:styleId="BodyText">
    <w:name w:val="Body Text"/>
    <w:basedOn w:val="Normal"/>
    <w:uiPriority w:val="1"/>
    <w:qFormat/>
  </w:style>
  <w:style w:type="paragraph" w:styleId="ListParagraph">
    <w:name w:val="List Paragraph"/>
    <w:basedOn w:val="Normal"/>
    <w:uiPriority w:val="1"/>
    <w:qFormat/>
    <w:pPr>
      <w:ind w:left="1047" w:hanging="853"/>
    </w:pPr>
  </w:style>
  <w:style w:type="paragraph" w:customStyle="1" w:styleId="TableParagraph">
    <w:name w:val="Table Paragraph"/>
    <w:basedOn w:val="Normal"/>
    <w:uiPriority w:val="1"/>
    <w:qFormat/>
  </w:style>
  <w:style w:type="paragraph" w:styleId="NoSpacing">
    <w:name w:val="No Spacing"/>
    <w:uiPriority w:val="1"/>
    <w:qFormat/>
    <w:rsid w:val="003E09C0"/>
    <w:rPr>
      <w:rFonts w:ascii="Carlito" w:eastAsia="Carlito" w:hAnsi="Carlito" w:cs="Carlito"/>
    </w:rPr>
  </w:style>
  <w:style w:type="paragraph" w:styleId="Header">
    <w:name w:val="header"/>
    <w:basedOn w:val="Normal"/>
    <w:link w:val="HeaderChar"/>
    <w:uiPriority w:val="99"/>
    <w:unhideWhenUsed/>
    <w:rsid w:val="003E09C0"/>
    <w:pPr>
      <w:tabs>
        <w:tab w:val="center" w:pos="4513"/>
        <w:tab w:val="right" w:pos="9026"/>
      </w:tabs>
    </w:pPr>
  </w:style>
  <w:style w:type="character" w:customStyle="1" w:styleId="HeaderChar">
    <w:name w:val="Header Char"/>
    <w:basedOn w:val="DefaultParagraphFont"/>
    <w:link w:val="Header"/>
    <w:uiPriority w:val="99"/>
    <w:rsid w:val="003E09C0"/>
    <w:rPr>
      <w:rFonts w:ascii="Carlito" w:eastAsia="Carlito" w:hAnsi="Carlito" w:cs="Carlito"/>
    </w:rPr>
  </w:style>
  <w:style w:type="paragraph" w:styleId="Footer">
    <w:name w:val="footer"/>
    <w:basedOn w:val="Normal"/>
    <w:link w:val="FooterChar"/>
    <w:uiPriority w:val="99"/>
    <w:unhideWhenUsed/>
    <w:rsid w:val="003E09C0"/>
    <w:pPr>
      <w:tabs>
        <w:tab w:val="center" w:pos="4513"/>
        <w:tab w:val="right" w:pos="9026"/>
      </w:tabs>
    </w:pPr>
  </w:style>
  <w:style w:type="character" w:customStyle="1" w:styleId="FooterChar">
    <w:name w:val="Footer Char"/>
    <w:basedOn w:val="DefaultParagraphFont"/>
    <w:link w:val="Footer"/>
    <w:uiPriority w:val="99"/>
    <w:rsid w:val="003E09C0"/>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52</Pages>
  <Words>13119</Words>
  <Characters>74781</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87725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Clarke</dc:creator>
  <cp:lastModifiedBy>Shaun Brill</cp:lastModifiedBy>
  <cp:revision>6</cp:revision>
  <dcterms:created xsi:type="dcterms:W3CDTF">2021-05-07T12:20:00Z</dcterms:created>
  <dcterms:modified xsi:type="dcterms:W3CDTF">2021-05-12T13:02:00Z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2021-05-05T00:00:00Z</vt:filetime>
  </property>
  <property fmtid="{D5CDD505-2E9C-101B-9397-08002B2CF9AE}" pid="3" name="Creator">
    <vt:lpwstr>Microsoft® Word for Microsoft 365</vt:lpwstr>
  </property>
  <property fmtid="{D5CDD505-2E9C-101B-9397-08002B2CF9AE}" pid="4" name="LastSaved">
    <vt:filetime>2021-05-07T00:00:00Z</vt:filetime>
  </property>
</Properties>
</file>