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1C191D73" w:rsidR="0072415C" w:rsidRPr="00955BDE" w:rsidRDefault="00955BDE" w:rsidP="0072415C">
      <w:pPr>
        <w:pStyle w:val="Header"/>
        <w:jc w:val="center"/>
        <w:rPr>
          <w:rFonts w:ascii="Arial" w:hAnsi="Arial" w:cs="Arial"/>
          <w:b/>
          <w:sz w:val="28"/>
          <w:szCs w:val="28"/>
        </w:rPr>
      </w:pPr>
      <w:r w:rsidRPr="00955BDE">
        <w:rPr>
          <w:rFonts w:ascii="Arial" w:hAnsi="Arial" w:cs="Arial"/>
          <w:b/>
          <w:sz w:val="28"/>
          <w:szCs w:val="28"/>
        </w:rPr>
        <w:t>THE PROVISION OF INTERNSHIPS FOR INDIVIDUALS WITH AUTISM</w:t>
      </w:r>
    </w:p>
    <w:p w14:paraId="4879931B" w14:textId="77777777" w:rsidR="0046593A" w:rsidRPr="00955BDE" w:rsidRDefault="0046593A" w:rsidP="0072415C">
      <w:pPr>
        <w:pStyle w:val="Header"/>
        <w:jc w:val="center"/>
        <w:rPr>
          <w:rFonts w:ascii="Arial" w:hAnsi="Arial" w:cs="Arial"/>
          <w:b/>
          <w:sz w:val="28"/>
          <w:szCs w:val="28"/>
        </w:rPr>
      </w:pPr>
    </w:p>
    <w:p w14:paraId="6B6FA413" w14:textId="515FE765" w:rsidR="003B7DD7" w:rsidRPr="00955BDE" w:rsidRDefault="00955BDE" w:rsidP="0072415C">
      <w:pPr>
        <w:pStyle w:val="Header"/>
        <w:jc w:val="center"/>
        <w:rPr>
          <w:rFonts w:ascii="Arial" w:hAnsi="Arial" w:cs="Arial"/>
          <w:b/>
          <w:sz w:val="28"/>
          <w:szCs w:val="28"/>
        </w:rPr>
      </w:pPr>
      <w:r w:rsidRPr="00955BDE">
        <w:rPr>
          <w:rFonts w:ascii="Arial" w:hAnsi="Arial" w:cs="Arial"/>
          <w:b/>
          <w:sz w:val="28"/>
          <w:szCs w:val="28"/>
        </w:rPr>
        <w:t xml:space="preserve">CONTRACT REFERENCE: CCZP18A09 </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6E0EDC00" w14:textId="3E01BC50" w:rsidR="00936770" w:rsidRPr="000352DC" w:rsidRDefault="00955BDE" w:rsidP="00955BDE">
      <w:pPr>
        <w:spacing w:line="-278" w:lineRule="auto"/>
        <w:jc w:val="center"/>
        <w:rPr>
          <w:rFonts w:ascii="Arial" w:hAnsi="Arial" w:cs="Arial"/>
          <w:b/>
          <w:caps/>
          <w:sz w:val="28"/>
          <w:szCs w:val="28"/>
          <w:lang w:val="fr-FR"/>
        </w:rPr>
      </w:pPr>
      <w:r>
        <w:rPr>
          <w:rFonts w:ascii="Arial" w:hAnsi="Arial" w:cs="Arial"/>
          <w:b/>
          <w:caps/>
          <w:sz w:val="28"/>
          <w:szCs w:val="28"/>
          <w:lang w:val="fr-FR"/>
        </w:rPr>
        <w:t xml:space="preserve">CABINET OFFICE (CO) </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FA3BF5" w:rsidRPr="00FA3BF5" w:rsidRDefault="00FA3BF5" w:rsidP="00FA3BF5">
      <w:pPr>
        <w:pStyle w:val="bodystrongcentred"/>
        <w:spacing w:before="240"/>
        <w:rPr>
          <w:rFonts w:cs="Arial"/>
          <w:sz w:val="22"/>
        </w:rPr>
      </w:pPr>
      <w:r>
        <w:rPr>
          <w:rFonts w:cs="Arial"/>
          <w:sz w:val="22"/>
        </w:rPr>
        <w:lastRenderedPageBreak/>
        <w:t>CONTENTS</w:t>
      </w:r>
    </w:p>
    <w:p w14:paraId="352D9130" w14:textId="1D6BBDA4" w:rsidR="000B40B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512936618" w:history="1">
        <w:r w:rsidR="000B40BC" w:rsidRPr="00AD2F01">
          <w:rPr>
            <w:rStyle w:val="Hyperlink"/>
            <w:noProof/>
          </w:rPr>
          <w:t>1.</w:t>
        </w:r>
        <w:r w:rsidR="000B40BC">
          <w:rPr>
            <w:rFonts w:asciiTheme="minorHAnsi" w:eastAsiaTheme="minorEastAsia" w:hAnsiTheme="minorHAnsi" w:cstheme="minorBidi"/>
            <w:caps w:val="0"/>
            <w:noProof/>
            <w:szCs w:val="22"/>
            <w:lang w:eastAsia="en-GB"/>
          </w:rPr>
          <w:tab/>
        </w:r>
        <w:r w:rsidR="000B40BC" w:rsidRPr="00AD2F01">
          <w:rPr>
            <w:rStyle w:val="Hyperlink"/>
            <w:noProof/>
          </w:rPr>
          <w:t>introduction</w:t>
        </w:r>
        <w:r w:rsidR="000B40BC">
          <w:rPr>
            <w:noProof/>
            <w:webHidden/>
          </w:rPr>
          <w:tab/>
        </w:r>
        <w:r w:rsidR="000B40BC">
          <w:rPr>
            <w:noProof/>
            <w:webHidden/>
          </w:rPr>
          <w:fldChar w:fldCharType="begin"/>
        </w:r>
        <w:r w:rsidR="000B40BC">
          <w:rPr>
            <w:noProof/>
            <w:webHidden/>
          </w:rPr>
          <w:instrText xml:space="preserve"> PAGEREF _Toc512936618 \h </w:instrText>
        </w:r>
        <w:r w:rsidR="000B40BC">
          <w:rPr>
            <w:noProof/>
            <w:webHidden/>
          </w:rPr>
        </w:r>
        <w:r w:rsidR="000B40BC">
          <w:rPr>
            <w:noProof/>
            <w:webHidden/>
          </w:rPr>
          <w:fldChar w:fldCharType="separate"/>
        </w:r>
        <w:r w:rsidR="006F2590">
          <w:rPr>
            <w:noProof/>
            <w:webHidden/>
          </w:rPr>
          <w:t>2</w:t>
        </w:r>
        <w:r w:rsidR="000B40BC">
          <w:rPr>
            <w:noProof/>
            <w:webHidden/>
          </w:rPr>
          <w:fldChar w:fldCharType="end"/>
        </w:r>
      </w:hyperlink>
    </w:p>
    <w:p w14:paraId="3027B9DA" w14:textId="4956EC02" w:rsidR="000B40BC" w:rsidRDefault="001D4148">
      <w:pPr>
        <w:pStyle w:val="TOC1"/>
        <w:rPr>
          <w:rFonts w:asciiTheme="minorHAnsi" w:eastAsiaTheme="minorEastAsia" w:hAnsiTheme="minorHAnsi" w:cstheme="minorBidi"/>
          <w:caps w:val="0"/>
          <w:noProof/>
          <w:szCs w:val="22"/>
          <w:lang w:eastAsia="en-GB"/>
        </w:rPr>
      </w:pPr>
      <w:hyperlink w:anchor="_Toc512936619" w:history="1">
        <w:r w:rsidR="000B40BC" w:rsidRPr="00AD2F01">
          <w:rPr>
            <w:rStyle w:val="Hyperlink"/>
            <w:noProof/>
          </w:rPr>
          <w:t>2.</w:t>
        </w:r>
        <w:r w:rsidR="000B40BC">
          <w:rPr>
            <w:rFonts w:asciiTheme="minorHAnsi" w:eastAsiaTheme="minorEastAsia" w:hAnsiTheme="minorHAnsi" w:cstheme="minorBidi"/>
            <w:caps w:val="0"/>
            <w:noProof/>
            <w:szCs w:val="22"/>
            <w:lang w:eastAsia="en-GB"/>
          </w:rPr>
          <w:tab/>
        </w:r>
        <w:r w:rsidR="000B40BC" w:rsidRPr="00AD2F01">
          <w:rPr>
            <w:rStyle w:val="Hyperlink"/>
            <w:noProof/>
          </w:rPr>
          <w:t>OVERVIEW OF INVITATION TO TENDER</w:t>
        </w:r>
        <w:r w:rsidR="000B40BC">
          <w:rPr>
            <w:noProof/>
            <w:webHidden/>
          </w:rPr>
          <w:tab/>
        </w:r>
        <w:r w:rsidR="000B40BC">
          <w:rPr>
            <w:noProof/>
            <w:webHidden/>
          </w:rPr>
          <w:fldChar w:fldCharType="begin"/>
        </w:r>
        <w:r w:rsidR="000B40BC">
          <w:rPr>
            <w:noProof/>
            <w:webHidden/>
          </w:rPr>
          <w:instrText xml:space="preserve"> PAGEREF _Toc512936619 \h </w:instrText>
        </w:r>
        <w:r w:rsidR="000B40BC">
          <w:rPr>
            <w:noProof/>
            <w:webHidden/>
          </w:rPr>
        </w:r>
        <w:r w:rsidR="000B40BC">
          <w:rPr>
            <w:noProof/>
            <w:webHidden/>
          </w:rPr>
          <w:fldChar w:fldCharType="separate"/>
        </w:r>
        <w:r w:rsidR="006F2590">
          <w:rPr>
            <w:noProof/>
            <w:webHidden/>
          </w:rPr>
          <w:t>3</w:t>
        </w:r>
        <w:r w:rsidR="000B40BC">
          <w:rPr>
            <w:noProof/>
            <w:webHidden/>
          </w:rPr>
          <w:fldChar w:fldCharType="end"/>
        </w:r>
      </w:hyperlink>
    </w:p>
    <w:p w14:paraId="7F11AABF" w14:textId="26A8E1BE" w:rsidR="000B40BC" w:rsidRDefault="001D4148">
      <w:pPr>
        <w:pStyle w:val="TOC1"/>
        <w:rPr>
          <w:rFonts w:asciiTheme="minorHAnsi" w:eastAsiaTheme="minorEastAsia" w:hAnsiTheme="minorHAnsi" w:cstheme="minorBidi"/>
          <w:caps w:val="0"/>
          <w:noProof/>
          <w:szCs w:val="22"/>
          <w:lang w:eastAsia="en-GB"/>
        </w:rPr>
      </w:pPr>
      <w:hyperlink w:anchor="_Toc512936620" w:history="1">
        <w:r w:rsidR="000B40BC" w:rsidRPr="00AD2F01">
          <w:rPr>
            <w:rStyle w:val="Hyperlink"/>
            <w:noProof/>
          </w:rPr>
          <w:t>3.</w:t>
        </w:r>
        <w:r w:rsidR="000B40BC">
          <w:rPr>
            <w:rFonts w:asciiTheme="minorHAnsi" w:eastAsiaTheme="minorEastAsia" w:hAnsiTheme="minorHAnsi" w:cstheme="minorBidi"/>
            <w:caps w:val="0"/>
            <w:noProof/>
            <w:szCs w:val="22"/>
            <w:lang w:eastAsia="en-GB"/>
          </w:rPr>
          <w:tab/>
        </w:r>
        <w:r w:rsidR="000B40BC" w:rsidRPr="00AD2F01">
          <w:rPr>
            <w:rStyle w:val="Hyperlink"/>
            <w:rFonts w:cs="Arial"/>
            <w:noProof/>
          </w:rPr>
          <w:t>ReqUirements</w:t>
        </w:r>
        <w:r w:rsidR="000B40BC">
          <w:rPr>
            <w:noProof/>
            <w:webHidden/>
          </w:rPr>
          <w:tab/>
        </w:r>
        <w:r w:rsidR="000B40BC">
          <w:rPr>
            <w:noProof/>
            <w:webHidden/>
          </w:rPr>
          <w:fldChar w:fldCharType="begin"/>
        </w:r>
        <w:r w:rsidR="000B40BC">
          <w:rPr>
            <w:noProof/>
            <w:webHidden/>
          </w:rPr>
          <w:instrText xml:space="preserve"> PAGEREF _Toc512936620 \h </w:instrText>
        </w:r>
        <w:r w:rsidR="000B40BC">
          <w:rPr>
            <w:noProof/>
            <w:webHidden/>
          </w:rPr>
        </w:r>
        <w:r w:rsidR="000B40BC">
          <w:rPr>
            <w:noProof/>
            <w:webHidden/>
          </w:rPr>
          <w:fldChar w:fldCharType="separate"/>
        </w:r>
        <w:r w:rsidR="006F2590">
          <w:rPr>
            <w:noProof/>
            <w:webHidden/>
          </w:rPr>
          <w:t>3</w:t>
        </w:r>
        <w:r w:rsidR="000B40BC">
          <w:rPr>
            <w:noProof/>
            <w:webHidden/>
          </w:rPr>
          <w:fldChar w:fldCharType="end"/>
        </w:r>
      </w:hyperlink>
    </w:p>
    <w:p w14:paraId="63D05752" w14:textId="37E907C5" w:rsidR="000B40BC" w:rsidRDefault="001D4148">
      <w:pPr>
        <w:pStyle w:val="TOC1"/>
        <w:rPr>
          <w:rFonts w:asciiTheme="minorHAnsi" w:eastAsiaTheme="minorEastAsia" w:hAnsiTheme="minorHAnsi" w:cstheme="minorBidi"/>
          <w:caps w:val="0"/>
          <w:noProof/>
          <w:szCs w:val="22"/>
          <w:lang w:eastAsia="en-GB"/>
        </w:rPr>
      </w:pPr>
      <w:hyperlink w:anchor="_Toc512936621" w:history="1">
        <w:r w:rsidR="000B40BC" w:rsidRPr="00AD2F01">
          <w:rPr>
            <w:rStyle w:val="Hyperlink"/>
            <w:noProof/>
          </w:rPr>
          <w:t>4.</w:t>
        </w:r>
        <w:r w:rsidR="000B40BC">
          <w:rPr>
            <w:rFonts w:asciiTheme="minorHAnsi" w:eastAsiaTheme="minorEastAsia" w:hAnsiTheme="minorHAnsi" w:cstheme="minorBidi"/>
            <w:caps w:val="0"/>
            <w:noProof/>
            <w:szCs w:val="22"/>
            <w:lang w:eastAsia="en-GB"/>
          </w:rPr>
          <w:tab/>
        </w:r>
        <w:r w:rsidR="000B40BC" w:rsidRPr="00AD2F01">
          <w:rPr>
            <w:rStyle w:val="Hyperlink"/>
            <w:noProof/>
          </w:rPr>
          <w:t>procurement timEtable</w:t>
        </w:r>
        <w:r w:rsidR="000B40BC">
          <w:rPr>
            <w:noProof/>
            <w:webHidden/>
          </w:rPr>
          <w:tab/>
        </w:r>
        <w:r w:rsidR="000B40BC">
          <w:rPr>
            <w:noProof/>
            <w:webHidden/>
          </w:rPr>
          <w:fldChar w:fldCharType="begin"/>
        </w:r>
        <w:r w:rsidR="000B40BC">
          <w:rPr>
            <w:noProof/>
            <w:webHidden/>
          </w:rPr>
          <w:instrText xml:space="preserve"> PAGEREF _Toc512936621 \h </w:instrText>
        </w:r>
        <w:r w:rsidR="000B40BC">
          <w:rPr>
            <w:noProof/>
            <w:webHidden/>
          </w:rPr>
        </w:r>
        <w:r w:rsidR="000B40BC">
          <w:rPr>
            <w:noProof/>
            <w:webHidden/>
          </w:rPr>
          <w:fldChar w:fldCharType="separate"/>
        </w:r>
        <w:r w:rsidR="006F2590">
          <w:rPr>
            <w:noProof/>
            <w:webHidden/>
          </w:rPr>
          <w:t>3</w:t>
        </w:r>
        <w:r w:rsidR="000B40BC">
          <w:rPr>
            <w:noProof/>
            <w:webHidden/>
          </w:rPr>
          <w:fldChar w:fldCharType="end"/>
        </w:r>
      </w:hyperlink>
    </w:p>
    <w:p w14:paraId="4AB2E165" w14:textId="01DBF0EE" w:rsidR="000B40BC" w:rsidRDefault="001D4148">
      <w:pPr>
        <w:pStyle w:val="TOC1"/>
        <w:rPr>
          <w:rFonts w:asciiTheme="minorHAnsi" w:eastAsiaTheme="minorEastAsia" w:hAnsiTheme="minorHAnsi" w:cstheme="minorBidi"/>
          <w:caps w:val="0"/>
          <w:noProof/>
          <w:szCs w:val="22"/>
          <w:lang w:eastAsia="en-GB"/>
        </w:rPr>
      </w:pPr>
      <w:hyperlink w:anchor="_Toc512936622" w:history="1">
        <w:r w:rsidR="000B40BC" w:rsidRPr="00AD2F01">
          <w:rPr>
            <w:rStyle w:val="Hyperlink"/>
            <w:noProof/>
          </w:rPr>
          <w:t>5.</w:t>
        </w:r>
        <w:r w:rsidR="000B40BC">
          <w:rPr>
            <w:rFonts w:asciiTheme="minorHAnsi" w:eastAsiaTheme="minorEastAsia" w:hAnsiTheme="minorHAnsi" w:cstheme="minorBidi"/>
            <w:caps w:val="0"/>
            <w:noProof/>
            <w:szCs w:val="22"/>
            <w:lang w:eastAsia="en-GB"/>
          </w:rPr>
          <w:tab/>
        </w:r>
        <w:r w:rsidR="000B40BC" w:rsidRPr="00AD2F01">
          <w:rPr>
            <w:rStyle w:val="Hyperlink"/>
            <w:rFonts w:cs="Arial"/>
            <w:noProof/>
          </w:rPr>
          <w:t>completiNG AND SUBMITTING A tender</w:t>
        </w:r>
        <w:r w:rsidR="000B40BC">
          <w:rPr>
            <w:noProof/>
            <w:webHidden/>
          </w:rPr>
          <w:tab/>
        </w:r>
        <w:r w:rsidR="000B40BC">
          <w:rPr>
            <w:noProof/>
            <w:webHidden/>
          </w:rPr>
          <w:fldChar w:fldCharType="begin"/>
        </w:r>
        <w:r w:rsidR="000B40BC">
          <w:rPr>
            <w:noProof/>
            <w:webHidden/>
          </w:rPr>
          <w:instrText xml:space="preserve"> PAGEREF _Toc512936622 \h </w:instrText>
        </w:r>
        <w:r w:rsidR="000B40BC">
          <w:rPr>
            <w:noProof/>
            <w:webHidden/>
          </w:rPr>
        </w:r>
        <w:r w:rsidR="000B40BC">
          <w:rPr>
            <w:noProof/>
            <w:webHidden/>
          </w:rPr>
          <w:fldChar w:fldCharType="separate"/>
        </w:r>
        <w:r w:rsidR="006F2590">
          <w:rPr>
            <w:noProof/>
            <w:webHidden/>
          </w:rPr>
          <w:t>4</w:t>
        </w:r>
        <w:r w:rsidR="000B40BC">
          <w:rPr>
            <w:noProof/>
            <w:webHidden/>
          </w:rPr>
          <w:fldChar w:fldCharType="end"/>
        </w:r>
      </w:hyperlink>
    </w:p>
    <w:p w14:paraId="4B7DBC27" w14:textId="6DB67E33" w:rsidR="000B40BC" w:rsidRDefault="001D4148">
      <w:pPr>
        <w:pStyle w:val="TOC1"/>
        <w:rPr>
          <w:rFonts w:asciiTheme="minorHAnsi" w:eastAsiaTheme="minorEastAsia" w:hAnsiTheme="minorHAnsi" w:cstheme="minorBidi"/>
          <w:caps w:val="0"/>
          <w:noProof/>
          <w:szCs w:val="22"/>
          <w:lang w:eastAsia="en-GB"/>
        </w:rPr>
      </w:pPr>
      <w:hyperlink w:anchor="_Toc512936623" w:history="1">
        <w:r w:rsidR="000B40BC" w:rsidRPr="00AD2F01">
          <w:rPr>
            <w:rStyle w:val="Hyperlink"/>
            <w:noProof/>
          </w:rPr>
          <w:t>6.</w:t>
        </w:r>
        <w:r w:rsidR="000B40BC">
          <w:rPr>
            <w:rFonts w:asciiTheme="minorHAnsi" w:eastAsiaTheme="minorEastAsia" w:hAnsiTheme="minorHAnsi" w:cstheme="minorBidi"/>
            <w:caps w:val="0"/>
            <w:noProof/>
            <w:szCs w:val="22"/>
            <w:lang w:eastAsia="en-GB"/>
          </w:rPr>
          <w:tab/>
        </w:r>
        <w:r w:rsidR="000B40BC" w:rsidRPr="00AD2F01">
          <w:rPr>
            <w:rStyle w:val="Hyperlink"/>
            <w:noProof/>
          </w:rPr>
          <w:t>CONTRACTING ARRANGEMENTS (Sub-contractORS AND GROUPS OF ECONOMIC OPERATORS)</w:t>
        </w:r>
        <w:r w:rsidR="000B40BC">
          <w:rPr>
            <w:noProof/>
            <w:webHidden/>
          </w:rPr>
          <w:tab/>
        </w:r>
        <w:r w:rsidR="000B40BC">
          <w:rPr>
            <w:noProof/>
            <w:webHidden/>
          </w:rPr>
          <w:fldChar w:fldCharType="begin"/>
        </w:r>
        <w:r w:rsidR="000B40BC">
          <w:rPr>
            <w:noProof/>
            <w:webHidden/>
          </w:rPr>
          <w:instrText xml:space="preserve"> PAGEREF _Toc512936623 \h </w:instrText>
        </w:r>
        <w:r w:rsidR="000B40BC">
          <w:rPr>
            <w:noProof/>
            <w:webHidden/>
          </w:rPr>
        </w:r>
        <w:r w:rsidR="000B40BC">
          <w:rPr>
            <w:noProof/>
            <w:webHidden/>
          </w:rPr>
          <w:fldChar w:fldCharType="separate"/>
        </w:r>
        <w:r w:rsidR="006F2590">
          <w:rPr>
            <w:noProof/>
            <w:webHidden/>
          </w:rPr>
          <w:t>6</w:t>
        </w:r>
        <w:r w:rsidR="000B40BC">
          <w:rPr>
            <w:noProof/>
            <w:webHidden/>
          </w:rPr>
          <w:fldChar w:fldCharType="end"/>
        </w:r>
      </w:hyperlink>
    </w:p>
    <w:p w14:paraId="31A8038E" w14:textId="0D145D06" w:rsidR="000B40BC" w:rsidRDefault="001D4148">
      <w:pPr>
        <w:pStyle w:val="TOC1"/>
        <w:rPr>
          <w:rFonts w:asciiTheme="minorHAnsi" w:eastAsiaTheme="minorEastAsia" w:hAnsiTheme="minorHAnsi" w:cstheme="minorBidi"/>
          <w:caps w:val="0"/>
          <w:noProof/>
          <w:szCs w:val="22"/>
          <w:lang w:eastAsia="en-GB"/>
        </w:rPr>
      </w:pPr>
      <w:hyperlink w:anchor="_Toc512936624" w:history="1">
        <w:r w:rsidR="000B40BC" w:rsidRPr="00AD2F01">
          <w:rPr>
            <w:rStyle w:val="Hyperlink"/>
            <w:noProof/>
          </w:rPr>
          <w:t>7.</w:t>
        </w:r>
        <w:r w:rsidR="000B40BC">
          <w:rPr>
            <w:rFonts w:asciiTheme="minorHAnsi" w:eastAsiaTheme="minorEastAsia" w:hAnsiTheme="minorHAnsi" w:cstheme="minorBidi"/>
            <w:caps w:val="0"/>
            <w:noProof/>
            <w:szCs w:val="22"/>
            <w:lang w:eastAsia="en-GB"/>
          </w:rPr>
          <w:tab/>
        </w:r>
        <w:r w:rsidR="000B40BC" w:rsidRPr="00AD2F01">
          <w:rPr>
            <w:rStyle w:val="Hyperlink"/>
            <w:rFonts w:cs="Arial"/>
            <w:noProof/>
          </w:rPr>
          <w:t>questions AND ClarificationS</w:t>
        </w:r>
        <w:r w:rsidR="000B40BC">
          <w:rPr>
            <w:noProof/>
            <w:webHidden/>
          </w:rPr>
          <w:tab/>
        </w:r>
        <w:r w:rsidR="000B40BC">
          <w:rPr>
            <w:noProof/>
            <w:webHidden/>
          </w:rPr>
          <w:fldChar w:fldCharType="begin"/>
        </w:r>
        <w:r w:rsidR="000B40BC">
          <w:rPr>
            <w:noProof/>
            <w:webHidden/>
          </w:rPr>
          <w:instrText xml:space="preserve"> PAGEREF _Toc512936624 \h </w:instrText>
        </w:r>
        <w:r w:rsidR="000B40BC">
          <w:rPr>
            <w:noProof/>
            <w:webHidden/>
          </w:rPr>
        </w:r>
        <w:r w:rsidR="000B40BC">
          <w:rPr>
            <w:noProof/>
            <w:webHidden/>
          </w:rPr>
          <w:fldChar w:fldCharType="separate"/>
        </w:r>
        <w:r w:rsidR="006F2590">
          <w:rPr>
            <w:noProof/>
            <w:webHidden/>
          </w:rPr>
          <w:t>8</w:t>
        </w:r>
        <w:r w:rsidR="000B40BC">
          <w:rPr>
            <w:noProof/>
            <w:webHidden/>
          </w:rPr>
          <w:fldChar w:fldCharType="end"/>
        </w:r>
      </w:hyperlink>
    </w:p>
    <w:p w14:paraId="159D1AD5" w14:textId="61416859" w:rsidR="000B40BC" w:rsidRDefault="001D4148">
      <w:pPr>
        <w:pStyle w:val="TOC1"/>
        <w:rPr>
          <w:rFonts w:asciiTheme="minorHAnsi" w:eastAsiaTheme="minorEastAsia" w:hAnsiTheme="minorHAnsi" w:cstheme="minorBidi"/>
          <w:caps w:val="0"/>
          <w:noProof/>
          <w:szCs w:val="22"/>
          <w:lang w:eastAsia="en-GB"/>
        </w:rPr>
      </w:pPr>
      <w:hyperlink w:anchor="_Toc512936625" w:history="1">
        <w:r w:rsidR="000B40BC" w:rsidRPr="00AD2F01">
          <w:rPr>
            <w:rStyle w:val="Hyperlink"/>
            <w:noProof/>
          </w:rPr>
          <w:t>8.</w:t>
        </w:r>
        <w:r w:rsidR="000B40BC">
          <w:rPr>
            <w:rFonts w:asciiTheme="minorHAnsi" w:eastAsiaTheme="minorEastAsia" w:hAnsiTheme="minorHAnsi" w:cstheme="minorBidi"/>
            <w:caps w:val="0"/>
            <w:noProof/>
            <w:szCs w:val="22"/>
            <w:lang w:eastAsia="en-GB"/>
          </w:rPr>
          <w:tab/>
        </w:r>
        <w:r w:rsidR="000B40BC" w:rsidRPr="00AD2F01">
          <w:rPr>
            <w:rStyle w:val="Hyperlink"/>
            <w:rFonts w:cs="Arial"/>
            <w:noProof/>
          </w:rPr>
          <w:t>OVERVIEW OF THE EVALUATION PROCESS</w:t>
        </w:r>
        <w:r w:rsidR="000B40BC">
          <w:rPr>
            <w:noProof/>
            <w:webHidden/>
          </w:rPr>
          <w:tab/>
        </w:r>
        <w:r w:rsidR="000B40BC">
          <w:rPr>
            <w:noProof/>
            <w:webHidden/>
          </w:rPr>
          <w:fldChar w:fldCharType="begin"/>
        </w:r>
        <w:r w:rsidR="000B40BC">
          <w:rPr>
            <w:noProof/>
            <w:webHidden/>
          </w:rPr>
          <w:instrText xml:space="preserve"> PAGEREF _Toc512936625 \h </w:instrText>
        </w:r>
        <w:r w:rsidR="000B40BC">
          <w:rPr>
            <w:noProof/>
            <w:webHidden/>
          </w:rPr>
        </w:r>
        <w:r w:rsidR="000B40BC">
          <w:rPr>
            <w:noProof/>
            <w:webHidden/>
          </w:rPr>
          <w:fldChar w:fldCharType="separate"/>
        </w:r>
        <w:r w:rsidR="006F2590">
          <w:rPr>
            <w:noProof/>
            <w:webHidden/>
          </w:rPr>
          <w:t>9</w:t>
        </w:r>
        <w:r w:rsidR="000B40BC">
          <w:rPr>
            <w:noProof/>
            <w:webHidden/>
          </w:rPr>
          <w:fldChar w:fldCharType="end"/>
        </w:r>
      </w:hyperlink>
    </w:p>
    <w:p w14:paraId="471B125A" w14:textId="254D0EE0" w:rsidR="000B40BC" w:rsidRDefault="001D4148">
      <w:pPr>
        <w:pStyle w:val="TOC1"/>
        <w:rPr>
          <w:rFonts w:asciiTheme="minorHAnsi" w:eastAsiaTheme="minorEastAsia" w:hAnsiTheme="minorHAnsi" w:cstheme="minorBidi"/>
          <w:caps w:val="0"/>
          <w:noProof/>
          <w:szCs w:val="22"/>
          <w:lang w:eastAsia="en-GB"/>
        </w:rPr>
      </w:pPr>
      <w:hyperlink w:anchor="_Toc512936626" w:history="1">
        <w:r w:rsidR="000B40BC" w:rsidRPr="00AD2F01">
          <w:rPr>
            <w:rStyle w:val="Hyperlink"/>
            <w:noProof/>
          </w:rPr>
          <w:t>9.</w:t>
        </w:r>
        <w:r w:rsidR="000B40BC">
          <w:rPr>
            <w:rFonts w:asciiTheme="minorHAnsi" w:eastAsiaTheme="minorEastAsia" w:hAnsiTheme="minorHAnsi" w:cstheme="minorBidi"/>
            <w:caps w:val="0"/>
            <w:noProof/>
            <w:szCs w:val="22"/>
            <w:lang w:eastAsia="en-GB"/>
          </w:rPr>
          <w:tab/>
        </w:r>
        <w:r w:rsidR="000B40BC" w:rsidRPr="00AD2F01">
          <w:rPr>
            <w:rStyle w:val="Hyperlink"/>
            <w:rFonts w:cs="Arial"/>
            <w:noProof/>
          </w:rPr>
          <w:t>FINAL DECISION TO Award</w:t>
        </w:r>
        <w:r w:rsidR="000B40BC">
          <w:rPr>
            <w:noProof/>
            <w:webHidden/>
          </w:rPr>
          <w:tab/>
        </w:r>
        <w:r w:rsidR="000B40BC">
          <w:rPr>
            <w:noProof/>
            <w:webHidden/>
          </w:rPr>
          <w:fldChar w:fldCharType="begin"/>
        </w:r>
        <w:r w:rsidR="000B40BC">
          <w:rPr>
            <w:noProof/>
            <w:webHidden/>
          </w:rPr>
          <w:instrText xml:space="preserve"> PAGEREF _Toc512936626 \h </w:instrText>
        </w:r>
        <w:r w:rsidR="000B40BC">
          <w:rPr>
            <w:noProof/>
            <w:webHidden/>
          </w:rPr>
        </w:r>
        <w:r w:rsidR="000B40BC">
          <w:rPr>
            <w:noProof/>
            <w:webHidden/>
          </w:rPr>
          <w:fldChar w:fldCharType="separate"/>
        </w:r>
        <w:r w:rsidR="006F2590">
          <w:rPr>
            <w:noProof/>
            <w:webHidden/>
          </w:rPr>
          <w:t>10</w:t>
        </w:r>
        <w:r w:rsidR="000B40BC">
          <w:rPr>
            <w:noProof/>
            <w:webHidden/>
          </w:rPr>
          <w:fldChar w:fldCharType="end"/>
        </w:r>
      </w:hyperlink>
    </w:p>
    <w:p w14:paraId="749BF0A4" w14:textId="18407A79" w:rsidR="000B40BC" w:rsidRDefault="001D4148">
      <w:pPr>
        <w:pStyle w:val="TOC1"/>
        <w:rPr>
          <w:rFonts w:asciiTheme="minorHAnsi" w:eastAsiaTheme="minorEastAsia" w:hAnsiTheme="minorHAnsi" w:cstheme="minorBidi"/>
          <w:caps w:val="0"/>
          <w:noProof/>
          <w:szCs w:val="22"/>
          <w:lang w:eastAsia="en-GB"/>
        </w:rPr>
      </w:pPr>
      <w:hyperlink w:anchor="_Toc512936627" w:history="1">
        <w:r w:rsidR="000B40BC" w:rsidRPr="00AD2F01">
          <w:rPr>
            <w:rStyle w:val="Hyperlink"/>
            <w:noProof/>
          </w:rPr>
          <w:t>10.</w:t>
        </w:r>
        <w:r w:rsidR="000B40BC">
          <w:rPr>
            <w:rFonts w:asciiTheme="minorHAnsi" w:eastAsiaTheme="minorEastAsia" w:hAnsiTheme="minorHAnsi" w:cstheme="minorBidi"/>
            <w:caps w:val="0"/>
            <w:noProof/>
            <w:szCs w:val="22"/>
            <w:lang w:eastAsia="en-GB"/>
          </w:rPr>
          <w:tab/>
        </w:r>
        <w:r w:rsidR="000B40BC" w:rsidRPr="00AD2F01">
          <w:rPr>
            <w:rStyle w:val="Hyperlink"/>
            <w:rFonts w:cs="Arial"/>
            <w:noProof/>
          </w:rPr>
          <w:t>GLOSSARY</w:t>
        </w:r>
        <w:r w:rsidR="000B40BC">
          <w:rPr>
            <w:noProof/>
            <w:webHidden/>
          </w:rPr>
          <w:tab/>
        </w:r>
        <w:r w:rsidR="000B40BC">
          <w:rPr>
            <w:noProof/>
            <w:webHidden/>
          </w:rPr>
          <w:fldChar w:fldCharType="begin"/>
        </w:r>
        <w:r w:rsidR="000B40BC">
          <w:rPr>
            <w:noProof/>
            <w:webHidden/>
          </w:rPr>
          <w:instrText xml:space="preserve"> PAGEREF _Toc512936627 \h </w:instrText>
        </w:r>
        <w:r w:rsidR="000B40BC">
          <w:rPr>
            <w:noProof/>
            <w:webHidden/>
          </w:rPr>
        </w:r>
        <w:r w:rsidR="000B40BC">
          <w:rPr>
            <w:noProof/>
            <w:webHidden/>
          </w:rPr>
          <w:fldChar w:fldCharType="separate"/>
        </w:r>
        <w:r w:rsidR="006F2590">
          <w:rPr>
            <w:noProof/>
            <w:webHidden/>
          </w:rPr>
          <w:t>11</w:t>
        </w:r>
        <w:r w:rsidR="000B40B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512936618"/>
      <w:r w:rsidRPr="002A5365">
        <w:rPr>
          <w:sz w:val="22"/>
          <w:szCs w:val="22"/>
        </w:rPr>
        <w:lastRenderedPageBreak/>
        <w:t>introduction</w:t>
      </w:r>
      <w:bookmarkEnd w:id="0"/>
    </w:p>
    <w:p w14:paraId="697ACF55" w14:textId="432DD3B4" w:rsidR="0058404D" w:rsidRPr="0058404D" w:rsidRDefault="0058404D" w:rsidP="00955BDE">
      <w:pPr>
        <w:numPr>
          <w:ilvl w:val="1"/>
          <w:numId w:val="19"/>
        </w:numPr>
        <w:tabs>
          <w:tab w:val="left" w:pos="851"/>
        </w:tabs>
        <w:adjustRightInd w:val="0"/>
        <w:spacing w:after="120" w:line="240" w:lineRule="auto"/>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955BDE">
        <w:rPr>
          <w:rFonts w:ascii="Arial" w:eastAsia="STZhongsong" w:hAnsi="Arial" w:cs="Times New Roman"/>
          <w:lang w:eastAsia="zh-CN"/>
        </w:rPr>
        <w:t>the Cabinet Office,</w:t>
      </w:r>
      <w:r w:rsidRPr="0058404D">
        <w:rPr>
          <w:rFonts w:ascii="Arial" w:eastAsia="STZhongsong" w:hAnsi="Arial" w:cs="Times New Roman"/>
          <w:lang w:eastAsia="zh-CN"/>
        </w:rPr>
        <w:t xml:space="preserve"> referred to as the Authority in this ITT.  </w:t>
      </w:r>
    </w:p>
    <w:p w14:paraId="2770E8D1" w14:textId="33EF9FE0" w:rsidR="0058404D" w:rsidRPr="00955BDE" w:rsidRDefault="0058404D" w:rsidP="00955BDE">
      <w:pPr>
        <w:numPr>
          <w:ilvl w:val="1"/>
          <w:numId w:val="19"/>
        </w:numPr>
        <w:tabs>
          <w:tab w:val="left" w:pos="851"/>
        </w:tabs>
        <w:adjustRightInd w:val="0"/>
        <w:spacing w:after="120" w:line="240" w:lineRule="auto"/>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3A2983">
        <w:rPr>
          <w:rFonts w:ascii="Arial" w:eastAsia="STZhongsong" w:hAnsi="Arial" w:cs="Times New Roman"/>
          <w:lang w:eastAsia="zh-CN"/>
        </w:rPr>
        <w:t xml:space="preserve">a </w:t>
      </w:r>
      <w:r w:rsidR="00955BDE" w:rsidRPr="00955BDE">
        <w:rPr>
          <w:rFonts w:ascii="Arial" w:eastAsia="STZhongsong" w:hAnsi="Arial" w:cs="Times New Roman"/>
          <w:lang w:eastAsia="zh-CN"/>
        </w:rPr>
        <w:t>single Supplier Contract for ‘The Provision of Internships for Individuals with Autism</w:t>
      </w:r>
      <w:r w:rsidR="00ED5C3D" w:rsidRPr="00955BDE">
        <w:rPr>
          <w:rFonts w:ascii="Arial" w:eastAsia="STZhongsong" w:hAnsi="Arial" w:cs="Times New Roman"/>
          <w:lang w:eastAsia="zh-CN"/>
        </w:rPr>
        <w:t>.</w:t>
      </w:r>
      <w:r w:rsidRPr="00955BDE">
        <w:rPr>
          <w:rFonts w:ascii="Arial" w:eastAsia="STZhongsong" w:hAnsi="Arial" w:cs="Times New Roman"/>
          <w:lang w:eastAsia="zh-CN"/>
        </w:rPr>
        <w:t xml:space="preserve"> The Services are </w:t>
      </w:r>
      <w:r w:rsidR="001B5532" w:rsidRPr="00955BDE">
        <w:rPr>
          <w:rFonts w:ascii="Arial" w:eastAsia="STZhongsong" w:hAnsi="Arial" w:cs="Times New Roman"/>
          <w:lang w:eastAsia="zh-CN"/>
        </w:rPr>
        <w:t>described in detail within Appendix B</w:t>
      </w:r>
      <w:r w:rsidR="003A2983" w:rsidRPr="00955BDE">
        <w:rPr>
          <w:rFonts w:ascii="Arial" w:eastAsia="STZhongsong" w:hAnsi="Arial" w:cs="Times New Roman"/>
          <w:lang w:eastAsia="zh-CN"/>
        </w:rPr>
        <w:t>, Statement of Requirements.</w:t>
      </w:r>
    </w:p>
    <w:p w14:paraId="44457B4D" w14:textId="35807435" w:rsidR="003E3DDB" w:rsidRPr="00955BDE" w:rsidRDefault="003E3DDB" w:rsidP="00955BDE">
      <w:pPr>
        <w:numPr>
          <w:ilvl w:val="1"/>
          <w:numId w:val="19"/>
        </w:numPr>
        <w:tabs>
          <w:tab w:val="left" w:pos="851"/>
        </w:tabs>
        <w:adjustRightInd w:val="0"/>
        <w:spacing w:after="120" w:line="240" w:lineRule="auto"/>
        <w:outlineLvl w:val="1"/>
        <w:rPr>
          <w:rFonts w:ascii="Arial" w:eastAsia="STZhongsong" w:hAnsi="Arial" w:cs="Times New Roman"/>
          <w:lang w:eastAsia="zh-CN"/>
        </w:rPr>
      </w:pPr>
      <w:r w:rsidRPr="00955BDE">
        <w:rPr>
          <w:rFonts w:ascii="Arial" w:eastAsia="STZhongsong" w:hAnsi="Arial" w:cs="Times New Roman"/>
          <w:lang w:eastAsia="zh-CN"/>
        </w:rPr>
        <w:t xml:space="preserve">The contract will be for an initial </w:t>
      </w:r>
      <w:r w:rsidR="00955BDE" w:rsidRPr="00955BDE">
        <w:rPr>
          <w:rFonts w:ascii="Arial" w:eastAsia="STZhongsong" w:hAnsi="Arial" w:cs="Times New Roman"/>
          <w:lang w:eastAsia="zh-CN"/>
        </w:rPr>
        <w:t xml:space="preserve">3 year period with no option to extend. </w:t>
      </w:r>
    </w:p>
    <w:p w14:paraId="31A053D9" w14:textId="1BF6D685" w:rsidR="0058404D" w:rsidRPr="00955BDE" w:rsidRDefault="0058404D" w:rsidP="00955BDE">
      <w:pPr>
        <w:numPr>
          <w:ilvl w:val="1"/>
          <w:numId w:val="19"/>
        </w:numPr>
        <w:tabs>
          <w:tab w:val="left" w:pos="851"/>
        </w:tabs>
        <w:adjustRightInd w:val="0"/>
        <w:spacing w:after="120" w:line="240" w:lineRule="auto"/>
        <w:outlineLvl w:val="1"/>
        <w:rPr>
          <w:rFonts w:ascii="Arial" w:eastAsia="STZhongsong" w:hAnsi="Arial" w:cs="Times New Roman"/>
          <w:lang w:eastAsia="zh-CN"/>
        </w:rPr>
      </w:pPr>
      <w:r w:rsidRPr="00955BDE">
        <w:rPr>
          <w:rFonts w:ascii="Arial" w:eastAsia="STZhongsong" w:hAnsi="Arial" w:cs="Times New Roman"/>
          <w:lang w:eastAsia="zh-CN"/>
        </w:rPr>
        <w:t xml:space="preserve">This Contract will be between the successful Supplier and the </w:t>
      </w:r>
      <w:r w:rsidR="009757CE" w:rsidRPr="00955BDE">
        <w:rPr>
          <w:rFonts w:ascii="Arial" w:eastAsia="STZhongsong" w:hAnsi="Arial" w:cs="Times New Roman"/>
          <w:lang w:eastAsia="zh-CN"/>
        </w:rPr>
        <w:t>A</w:t>
      </w:r>
      <w:r w:rsidRPr="00955BDE">
        <w:rPr>
          <w:rFonts w:ascii="Arial" w:eastAsia="STZhongsong" w:hAnsi="Arial" w:cs="Times New Roman"/>
          <w:lang w:eastAsia="zh-CN"/>
        </w:rPr>
        <w:t>uthority (not the Agent).</w:t>
      </w:r>
      <w:r w:rsidR="00D868A1" w:rsidRPr="00955BDE">
        <w:rPr>
          <w:rFonts w:ascii="Arial" w:eastAsia="STZhongsong" w:hAnsi="Arial" w:cs="Times New Roman"/>
          <w:lang w:eastAsia="zh-CN"/>
        </w:rPr>
        <w:t xml:space="preserve"> </w:t>
      </w:r>
    </w:p>
    <w:p w14:paraId="7CBE5404" w14:textId="2E15AEEE" w:rsidR="003E3DDB" w:rsidRPr="00955BDE" w:rsidRDefault="003E3DDB" w:rsidP="00955BDE">
      <w:pPr>
        <w:numPr>
          <w:ilvl w:val="1"/>
          <w:numId w:val="19"/>
        </w:numPr>
        <w:tabs>
          <w:tab w:val="left" w:pos="851"/>
        </w:tabs>
        <w:adjustRightInd w:val="0"/>
        <w:spacing w:after="120" w:line="240" w:lineRule="auto"/>
        <w:outlineLvl w:val="1"/>
        <w:rPr>
          <w:rFonts w:ascii="Arial" w:eastAsia="STZhongsong" w:hAnsi="Arial" w:cs="Times New Roman"/>
          <w:lang w:eastAsia="zh-CN"/>
        </w:rPr>
      </w:pPr>
      <w:r w:rsidRPr="00955BDE">
        <w:rPr>
          <w:rFonts w:ascii="Arial" w:eastAsia="STZhongsong" w:hAnsi="Arial" w:cs="Times New Roman"/>
          <w:lang w:eastAsia="zh-CN"/>
        </w:rPr>
        <w:t xml:space="preserve">The Contract is being offered </w:t>
      </w:r>
      <w:r w:rsidR="003B7DD7" w:rsidRPr="00955BDE">
        <w:rPr>
          <w:rFonts w:ascii="Arial" w:eastAsia="STZhongsong" w:hAnsi="Arial" w:cs="Times New Roman"/>
          <w:lang w:eastAsia="zh-CN"/>
        </w:rPr>
        <w:t xml:space="preserve">under </w:t>
      </w:r>
      <w:r w:rsidRPr="00955BDE">
        <w:rPr>
          <w:rFonts w:ascii="Arial" w:eastAsia="STZhongsong" w:hAnsi="Arial" w:cs="Times New Roman"/>
          <w:lang w:eastAsia="zh-CN"/>
        </w:rPr>
        <w:t>Crown Commercial Service Standard Terms and Conditions for Services w</w:t>
      </w:r>
      <w:r w:rsidR="00D868A1" w:rsidRPr="00955BDE">
        <w:rPr>
          <w:rFonts w:ascii="Arial" w:eastAsia="STZhongsong" w:hAnsi="Arial" w:cs="Times New Roman"/>
          <w:lang w:eastAsia="zh-CN"/>
        </w:rPr>
        <w:t>hich will govern any resultant C</w:t>
      </w:r>
      <w:r w:rsidRPr="00955BDE">
        <w:rPr>
          <w:rFonts w:ascii="Arial" w:eastAsia="STZhongsong" w:hAnsi="Arial" w:cs="Times New Roman"/>
          <w:lang w:eastAsia="zh-CN"/>
        </w:rPr>
        <w:t>ontract.</w:t>
      </w:r>
    </w:p>
    <w:p w14:paraId="0475DAC4" w14:textId="2FBAE5EC" w:rsidR="0028186A" w:rsidRPr="00955BDE" w:rsidRDefault="0028186A" w:rsidP="00955BDE">
      <w:pPr>
        <w:pStyle w:val="Heading2"/>
        <w:numPr>
          <w:ilvl w:val="1"/>
          <w:numId w:val="19"/>
        </w:numPr>
        <w:jc w:val="left"/>
      </w:pPr>
      <w:r w:rsidRPr="00955BDE">
        <w:rPr>
          <w:sz w:val="22"/>
          <w:szCs w:val="22"/>
        </w:rPr>
        <w:t>The Agent is managing this Proc</w:t>
      </w:r>
      <w:r w:rsidR="00A110B9">
        <w:rPr>
          <w:sz w:val="22"/>
          <w:szCs w:val="22"/>
        </w:rPr>
        <w:t xml:space="preserve">urement in accordance with the </w:t>
      </w:r>
      <w:bookmarkStart w:id="1" w:name="_GoBack"/>
      <w:bookmarkEnd w:id="1"/>
      <w:r w:rsidRPr="00955BDE">
        <w:rPr>
          <w:sz w:val="22"/>
          <w:szCs w:val="22"/>
        </w:rPr>
        <w:t>Public Contracts Regulations 2015</w:t>
      </w:r>
      <w:r w:rsidR="00955BDE" w:rsidRPr="00955BDE">
        <w:rPr>
          <w:sz w:val="22"/>
          <w:szCs w:val="22"/>
        </w:rPr>
        <w:t xml:space="preserve">. </w:t>
      </w:r>
    </w:p>
    <w:p w14:paraId="33F280D7" w14:textId="37539D98" w:rsidR="003E3DDB" w:rsidRPr="00955BDE" w:rsidRDefault="003E3DDB" w:rsidP="00955BDE">
      <w:pPr>
        <w:pStyle w:val="Heading2"/>
        <w:numPr>
          <w:ilvl w:val="1"/>
          <w:numId w:val="19"/>
        </w:numPr>
        <w:jc w:val="left"/>
      </w:pPr>
      <w:r w:rsidRPr="00955BDE">
        <w:rPr>
          <w:sz w:val="22"/>
          <w:szCs w:val="22"/>
        </w:rPr>
        <w:t>This is a call off contract and as such the Authority cannot guarantee volumes of work.</w:t>
      </w:r>
    </w:p>
    <w:p w14:paraId="4A7BA10F" w14:textId="109EA7E1" w:rsidR="00EC3E78" w:rsidRPr="002A5365" w:rsidRDefault="00AE4296" w:rsidP="00955BDE">
      <w:pPr>
        <w:pStyle w:val="Heading2"/>
        <w:jc w:val="left"/>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955BDE">
      <w:pPr>
        <w:pStyle w:val="Heading2"/>
        <w:jc w:val="left"/>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955BDE">
      <w:pPr>
        <w:pStyle w:val="Heading2"/>
        <w:jc w:val="left"/>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955BDE">
      <w:pPr>
        <w:pStyle w:val="Heading2"/>
        <w:jc w:val="left"/>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955BDE">
      <w:pPr>
        <w:pStyle w:val="Heading2"/>
        <w:jc w:val="left"/>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955BDE">
      <w:pPr>
        <w:pStyle w:val="Heading2"/>
        <w:jc w:val="left"/>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FA3BF5">
      <w:pPr>
        <w:pStyle w:val="Heading2"/>
        <w:jc w:val="left"/>
        <w:rPr>
          <w:sz w:val="22"/>
          <w:szCs w:val="22"/>
        </w:rPr>
      </w:pPr>
      <w:r>
        <w:rPr>
          <w:sz w:val="22"/>
          <w:szCs w:val="22"/>
        </w:rPr>
        <w:lastRenderedPageBreak/>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66ED27B2" w:rsidR="00D868A1" w:rsidRPr="00D868A1" w:rsidRDefault="00D868A1" w:rsidP="00B96E73">
      <w:pPr>
        <w:pStyle w:val="Heading2"/>
        <w:numPr>
          <w:ilvl w:val="0"/>
          <w:numId w:val="0"/>
        </w:numPr>
        <w:jc w:val="left"/>
        <w:rPr>
          <w:sz w:val="22"/>
          <w:szCs w:val="22"/>
        </w:rPr>
      </w:pPr>
    </w:p>
    <w:p w14:paraId="3A13BCA1" w14:textId="4AF90986" w:rsidR="00A429F6" w:rsidRPr="000352DC" w:rsidRDefault="00A429F6" w:rsidP="00FA3BF5">
      <w:pPr>
        <w:pStyle w:val="Heading1"/>
        <w:jc w:val="left"/>
        <w:rPr>
          <w:sz w:val="22"/>
          <w:szCs w:val="22"/>
        </w:rPr>
      </w:pPr>
      <w:bookmarkStart w:id="2" w:name="_Toc512936619"/>
      <w:r w:rsidRPr="000352DC">
        <w:rPr>
          <w:sz w:val="22"/>
          <w:szCs w:val="22"/>
        </w:rPr>
        <w:t>OVERVIEW OF INVITATION TO TENDER</w:t>
      </w:r>
      <w:bookmarkEnd w:id="2"/>
    </w:p>
    <w:p w14:paraId="4EEF2D73" w14:textId="0D6541A2" w:rsidR="00A429F6" w:rsidRPr="006E1BB2" w:rsidRDefault="00A429F6" w:rsidP="00FA3BF5">
      <w:pPr>
        <w:pStyle w:val="Heading2"/>
        <w:jc w:val="left"/>
        <w:rPr>
          <w:sz w:val="22"/>
          <w:szCs w:val="22"/>
        </w:rPr>
      </w:pPr>
      <w:r w:rsidRPr="006E1BB2">
        <w:rPr>
          <w:sz w:val="22"/>
          <w:szCs w:val="22"/>
        </w:rPr>
        <w:t>The following appendices accompany this ITT:</w:t>
      </w:r>
    </w:p>
    <w:p w14:paraId="5E6CC242" w14:textId="45921823" w:rsidR="00A429F6" w:rsidRDefault="00A429F6" w:rsidP="00FA3BF5">
      <w:pPr>
        <w:pStyle w:val="Heading3"/>
        <w:jc w:val="left"/>
      </w:pPr>
      <w:r>
        <w:t xml:space="preserve">Appendix </w:t>
      </w:r>
      <w:proofErr w:type="gramStart"/>
      <w:r>
        <w:t>A</w:t>
      </w:r>
      <w:proofErr w:type="gramEnd"/>
      <w:r w:rsidR="000352DC">
        <w:t xml:space="preserve"> – Terms of Participation</w:t>
      </w:r>
    </w:p>
    <w:p w14:paraId="2757E92A" w14:textId="5C6D68F9" w:rsidR="00A429F6" w:rsidRDefault="00A429F6" w:rsidP="00FA3BF5">
      <w:pPr>
        <w:pStyle w:val="Heading4"/>
        <w:jc w:val="left"/>
      </w:pPr>
      <w:r>
        <w:t xml:space="preserve">Sets </w:t>
      </w:r>
      <w:r w:rsidR="004D7B72">
        <w:t xml:space="preserve">out </w:t>
      </w:r>
      <w:r>
        <w:t>the conditions of participation in this procurement.</w:t>
      </w:r>
    </w:p>
    <w:p w14:paraId="098C6F0D" w14:textId="3FEFB584" w:rsidR="00A429F6" w:rsidRDefault="00A429F6" w:rsidP="00FA3BF5">
      <w:pPr>
        <w:pStyle w:val="Heading3"/>
        <w:jc w:val="left"/>
      </w:pPr>
      <w:r>
        <w:t>Appendix B – Statement of Requirements</w:t>
      </w:r>
    </w:p>
    <w:p w14:paraId="1EB5CFC0" w14:textId="29B0353D" w:rsidR="00A429F6" w:rsidRDefault="00A429F6" w:rsidP="00FA3BF5">
      <w:pPr>
        <w:pStyle w:val="Heading4"/>
        <w:jc w:val="left"/>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FA3BF5">
      <w:pPr>
        <w:pStyle w:val="Heading3"/>
        <w:jc w:val="left"/>
      </w:pPr>
      <w:r>
        <w:t>Appendix C – Terms and Conditions</w:t>
      </w:r>
    </w:p>
    <w:p w14:paraId="0413EA47" w14:textId="6BB4171A" w:rsidR="00A429F6" w:rsidRDefault="00A429F6" w:rsidP="00FA3BF5">
      <w:pPr>
        <w:pStyle w:val="Heading4"/>
        <w:jc w:val="left"/>
      </w:pPr>
      <w:r>
        <w:t>Sets out the terms and conditions of Contract that will exist between the Authority and the Supplier.</w:t>
      </w:r>
    </w:p>
    <w:p w14:paraId="5D9ED3A9" w14:textId="70094161" w:rsidR="00A429F6" w:rsidRDefault="00A429F6" w:rsidP="00FA3BF5">
      <w:pPr>
        <w:pStyle w:val="Heading3"/>
        <w:jc w:val="left"/>
      </w:pPr>
      <w:r>
        <w:t>Appendix D – Response Guidance</w:t>
      </w:r>
    </w:p>
    <w:p w14:paraId="2E1E15E2" w14:textId="74B55613" w:rsidR="00A429F6" w:rsidRPr="000352DC" w:rsidRDefault="00A429F6" w:rsidP="00FA3BF5">
      <w:pPr>
        <w:pStyle w:val="Heading4"/>
        <w:jc w:val="left"/>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FA3BF5">
      <w:pPr>
        <w:pStyle w:val="Heading3"/>
        <w:jc w:val="left"/>
      </w:pPr>
      <w:r>
        <w:t xml:space="preserve">Appendix E – Pricing </w:t>
      </w:r>
      <w:r w:rsidR="00255885">
        <w:t>Schedule</w:t>
      </w:r>
    </w:p>
    <w:p w14:paraId="209DDD15" w14:textId="0CA173B7" w:rsidR="00255885" w:rsidRDefault="00255885" w:rsidP="00FA3BF5">
      <w:pPr>
        <w:pStyle w:val="Heading4"/>
        <w:jc w:val="left"/>
      </w:pPr>
      <w:r>
        <w:t>Sets out a template for populating your price submission.</w:t>
      </w:r>
    </w:p>
    <w:p w14:paraId="657B37AD" w14:textId="4E7CEBE9" w:rsidR="00255885" w:rsidRDefault="00255885" w:rsidP="00FA3BF5">
      <w:pPr>
        <w:pStyle w:val="Heading3"/>
        <w:jc w:val="left"/>
      </w:pPr>
      <w:r>
        <w:t>Appendix F – Supplier Guidance</w:t>
      </w:r>
    </w:p>
    <w:p w14:paraId="46D402D1" w14:textId="26EFC894" w:rsidR="00255885" w:rsidRPr="000352DC" w:rsidRDefault="00255885" w:rsidP="00FA3BF5">
      <w:pPr>
        <w:pStyle w:val="Heading4"/>
        <w:jc w:val="left"/>
      </w:pPr>
      <w:r>
        <w:t>Sets out the supplier guidance for using the e-Sourcing Suite.</w:t>
      </w:r>
    </w:p>
    <w:p w14:paraId="4A7BA129" w14:textId="22E60E62" w:rsidR="00AE4296" w:rsidRPr="002A5365" w:rsidRDefault="00AE4296" w:rsidP="00FA3BF5">
      <w:pPr>
        <w:pStyle w:val="Heading1"/>
        <w:jc w:val="left"/>
        <w:rPr>
          <w:rFonts w:cs="Arial"/>
          <w:sz w:val="22"/>
          <w:szCs w:val="22"/>
        </w:rPr>
      </w:pPr>
      <w:bookmarkStart w:id="3" w:name="_Toc512936620"/>
      <w:bookmarkStart w:id="4" w:name="_Ref284694562"/>
      <w:r w:rsidRPr="002A5365">
        <w:rPr>
          <w:rFonts w:cs="Arial"/>
          <w:sz w:val="22"/>
          <w:szCs w:val="22"/>
        </w:rPr>
        <w:t>ReqUirements</w:t>
      </w:r>
      <w:bookmarkEnd w:id="3"/>
      <w:r w:rsidRPr="002A5365">
        <w:rPr>
          <w:rFonts w:cs="Arial"/>
          <w:sz w:val="22"/>
          <w:szCs w:val="22"/>
        </w:rPr>
        <w:t xml:space="preserve"> </w:t>
      </w:r>
      <w:bookmarkEnd w:id="4"/>
    </w:p>
    <w:p w14:paraId="4A7BA12A" w14:textId="571EAF47" w:rsidR="00AE4296" w:rsidRPr="00955BDE" w:rsidRDefault="00AE4296" w:rsidP="00FA3BF5">
      <w:pPr>
        <w:pStyle w:val="Heading2"/>
        <w:jc w:val="left"/>
        <w:rPr>
          <w:rFonts w:cs="Arial"/>
          <w:sz w:val="22"/>
          <w:szCs w:val="22"/>
        </w:rPr>
      </w:pPr>
      <w:r w:rsidRPr="00955BDE">
        <w:rPr>
          <w:rFonts w:cs="Arial"/>
          <w:sz w:val="22"/>
          <w:szCs w:val="22"/>
        </w:rPr>
        <w:t xml:space="preserve">A detailed description of </w:t>
      </w:r>
      <w:r w:rsidR="00955BDE" w:rsidRPr="00955BDE">
        <w:rPr>
          <w:rFonts w:cs="Arial"/>
          <w:sz w:val="22"/>
          <w:szCs w:val="22"/>
        </w:rPr>
        <w:t xml:space="preserve">the </w:t>
      </w:r>
      <w:r w:rsidR="00EB45FC" w:rsidRPr="00955BDE">
        <w:rPr>
          <w:rFonts w:cs="Arial"/>
          <w:sz w:val="22"/>
          <w:szCs w:val="22"/>
        </w:rPr>
        <w:t>S</w:t>
      </w:r>
      <w:r w:rsidR="00955BDE" w:rsidRPr="00955BDE">
        <w:rPr>
          <w:rFonts w:cs="Arial"/>
          <w:sz w:val="22"/>
          <w:szCs w:val="22"/>
        </w:rPr>
        <w:t>ervices</w:t>
      </w:r>
      <w:r w:rsidRPr="00955BDE">
        <w:rPr>
          <w:rFonts w:cs="Arial"/>
          <w:sz w:val="22"/>
          <w:szCs w:val="22"/>
        </w:rPr>
        <w:t xml:space="preserve"> that a Supplier will be required to supply </w:t>
      </w:r>
      <w:r w:rsidR="009D588D" w:rsidRPr="00955BDE">
        <w:rPr>
          <w:rFonts w:cs="Arial"/>
          <w:sz w:val="22"/>
          <w:szCs w:val="22"/>
        </w:rPr>
        <w:t xml:space="preserve">is set out at </w:t>
      </w:r>
      <w:r w:rsidR="00DF0D5B" w:rsidRPr="00955BDE">
        <w:rPr>
          <w:rFonts w:cs="Arial"/>
          <w:sz w:val="22"/>
          <w:szCs w:val="22"/>
        </w:rPr>
        <w:t>Appendix B</w:t>
      </w:r>
      <w:r w:rsidR="00A24DBD" w:rsidRPr="00955BDE">
        <w:rPr>
          <w:rFonts w:cs="Arial"/>
          <w:sz w:val="22"/>
          <w:szCs w:val="22"/>
        </w:rPr>
        <w:t>,</w:t>
      </w:r>
      <w:r w:rsidR="009757CE" w:rsidRPr="00955BDE">
        <w:rPr>
          <w:rFonts w:cs="Arial"/>
          <w:sz w:val="22"/>
          <w:szCs w:val="22"/>
        </w:rPr>
        <w:t xml:space="preserve"> Statement of Requirements</w:t>
      </w:r>
      <w:r w:rsidR="00A24DBD" w:rsidRPr="00955BDE">
        <w:rPr>
          <w:rFonts w:cs="Arial"/>
          <w:sz w:val="22"/>
          <w:szCs w:val="22"/>
        </w:rPr>
        <w:t>.</w:t>
      </w:r>
      <w:r w:rsidR="009757CE" w:rsidRPr="00955BDE">
        <w:rPr>
          <w:rFonts w:cs="Arial"/>
          <w:sz w:val="22"/>
          <w:szCs w:val="22"/>
        </w:rPr>
        <w:t xml:space="preserve"> </w:t>
      </w:r>
    </w:p>
    <w:p w14:paraId="0499E71C" w14:textId="61500911" w:rsidR="00771451" w:rsidRPr="00955BDE" w:rsidRDefault="00AE4296" w:rsidP="00FA3BF5">
      <w:pPr>
        <w:pStyle w:val="Heading2"/>
        <w:jc w:val="left"/>
        <w:rPr>
          <w:rFonts w:cs="Arial"/>
          <w:sz w:val="22"/>
          <w:szCs w:val="22"/>
        </w:rPr>
      </w:pPr>
      <w:r w:rsidRPr="00955BDE">
        <w:rPr>
          <w:rFonts w:cs="Arial"/>
          <w:sz w:val="22"/>
          <w:szCs w:val="22"/>
        </w:rPr>
        <w:t xml:space="preserve">The </w:t>
      </w:r>
      <w:r w:rsidR="00955BDE" w:rsidRPr="00955BDE">
        <w:rPr>
          <w:rFonts w:cs="Arial"/>
          <w:sz w:val="22"/>
          <w:szCs w:val="22"/>
        </w:rPr>
        <w:t>Services</w:t>
      </w:r>
      <w:r w:rsidRPr="00955BDE">
        <w:rPr>
          <w:rFonts w:cs="Arial"/>
          <w:sz w:val="22"/>
          <w:szCs w:val="22"/>
        </w:rPr>
        <w:t xml:space="preserve"> covered </w:t>
      </w:r>
      <w:r w:rsidR="00955BDE" w:rsidRPr="00955BDE">
        <w:rPr>
          <w:rFonts w:cs="Arial"/>
          <w:sz w:val="22"/>
          <w:szCs w:val="22"/>
        </w:rPr>
        <w:t xml:space="preserve">by this Procurement have </w:t>
      </w:r>
      <w:r w:rsidR="00771451" w:rsidRPr="00955BDE">
        <w:rPr>
          <w:rFonts w:cs="Arial"/>
          <w:sz w:val="22"/>
          <w:szCs w:val="22"/>
        </w:rPr>
        <w:t>not been sub-divided into Lots b</w:t>
      </w:r>
      <w:r w:rsidR="00955BDE" w:rsidRPr="00955BDE">
        <w:rPr>
          <w:rFonts w:cs="Arial"/>
          <w:sz w:val="22"/>
          <w:szCs w:val="22"/>
        </w:rPr>
        <w:t xml:space="preserve">ecause as this is a Single Source Requirement, where the use of Lots is not applicable. </w:t>
      </w:r>
    </w:p>
    <w:p w14:paraId="4A7BA147" w14:textId="77777777" w:rsidR="00706CC1" w:rsidRPr="002A5365" w:rsidRDefault="00706CC1" w:rsidP="00FA3BF5">
      <w:pPr>
        <w:pStyle w:val="Heading1"/>
        <w:jc w:val="left"/>
        <w:rPr>
          <w:sz w:val="22"/>
          <w:szCs w:val="22"/>
        </w:rPr>
      </w:pPr>
      <w:bookmarkStart w:id="5" w:name="_Ref284764423"/>
      <w:bookmarkStart w:id="6" w:name="_Toc512936621"/>
      <w:r w:rsidRPr="002A5365">
        <w:rPr>
          <w:sz w:val="22"/>
          <w:szCs w:val="22"/>
        </w:rPr>
        <w:t>procurement timEtable</w:t>
      </w:r>
      <w:bookmarkEnd w:id="5"/>
      <w:bookmarkEnd w:id="6"/>
    </w:p>
    <w:p w14:paraId="4A7BA148" w14:textId="06D15D80" w:rsidR="00706CC1" w:rsidRPr="002A5365" w:rsidRDefault="00706CC1" w:rsidP="00FA3BF5">
      <w:pPr>
        <w:pStyle w:val="Heading2"/>
        <w:jc w:val="left"/>
        <w:rPr>
          <w:sz w:val="22"/>
          <w:szCs w:val="22"/>
        </w:rPr>
      </w:pPr>
      <w:r w:rsidRPr="002A5365">
        <w:rPr>
          <w:sz w:val="22"/>
          <w:szCs w:val="22"/>
        </w:rPr>
        <w:t xml:space="preserve">The timetable for this Procurement is set out in the table below. </w:t>
      </w:r>
    </w:p>
    <w:p w14:paraId="4A7BA14A" w14:textId="588F1DDF" w:rsidR="00706CC1" w:rsidRPr="00CF0A0C" w:rsidRDefault="00706CC1" w:rsidP="00CF0A0C">
      <w:pPr>
        <w:pStyle w:val="Heading2"/>
        <w:jc w:val="left"/>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5902"/>
      </w:tblGrid>
      <w:tr w:rsidR="00706CC1" w:rsidRPr="002A5365" w14:paraId="4A7BA14D" w14:textId="77777777" w:rsidTr="00A33BC3">
        <w:trPr>
          <w:cantSplit/>
          <w:trHeight w:val="397"/>
          <w:tblHeader/>
        </w:trPr>
        <w:tc>
          <w:tcPr>
            <w:tcW w:w="2545"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A33BC3">
        <w:trPr>
          <w:cantSplit/>
          <w:trHeight w:val="397"/>
        </w:trPr>
        <w:tc>
          <w:tcPr>
            <w:tcW w:w="2545" w:type="dxa"/>
            <w:vAlign w:val="center"/>
          </w:tcPr>
          <w:p w14:paraId="4A7BA14E" w14:textId="54C51091" w:rsidR="00706CC1" w:rsidRPr="00CF0A0C" w:rsidRDefault="00CF0A0C" w:rsidP="00CF0A0C">
            <w:pPr>
              <w:pStyle w:val="MarginText"/>
              <w:jc w:val="center"/>
              <w:rPr>
                <w:sz w:val="22"/>
                <w:szCs w:val="22"/>
              </w:rPr>
            </w:pPr>
            <w:r w:rsidRPr="00CF0A0C">
              <w:rPr>
                <w:sz w:val="22"/>
                <w:szCs w:val="22"/>
              </w:rPr>
              <w:t>Friday 4</w:t>
            </w:r>
            <w:r w:rsidRPr="00CF0A0C">
              <w:rPr>
                <w:sz w:val="22"/>
                <w:szCs w:val="22"/>
                <w:vertAlign w:val="superscript"/>
              </w:rPr>
              <w:t>th</w:t>
            </w:r>
            <w:r w:rsidRPr="00CF0A0C">
              <w:rPr>
                <w:sz w:val="22"/>
                <w:szCs w:val="22"/>
              </w:rPr>
              <w:t xml:space="preserve"> May 2018</w:t>
            </w:r>
          </w:p>
        </w:tc>
        <w:tc>
          <w:tcPr>
            <w:tcW w:w="5885" w:type="dxa"/>
          </w:tcPr>
          <w:p w14:paraId="4A7BA14F" w14:textId="0BF65D6F" w:rsidR="00706CC1" w:rsidRPr="007D078C" w:rsidRDefault="007D078C" w:rsidP="00A33BC3">
            <w:pPr>
              <w:pStyle w:val="MarginText"/>
              <w:jc w:val="left"/>
              <w:rPr>
                <w:sz w:val="22"/>
                <w:szCs w:val="22"/>
              </w:rPr>
            </w:pPr>
            <w:r w:rsidRPr="00955BDE">
              <w:rPr>
                <w:sz w:val="22"/>
                <w:szCs w:val="22"/>
              </w:rPr>
              <w:t>Publication of ITT</w:t>
            </w:r>
            <w:r w:rsidR="00955BDE" w:rsidRPr="00955BDE">
              <w:rPr>
                <w:sz w:val="22"/>
                <w:szCs w:val="22"/>
              </w:rPr>
              <w:t xml:space="preserve"> Live on Contracts Finder. </w:t>
            </w:r>
            <w:r w:rsidR="00255885" w:rsidRPr="00955BDE">
              <w:rPr>
                <w:sz w:val="22"/>
                <w:szCs w:val="22"/>
              </w:rPr>
              <w:t xml:space="preserve">Notice inclusive of </w:t>
            </w:r>
            <w:r w:rsidRPr="00955BDE">
              <w:rPr>
                <w:sz w:val="22"/>
                <w:szCs w:val="22"/>
              </w:rPr>
              <w:t>Launch of e-Sourcing event</w:t>
            </w:r>
            <w:r w:rsidR="00955BDE">
              <w:rPr>
                <w:sz w:val="22"/>
                <w:szCs w:val="22"/>
              </w:rPr>
              <w:t xml:space="preserve">. </w:t>
            </w:r>
          </w:p>
        </w:tc>
      </w:tr>
      <w:tr w:rsidR="00706CC1" w:rsidRPr="002A5365" w14:paraId="4A7BA153" w14:textId="77777777" w:rsidTr="00251AE6">
        <w:trPr>
          <w:cantSplit/>
          <w:trHeight w:val="397"/>
        </w:trPr>
        <w:tc>
          <w:tcPr>
            <w:tcW w:w="2400" w:type="dxa"/>
            <w:vAlign w:val="center"/>
          </w:tcPr>
          <w:p w14:paraId="4A7BA151" w14:textId="05BEA74B" w:rsidR="00706CC1" w:rsidRPr="00CF0A0C" w:rsidRDefault="00CF0A0C" w:rsidP="00CF0A0C">
            <w:pPr>
              <w:pStyle w:val="MarginText"/>
              <w:jc w:val="center"/>
              <w:rPr>
                <w:sz w:val="22"/>
                <w:szCs w:val="22"/>
              </w:rPr>
            </w:pPr>
            <w:r w:rsidRPr="00CF0A0C">
              <w:rPr>
                <w:sz w:val="22"/>
                <w:szCs w:val="22"/>
              </w:rPr>
              <w:t>Friday 4</w:t>
            </w:r>
            <w:r w:rsidRPr="00CF0A0C">
              <w:rPr>
                <w:sz w:val="22"/>
                <w:szCs w:val="22"/>
                <w:vertAlign w:val="superscript"/>
              </w:rPr>
              <w:t>th</w:t>
            </w:r>
            <w:r w:rsidRPr="00CF0A0C">
              <w:rPr>
                <w:sz w:val="22"/>
                <w:szCs w:val="22"/>
              </w:rPr>
              <w:t xml:space="preserve"> May 2018</w:t>
            </w:r>
          </w:p>
        </w:tc>
        <w:tc>
          <w:tcPr>
            <w:tcW w:w="6030" w:type="dxa"/>
          </w:tcPr>
          <w:p w14:paraId="4A7BA152" w14:textId="056B33C9" w:rsidR="00706CC1" w:rsidRPr="007D078C" w:rsidRDefault="00706CC1" w:rsidP="00A33BC3">
            <w:pPr>
              <w:pStyle w:val="MarginText"/>
              <w:jc w:val="left"/>
              <w:rPr>
                <w:sz w:val="22"/>
                <w:szCs w:val="22"/>
              </w:rPr>
            </w:pPr>
            <w:r w:rsidRPr="007D078C">
              <w:rPr>
                <w:sz w:val="22"/>
                <w:szCs w:val="22"/>
              </w:rPr>
              <w:t>Clarification period starts</w:t>
            </w:r>
            <w:r w:rsidR="00955BDE">
              <w:rPr>
                <w:sz w:val="22"/>
                <w:szCs w:val="22"/>
              </w:rPr>
              <w:t xml:space="preserve">. </w:t>
            </w:r>
          </w:p>
        </w:tc>
      </w:tr>
      <w:tr w:rsidR="00706CC1" w:rsidRPr="002A5365" w14:paraId="4A7BA159" w14:textId="77777777" w:rsidTr="00251AE6">
        <w:trPr>
          <w:cantSplit/>
          <w:trHeight w:val="397"/>
        </w:trPr>
        <w:tc>
          <w:tcPr>
            <w:tcW w:w="2400" w:type="dxa"/>
            <w:vAlign w:val="center"/>
          </w:tcPr>
          <w:p w14:paraId="4A7BA157" w14:textId="4AE73343" w:rsidR="00706CC1" w:rsidRPr="00CF0A0C" w:rsidRDefault="00CF0A0C" w:rsidP="00CF0A0C">
            <w:pPr>
              <w:pStyle w:val="MarginText"/>
              <w:jc w:val="center"/>
              <w:rPr>
                <w:sz w:val="22"/>
                <w:szCs w:val="22"/>
              </w:rPr>
            </w:pPr>
            <w:r w:rsidRPr="00CF0A0C">
              <w:rPr>
                <w:sz w:val="22"/>
                <w:szCs w:val="22"/>
              </w:rPr>
              <w:lastRenderedPageBreak/>
              <w:t>Friday 11</w:t>
            </w:r>
            <w:r w:rsidRPr="00CF0A0C">
              <w:rPr>
                <w:sz w:val="22"/>
                <w:szCs w:val="22"/>
                <w:vertAlign w:val="superscript"/>
              </w:rPr>
              <w:t>th</w:t>
            </w:r>
            <w:r w:rsidRPr="00CF0A0C">
              <w:rPr>
                <w:sz w:val="22"/>
                <w:szCs w:val="22"/>
              </w:rPr>
              <w:t xml:space="preserve"> May 2018 </w:t>
            </w:r>
            <w:r w:rsidRPr="00CF0A0C">
              <w:rPr>
                <w:sz w:val="22"/>
                <w:szCs w:val="22"/>
              </w:rPr>
              <w:br/>
            </w:r>
            <w:r w:rsidRPr="00CF0A0C">
              <w:rPr>
                <w:sz w:val="22"/>
                <w:szCs w:val="22"/>
              </w:rPr>
              <w:br/>
              <w:t>15:00</w:t>
            </w:r>
          </w:p>
        </w:tc>
        <w:tc>
          <w:tcPr>
            <w:tcW w:w="6030" w:type="dxa"/>
          </w:tcPr>
          <w:p w14:paraId="4A7BA158" w14:textId="7CAE4BEE" w:rsidR="00706CC1" w:rsidRPr="007D078C" w:rsidRDefault="00706CC1" w:rsidP="00A33BC3">
            <w:pPr>
              <w:pStyle w:val="MarginText"/>
              <w:jc w:val="lef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r w:rsidR="00955BDE">
              <w:rPr>
                <w:sz w:val="22"/>
                <w:szCs w:val="22"/>
              </w:rPr>
              <w:t xml:space="preserve">. </w:t>
            </w:r>
          </w:p>
        </w:tc>
      </w:tr>
      <w:tr w:rsidR="00706CC1" w:rsidRPr="002A5365" w14:paraId="4A7BA15C" w14:textId="77777777" w:rsidTr="00955BDE">
        <w:trPr>
          <w:cantSplit/>
          <w:trHeight w:val="397"/>
        </w:trPr>
        <w:tc>
          <w:tcPr>
            <w:tcW w:w="2564" w:type="dxa"/>
            <w:vAlign w:val="center"/>
          </w:tcPr>
          <w:p w14:paraId="4A7BA15A" w14:textId="36F6259F" w:rsidR="00706CC1" w:rsidRPr="00CF0A0C" w:rsidRDefault="00CF0A0C" w:rsidP="00CF0A0C">
            <w:pPr>
              <w:pStyle w:val="MarginText"/>
              <w:jc w:val="center"/>
              <w:rPr>
                <w:sz w:val="22"/>
                <w:szCs w:val="22"/>
              </w:rPr>
            </w:pPr>
            <w:r w:rsidRPr="00CF0A0C">
              <w:rPr>
                <w:sz w:val="22"/>
                <w:szCs w:val="22"/>
              </w:rPr>
              <w:t>Monday 14</w:t>
            </w:r>
            <w:r w:rsidRPr="00CF0A0C">
              <w:rPr>
                <w:sz w:val="22"/>
                <w:szCs w:val="22"/>
                <w:vertAlign w:val="superscript"/>
              </w:rPr>
              <w:t>th</w:t>
            </w:r>
            <w:r w:rsidRPr="00CF0A0C">
              <w:rPr>
                <w:sz w:val="22"/>
                <w:szCs w:val="22"/>
              </w:rPr>
              <w:t xml:space="preserve"> May 2018 </w:t>
            </w:r>
            <w:r w:rsidRPr="00CF0A0C">
              <w:rPr>
                <w:sz w:val="22"/>
                <w:szCs w:val="22"/>
              </w:rPr>
              <w:br/>
            </w:r>
            <w:r w:rsidRPr="00CF0A0C">
              <w:rPr>
                <w:sz w:val="22"/>
                <w:szCs w:val="22"/>
              </w:rPr>
              <w:br/>
              <w:t>15:00</w:t>
            </w:r>
          </w:p>
        </w:tc>
        <w:tc>
          <w:tcPr>
            <w:tcW w:w="5866" w:type="dxa"/>
          </w:tcPr>
          <w:p w14:paraId="4A7BA15B" w14:textId="269B9C7C" w:rsidR="00706CC1" w:rsidRPr="007D078C" w:rsidRDefault="00706CC1" w:rsidP="00A33BC3">
            <w:pPr>
              <w:pStyle w:val="MarginText"/>
              <w:jc w:val="left"/>
              <w:rPr>
                <w:b/>
                <w:i/>
                <w:sz w:val="22"/>
                <w:szCs w:val="22"/>
              </w:rPr>
            </w:pPr>
            <w:r w:rsidRPr="007D078C">
              <w:rPr>
                <w:sz w:val="22"/>
                <w:szCs w:val="22"/>
              </w:rPr>
              <w:t>Deadline for the publication of responses to</w:t>
            </w:r>
            <w:r w:rsidR="00A33BC3">
              <w:rPr>
                <w:sz w:val="22"/>
                <w:szCs w:val="22"/>
              </w:rPr>
              <w:t xml:space="preserve"> Tender Clarification questions. </w:t>
            </w:r>
          </w:p>
        </w:tc>
      </w:tr>
      <w:tr w:rsidR="00706CC1" w:rsidRPr="002A5365" w14:paraId="4A7BA15F" w14:textId="77777777" w:rsidTr="00955BDE">
        <w:trPr>
          <w:cantSplit/>
          <w:trHeight w:val="397"/>
        </w:trPr>
        <w:tc>
          <w:tcPr>
            <w:tcW w:w="2564" w:type="dxa"/>
            <w:vAlign w:val="center"/>
          </w:tcPr>
          <w:p w14:paraId="4A7BA15D" w14:textId="4251E543" w:rsidR="00706CC1" w:rsidRPr="00CF0A0C" w:rsidRDefault="00CF0A0C" w:rsidP="00CF0A0C">
            <w:pPr>
              <w:pStyle w:val="MarginText"/>
              <w:jc w:val="center"/>
              <w:rPr>
                <w:sz w:val="22"/>
                <w:szCs w:val="22"/>
              </w:rPr>
            </w:pPr>
            <w:r w:rsidRPr="00CF0A0C">
              <w:rPr>
                <w:sz w:val="22"/>
                <w:szCs w:val="22"/>
              </w:rPr>
              <w:t>Monday 21</w:t>
            </w:r>
            <w:r w:rsidRPr="00CF0A0C">
              <w:rPr>
                <w:sz w:val="22"/>
                <w:szCs w:val="22"/>
                <w:vertAlign w:val="superscript"/>
              </w:rPr>
              <w:t>st</w:t>
            </w:r>
            <w:r w:rsidRPr="00CF0A0C">
              <w:rPr>
                <w:sz w:val="22"/>
                <w:szCs w:val="22"/>
              </w:rPr>
              <w:t xml:space="preserve"> May 2018 </w:t>
            </w:r>
            <w:r w:rsidRPr="00CF0A0C">
              <w:rPr>
                <w:sz w:val="22"/>
                <w:szCs w:val="22"/>
              </w:rPr>
              <w:br/>
            </w:r>
            <w:r w:rsidRPr="00CF0A0C">
              <w:rPr>
                <w:sz w:val="22"/>
                <w:szCs w:val="22"/>
              </w:rPr>
              <w:br/>
              <w:t>11:00</w:t>
            </w:r>
          </w:p>
        </w:tc>
        <w:tc>
          <w:tcPr>
            <w:tcW w:w="5866" w:type="dxa"/>
          </w:tcPr>
          <w:p w14:paraId="4A7BA15E" w14:textId="3580F110" w:rsidR="00706CC1" w:rsidRPr="007D078C" w:rsidRDefault="00706CC1" w:rsidP="00A33BC3">
            <w:pPr>
              <w:pStyle w:val="MarginText"/>
              <w:jc w:val="lef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A33BC3">
              <w:rPr>
                <w:sz w:val="22"/>
                <w:szCs w:val="22"/>
              </w:rPr>
              <w:t>.</w:t>
            </w:r>
          </w:p>
        </w:tc>
      </w:tr>
      <w:tr w:rsidR="00706CC1" w:rsidRPr="002A5365" w14:paraId="4A7BA165" w14:textId="77777777" w:rsidTr="00955BDE">
        <w:trPr>
          <w:cantSplit/>
          <w:trHeight w:val="397"/>
        </w:trPr>
        <w:tc>
          <w:tcPr>
            <w:tcW w:w="2564" w:type="dxa"/>
            <w:vAlign w:val="center"/>
          </w:tcPr>
          <w:p w14:paraId="4A7BA163" w14:textId="36807C60" w:rsidR="00706CC1" w:rsidRPr="00CF0A0C" w:rsidRDefault="00CF0A0C" w:rsidP="00251AE6">
            <w:pPr>
              <w:pStyle w:val="MarginText"/>
              <w:jc w:val="center"/>
              <w:rPr>
                <w:sz w:val="22"/>
                <w:szCs w:val="22"/>
              </w:rPr>
            </w:pPr>
            <w:r w:rsidRPr="00CF0A0C">
              <w:rPr>
                <w:sz w:val="22"/>
                <w:szCs w:val="22"/>
              </w:rPr>
              <w:t>Monday 21</w:t>
            </w:r>
            <w:r w:rsidRPr="00CF0A0C">
              <w:rPr>
                <w:sz w:val="22"/>
                <w:szCs w:val="22"/>
                <w:vertAlign w:val="superscript"/>
              </w:rPr>
              <w:t>st</w:t>
            </w:r>
            <w:r w:rsidRPr="00CF0A0C">
              <w:rPr>
                <w:sz w:val="22"/>
                <w:szCs w:val="22"/>
              </w:rPr>
              <w:t xml:space="preserve"> May 2018</w:t>
            </w:r>
          </w:p>
        </w:tc>
        <w:tc>
          <w:tcPr>
            <w:tcW w:w="5866" w:type="dxa"/>
          </w:tcPr>
          <w:p w14:paraId="4A7BA164" w14:textId="2EACB5A6" w:rsidR="00706CC1" w:rsidRPr="007D078C" w:rsidRDefault="007D078C" w:rsidP="00A33BC3">
            <w:pPr>
              <w:pStyle w:val="MarginText"/>
              <w:jc w:val="left"/>
              <w:rPr>
                <w:sz w:val="22"/>
                <w:szCs w:val="22"/>
              </w:rPr>
            </w:pPr>
            <w:r>
              <w:rPr>
                <w:sz w:val="22"/>
                <w:szCs w:val="22"/>
              </w:rPr>
              <w:t>Commencement of Evaluation Process</w:t>
            </w:r>
            <w:r w:rsidR="00A33BC3">
              <w:rPr>
                <w:sz w:val="22"/>
                <w:szCs w:val="22"/>
              </w:rPr>
              <w:t xml:space="preserve">. </w:t>
            </w:r>
          </w:p>
        </w:tc>
      </w:tr>
      <w:tr w:rsidR="00BD0E77" w:rsidRPr="002A5365" w14:paraId="496D1439" w14:textId="77777777" w:rsidTr="00A33BC3">
        <w:trPr>
          <w:cantSplit/>
          <w:trHeight w:val="397"/>
        </w:trPr>
        <w:tc>
          <w:tcPr>
            <w:tcW w:w="2545" w:type="dxa"/>
            <w:vAlign w:val="center"/>
          </w:tcPr>
          <w:p w14:paraId="18D88D97" w14:textId="47746D76" w:rsidR="00BD0E77" w:rsidRPr="00CF0A0C" w:rsidRDefault="00CF0A0C" w:rsidP="00CF0A0C">
            <w:pPr>
              <w:pStyle w:val="MarginText"/>
              <w:jc w:val="center"/>
              <w:rPr>
                <w:sz w:val="22"/>
                <w:szCs w:val="22"/>
              </w:rPr>
            </w:pPr>
            <w:r w:rsidRPr="00CF0A0C">
              <w:rPr>
                <w:sz w:val="22"/>
                <w:szCs w:val="22"/>
              </w:rPr>
              <w:t>Monday 4</w:t>
            </w:r>
            <w:r w:rsidRPr="00CF0A0C">
              <w:rPr>
                <w:sz w:val="22"/>
                <w:szCs w:val="22"/>
                <w:vertAlign w:val="superscript"/>
              </w:rPr>
              <w:t>th</w:t>
            </w:r>
            <w:r w:rsidRPr="00CF0A0C">
              <w:rPr>
                <w:sz w:val="22"/>
                <w:szCs w:val="22"/>
              </w:rPr>
              <w:t xml:space="preserve"> June 2018</w:t>
            </w:r>
          </w:p>
        </w:tc>
        <w:tc>
          <w:tcPr>
            <w:tcW w:w="5885" w:type="dxa"/>
          </w:tcPr>
          <w:p w14:paraId="46BC85FD" w14:textId="7A30414B" w:rsidR="00BD0E77" w:rsidRPr="007D078C" w:rsidRDefault="00BD0E77" w:rsidP="00A33BC3">
            <w:pPr>
              <w:pStyle w:val="MarginText"/>
              <w:jc w:val="left"/>
              <w:rPr>
                <w:sz w:val="22"/>
                <w:szCs w:val="22"/>
              </w:rPr>
            </w:pPr>
            <w:r>
              <w:rPr>
                <w:sz w:val="22"/>
                <w:szCs w:val="22"/>
              </w:rPr>
              <w:t>Proposed Award Date of Contract</w:t>
            </w:r>
            <w:r w:rsidR="00CF0A0C">
              <w:rPr>
                <w:sz w:val="22"/>
                <w:szCs w:val="22"/>
              </w:rPr>
              <w:t>.</w:t>
            </w:r>
          </w:p>
        </w:tc>
      </w:tr>
      <w:tr w:rsidR="00706CC1" w:rsidRPr="002A5365" w14:paraId="4A7BA16C" w14:textId="77777777" w:rsidTr="00A33BC3">
        <w:trPr>
          <w:cantSplit/>
          <w:trHeight w:val="397"/>
        </w:trPr>
        <w:tc>
          <w:tcPr>
            <w:tcW w:w="2545" w:type="dxa"/>
            <w:vAlign w:val="center"/>
          </w:tcPr>
          <w:p w14:paraId="4A7BA16A" w14:textId="322D00F0" w:rsidR="00706CC1" w:rsidRPr="00CF0A0C" w:rsidRDefault="00CF0A0C" w:rsidP="00251AE6">
            <w:pPr>
              <w:pStyle w:val="MarginText"/>
              <w:jc w:val="center"/>
              <w:rPr>
                <w:sz w:val="22"/>
                <w:szCs w:val="22"/>
              </w:rPr>
            </w:pPr>
            <w:r w:rsidRPr="00CF0A0C">
              <w:rPr>
                <w:sz w:val="22"/>
                <w:szCs w:val="22"/>
              </w:rPr>
              <w:t>Tuesday 5</w:t>
            </w:r>
            <w:r w:rsidRPr="00CF0A0C">
              <w:rPr>
                <w:sz w:val="22"/>
                <w:szCs w:val="22"/>
                <w:vertAlign w:val="superscript"/>
              </w:rPr>
              <w:t>th</w:t>
            </w:r>
            <w:r w:rsidRPr="00CF0A0C">
              <w:rPr>
                <w:sz w:val="22"/>
                <w:szCs w:val="22"/>
              </w:rPr>
              <w:t xml:space="preserve"> June 2018</w:t>
            </w:r>
          </w:p>
        </w:tc>
        <w:tc>
          <w:tcPr>
            <w:tcW w:w="5885" w:type="dxa"/>
          </w:tcPr>
          <w:p w14:paraId="4A7BA16B" w14:textId="43C08A90" w:rsidR="00706CC1" w:rsidRPr="007D078C" w:rsidRDefault="00F80672" w:rsidP="00A33BC3">
            <w:pPr>
              <w:pStyle w:val="MarginText"/>
              <w:jc w:val="left"/>
              <w:rPr>
                <w:sz w:val="22"/>
                <w:szCs w:val="22"/>
              </w:rPr>
            </w:pPr>
            <w:r w:rsidRPr="007D078C">
              <w:rPr>
                <w:sz w:val="22"/>
                <w:szCs w:val="22"/>
              </w:rPr>
              <w:t xml:space="preserve">Expected execution (signature) date for </w:t>
            </w:r>
            <w:r w:rsidR="00C4674C" w:rsidRPr="007D078C">
              <w:rPr>
                <w:sz w:val="22"/>
                <w:szCs w:val="22"/>
              </w:rPr>
              <w:t>Contract</w:t>
            </w:r>
            <w:r w:rsidR="00A33BC3">
              <w:rPr>
                <w:sz w:val="22"/>
                <w:szCs w:val="22"/>
              </w:rPr>
              <w:t>.</w:t>
            </w:r>
          </w:p>
        </w:tc>
      </w:tr>
      <w:tr w:rsidR="00706CC1" w:rsidRPr="002A5365" w14:paraId="4A7BA16F" w14:textId="77777777" w:rsidTr="00A33BC3">
        <w:trPr>
          <w:cantSplit/>
          <w:trHeight w:val="397"/>
        </w:trPr>
        <w:tc>
          <w:tcPr>
            <w:tcW w:w="2545" w:type="dxa"/>
            <w:vAlign w:val="center"/>
          </w:tcPr>
          <w:p w14:paraId="4A7BA16D" w14:textId="6CBA14DD" w:rsidR="00706CC1" w:rsidRPr="00CF0A0C" w:rsidRDefault="00CF0A0C" w:rsidP="00CF0A0C">
            <w:pPr>
              <w:pStyle w:val="MarginText"/>
              <w:jc w:val="center"/>
              <w:rPr>
                <w:sz w:val="22"/>
                <w:szCs w:val="22"/>
              </w:rPr>
            </w:pPr>
            <w:r w:rsidRPr="00CF0A0C">
              <w:rPr>
                <w:sz w:val="22"/>
                <w:szCs w:val="22"/>
              </w:rPr>
              <w:t>Wednesday 6</w:t>
            </w:r>
            <w:r w:rsidRPr="00CF0A0C">
              <w:rPr>
                <w:sz w:val="22"/>
                <w:szCs w:val="22"/>
                <w:vertAlign w:val="superscript"/>
              </w:rPr>
              <w:t>th</w:t>
            </w:r>
            <w:r w:rsidRPr="00CF0A0C">
              <w:rPr>
                <w:sz w:val="22"/>
                <w:szCs w:val="22"/>
              </w:rPr>
              <w:t xml:space="preserve"> June 2018</w:t>
            </w:r>
          </w:p>
        </w:tc>
        <w:tc>
          <w:tcPr>
            <w:tcW w:w="5885" w:type="dxa"/>
          </w:tcPr>
          <w:p w14:paraId="4A7BA16E" w14:textId="5F3C4DC1" w:rsidR="00706CC1" w:rsidRPr="007D078C" w:rsidRDefault="00735B24" w:rsidP="00A33BC3">
            <w:pPr>
              <w:pStyle w:val="MarginText"/>
              <w:jc w:val="lef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r w:rsidR="00A33BC3">
              <w:rPr>
                <w:sz w:val="22"/>
                <w:szCs w:val="22"/>
              </w:rPr>
              <w:t xml:space="preserve">. </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FA3BF5">
      <w:pPr>
        <w:pStyle w:val="Heading1"/>
        <w:jc w:val="left"/>
        <w:rPr>
          <w:rFonts w:cs="Arial"/>
          <w:sz w:val="22"/>
          <w:szCs w:val="22"/>
        </w:rPr>
      </w:pPr>
      <w:bookmarkStart w:id="8" w:name="_Toc512936622"/>
      <w:r w:rsidRPr="002A5365">
        <w:rPr>
          <w:rFonts w:cs="Arial"/>
          <w:sz w:val="22"/>
          <w:szCs w:val="22"/>
        </w:rPr>
        <w:t>completiNG AND SUBMITTING A tender</w:t>
      </w:r>
      <w:bookmarkEnd w:id="8"/>
    </w:p>
    <w:p w14:paraId="4A7BA174" w14:textId="07D764BF" w:rsidR="00706CC1" w:rsidRPr="002A5365" w:rsidRDefault="00706CC1" w:rsidP="00FA3BF5">
      <w:pPr>
        <w:pStyle w:val="Heading2"/>
        <w:jc w:val="left"/>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FA3BF5">
      <w:pPr>
        <w:pStyle w:val="Heading2"/>
        <w:jc w:val="left"/>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FA3BF5">
      <w:pPr>
        <w:pStyle w:val="Heading2"/>
        <w:jc w:val="left"/>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FA3BF5">
      <w:pPr>
        <w:pStyle w:val="Heading3"/>
        <w:jc w:val="left"/>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FA3BF5">
      <w:pPr>
        <w:pStyle w:val="Heading3"/>
        <w:jc w:val="left"/>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rsidP="00FA3BF5">
      <w:pPr>
        <w:pStyle w:val="Heading3"/>
        <w:jc w:val="left"/>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FA3BF5">
      <w:pPr>
        <w:pStyle w:val="Heading2"/>
        <w:jc w:val="left"/>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FA3BF5">
      <w:pPr>
        <w:pStyle w:val="Heading2"/>
        <w:jc w:val="left"/>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FA3BF5">
      <w:pPr>
        <w:pStyle w:val="Heading3"/>
        <w:jc w:val="left"/>
      </w:pPr>
      <w:r>
        <w:t>Potential Providers</w:t>
      </w:r>
      <w:r w:rsidR="006607CA" w:rsidRPr="002A5365">
        <w:t xml:space="preserve"> must adhere to the following instructions;</w:t>
      </w:r>
    </w:p>
    <w:p w14:paraId="4A7BA17D" w14:textId="4C781DBD" w:rsidR="006607CA" w:rsidRPr="002A5365" w:rsidRDefault="006607CA" w:rsidP="00FA3BF5">
      <w:pPr>
        <w:pStyle w:val="Heading4"/>
        <w:jc w:val="left"/>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704A5AA7" w:rsidR="006607CA" w:rsidRPr="002A5365" w:rsidRDefault="006607CA" w:rsidP="00FA3BF5">
      <w:pPr>
        <w:pStyle w:val="Heading4"/>
        <w:jc w:val="left"/>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r w:rsidR="00CF0A0C">
        <w:br/>
      </w:r>
      <w:r w:rsidR="00CF0A0C">
        <w:br/>
      </w:r>
    </w:p>
    <w:p w14:paraId="4A7BA17F" w14:textId="77777777" w:rsidR="006607CA" w:rsidRPr="002A5365" w:rsidRDefault="006607CA" w:rsidP="00FA3BF5">
      <w:pPr>
        <w:pStyle w:val="Heading2"/>
        <w:jc w:val="left"/>
        <w:rPr>
          <w:rFonts w:cs="Arial"/>
          <w:sz w:val="22"/>
          <w:szCs w:val="22"/>
        </w:rPr>
      </w:pPr>
      <w:r w:rsidRPr="002A5365">
        <w:rPr>
          <w:rFonts w:cs="Arial"/>
          <w:sz w:val="22"/>
          <w:szCs w:val="22"/>
        </w:rPr>
        <w:lastRenderedPageBreak/>
        <w:t>Data Entry</w:t>
      </w:r>
    </w:p>
    <w:p w14:paraId="4A7BA180" w14:textId="77777777" w:rsidR="006607CA" w:rsidRPr="0097799C" w:rsidRDefault="006607CA" w:rsidP="00FA3BF5">
      <w:pPr>
        <w:pStyle w:val="Heading3"/>
        <w:jc w:val="left"/>
      </w:pPr>
      <w:r w:rsidRPr="0097799C">
        <w:t>A fully compliant Tender must adhere to the following instructions;</w:t>
      </w:r>
    </w:p>
    <w:p w14:paraId="4A7BA181" w14:textId="76565068" w:rsidR="006607CA" w:rsidRPr="0097799C" w:rsidRDefault="006607CA" w:rsidP="00FA3BF5">
      <w:pPr>
        <w:pStyle w:val="Heading4"/>
        <w:jc w:val="left"/>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rsidP="00FA3BF5">
      <w:pPr>
        <w:pStyle w:val="Heading4"/>
        <w:jc w:val="left"/>
      </w:pPr>
      <w:r w:rsidRPr="002A5365">
        <w:t>The Tender must be submitted in the English (UK) language.</w:t>
      </w:r>
    </w:p>
    <w:p w14:paraId="4A7BA183" w14:textId="2830309E" w:rsidR="006607CA" w:rsidRPr="002A5365" w:rsidRDefault="00E733E5" w:rsidP="00FA3BF5">
      <w:pPr>
        <w:pStyle w:val="Heading4"/>
        <w:jc w:val="left"/>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rsidP="00FA3BF5">
      <w:pPr>
        <w:pStyle w:val="Heading4"/>
        <w:jc w:val="left"/>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rsidP="00FA3BF5">
      <w:pPr>
        <w:pStyle w:val="Heading4"/>
        <w:jc w:val="left"/>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rsidP="00FA3BF5">
      <w:pPr>
        <w:pStyle w:val="Heading4"/>
        <w:jc w:val="left"/>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FA3BF5">
      <w:pPr>
        <w:pStyle w:val="Heading2"/>
        <w:jc w:val="left"/>
        <w:rPr>
          <w:rFonts w:cs="Arial"/>
          <w:sz w:val="22"/>
          <w:szCs w:val="22"/>
        </w:rPr>
      </w:pPr>
      <w:r w:rsidRPr="002A5365">
        <w:rPr>
          <w:rFonts w:cs="Arial"/>
          <w:sz w:val="22"/>
          <w:szCs w:val="22"/>
        </w:rPr>
        <w:t>Deadline for the submission of Tenders</w:t>
      </w:r>
    </w:p>
    <w:p w14:paraId="4A7BA188" w14:textId="0186E239" w:rsidR="006607CA" w:rsidRPr="002A5365" w:rsidRDefault="006607CA" w:rsidP="00FA3BF5">
      <w:pPr>
        <w:pStyle w:val="Heading3"/>
        <w:jc w:val="left"/>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FA3BF5">
      <w:pPr>
        <w:pStyle w:val="Heading2"/>
        <w:jc w:val="left"/>
        <w:rPr>
          <w:rFonts w:cs="Arial"/>
          <w:sz w:val="22"/>
          <w:szCs w:val="22"/>
        </w:rPr>
      </w:pPr>
      <w:r w:rsidRPr="002A5365">
        <w:rPr>
          <w:rFonts w:cs="Arial"/>
          <w:sz w:val="22"/>
          <w:szCs w:val="22"/>
        </w:rPr>
        <w:t>Late Tenders:</w:t>
      </w:r>
    </w:p>
    <w:p w14:paraId="4A7BA18A" w14:textId="5B4D7269" w:rsidR="006607CA" w:rsidRDefault="006607CA" w:rsidP="00FA3BF5">
      <w:pPr>
        <w:pStyle w:val="Heading3"/>
        <w:jc w:val="left"/>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FA3BF5">
      <w:pPr>
        <w:pStyle w:val="Heading3"/>
        <w:jc w:val="left"/>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FA3BF5">
      <w:pPr>
        <w:pStyle w:val="Heading3"/>
        <w:jc w:val="left"/>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FA3BF5">
      <w:pPr>
        <w:pStyle w:val="Heading2"/>
        <w:jc w:val="left"/>
        <w:rPr>
          <w:rFonts w:cs="Arial"/>
          <w:sz w:val="22"/>
          <w:szCs w:val="22"/>
        </w:rPr>
      </w:pPr>
      <w:r w:rsidRPr="002A5365">
        <w:rPr>
          <w:rFonts w:cs="Arial"/>
          <w:sz w:val="22"/>
          <w:szCs w:val="22"/>
        </w:rPr>
        <w:t>Uploading and submitting a Tender</w:t>
      </w:r>
    </w:p>
    <w:p w14:paraId="4A7BA18C" w14:textId="0CE73627" w:rsidR="006607CA" w:rsidRDefault="00AA086A" w:rsidP="00FA3BF5">
      <w:pPr>
        <w:pStyle w:val="Heading3"/>
        <w:jc w:val="left"/>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FA3BF5">
      <w:pPr>
        <w:pStyle w:val="Heading3"/>
        <w:jc w:val="left"/>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rsidP="00FA3BF5">
      <w:pPr>
        <w:pStyle w:val="Heading3"/>
        <w:jc w:val="left"/>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rsidP="00FA3BF5">
      <w:pPr>
        <w:pStyle w:val="Heading3"/>
        <w:jc w:val="left"/>
      </w:pPr>
      <w:r w:rsidRPr="002A5365">
        <w:lastRenderedPageBreak/>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rsidP="00FA3BF5">
      <w:pPr>
        <w:pStyle w:val="Heading3"/>
        <w:jc w:val="left"/>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rsidP="00FA3BF5">
      <w:pPr>
        <w:pStyle w:val="Heading3"/>
        <w:jc w:val="left"/>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rsidP="00FA3BF5">
      <w:pPr>
        <w:pStyle w:val="Heading3"/>
        <w:jc w:val="left"/>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FA3BF5">
      <w:pPr>
        <w:pStyle w:val="Heading2"/>
        <w:jc w:val="left"/>
        <w:rPr>
          <w:rFonts w:cs="Arial"/>
          <w:sz w:val="22"/>
          <w:szCs w:val="22"/>
        </w:rPr>
      </w:pPr>
      <w:r w:rsidRPr="002A5365">
        <w:rPr>
          <w:rFonts w:cs="Arial"/>
          <w:sz w:val="22"/>
          <w:szCs w:val="22"/>
        </w:rPr>
        <w:t>Confidentiality</w:t>
      </w:r>
    </w:p>
    <w:p w14:paraId="4A7BA194" w14:textId="64382057" w:rsidR="00C1286C" w:rsidRDefault="00C1286C" w:rsidP="00FA3BF5">
      <w:pPr>
        <w:pStyle w:val="Heading3"/>
        <w:jc w:val="left"/>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rsidP="00FA3BF5">
      <w:pPr>
        <w:pStyle w:val="Heading3"/>
        <w:jc w:val="left"/>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FA3BF5">
      <w:pPr>
        <w:pStyle w:val="Heading1"/>
        <w:jc w:val="left"/>
        <w:rPr>
          <w:sz w:val="22"/>
          <w:szCs w:val="22"/>
        </w:rPr>
      </w:pPr>
      <w:bookmarkStart w:id="9" w:name="_Toc277947343"/>
      <w:bookmarkStart w:id="10" w:name="_Ref284791665"/>
      <w:bookmarkStart w:id="11" w:name="_Ref285623882"/>
      <w:bookmarkStart w:id="12" w:name="_Ref372795810"/>
      <w:bookmarkStart w:id="13" w:name="_Toc512936623"/>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FA3BF5">
      <w:pPr>
        <w:pStyle w:val="Heading2"/>
        <w:jc w:val="left"/>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FA3BF5">
      <w:pPr>
        <w:pStyle w:val="Heading2"/>
        <w:jc w:val="left"/>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0FF820B7" w:rsidR="00EC3E78" w:rsidRPr="00C351DF" w:rsidRDefault="00C57281" w:rsidP="00FA3BF5">
      <w:pPr>
        <w:pStyle w:val="Heading2"/>
        <w:jc w:val="left"/>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6F2590">
        <w:rPr>
          <w:sz w:val="22"/>
          <w:szCs w:val="22"/>
        </w:rPr>
        <w:t>6.7</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A33BC3">
        <w:rPr>
          <w:sz w:val="22"/>
          <w:szCs w:val="22"/>
        </w:rPr>
        <w:t>Services</w:t>
      </w:r>
      <w:r w:rsidR="00BF6C46" w:rsidRPr="00A33BC3">
        <w:rPr>
          <w:sz w:val="22"/>
          <w:szCs w:val="22"/>
        </w:rPr>
        <w:t xml:space="preserve"> </w:t>
      </w:r>
      <w:r w:rsidRPr="00A33BC3">
        <w:rPr>
          <w:sz w:val="22"/>
          <w:szCs w:val="22"/>
        </w:rPr>
        <w:t>through</w:t>
      </w:r>
      <w:r w:rsidRPr="00C351DF">
        <w:rPr>
          <w:sz w:val="22"/>
          <w:szCs w:val="22"/>
        </w:rPr>
        <w:t xml:space="preserve">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FA3BF5">
      <w:pPr>
        <w:pStyle w:val="Heading2"/>
        <w:jc w:val="left"/>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rsidP="00FA3BF5">
      <w:pPr>
        <w:pStyle w:val="Heading3"/>
        <w:jc w:val="left"/>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rsidP="00FA3BF5">
      <w:pPr>
        <w:pStyle w:val="Heading3"/>
        <w:jc w:val="left"/>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 xml:space="preserve">the </w:t>
      </w:r>
      <w:r w:rsidR="00C04490">
        <w:lastRenderedPageBreak/>
        <w:t>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08DB1424" w:rsidR="003327AC" w:rsidRPr="00C351DF" w:rsidRDefault="003327AC" w:rsidP="00FA3BF5">
      <w:pPr>
        <w:pStyle w:val="Heading3"/>
        <w:jc w:val="left"/>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Pr="00A33BC3">
        <w:t>Services</w:t>
      </w:r>
      <w:r w:rsidRPr="00C351DF">
        <w:t xml:space="preserve"> 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rsidP="00FA3BF5">
      <w:pPr>
        <w:pStyle w:val="Heading3"/>
        <w:jc w:val="left"/>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rsidP="00FA3BF5">
      <w:pPr>
        <w:pStyle w:val="Heading3"/>
        <w:jc w:val="left"/>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FA3BF5">
      <w:pPr>
        <w:pStyle w:val="Heading2"/>
        <w:jc w:val="left"/>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408F684A" w:rsidR="00861BC5" w:rsidRPr="00C351DF" w:rsidRDefault="00C57281" w:rsidP="00FA3BF5">
      <w:pPr>
        <w:pStyle w:val="Heading3"/>
        <w:jc w:val="left"/>
      </w:pPr>
      <w:r w:rsidRPr="00A33BC3">
        <w:t xml:space="preserve">If a </w:t>
      </w:r>
      <w:r w:rsidR="005011AF" w:rsidRPr="00A33BC3">
        <w:t>Group of Economic Operators</w:t>
      </w:r>
      <w:r w:rsidRPr="00A33BC3">
        <w:t xml:space="preserve"> wish to act jointly to provide the</w:t>
      </w:r>
      <w:r w:rsidR="00EC3DFE" w:rsidRPr="00A33BC3">
        <w:t xml:space="preserve"> </w:t>
      </w:r>
      <w:r w:rsidRPr="00A33BC3">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rsidP="00FA3BF5">
      <w:pPr>
        <w:pStyle w:val="Heading3"/>
        <w:jc w:val="left"/>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rsidP="00FA3BF5">
      <w:pPr>
        <w:pStyle w:val="Heading3"/>
        <w:jc w:val="left"/>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rsidP="00FA3BF5">
      <w:pPr>
        <w:pStyle w:val="Heading3"/>
        <w:jc w:val="left"/>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286E27CC" w:rsidR="00EC3E78" w:rsidRPr="00C351DF" w:rsidRDefault="00C57281" w:rsidP="00FA3BF5">
      <w:pPr>
        <w:pStyle w:val="Heading3"/>
        <w:jc w:val="left"/>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w:t>
      </w:r>
      <w:r w:rsidRPr="00A33BC3">
        <w:t>the Services in</w:t>
      </w:r>
      <w:r w:rsidRPr="00C351DF">
        <w:t xml:space="preserve">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rsidP="00FA3BF5">
      <w:pPr>
        <w:pStyle w:val="Heading3"/>
        <w:jc w:val="left"/>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FA3BF5">
      <w:pPr>
        <w:pStyle w:val="Heading2"/>
        <w:jc w:val="left"/>
        <w:rPr>
          <w:sz w:val="22"/>
          <w:szCs w:val="22"/>
        </w:rPr>
      </w:pPr>
      <w:r w:rsidRPr="00BB5821">
        <w:rPr>
          <w:sz w:val="22"/>
          <w:szCs w:val="22"/>
        </w:rPr>
        <w:t xml:space="preserve">Queries </w:t>
      </w:r>
    </w:p>
    <w:p w14:paraId="4A7BA1AD" w14:textId="26DF4311" w:rsidR="00EC3E78" w:rsidRPr="00C351DF" w:rsidRDefault="00C57281" w:rsidP="007F6400">
      <w:pPr>
        <w:pStyle w:val="Heading3"/>
        <w:jc w:val="left"/>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w:t>
      </w:r>
      <w:r w:rsidRPr="00C351DF">
        <w:lastRenderedPageBreak/>
        <w:t xml:space="preserve">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7F6400">
      <w:pPr>
        <w:pStyle w:val="Heading2"/>
        <w:jc w:val="left"/>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7F6400">
      <w:pPr>
        <w:pStyle w:val="Heading3"/>
        <w:jc w:val="left"/>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08A3DC72" w:rsidR="00D22EF6" w:rsidRPr="00C351DF" w:rsidRDefault="00FF6CD1" w:rsidP="007F6400">
      <w:pPr>
        <w:pStyle w:val="Heading3"/>
        <w:jc w:val="left"/>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w:t>
      </w:r>
      <w:r w:rsidR="00D22EF6" w:rsidRPr="00A33BC3">
        <w:t xml:space="preserve">e dealt with in accordance with </w:t>
      </w:r>
      <w:r w:rsidR="003F4AE1" w:rsidRPr="00A33BC3">
        <w:t>the Authority’s contract management s</w:t>
      </w:r>
      <w:r w:rsidR="00A33BC3" w:rsidRPr="00A33BC3">
        <w:t>tandards.</w:t>
      </w:r>
    </w:p>
    <w:p w14:paraId="4A7BA1B1" w14:textId="77777777" w:rsidR="00EC3E78" w:rsidRPr="00BB5821" w:rsidRDefault="00EC3E78" w:rsidP="007F6400">
      <w:pPr>
        <w:pStyle w:val="Heading2"/>
        <w:jc w:val="left"/>
        <w:rPr>
          <w:sz w:val="22"/>
          <w:szCs w:val="22"/>
        </w:rPr>
      </w:pPr>
      <w:r w:rsidRPr="00BB5821">
        <w:rPr>
          <w:sz w:val="22"/>
          <w:szCs w:val="22"/>
        </w:rPr>
        <w:t>Declaration of Compliance</w:t>
      </w:r>
    </w:p>
    <w:p w14:paraId="4A7BA1B2" w14:textId="3B7B3011" w:rsidR="00661B0F" w:rsidRDefault="00671423" w:rsidP="007F6400">
      <w:pPr>
        <w:pStyle w:val="Heading3"/>
        <w:jc w:val="left"/>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7F6400">
      <w:pPr>
        <w:pStyle w:val="Heading1"/>
        <w:jc w:val="left"/>
        <w:rPr>
          <w:rFonts w:cs="Arial"/>
          <w:sz w:val="22"/>
          <w:szCs w:val="22"/>
        </w:rPr>
      </w:pPr>
      <w:bookmarkStart w:id="21" w:name="_Ref284607453"/>
      <w:bookmarkStart w:id="22" w:name="_Ref286828015"/>
      <w:bookmarkStart w:id="23" w:name="_Toc512936624"/>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7F6400">
      <w:pPr>
        <w:pStyle w:val="Heading2"/>
        <w:jc w:val="left"/>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7F6400">
      <w:pPr>
        <w:pStyle w:val="Heading2"/>
        <w:jc w:val="left"/>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7F6400">
      <w:pPr>
        <w:pStyle w:val="Heading2"/>
        <w:jc w:val="left"/>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7F6400">
      <w:pPr>
        <w:pStyle w:val="Heading2"/>
        <w:jc w:val="left"/>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7F6400">
      <w:pPr>
        <w:pStyle w:val="Heading2"/>
        <w:jc w:val="left"/>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7F6400">
      <w:pPr>
        <w:pStyle w:val="Heading2"/>
        <w:jc w:val="left"/>
        <w:rPr>
          <w:rFonts w:cs="Arial"/>
          <w:sz w:val="22"/>
          <w:szCs w:val="22"/>
        </w:rPr>
      </w:pPr>
      <w:r w:rsidRPr="00C351DF">
        <w:rPr>
          <w:rFonts w:cs="Arial"/>
          <w:sz w:val="22"/>
          <w:szCs w:val="22"/>
        </w:rPr>
        <w:lastRenderedPageBreak/>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7F6400">
      <w:pPr>
        <w:pStyle w:val="Heading2"/>
        <w:jc w:val="left"/>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7F6400">
      <w:pPr>
        <w:pStyle w:val="Heading2"/>
        <w:jc w:val="left"/>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7F6400">
      <w:pPr>
        <w:pStyle w:val="Heading1"/>
        <w:jc w:val="left"/>
        <w:rPr>
          <w:rFonts w:cs="Arial"/>
          <w:sz w:val="22"/>
          <w:szCs w:val="22"/>
        </w:rPr>
      </w:pPr>
      <w:bookmarkStart w:id="24" w:name="_Toc512936625"/>
      <w:r w:rsidRPr="00137CD3">
        <w:rPr>
          <w:rFonts w:cs="Arial"/>
          <w:sz w:val="22"/>
          <w:szCs w:val="22"/>
        </w:rPr>
        <w:t>OVERVIEW OF THE EVALUATION PROCESS</w:t>
      </w:r>
      <w:bookmarkEnd w:id="24"/>
    </w:p>
    <w:p w14:paraId="74081B73" w14:textId="6C2C3937" w:rsidR="00CA35BA" w:rsidRPr="00CA35BA" w:rsidRDefault="00D868A1" w:rsidP="007F6400">
      <w:pPr>
        <w:pStyle w:val="Heading2"/>
        <w:jc w:val="left"/>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7F6400">
      <w:pPr>
        <w:pStyle w:val="Heading2"/>
        <w:jc w:val="left"/>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7F6400">
      <w:pPr>
        <w:pStyle w:val="Heading3"/>
        <w:jc w:val="left"/>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rsidP="007F6400">
      <w:pPr>
        <w:pStyle w:val="Heading3"/>
        <w:jc w:val="left"/>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7F1EE743" w14:textId="6444CC4D" w:rsidR="002434E0" w:rsidRPr="00CA35BA" w:rsidRDefault="007C7304" w:rsidP="007F6400">
      <w:pPr>
        <w:pStyle w:val="Heading3"/>
        <w:jc w:val="left"/>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7F6400">
      <w:pPr>
        <w:pStyle w:val="Heading2"/>
        <w:jc w:val="left"/>
        <w:rPr>
          <w:sz w:val="22"/>
          <w:szCs w:val="22"/>
        </w:rPr>
      </w:pPr>
      <w:bookmarkStart w:id="27" w:name="_Ref284504457"/>
      <w:bookmarkStart w:id="28" w:name="_Ref284857382"/>
      <w:r w:rsidRPr="00E57D91">
        <w:rPr>
          <w:sz w:val="22"/>
          <w:szCs w:val="22"/>
        </w:rPr>
        <w:t>Final Score</w:t>
      </w:r>
    </w:p>
    <w:p w14:paraId="44847BAF" w14:textId="4E7FCF84" w:rsidR="00E57D91" w:rsidRDefault="00E57D91" w:rsidP="007F6400">
      <w:pPr>
        <w:pStyle w:val="Heading3"/>
        <w:jc w:val="left"/>
      </w:pPr>
      <w:r w:rsidRPr="00E57D91">
        <w:t>The Quality Score will be added to the Price Score to determine the final score for each Potential Provider (“</w:t>
      </w:r>
      <w:r w:rsidRPr="00E57D91">
        <w:rPr>
          <w:b/>
        </w:rPr>
        <w:t>Final Score</w:t>
      </w:r>
      <w:r w:rsidRPr="00E57D91">
        <w:t>”).</w:t>
      </w:r>
    </w:p>
    <w:p w14:paraId="38596375" w14:textId="07033BE4" w:rsidR="00844E0F" w:rsidRDefault="00844E0F" w:rsidP="007F6400">
      <w:pPr>
        <w:pStyle w:val="Heading3"/>
        <w:jc w:val="left"/>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A33BC3">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7F548DE0" w:rsidR="00844E0F" w:rsidRPr="00481CE4" w:rsidRDefault="00A33BC3"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626EC54A" w:rsidR="00B23B25" w:rsidRPr="00B23B25" w:rsidRDefault="00A33BC3"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0F42C116"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5B749CFD"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72914809" w:rsidR="00844E0F" w:rsidRPr="00481CE4" w:rsidRDefault="00FA3BF5" w:rsidP="00844E0F">
            <w:pPr>
              <w:pStyle w:val="Heading3"/>
              <w:numPr>
                <w:ilvl w:val="0"/>
                <w:numId w:val="0"/>
              </w:numPr>
              <w:jc w:val="left"/>
              <w:outlineLvl w:val="2"/>
              <w:rPr>
                <w:sz w:val="22"/>
                <w:szCs w:val="22"/>
              </w:rPr>
            </w:pPr>
            <w:r w:rsidRPr="00FA3BF5">
              <w:rPr>
                <w:sz w:val="22"/>
                <w:szCs w:val="22"/>
              </w:rPr>
              <w:t xml:space="preserve">Methodology and Approach </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7FF7B7AB" w:rsidR="00844E0F" w:rsidRPr="00CF0A0C" w:rsidRDefault="00CF0A0C" w:rsidP="00CF0A0C">
            <w:pPr>
              <w:pStyle w:val="Heading3"/>
              <w:numPr>
                <w:ilvl w:val="0"/>
                <w:numId w:val="0"/>
              </w:numPr>
              <w:jc w:val="center"/>
              <w:outlineLvl w:val="2"/>
              <w:rPr>
                <w:sz w:val="22"/>
                <w:szCs w:val="22"/>
              </w:rPr>
            </w:pPr>
            <w:r w:rsidRPr="00CF0A0C">
              <w:rPr>
                <w:sz w:val="22"/>
                <w:szCs w:val="22"/>
              </w:rPr>
              <w:t>45%</w:t>
            </w:r>
          </w:p>
        </w:tc>
      </w:tr>
      <w:tr w:rsidR="00844E0F" w14:paraId="10895B9A" w14:textId="77777777" w:rsidTr="00844E0F">
        <w:tc>
          <w:tcPr>
            <w:tcW w:w="1561" w:type="dxa"/>
          </w:tcPr>
          <w:p w14:paraId="203F4766" w14:textId="5396B8C3" w:rsidR="00844E0F" w:rsidRPr="00481CE4" w:rsidRDefault="00B23B25" w:rsidP="00844E0F">
            <w:pPr>
              <w:pStyle w:val="Heading3"/>
              <w:numPr>
                <w:ilvl w:val="0"/>
                <w:numId w:val="0"/>
              </w:numPr>
              <w:jc w:val="center"/>
              <w:outlineLvl w:val="2"/>
              <w:rPr>
                <w:sz w:val="22"/>
                <w:szCs w:val="22"/>
              </w:rPr>
            </w:pPr>
            <w:r>
              <w:rPr>
                <w:sz w:val="22"/>
                <w:szCs w:val="22"/>
              </w:rPr>
              <w:lastRenderedPageBreak/>
              <w:t>5</w:t>
            </w:r>
          </w:p>
        </w:tc>
        <w:tc>
          <w:tcPr>
            <w:tcW w:w="3056" w:type="dxa"/>
          </w:tcPr>
          <w:p w14:paraId="36A2CB5A" w14:textId="7D6EC004" w:rsidR="00844E0F" w:rsidRPr="00481CE4" w:rsidRDefault="00FA3BF5" w:rsidP="00844E0F">
            <w:pPr>
              <w:pStyle w:val="Heading3"/>
              <w:numPr>
                <w:ilvl w:val="0"/>
                <w:numId w:val="0"/>
              </w:numPr>
              <w:jc w:val="left"/>
              <w:outlineLvl w:val="2"/>
              <w:rPr>
                <w:sz w:val="22"/>
                <w:szCs w:val="22"/>
              </w:rPr>
            </w:pPr>
            <w:r>
              <w:rPr>
                <w:sz w:val="22"/>
                <w:szCs w:val="22"/>
              </w:rPr>
              <w:t xml:space="preserve">Service Delivery and Risk Management </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5232D5C4" w:rsidR="00844E0F" w:rsidRPr="00CF0A0C" w:rsidRDefault="00CF0A0C" w:rsidP="00CF0A0C">
            <w:pPr>
              <w:pStyle w:val="Heading3"/>
              <w:numPr>
                <w:ilvl w:val="0"/>
                <w:numId w:val="0"/>
              </w:numPr>
              <w:jc w:val="center"/>
              <w:outlineLvl w:val="2"/>
              <w:rPr>
                <w:sz w:val="22"/>
                <w:szCs w:val="22"/>
              </w:rPr>
            </w:pPr>
            <w:r w:rsidRPr="00CF0A0C">
              <w:rPr>
                <w:sz w:val="22"/>
                <w:szCs w:val="22"/>
              </w:rPr>
              <w:t>25%</w:t>
            </w:r>
          </w:p>
        </w:tc>
      </w:tr>
      <w:tr w:rsidR="00FA536A" w14:paraId="6E02D739" w14:textId="77777777" w:rsidTr="00FA536A">
        <w:tc>
          <w:tcPr>
            <w:tcW w:w="1696" w:type="dxa"/>
          </w:tcPr>
          <w:p w14:paraId="554804D4" w14:textId="44B6AE1E" w:rsidR="00FA536A" w:rsidRPr="00481CE4" w:rsidRDefault="00FA3BF5" w:rsidP="00FA536A">
            <w:pPr>
              <w:pStyle w:val="Heading3"/>
              <w:numPr>
                <w:ilvl w:val="0"/>
                <w:numId w:val="0"/>
              </w:numPr>
              <w:jc w:val="center"/>
              <w:outlineLvl w:val="2"/>
              <w:rPr>
                <w:sz w:val="22"/>
                <w:szCs w:val="22"/>
              </w:rPr>
            </w:pPr>
            <w:r>
              <w:rPr>
                <w:sz w:val="22"/>
                <w:szCs w:val="22"/>
              </w:rPr>
              <w:t>6</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283ECF6B" w:rsidR="00FA536A" w:rsidRPr="00CF0A0C" w:rsidRDefault="00CF0A0C" w:rsidP="00CF0A0C">
            <w:pPr>
              <w:pStyle w:val="Heading3"/>
              <w:numPr>
                <w:ilvl w:val="0"/>
                <w:numId w:val="0"/>
              </w:numPr>
              <w:jc w:val="center"/>
              <w:outlineLvl w:val="2"/>
              <w:rPr>
                <w:sz w:val="22"/>
                <w:szCs w:val="22"/>
              </w:rPr>
            </w:pPr>
            <w:r w:rsidRPr="00CF0A0C">
              <w:rPr>
                <w:sz w:val="22"/>
                <w:szCs w:val="22"/>
              </w:rPr>
              <w:t>30%</w:t>
            </w:r>
          </w:p>
        </w:tc>
      </w:tr>
      <w:tr w:rsidR="00FA536A" w14:paraId="0275271F" w14:textId="77777777" w:rsidTr="00A33BC3">
        <w:tc>
          <w:tcPr>
            <w:tcW w:w="4107"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9"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512936626"/>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7F6400">
      <w:pPr>
        <w:pStyle w:val="Heading2"/>
        <w:jc w:val="left"/>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1BF68A49" w:rsidR="0058734C" w:rsidRPr="007578DC" w:rsidRDefault="0058734C" w:rsidP="007F6400">
      <w:pPr>
        <w:pStyle w:val="Heading2"/>
        <w:jc w:val="left"/>
        <w:rPr>
          <w:rFonts w:cs="Arial"/>
          <w:sz w:val="22"/>
          <w:szCs w:val="22"/>
        </w:rPr>
      </w:pPr>
      <w:r w:rsidRPr="007578DC">
        <w:rPr>
          <w:rFonts w:cs="Arial"/>
          <w:sz w:val="22"/>
          <w:szCs w:val="22"/>
        </w:rPr>
        <w:t>The most ec</w:t>
      </w:r>
      <w:r w:rsidR="00A33BC3">
        <w:rPr>
          <w:rFonts w:cs="Arial"/>
          <w:sz w:val="22"/>
          <w:szCs w:val="22"/>
        </w:rPr>
        <w:t xml:space="preserve">onomically advantageous Tenders </w:t>
      </w:r>
      <w:r w:rsidRPr="007578DC">
        <w:rPr>
          <w:rFonts w:cs="Arial"/>
          <w:sz w:val="22"/>
          <w:szCs w:val="22"/>
        </w:rPr>
        <w:t xml:space="preserve">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7F6400">
        <w:rPr>
          <w:rFonts w:cs="Arial"/>
          <w:sz w:val="22"/>
          <w:szCs w:val="22"/>
        </w:rPr>
        <w:t xml:space="preserve">50 </w:t>
      </w:r>
      <w:r w:rsidRPr="007578DC">
        <w:rPr>
          <w:rFonts w:cs="Arial"/>
          <w:sz w:val="22"/>
          <w:szCs w:val="22"/>
        </w:rPr>
        <w:t>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4F5E9278" w:rsidR="0058734C" w:rsidRPr="007578DC" w:rsidRDefault="0058734C" w:rsidP="007F6400">
      <w:pPr>
        <w:pStyle w:val="Heading2"/>
        <w:jc w:val="left"/>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D76C40" w:rsidRPr="007578DC">
        <w:rPr>
          <w:sz w:val="22"/>
          <w:szCs w:val="22"/>
        </w:rPr>
        <w:t xml:space="preserve">and all such Potential Providers have </w:t>
      </w:r>
      <w:r w:rsidR="007F6400">
        <w:rPr>
          <w:sz w:val="22"/>
          <w:szCs w:val="22"/>
        </w:rPr>
        <w:t>achieved a Minimum Pass Mark of 50</w:t>
      </w:r>
      <w:r w:rsidR="007F6400" w:rsidRPr="007578DC">
        <w:rPr>
          <w:sz w:val="22"/>
          <w:szCs w:val="22"/>
        </w:rPr>
        <w:t xml:space="preserve"> </w:t>
      </w:r>
      <w:r w:rsidR="007F6400">
        <w:rPr>
          <w:sz w:val="22"/>
          <w:szCs w:val="22"/>
        </w:rPr>
        <w:t>o</w:t>
      </w:r>
      <w:r w:rsidRPr="007578DC">
        <w:rPr>
          <w:sz w:val="22"/>
          <w:szCs w:val="22"/>
        </w:rPr>
        <w:t>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F6400">
        <w:rPr>
          <w:rFonts w:cs="Arial"/>
          <w:sz w:val="22"/>
          <w:szCs w:val="22"/>
        </w:rPr>
        <w:t xml:space="preserve">highest score for the Quality </w:t>
      </w:r>
      <w:r w:rsidR="007578DC" w:rsidRPr="007578DC">
        <w:rPr>
          <w:rFonts w:cs="Arial"/>
          <w:sz w:val="22"/>
          <w:szCs w:val="22"/>
        </w:rPr>
        <w:t>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7F6400">
      <w:pPr>
        <w:pStyle w:val="Heading2"/>
        <w:jc w:val="left"/>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7F6400">
      <w:pPr>
        <w:pStyle w:val="Heading2"/>
        <w:jc w:val="left"/>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7F6400">
      <w:pPr>
        <w:pStyle w:val="Heading2"/>
        <w:jc w:val="left"/>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A7BA2FA" w14:textId="6405E4F7" w:rsidR="002E55A9" w:rsidRPr="00FA3BF5" w:rsidRDefault="00437F0A" w:rsidP="00FA3BF5">
      <w:pPr>
        <w:pStyle w:val="Heading1"/>
        <w:rPr>
          <w:rFonts w:cs="Arial"/>
          <w:sz w:val="22"/>
          <w:szCs w:val="22"/>
        </w:rPr>
      </w:pPr>
      <w:bookmarkStart w:id="32" w:name="_Toc512936627"/>
      <w:r w:rsidRPr="00C351DF">
        <w:rPr>
          <w:rFonts w:cs="Arial"/>
          <w:sz w:val="22"/>
          <w:szCs w:val="22"/>
        </w:rPr>
        <w:lastRenderedPageBreak/>
        <w:t>GLOSSARY</w:t>
      </w:r>
      <w:bookmarkEnd w:id="31"/>
      <w:bookmarkEnd w:id="32"/>
    </w:p>
    <w:tbl>
      <w:tblPr>
        <w:tblStyle w:val="TableGrid"/>
        <w:tblW w:w="8567" w:type="dxa"/>
        <w:tblInd w:w="675" w:type="dxa"/>
        <w:tblLayout w:type="fixed"/>
        <w:tblLook w:val="04A0" w:firstRow="1" w:lastRow="0" w:firstColumn="1" w:lastColumn="0" w:noHBand="0" w:noVBand="1"/>
      </w:tblPr>
      <w:tblGrid>
        <w:gridCol w:w="2297"/>
        <w:gridCol w:w="6270"/>
      </w:tblGrid>
      <w:tr w:rsidR="002154C8" w:rsidRPr="00C351DF" w14:paraId="63E306D7" w14:textId="77777777" w:rsidTr="00FA3BF5">
        <w:trPr>
          <w:cantSplit/>
        </w:trPr>
        <w:tc>
          <w:tcPr>
            <w:tcW w:w="2297"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270" w:type="dxa"/>
          </w:tcPr>
          <w:p w14:paraId="3A40D2C8" w14:textId="345EC54F" w:rsidR="002154C8" w:rsidRPr="00C351DF" w:rsidRDefault="00A33BC3" w:rsidP="002154C8">
            <w:pPr>
              <w:pStyle w:val="MarginText"/>
              <w:jc w:val="left"/>
              <w:rPr>
                <w:rFonts w:cs="Arial"/>
                <w:sz w:val="22"/>
                <w:szCs w:val="22"/>
              </w:rPr>
            </w:pPr>
            <w:r>
              <w:rPr>
                <w:rFonts w:cs="Arial"/>
                <w:sz w:val="22"/>
                <w:szCs w:val="22"/>
              </w:rPr>
              <w:t>M</w:t>
            </w:r>
            <w:r w:rsidR="002154C8" w:rsidRPr="00C351DF">
              <w:rPr>
                <w:rFonts w:cs="Arial"/>
                <w:sz w:val="22"/>
                <w:szCs w:val="22"/>
              </w:rPr>
              <w:t>eans the Minister for the Cabinet Office (“</w:t>
            </w:r>
            <w:r w:rsidR="002154C8" w:rsidRPr="00C351DF">
              <w:rPr>
                <w:rFonts w:cs="Arial"/>
                <w:b/>
                <w:sz w:val="22"/>
                <w:szCs w:val="22"/>
              </w:rPr>
              <w:t>Cabinet Office</w:t>
            </w:r>
            <w:r w:rsidR="002154C8"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FA3BF5">
        <w:trPr>
          <w:cantSplit/>
        </w:trPr>
        <w:tc>
          <w:tcPr>
            <w:tcW w:w="2297"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270" w:type="dxa"/>
          </w:tcPr>
          <w:p w14:paraId="4A7BA2FC" w14:textId="0489B101" w:rsidR="002E55A9" w:rsidRPr="00C351DF" w:rsidRDefault="00A33BC3" w:rsidP="00204552">
            <w:pPr>
              <w:pStyle w:val="MarginText"/>
              <w:jc w:val="left"/>
              <w:rPr>
                <w:rFonts w:cs="Arial"/>
                <w:sz w:val="22"/>
                <w:szCs w:val="22"/>
              </w:rPr>
            </w:pPr>
            <w:r>
              <w:rPr>
                <w:rFonts w:cs="Arial"/>
                <w:sz w:val="22"/>
                <w:szCs w:val="22"/>
              </w:rPr>
              <w:t>M</w:t>
            </w:r>
            <w:r w:rsidR="002E55A9" w:rsidRPr="00C351DF">
              <w:rPr>
                <w:rFonts w:cs="Arial"/>
                <w:sz w:val="22"/>
                <w:szCs w:val="22"/>
              </w:rPr>
              <w:t>eans a document made available to Potential Providers in relation to this Procu</w:t>
            </w:r>
            <w:r w:rsidR="005F0C41">
              <w:rPr>
                <w:rFonts w:cs="Arial"/>
                <w:sz w:val="22"/>
                <w:szCs w:val="22"/>
              </w:rPr>
              <w:t>rement via the e</w:t>
            </w:r>
            <w:r w:rsidR="005F0C41">
              <w:rPr>
                <w:rFonts w:cs="Arial"/>
                <w:sz w:val="22"/>
                <w:szCs w:val="22"/>
              </w:rPr>
              <w:noBreakHyphen/>
              <w:t xml:space="preserve">Sourcing Suit. </w:t>
            </w:r>
          </w:p>
        </w:tc>
      </w:tr>
      <w:tr w:rsidR="00F12F6D" w:rsidRPr="00C351DF" w14:paraId="6EE36622" w14:textId="77777777" w:rsidTr="00FA3BF5">
        <w:trPr>
          <w:cantSplit/>
        </w:trPr>
        <w:tc>
          <w:tcPr>
            <w:tcW w:w="2297"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270" w:type="dxa"/>
          </w:tcPr>
          <w:p w14:paraId="39683C70" w14:textId="6611310D" w:rsidR="00F12F6D" w:rsidRPr="00C351DF" w:rsidRDefault="00A33BC3" w:rsidP="007F6400">
            <w:pPr>
              <w:pStyle w:val="MarginText"/>
              <w:jc w:val="left"/>
              <w:rPr>
                <w:rFonts w:cs="Arial"/>
                <w:sz w:val="22"/>
                <w:szCs w:val="22"/>
              </w:rPr>
            </w:pPr>
            <w:r>
              <w:rPr>
                <w:sz w:val="22"/>
                <w:szCs w:val="22"/>
              </w:rPr>
              <w:t>M</w:t>
            </w:r>
            <w:r w:rsidR="00F12F6D" w:rsidRPr="00754C1F">
              <w:rPr>
                <w:sz w:val="22"/>
                <w:szCs w:val="22"/>
              </w:rPr>
              <w:t xml:space="preserve">eans </w:t>
            </w:r>
            <w:r w:rsidRPr="00A33BC3">
              <w:rPr>
                <w:sz w:val="22"/>
                <w:szCs w:val="22"/>
              </w:rPr>
              <w:t>the Cabinet Office</w:t>
            </w:r>
            <w:r w:rsidR="00F12F6D" w:rsidRPr="00754C1F">
              <w:rPr>
                <w:sz w:val="22"/>
                <w:szCs w:val="22"/>
              </w:rPr>
              <w:t xml:space="preserve"> as described in </w:t>
            </w:r>
            <w:r w:rsidR="00EF73E6">
              <w:rPr>
                <w:sz w:val="22"/>
                <w:szCs w:val="22"/>
              </w:rPr>
              <w:t xml:space="preserve">Section 1.1 </w:t>
            </w:r>
            <w:r w:rsidR="00F12F6D" w:rsidRPr="00754C1F">
              <w:rPr>
                <w:sz w:val="22"/>
                <w:szCs w:val="22"/>
              </w:rPr>
              <w:t>whose offices are located at</w:t>
            </w:r>
            <w:r w:rsidR="005F0C41">
              <w:rPr>
                <w:sz w:val="22"/>
                <w:szCs w:val="22"/>
              </w:rPr>
              <w:t>:</w:t>
            </w:r>
            <w:r w:rsidR="00F12F6D" w:rsidRPr="00754C1F">
              <w:rPr>
                <w:sz w:val="22"/>
                <w:szCs w:val="22"/>
              </w:rPr>
              <w:t xml:space="preserve"> </w:t>
            </w:r>
            <w:r w:rsidR="007F6400" w:rsidRPr="007F6400">
              <w:rPr>
                <w:sz w:val="22"/>
                <w:szCs w:val="22"/>
              </w:rPr>
              <w:t>100 Parliament Street</w:t>
            </w:r>
            <w:r w:rsidR="005F0C41" w:rsidRPr="007F6400">
              <w:rPr>
                <w:sz w:val="22"/>
                <w:szCs w:val="22"/>
              </w:rPr>
              <w:t xml:space="preserve">, </w:t>
            </w:r>
            <w:r w:rsidR="007F6400" w:rsidRPr="007F6400">
              <w:rPr>
                <w:sz w:val="22"/>
                <w:szCs w:val="22"/>
              </w:rPr>
              <w:t xml:space="preserve">Westminster, </w:t>
            </w:r>
            <w:r w:rsidR="005F0C41" w:rsidRPr="007F6400">
              <w:rPr>
                <w:sz w:val="22"/>
                <w:szCs w:val="22"/>
              </w:rPr>
              <w:t xml:space="preserve">London, England, </w:t>
            </w:r>
            <w:proofErr w:type="gramStart"/>
            <w:r w:rsidR="005F0C41" w:rsidRPr="007F6400">
              <w:rPr>
                <w:sz w:val="22"/>
                <w:szCs w:val="22"/>
              </w:rPr>
              <w:t>SW1A 2</w:t>
            </w:r>
            <w:r w:rsidR="007F6400" w:rsidRPr="007F6400">
              <w:rPr>
                <w:sz w:val="22"/>
                <w:szCs w:val="22"/>
              </w:rPr>
              <w:t>BQ</w:t>
            </w:r>
            <w:proofErr w:type="gramEnd"/>
            <w:r w:rsidR="005F0C41" w:rsidRPr="007F6400">
              <w:rPr>
                <w:sz w:val="22"/>
                <w:szCs w:val="22"/>
              </w:rPr>
              <w:t>.</w:t>
            </w:r>
            <w:r w:rsidR="005F0C41">
              <w:rPr>
                <w:sz w:val="22"/>
                <w:szCs w:val="22"/>
              </w:rPr>
              <w:t xml:space="preserve"> </w:t>
            </w:r>
          </w:p>
        </w:tc>
      </w:tr>
      <w:tr w:rsidR="00F12F6D" w:rsidRPr="00C351DF" w14:paraId="4A7BA30F" w14:textId="77777777" w:rsidTr="00FA3BF5">
        <w:trPr>
          <w:cantSplit/>
        </w:trPr>
        <w:tc>
          <w:tcPr>
            <w:tcW w:w="2297"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270" w:type="dxa"/>
          </w:tcPr>
          <w:p w14:paraId="4A7BA30E" w14:textId="2DDDA403" w:rsidR="00F12F6D" w:rsidRPr="00C351DF" w:rsidRDefault="00A33BC3" w:rsidP="000352DC">
            <w:pPr>
              <w:pStyle w:val="MarginText"/>
              <w:jc w:val="left"/>
              <w:rPr>
                <w:rFonts w:cs="Arial"/>
                <w:sz w:val="22"/>
                <w:szCs w:val="22"/>
              </w:rPr>
            </w:pPr>
            <w:r>
              <w:rPr>
                <w:rFonts w:cs="Arial"/>
                <w:sz w:val="22"/>
                <w:szCs w:val="22"/>
              </w:rPr>
              <w:t>M</w:t>
            </w:r>
            <w:r w:rsidR="00F12F6D" w:rsidRPr="00C351DF">
              <w:rPr>
                <w:rFonts w:cs="Arial"/>
                <w:sz w:val="22"/>
                <w:szCs w:val="22"/>
              </w:rPr>
              <w:t xml:space="preserve">eans the evaluation procedure described in </w:t>
            </w:r>
            <w:r w:rsidR="00D52CA7">
              <w:rPr>
                <w:rFonts w:cs="Arial"/>
                <w:sz w:val="22"/>
                <w:szCs w:val="22"/>
              </w:rPr>
              <w:t>Appendix D</w:t>
            </w:r>
            <w:r w:rsidR="007722A4">
              <w:rPr>
                <w:rFonts w:cs="Arial"/>
                <w:sz w:val="22"/>
                <w:szCs w:val="22"/>
              </w:rPr>
              <w:t>,</w:t>
            </w:r>
            <w:r w:rsidR="005F0C41">
              <w:rPr>
                <w:rFonts w:cs="Arial"/>
                <w:sz w:val="22"/>
                <w:szCs w:val="22"/>
              </w:rPr>
              <w:t xml:space="preserve"> Response Guidance. </w:t>
            </w:r>
          </w:p>
        </w:tc>
      </w:tr>
      <w:tr w:rsidR="00F12F6D" w:rsidRPr="00C351DF" w14:paraId="4A7BA31E" w14:textId="77777777" w:rsidTr="00FA3BF5">
        <w:trPr>
          <w:cantSplit/>
          <w:trHeight w:val="989"/>
        </w:trPr>
        <w:tc>
          <w:tcPr>
            <w:tcW w:w="2297"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270" w:type="dxa"/>
          </w:tcPr>
          <w:p w14:paraId="4A7BA31D" w14:textId="6924BF1B" w:rsidR="00F12F6D" w:rsidRPr="00C351DF" w:rsidRDefault="00A33BC3" w:rsidP="00B16E91">
            <w:pPr>
              <w:pStyle w:val="MarginText"/>
              <w:jc w:val="left"/>
              <w:rPr>
                <w:rFonts w:cs="Arial"/>
                <w:sz w:val="22"/>
                <w:szCs w:val="22"/>
              </w:rPr>
            </w:pPr>
            <w:r>
              <w:rPr>
                <w:rFonts w:cs="Arial"/>
                <w:sz w:val="22"/>
                <w:szCs w:val="22"/>
              </w:rPr>
              <w:t>M</w:t>
            </w:r>
            <w:r w:rsidR="00F12F6D" w:rsidRPr="00C351DF">
              <w:rPr>
                <w:rFonts w:cs="Arial"/>
                <w:sz w:val="22"/>
                <w:szCs w:val="22"/>
              </w:rPr>
              <w:t xml:space="preserve">eans the contractually-binding terms and conditions set out at </w:t>
            </w:r>
            <w:r w:rsidR="00B16E91">
              <w:rPr>
                <w:rFonts w:cs="Arial"/>
                <w:sz w:val="22"/>
                <w:szCs w:val="22"/>
              </w:rPr>
              <w:t>Appendix C</w:t>
            </w:r>
            <w:r w:rsidR="00F12F6D" w:rsidRPr="00C351DF">
              <w:rPr>
                <w:rFonts w:cs="Arial"/>
                <w:sz w:val="22"/>
                <w:szCs w:val="22"/>
              </w:rPr>
              <w:t xml:space="preserve"> of this ITT to be entered into between </w:t>
            </w:r>
            <w:r w:rsidR="00F12F6D">
              <w:rPr>
                <w:rFonts w:cs="Arial"/>
                <w:sz w:val="22"/>
                <w:szCs w:val="22"/>
              </w:rPr>
              <w:t>the A</w:t>
            </w:r>
            <w:r w:rsidR="00B16E91">
              <w:rPr>
                <w:rFonts w:cs="Arial"/>
                <w:sz w:val="22"/>
                <w:szCs w:val="22"/>
              </w:rPr>
              <w:t xml:space="preserve">uthority </w:t>
            </w:r>
            <w:r w:rsidR="00F12F6D" w:rsidRPr="00C351DF">
              <w:rPr>
                <w:rFonts w:cs="Arial"/>
                <w:sz w:val="22"/>
                <w:szCs w:val="22"/>
              </w:rPr>
              <w:t>and the successful Potential Provider(s) at the</w:t>
            </w:r>
            <w:r w:rsidR="005F0C41">
              <w:rPr>
                <w:rFonts w:cs="Arial"/>
                <w:sz w:val="22"/>
                <w:szCs w:val="22"/>
              </w:rPr>
              <w:t xml:space="preserve"> conclusion of this Procurement. </w:t>
            </w:r>
          </w:p>
        </w:tc>
      </w:tr>
      <w:tr w:rsidR="00F12F6D" w:rsidRPr="00C351DF" w14:paraId="4A7BA327" w14:textId="77777777" w:rsidTr="00FA3BF5">
        <w:trPr>
          <w:cantSplit/>
        </w:trPr>
        <w:tc>
          <w:tcPr>
            <w:tcW w:w="2297"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270" w:type="dxa"/>
          </w:tcPr>
          <w:p w14:paraId="4A7BA326" w14:textId="24C75B96" w:rsidR="00F12F6D" w:rsidRPr="00C351DF" w:rsidRDefault="00A33BC3" w:rsidP="00F12F6D">
            <w:pPr>
              <w:pStyle w:val="MarginText"/>
              <w:jc w:val="left"/>
              <w:rPr>
                <w:rFonts w:cs="Arial"/>
                <w:sz w:val="22"/>
                <w:szCs w:val="22"/>
              </w:rPr>
            </w:pPr>
            <w:r>
              <w:rPr>
                <w:rFonts w:cs="Arial"/>
                <w:sz w:val="22"/>
                <w:szCs w:val="22"/>
              </w:rPr>
              <w:t>M</w:t>
            </w:r>
            <w:r w:rsidR="00F12F6D" w:rsidRPr="00C351DF">
              <w:rPr>
                <w:rFonts w:cs="Arial"/>
                <w:sz w:val="22"/>
                <w:szCs w:val="22"/>
              </w:rPr>
              <w:t xml:space="preserve">eans a schedule to </w:t>
            </w:r>
            <w:r w:rsidR="00F12F6D">
              <w:rPr>
                <w:rFonts w:cs="Arial"/>
                <w:sz w:val="22"/>
                <w:szCs w:val="22"/>
              </w:rPr>
              <w:t>the Contract</w:t>
            </w:r>
            <w:r w:rsidR="005F0C41">
              <w:rPr>
                <w:rFonts w:cs="Arial"/>
                <w:sz w:val="22"/>
                <w:szCs w:val="22"/>
              </w:rPr>
              <w:t xml:space="preserve">. </w:t>
            </w:r>
          </w:p>
        </w:tc>
      </w:tr>
      <w:tr w:rsidR="004D6565" w:rsidRPr="00C351DF" w14:paraId="5D97E4CC" w14:textId="77777777" w:rsidTr="00FA3BF5">
        <w:trPr>
          <w:cantSplit/>
        </w:trPr>
        <w:tc>
          <w:tcPr>
            <w:tcW w:w="2297"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270" w:type="dxa"/>
          </w:tcPr>
          <w:p w14:paraId="5C7708C2" w14:textId="0F115985"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r w:rsidR="005F0C41">
              <w:rPr>
                <w:rFonts w:cs="Arial"/>
                <w:sz w:val="22"/>
                <w:szCs w:val="22"/>
              </w:rPr>
              <w:t xml:space="preserve">. </w:t>
            </w:r>
          </w:p>
        </w:tc>
      </w:tr>
      <w:tr w:rsidR="006B6D9D" w:rsidRPr="00C351DF" w14:paraId="18AE0C8D" w14:textId="77777777" w:rsidTr="00FA3BF5">
        <w:trPr>
          <w:cantSplit/>
        </w:trPr>
        <w:tc>
          <w:tcPr>
            <w:tcW w:w="2297"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270" w:type="dxa"/>
          </w:tcPr>
          <w:p w14:paraId="5268C72E" w14:textId="3EFF05DD" w:rsidR="006B6D9D" w:rsidRPr="006B6D9D" w:rsidRDefault="00A33BC3" w:rsidP="00A33BC3">
            <w:pPr>
              <w:pStyle w:val="MarginText"/>
              <w:jc w:val="left"/>
              <w:rPr>
                <w:rFonts w:cs="Arial"/>
                <w:b/>
                <w:i/>
                <w:sz w:val="22"/>
                <w:szCs w:val="22"/>
              </w:rPr>
            </w:pPr>
            <w:r w:rsidRPr="004D6565">
              <w:rPr>
                <w:rFonts w:cs="Arial"/>
                <w:sz w:val="22"/>
                <w:szCs w:val="22"/>
              </w:rPr>
              <w:t>Means</w:t>
            </w:r>
            <w:r w:rsidR="006B6D9D" w:rsidRPr="004D6565">
              <w:rPr>
                <w:rFonts w:cs="Arial"/>
                <w:sz w:val="22"/>
                <w:szCs w:val="22"/>
              </w:rPr>
              <w:t xml:space="preserve"> the procurement tool used by the Agent, using web-based software which allows Potential Providers to compete online and in ‘real time’, providing prices for the </w:t>
            </w:r>
            <w:r w:rsidRPr="00A33BC3">
              <w:rPr>
                <w:rFonts w:cs="Arial"/>
                <w:sz w:val="22"/>
                <w:szCs w:val="22"/>
              </w:rPr>
              <w:t xml:space="preserve">Services </w:t>
            </w:r>
            <w:r w:rsidR="006B6D9D" w:rsidRPr="004D6565">
              <w:rPr>
                <w:rFonts w:cs="Arial"/>
                <w:sz w:val="22"/>
                <w:szCs w:val="22"/>
              </w:rPr>
              <w:t>under auction.</w:t>
            </w:r>
            <w:r w:rsidR="006B6D9D">
              <w:rPr>
                <w:rFonts w:cs="Arial"/>
                <w:sz w:val="22"/>
                <w:szCs w:val="22"/>
              </w:rPr>
              <w:t xml:space="preserve"> </w:t>
            </w:r>
          </w:p>
        </w:tc>
      </w:tr>
      <w:tr w:rsidR="00BB5821" w:rsidRPr="00C351DF" w14:paraId="3B90A8E4" w14:textId="77777777" w:rsidTr="00FA3BF5">
        <w:trPr>
          <w:cantSplit/>
        </w:trPr>
        <w:tc>
          <w:tcPr>
            <w:tcW w:w="2297"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270" w:type="dxa"/>
          </w:tcPr>
          <w:p w14:paraId="52FC7E93" w14:textId="58341BEF" w:rsidR="00BB5821" w:rsidRPr="00BB5821" w:rsidRDefault="00A33BC3" w:rsidP="00BB5821">
            <w:pPr>
              <w:pStyle w:val="MarginText"/>
              <w:jc w:val="left"/>
              <w:rPr>
                <w:rFonts w:cs="Arial"/>
                <w:sz w:val="22"/>
                <w:szCs w:val="22"/>
              </w:rPr>
            </w:pPr>
            <w:r>
              <w:rPr>
                <w:rFonts w:cs="Arial"/>
                <w:sz w:val="22"/>
                <w:szCs w:val="22"/>
              </w:rPr>
              <w:t>M</w:t>
            </w:r>
            <w:r w:rsidR="00BB5821" w:rsidRPr="00BB5821">
              <w:rPr>
                <w:rFonts w:cs="Arial"/>
                <w:sz w:val="22"/>
                <w:szCs w:val="22"/>
              </w:rPr>
              <w:t xml:space="preserve">eans the Environmental Information Regulations 2004 together with any guidance and/or codes of practice issued by the Information Commissioner or relevant Government department </w:t>
            </w:r>
            <w:r w:rsidR="005F0C41">
              <w:rPr>
                <w:rFonts w:cs="Arial"/>
                <w:sz w:val="22"/>
                <w:szCs w:val="22"/>
              </w:rPr>
              <w:t xml:space="preserve">in relation to such regulations. </w:t>
            </w:r>
          </w:p>
        </w:tc>
      </w:tr>
      <w:tr w:rsidR="006B6D9D" w:rsidRPr="00C351DF" w14:paraId="36373242" w14:textId="77777777" w:rsidTr="00FA3BF5">
        <w:trPr>
          <w:cantSplit/>
        </w:trPr>
        <w:tc>
          <w:tcPr>
            <w:tcW w:w="2297"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270" w:type="dxa"/>
          </w:tcPr>
          <w:p w14:paraId="535D1D3B" w14:textId="154F64C2" w:rsidR="006B6D9D" w:rsidRPr="00C351DF" w:rsidRDefault="00A33BC3" w:rsidP="006B6D9D">
            <w:pPr>
              <w:pStyle w:val="MarginText"/>
              <w:jc w:val="left"/>
              <w:rPr>
                <w:rFonts w:cs="Arial"/>
                <w:sz w:val="22"/>
                <w:szCs w:val="22"/>
              </w:rPr>
            </w:pPr>
            <w:r>
              <w:rPr>
                <w:rFonts w:cs="Arial"/>
                <w:sz w:val="22"/>
                <w:szCs w:val="22"/>
              </w:rPr>
              <w:t>M</w:t>
            </w:r>
            <w:r w:rsidR="006B6D9D" w:rsidRPr="00C351DF">
              <w:rPr>
                <w:rFonts w:cs="Arial"/>
                <w:sz w:val="22"/>
                <w:szCs w:val="22"/>
              </w:rPr>
              <w:t xml:space="preserve">eans the online tender management and administration system used by </w:t>
            </w:r>
            <w:r w:rsidR="006B6D9D">
              <w:rPr>
                <w:rFonts w:cs="Arial"/>
                <w:sz w:val="22"/>
                <w:szCs w:val="22"/>
              </w:rPr>
              <w:t>the Agent</w:t>
            </w:r>
            <w:r w:rsidR="005F0C41">
              <w:rPr>
                <w:rFonts w:cs="Arial"/>
                <w:sz w:val="22"/>
                <w:szCs w:val="22"/>
              </w:rPr>
              <w:t xml:space="preserve">. </w:t>
            </w:r>
          </w:p>
        </w:tc>
      </w:tr>
      <w:tr w:rsidR="005F756F" w:rsidRPr="00C351DF" w14:paraId="5E8061BF" w14:textId="77777777" w:rsidTr="00FA3BF5">
        <w:trPr>
          <w:cantSplit/>
        </w:trPr>
        <w:tc>
          <w:tcPr>
            <w:tcW w:w="2297"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270" w:type="dxa"/>
          </w:tcPr>
          <w:p w14:paraId="1A663809" w14:textId="28C9DEA0" w:rsidR="005F756F" w:rsidRPr="00C351DF" w:rsidRDefault="00A33BC3" w:rsidP="00B16E91">
            <w:pPr>
              <w:pStyle w:val="MarginText"/>
              <w:jc w:val="left"/>
              <w:rPr>
                <w:rFonts w:cs="Arial"/>
                <w:sz w:val="22"/>
                <w:szCs w:val="22"/>
              </w:rPr>
            </w:pPr>
            <w:r>
              <w:rPr>
                <w:rFonts w:cs="Arial"/>
                <w:sz w:val="22"/>
                <w:szCs w:val="22"/>
              </w:rPr>
              <w:t>Means</w:t>
            </w:r>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FA3BF5">
        <w:trPr>
          <w:cantSplit/>
        </w:trPr>
        <w:tc>
          <w:tcPr>
            <w:tcW w:w="2297"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270" w:type="dxa"/>
          </w:tcPr>
          <w:p w14:paraId="05837C93" w14:textId="1EA05D8B" w:rsidR="006B6D9D" w:rsidRPr="00C351DF" w:rsidRDefault="00A33BC3" w:rsidP="00B16E91">
            <w:pPr>
              <w:pStyle w:val="MarginText"/>
              <w:jc w:val="left"/>
              <w:rPr>
                <w:rFonts w:cs="Arial"/>
                <w:sz w:val="22"/>
                <w:szCs w:val="22"/>
              </w:rPr>
            </w:pPr>
            <w:r w:rsidRPr="00C351DF">
              <w:rPr>
                <w:rFonts w:cs="Arial"/>
                <w:sz w:val="22"/>
                <w:szCs w:val="22"/>
              </w:rPr>
              <w:t>Means</w:t>
            </w:r>
            <w:r w:rsidR="006B6D9D" w:rsidRPr="00C351DF">
              <w:rPr>
                <w:rFonts w:cs="Arial"/>
                <w:sz w:val="22"/>
                <w:szCs w:val="22"/>
              </w:rPr>
              <w:t xml:space="preserve"> the score achieved by a Tender at the conclusion of the </w:t>
            </w:r>
            <w:r w:rsidR="00B16E91">
              <w:rPr>
                <w:rFonts w:cs="Arial"/>
                <w:sz w:val="22"/>
                <w:szCs w:val="22"/>
              </w:rPr>
              <w:t>Evaluation process</w:t>
            </w:r>
            <w:r w:rsidR="006B6D9D"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FA3BF5">
        <w:trPr>
          <w:cantSplit/>
        </w:trPr>
        <w:tc>
          <w:tcPr>
            <w:tcW w:w="2297"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270" w:type="dxa"/>
          </w:tcPr>
          <w:p w14:paraId="5D494C6E" w14:textId="20C57751" w:rsidR="00BB5821" w:rsidRPr="00BB5821" w:rsidRDefault="00A33BC3" w:rsidP="00BB5821">
            <w:pPr>
              <w:pStyle w:val="MarginText"/>
              <w:jc w:val="left"/>
              <w:rPr>
                <w:rFonts w:cs="Arial"/>
                <w:sz w:val="22"/>
                <w:szCs w:val="22"/>
              </w:rPr>
            </w:pPr>
            <w:r>
              <w:rPr>
                <w:rFonts w:cs="Arial"/>
                <w:sz w:val="22"/>
                <w:szCs w:val="22"/>
              </w:rPr>
              <w:t>M</w:t>
            </w:r>
            <w:r w:rsidR="00BB5821" w:rsidRPr="00BB5821">
              <w:rPr>
                <w:rFonts w:cs="Arial"/>
                <w:sz w:val="22"/>
                <w:szCs w:val="22"/>
              </w:rPr>
              <w:t xml:space="preserve">eans the Freedom of Information Act 2000 as amended and any subordinate legislation made thereunder from time to time together with any guidance and/or codes of practice issued by the Information Commissioner or relevant Government department </w:t>
            </w:r>
            <w:r w:rsidR="005F0C41">
              <w:rPr>
                <w:rFonts w:cs="Arial"/>
                <w:sz w:val="22"/>
                <w:szCs w:val="22"/>
              </w:rPr>
              <w:t xml:space="preserve">in relation to such legislation. </w:t>
            </w:r>
          </w:p>
        </w:tc>
      </w:tr>
      <w:tr w:rsidR="00F12F6D" w:rsidRPr="00C351DF" w14:paraId="4A7BA32B" w14:textId="77777777" w:rsidTr="00FA3BF5">
        <w:trPr>
          <w:cantSplit/>
        </w:trPr>
        <w:tc>
          <w:tcPr>
            <w:tcW w:w="2297" w:type="dxa"/>
            <w:vAlign w:val="center"/>
          </w:tcPr>
          <w:p w14:paraId="4A7BA328" w14:textId="2E098A82" w:rsidR="00F12F6D" w:rsidRPr="00C351DF" w:rsidRDefault="00F12F6D" w:rsidP="00F12F6D">
            <w:pPr>
              <w:pStyle w:val="MarginText"/>
              <w:jc w:val="left"/>
              <w:rPr>
                <w:rFonts w:cs="Arial"/>
                <w:sz w:val="22"/>
                <w:szCs w:val="22"/>
              </w:rPr>
            </w:pPr>
            <w:r w:rsidRPr="00A33BC3">
              <w:rPr>
                <w:rFonts w:cs="Arial"/>
                <w:sz w:val="22"/>
                <w:szCs w:val="22"/>
              </w:rPr>
              <w:t>Services</w:t>
            </w:r>
          </w:p>
        </w:tc>
        <w:tc>
          <w:tcPr>
            <w:tcW w:w="6270" w:type="dxa"/>
          </w:tcPr>
          <w:p w14:paraId="4A7BA32A" w14:textId="6A39EA07" w:rsidR="00F12F6D" w:rsidRPr="00C351DF" w:rsidRDefault="00A33BC3" w:rsidP="00A33BC3">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w:t>
            </w:r>
            <w:r w:rsidR="00F12F6D" w:rsidRPr="00A33BC3">
              <w:rPr>
                <w:rFonts w:cs="Arial"/>
                <w:sz w:val="22"/>
                <w:szCs w:val="22"/>
              </w:rPr>
              <w:t xml:space="preserve">the </w:t>
            </w:r>
            <w:r w:rsidRPr="00A33BC3">
              <w:rPr>
                <w:rFonts w:cs="Arial"/>
                <w:sz w:val="22"/>
                <w:szCs w:val="22"/>
              </w:rPr>
              <w:t>services</w:t>
            </w:r>
            <w:r w:rsidR="00F12F6D" w:rsidRPr="00C351DF">
              <w:rPr>
                <w:rFonts w:cs="Arial"/>
                <w:sz w:val="22"/>
                <w:szCs w:val="22"/>
              </w:rPr>
              <w:t xml:space="preserve"> that may be provided by Suppliers, as set out at </w:t>
            </w:r>
            <w:r w:rsidR="00B16E91">
              <w:rPr>
                <w:rFonts w:cs="Arial"/>
                <w:sz w:val="22"/>
                <w:szCs w:val="22"/>
              </w:rPr>
              <w:t>Appendix B, Statement of Requirements.</w:t>
            </w:r>
          </w:p>
        </w:tc>
      </w:tr>
      <w:tr w:rsidR="00F12F6D" w:rsidRPr="00C351DF" w14:paraId="4A7BA32E" w14:textId="77777777" w:rsidTr="00FA3BF5">
        <w:trPr>
          <w:cantSplit/>
        </w:trPr>
        <w:tc>
          <w:tcPr>
            <w:tcW w:w="2297"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 xml:space="preserve">Group </w:t>
            </w:r>
          </w:p>
        </w:tc>
        <w:tc>
          <w:tcPr>
            <w:tcW w:w="6270" w:type="dxa"/>
          </w:tcPr>
          <w:p w14:paraId="4A7BA32D" w14:textId="6FCD5D5D" w:rsidR="00F12F6D" w:rsidRPr="00C351DF" w:rsidRDefault="00A33BC3" w:rsidP="00F12F6D">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w:t>
            </w:r>
            <w:r w:rsidR="005F0C41">
              <w:rPr>
                <w:rFonts w:cs="Arial"/>
                <w:sz w:val="22"/>
                <w:szCs w:val="22"/>
              </w:rPr>
              <w:t xml:space="preserve"> 1159 of the Companies Act 2006. </w:t>
            </w:r>
          </w:p>
        </w:tc>
      </w:tr>
      <w:tr w:rsidR="00F12F6D" w:rsidRPr="00C351DF" w14:paraId="4A7BA331" w14:textId="77777777" w:rsidTr="00FA3BF5">
        <w:trPr>
          <w:cantSplit/>
        </w:trPr>
        <w:tc>
          <w:tcPr>
            <w:tcW w:w="2297"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270" w:type="dxa"/>
          </w:tcPr>
          <w:p w14:paraId="4A7BA330" w14:textId="3A402BF9" w:rsidR="00F12F6D" w:rsidRPr="00C351DF" w:rsidRDefault="00A33BC3" w:rsidP="00A33BC3">
            <w:pPr>
              <w:pStyle w:val="MarginText"/>
              <w:jc w:val="left"/>
              <w:rPr>
                <w:rFonts w:cs="Arial"/>
                <w:sz w:val="22"/>
                <w:szCs w:val="22"/>
              </w:rPr>
            </w:pPr>
            <w:r>
              <w:rPr>
                <w:rFonts w:cs="Arial"/>
                <w:sz w:val="22"/>
                <w:szCs w:val="22"/>
              </w:rPr>
              <w:t>M</w:t>
            </w:r>
            <w:r w:rsidR="00F12F6D" w:rsidRPr="00C351DF">
              <w:rPr>
                <w:rFonts w:cs="Arial"/>
                <w:sz w:val="22"/>
                <w:szCs w:val="22"/>
              </w:rPr>
              <w:t xml:space="preserve">eans a group of economic operators acting jointly and severally to provide </w:t>
            </w:r>
            <w:r w:rsidR="00F12F6D" w:rsidRPr="00A33BC3">
              <w:rPr>
                <w:rFonts w:cs="Arial"/>
                <w:sz w:val="22"/>
                <w:szCs w:val="22"/>
              </w:rPr>
              <w:t xml:space="preserve">the </w:t>
            </w:r>
            <w:r w:rsidRPr="00A33BC3">
              <w:rPr>
                <w:rFonts w:cs="Arial"/>
                <w:sz w:val="22"/>
                <w:szCs w:val="22"/>
              </w:rPr>
              <w:t>Services</w:t>
            </w:r>
            <w:r w:rsidR="005F0C41">
              <w:rPr>
                <w:rFonts w:cs="Arial"/>
                <w:sz w:val="22"/>
                <w:szCs w:val="22"/>
              </w:rPr>
              <w:t>.</w:t>
            </w:r>
          </w:p>
        </w:tc>
      </w:tr>
      <w:tr w:rsidR="00F12F6D" w:rsidRPr="00C351DF" w14:paraId="4A7BA334" w14:textId="77777777" w:rsidTr="00FA3BF5">
        <w:trPr>
          <w:cantSplit/>
        </w:trPr>
        <w:tc>
          <w:tcPr>
            <w:tcW w:w="2297"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270" w:type="dxa"/>
          </w:tcPr>
          <w:p w14:paraId="4A7BA333" w14:textId="1C080451" w:rsidR="00F12F6D" w:rsidRPr="00C351DF" w:rsidRDefault="00A33BC3" w:rsidP="00F12F6D">
            <w:pPr>
              <w:pStyle w:val="MarginText"/>
              <w:jc w:val="left"/>
              <w:rPr>
                <w:rFonts w:cs="Arial"/>
                <w:b/>
                <w:sz w:val="22"/>
                <w:szCs w:val="22"/>
              </w:rPr>
            </w:pPr>
            <w:r>
              <w:rPr>
                <w:rFonts w:cs="Arial"/>
                <w:sz w:val="22"/>
                <w:szCs w:val="22"/>
              </w:rPr>
              <w:t>M</w:t>
            </w:r>
            <w:r w:rsidR="00F12F6D" w:rsidRPr="00C351DF">
              <w:rPr>
                <w:rFonts w:cs="Arial"/>
                <w:sz w:val="22"/>
                <w:szCs w:val="22"/>
              </w:rPr>
              <w:t>eans</w:t>
            </w:r>
            <w:r w:rsidR="00F12F6D" w:rsidRPr="00C351DF">
              <w:rPr>
                <w:rFonts w:cs="Arial"/>
                <w:b/>
                <w:sz w:val="22"/>
                <w:szCs w:val="22"/>
              </w:rPr>
              <w:t xml:space="preserve"> </w:t>
            </w:r>
            <w:r w:rsidR="00F12F6D" w:rsidRPr="00C351DF">
              <w:rPr>
                <w:rFonts w:cs="Arial"/>
                <w:sz w:val="22"/>
                <w:szCs w:val="22"/>
              </w:rPr>
              <w:t xml:space="preserve">this invitation to tender document together with its Attachments, published by </w:t>
            </w:r>
            <w:r w:rsidR="00F12F6D">
              <w:rPr>
                <w:rFonts w:cs="Arial"/>
                <w:sz w:val="22"/>
                <w:szCs w:val="22"/>
              </w:rPr>
              <w:t>the Agent</w:t>
            </w:r>
            <w:r w:rsidR="00F12F6D" w:rsidRPr="00C351DF">
              <w:rPr>
                <w:rFonts w:cs="Arial"/>
                <w:sz w:val="22"/>
                <w:szCs w:val="22"/>
              </w:rPr>
              <w:t xml:space="preserve"> </w:t>
            </w:r>
            <w:r w:rsidR="005F0C41">
              <w:rPr>
                <w:rFonts w:cs="Arial"/>
                <w:sz w:val="22"/>
                <w:szCs w:val="22"/>
              </w:rPr>
              <w:t>in relation to this Procurement.</w:t>
            </w:r>
          </w:p>
        </w:tc>
      </w:tr>
      <w:tr w:rsidR="00F12F6D" w:rsidRPr="00C351DF" w14:paraId="4A7BA337" w14:textId="77777777" w:rsidTr="00FA3BF5">
        <w:trPr>
          <w:cantSplit/>
        </w:trPr>
        <w:tc>
          <w:tcPr>
            <w:tcW w:w="2297"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270" w:type="dxa"/>
          </w:tcPr>
          <w:p w14:paraId="4A7BA336" w14:textId="7A9A4714" w:rsidR="00F12F6D" w:rsidRPr="00C351DF" w:rsidRDefault="00A33BC3" w:rsidP="00F12F6D">
            <w:pPr>
              <w:pStyle w:val="MarginText"/>
              <w:jc w:val="left"/>
              <w:rPr>
                <w:rFonts w:cs="Arial"/>
                <w:sz w:val="22"/>
                <w:szCs w:val="22"/>
              </w:rPr>
            </w:pPr>
            <w:r>
              <w:rPr>
                <w:rFonts w:cs="Arial"/>
                <w:sz w:val="22"/>
                <w:szCs w:val="22"/>
              </w:rPr>
              <w:t>M</w:t>
            </w:r>
            <w:r w:rsidR="00F12F6D" w:rsidRPr="00C351DF">
              <w:rPr>
                <w:rFonts w:cs="Arial"/>
                <w:sz w:val="22"/>
                <w:szCs w:val="22"/>
              </w:rPr>
              <w:t xml:space="preserve">eans the member of the Group of Economic Operators who is authorised in writing by each of the other members to that Group of Economic Operators to provide </w:t>
            </w:r>
            <w:r w:rsidR="00F12F6D">
              <w:rPr>
                <w:rFonts w:cs="Arial"/>
                <w:sz w:val="22"/>
                <w:szCs w:val="22"/>
              </w:rPr>
              <w:t xml:space="preserve">the Tender (including </w:t>
            </w:r>
            <w:r w:rsidR="00F12F6D" w:rsidRPr="00C351DF">
              <w:rPr>
                <w:rFonts w:cs="Arial"/>
                <w:sz w:val="22"/>
                <w:szCs w:val="22"/>
              </w:rPr>
              <w:t xml:space="preserve">the responses to the Selection </w:t>
            </w:r>
            <w:r w:rsidR="00F12F6D">
              <w:rPr>
                <w:rFonts w:cs="Arial"/>
                <w:sz w:val="22"/>
                <w:szCs w:val="22"/>
              </w:rPr>
              <w:t xml:space="preserve">Questionnaire and the </w:t>
            </w:r>
            <w:r w:rsidR="00F12F6D" w:rsidRPr="00C351DF">
              <w:rPr>
                <w:rFonts w:cs="Arial"/>
                <w:sz w:val="22"/>
                <w:szCs w:val="22"/>
              </w:rPr>
              <w:t>Award Questionnaire</w:t>
            </w:r>
            <w:r w:rsidR="00F12F6D">
              <w:rPr>
                <w:rFonts w:cs="Arial"/>
                <w:sz w:val="22"/>
                <w:szCs w:val="22"/>
              </w:rPr>
              <w:t>)</w:t>
            </w:r>
            <w:r w:rsidR="005F0C41">
              <w:rPr>
                <w:rFonts w:cs="Arial"/>
                <w:sz w:val="22"/>
                <w:szCs w:val="22"/>
              </w:rPr>
              <w:t xml:space="preserve">. </w:t>
            </w:r>
            <w:r w:rsidR="00F12F6D" w:rsidRPr="00C351DF">
              <w:rPr>
                <w:rFonts w:cs="Arial"/>
                <w:sz w:val="22"/>
                <w:szCs w:val="22"/>
              </w:rPr>
              <w:t xml:space="preserve"> </w:t>
            </w:r>
          </w:p>
        </w:tc>
      </w:tr>
      <w:tr w:rsidR="00F12F6D" w:rsidRPr="00C351DF" w14:paraId="4A7BA33A" w14:textId="77777777" w:rsidTr="00FA3BF5">
        <w:trPr>
          <w:cantSplit/>
        </w:trPr>
        <w:tc>
          <w:tcPr>
            <w:tcW w:w="2297"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270" w:type="dxa"/>
          </w:tcPr>
          <w:p w14:paraId="4A7BA339" w14:textId="37DC58F1" w:rsidR="00F12F6D" w:rsidRPr="006B6D9D" w:rsidRDefault="00A33BC3" w:rsidP="00A33BC3">
            <w:pPr>
              <w:pStyle w:val="MarginText"/>
              <w:jc w:val="left"/>
              <w:rPr>
                <w:rFonts w:cs="Arial"/>
                <w:b/>
                <w:i/>
                <w:sz w:val="22"/>
                <w:szCs w:val="22"/>
                <w:highlight w:val="yellow"/>
              </w:rPr>
            </w:pPr>
            <w:r w:rsidRPr="004D6565">
              <w:rPr>
                <w:rFonts w:cs="Arial"/>
                <w:sz w:val="22"/>
                <w:szCs w:val="22"/>
              </w:rPr>
              <w:t>Means</w:t>
            </w:r>
            <w:r w:rsidR="00F12F6D" w:rsidRPr="004D6565">
              <w:rPr>
                <w:rFonts w:cs="Arial"/>
                <w:sz w:val="22"/>
                <w:szCs w:val="22"/>
              </w:rPr>
              <w:t xml:space="preserve"> a discrete sub-division of </w:t>
            </w:r>
            <w:r w:rsidR="00F12F6D" w:rsidRPr="00A33BC3">
              <w:rPr>
                <w:rFonts w:cs="Arial"/>
                <w:sz w:val="22"/>
                <w:szCs w:val="22"/>
              </w:rPr>
              <w:t xml:space="preserve">the </w:t>
            </w:r>
            <w:r w:rsidRPr="00A33BC3">
              <w:rPr>
                <w:rFonts w:cs="Arial"/>
                <w:sz w:val="22"/>
                <w:szCs w:val="22"/>
              </w:rPr>
              <w:t>Services</w:t>
            </w:r>
            <w:r w:rsidR="00F12F6D" w:rsidRPr="004D6565">
              <w:rPr>
                <w:rFonts w:cs="Arial"/>
                <w:sz w:val="22"/>
                <w:szCs w:val="22"/>
              </w:rPr>
              <w:t xml:space="preserve"> which are the subject of this Procurement as describ</w:t>
            </w:r>
            <w:r w:rsidR="004D6565" w:rsidRPr="004D6565">
              <w:rPr>
                <w:rFonts w:cs="Arial"/>
                <w:sz w:val="22"/>
                <w:szCs w:val="22"/>
              </w:rPr>
              <w:t>ed in the OJEU Contract Notice.</w:t>
            </w:r>
          </w:p>
        </w:tc>
      </w:tr>
      <w:tr w:rsidR="00F12F6D" w:rsidRPr="00C351DF" w14:paraId="4A7BA343" w14:textId="77777777" w:rsidTr="00FA3BF5">
        <w:trPr>
          <w:cantSplit/>
        </w:trPr>
        <w:tc>
          <w:tcPr>
            <w:tcW w:w="2297"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270" w:type="dxa"/>
          </w:tcPr>
          <w:p w14:paraId="4A7BA342" w14:textId="6E9782E1" w:rsidR="00F12F6D" w:rsidRPr="00C351DF" w:rsidRDefault="00A33BC3" w:rsidP="00D00F98">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the range of marks that may be given to a Potential Provider by </w:t>
            </w:r>
            <w:r w:rsidR="00F12F6D">
              <w:rPr>
                <w:rFonts w:cs="Arial"/>
                <w:sz w:val="22"/>
                <w:szCs w:val="22"/>
              </w:rPr>
              <w:t>the Agent</w:t>
            </w:r>
            <w:r w:rsidR="00F12F6D"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FA3BF5">
        <w:trPr>
          <w:cantSplit/>
        </w:trPr>
        <w:tc>
          <w:tcPr>
            <w:tcW w:w="2297"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270" w:type="dxa"/>
          </w:tcPr>
          <w:p w14:paraId="4A7BA345" w14:textId="1905F382" w:rsidR="00F12F6D" w:rsidRPr="00C351DF" w:rsidRDefault="00A33BC3" w:rsidP="00B16E91">
            <w:pPr>
              <w:pStyle w:val="MarginText"/>
              <w:jc w:val="left"/>
              <w:rPr>
                <w:rFonts w:cs="Arial"/>
                <w:b/>
                <w:sz w:val="22"/>
                <w:szCs w:val="22"/>
              </w:rPr>
            </w:pPr>
            <w:r w:rsidRPr="00C351DF">
              <w:rPr>
                <w:rFonts w:cs="Arial"/>
                <w:sz w:val="22"/>
                <w:szCs w:val="22"/>
              </w:rPr>
              <w:t>Means</w:t>
            </w:r>
            <w:r w:rsidR="00F12F6D" w:rsidRPr="00C351DF">
              <w:rPr>
                <w:rFonts w:cs="Arial"/>
                <w:sz w:val="22"/>
                <w:szCs w:val="22"/>
              </w:rPr>
              <w:t xml:space="preserve"> the maximum potential score</w:t>
            </w:r>
            <w:r w:rsidR="00F12F6D">
              <w:rPr>
                <w:rFonts w:cs="Arial"/>
                <w:sz w:val="22"/>
                <w:szCs w:val="22"/>
              </w:rPr>
              <w:t xml:space="preserve"> (weighting)</w:t>
            </w:r>
            <w:r w:rsidR="00F12F6D"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FA3BF5">
        <w:trPr>
          <w:cantSplit/>
        </w:trPr>
        <w:tc>
          <w:tcPr>
            <w:tcW w:w="2297"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270" w:type="dxa"/>
          </w:tcPr>
          <w:p w14:paraId="4A7BA352" w14:textId="12F8F4FD" w:rsidR="00F12F6D" w:rsidRPr="00C351DF" w:rsidRDefault="00A33BC3" w:rsidP="00B16E91">
            <w:pPr>
              <w:pStyle w:val="MarginText"/>
              <w:jc w:val="left"/>
              <w:rPr>
                <w:rFonts w:cs="Arial"/>
                <w:sz w:val="22"/>
                <w:szCs w:val="22"/>
              </w:rPr>
            </w:pPr>
            <w:r w:rsidRPr="00C351DF">
              <w:rPr>
                <w:rFonts w:cs="Arial"/>
                <w:sz w:val="22"/>
                <w:szCs w:val="22"/>
              </w:rPr>
              <w:t>Has</w:t>
            </w:r>
            <w:r w:rsidR="00F12F6D"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FA3BF5">
        <w:trPr>
          <w:cantSplit/>
        </w:trPr>
        <w:tc>
          <w:tcPr>
            <w:tcW w:w="2297"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270" w:type="dxa"/>
          </w:tcPr>
          <w:p w14:paraId="4A7BA355" w14:textId="6F97CEE5" w:rsidR="00F12F6D" w:rsidRPr="00C351DF" w:rsidRDefault="00A33BC3" w:rsidP="00F12F6D">
            <w:pPr>
              <w:pStyle w:val="MarginText"/>
              <w:jc w:val="left"/>
              <w:rPr>
                <w:rFonts w:cs="Arial"/>
                <w:sz w:val="22"/>
                <w:szCs w:val="22"/>
              </w:rPr>
            </w:pPr>
            <w:r>
              <w:rPr>
                <w:rFonts w:cs="Arial"/>
                <w:sz w:val="22"/>
                <w:szCs w:val="22"/>
              </w:rPr>
              <w:t>M</w:t>
            </w:r>
            <w:r w:rsidR="00F12F6D" w:rsidRPr="00C351DF">
              <w:rPr>
                <w:rFonts w:cs="Arial"/>
                <w:sz w:val="22"/>
                <w:szCs w:val="22"/>
              </w:rPr>
              <w:t>eans part of the Award Stage used to evaluate the charges t</w:t>
            </w:r>
            <w:r w:rsidR="005F0C41">
              <w:rPr>
                <w:rFonts w:cs="Arial"/>
                <w:sz w:val="22"/>
                <w:szCs w:val="22"/>
              </w:rPr>
              <w:t xml:space="preserve">endered by a Potential Provider. </w:t>
            </w:r>
          </w:p>
        </w:tc>
      </w:tr>
      <w:tr w:rsidR="00F12F6D" w:rsidRPr="00C351DF" w14:paraId="4A7BA359" w14:textId="77777777" w:rsidTr="00FA3BF5">
        <w:trPr>
          <w:cantSplit/>
        </w:trPr>
        <w:tc>
          <w:tcPr>
            <w:tcW w:w="2297"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270" w:type="dxa"/>
          </w:tcPr>
          <w:p w14:paraId="4A7BA358" w14:textId="3FB58A20" w:rsidR="00F12F6D" w:rsidRPr="00C351DF" w:rsidRDefault="00A33BC3" w:rsidP="00D00F98">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FA3BF5">
        <w:trPr>
          <w:cantSplit/>
        </w:trPr>
        <w:tc>
          <w:tcPr>
            <w:tcW w:w="2297"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270" w:type="dxa"/>
          </w:tcPr>
          <w:p w14:paraId="4A7BA35B" w14:textId="55937479" w:rsidR="00F12F6D" w:rsidRPr="00C351DF" w:rsidRDefault="00A33BC3" w:rsidP="00A33BC3">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the process used to establish a </w:t>
            </w:r>
            <w:r w:rsidR="00F12F6D">
              <w:rPr>
                <w:rFonts w:cs="Arial"/>
                <w:sz w:val="22"/>
                <w:szCs w:val="22"/>
              </w:rPr>
              <w:t>Contract</w:t>
            </w:r>
            <w:r w:rsidR="00F12F6D" w:rsidRPr="00C351DF">
              <w:rPr>
                <w:rFonts w:cs="Arial"/>
                <w:sz w:val="22"/>
                <w:szCs w:val="22"/>
              </w:rPr>
              <w:t xml:space="preserve"> that facilitates the supply of </w:t>
            </w:r>
            <w:r w:rsidR="00F12F6D" w:rsidRPr="00A33BC3">
              <w:rPr>
                <w:rFonts w:cs="Arial"/>
                <w:sz w:val="22"/>
                <w:szCs w:val="22"/>
              </w:rPr>
              <w:t xml:space="preserve">the </w:t>
            </w:r>
            <w:r w:rsidRPr="00A33BC3">
              <w:rPr>
                <w:rFonts w:cs="Arial"/>
                <w:sz w:val="22"/>
                <w:szCs w:val="22"/>
              </w:rPr>
              <w:t xml:space="preserve">Services. </w:t>
            </w:r>
          </w:p>
        </w:tc>
      </w:tr>
      <w:tr w:rsidR="00D52CA7" w:rsidRPr="00C351DF" w14:paraId="72D073A1" w14:textId="77777777" w:rsidTr="00FA3BF5">
        <w:trPr>
          <w:cantSplit/>
        </w:trPr>
        <w:tc>
          <w:tcPr>
            <w:tcW w:w="2297"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270" w:type="dxa"/>
          </w:tcPr>
          <w:p w14:paraId="5221B959" w14:textId="6109E882" w:rsidR="00D52CA7" w:rsidRPr="00C351DF" w:rsidRDefault="00A33BC3" w:rsidP="000352DC">
            <w:pPr>
              <w:pStyle w:val="MarginText"/>
              <w:jc w:val="left"/>
              <w:rPr>
                <w:rFonts w:cs="Arial"/>
                <w:sz w:val="22"/>
                <w:szCs w:val="22"/>
              </w:rPr>
            </w:pPr>
            <w:r>
              <w:rPr>
                <w:rFonts w:cs="Arial"/>
                <w:sz w:val="22"/>
                <w:szCs w:val="22"/>
              </w:rPr>
              <w:t>M</w:t>
            </w:r>
            <w:r w:rsidR="00D52CA7" w:rsidRPr="00C351DF">
              <w:rPr>
                <w:rFonts w:cs="Arial"/>
                <w:sz w:val="22"/>
                <w:szCs w:val="22"/>
              </w:rPr>
              <w:t xml:space="preserve">eans the </w:t>
            </w:r>
            <w:r w:rsidR="00D52CA7">
              <w:rPr>
                <w:rFonts w:cs="Arial"/>
                <w:sz w:val="22"/>
                <w:szCs w:val="22"/>
              </w:rPr>
              <w:t>CCS commerci</w:t>
            </w:r>
            <w:r w:rsidR="005F0C41">
              <w:rPr>
                <w:rFonts w:cs="Arial"/>
                <w:sz w:val="22"/>
                <w:szCs w:val="22"/>
              </w:rPr>
              <w:t xml:space="preserve">al lead running the procurement. </w:t>
            </w:r>
            <w:r w:rsidR="00D52CA7">
              <w:rPr>
                <w:rFonts w:cs="Arial"/>
                <w:sz w:val="22"/>
                <w:szCs w:val="22"/>
              </w:rPr>
              <w:t xml:space="preserve"> </w:t>
            </w:r>
          </w:p>
        </w:tc>
      </w:tr>
      <w:tr w:rsidR="00F12F6D" w:rsidRPr="00C351DF" w14:paraId="4A7BA35F" w14:textId="77777777" w:rsidTr="00FA3BF5">
        <w:trPr>
          <w:cantSplit/>
        </w:trPr>
        <w:tc>
          <w:tcPr>
            <w:tcW w:w="2297"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270" w:type="dxa"/>
          </w:tcPr>
          <w:p w14:paraId="4A7BA35E" w14:textId="5DCE6C13" w:rsidR="00F12F6D" w:rsidRPr="00C351DF" w:rsidRDefault="00A33BC3" w:rsidP="00F12F6D">
            <w:pPr>
              <w:pStyle w:val="MarginText"/>
              <w:jc w:val="left"/>
              <w:rPr>
                <w:rFonts w:cs="Arial"/>
                <w:sz w:val="22"/>
                <w:szCs w:val="22"/>
              </w:rPr>
            </w:pPr>
            <w:r>
              <w:rPr>
                <w:rFonts w:cs="Arial"/>
                <w:sz w:val="22"/>
                <w:szCs w:val="22"/>
              </w:rPr>
              <w:t>M</w:t>
            </w:r>
            <w:r w:rsidR="00F12F6D">
              <w:rPr>
                <w:rFonts w:cs="Arial"/>
                <w:sz w:val="22"/>
                <w:szCs w:val="22"/>
              </w:rPr>
              <w:t>eans Directive 2014/24/EU of the Europea</w:t>
            </w:r>
            <w:r w:rsidR="005F0C41">
              <w:rPr>
                <w:rFonts w:cs="Arial"/>
                <w:sz w:val="22"/>
                <w:szCs w:val="22"/>
              </w:rPr>
              <w:t xml:space="preserve">n Parliament and of the Council. </w:t>
            </w:r>
          </w:p>
        </w:tc>
      </w:tr>
      <w:tr w:rsidR="00F12F6D" w:rsidRPr="00C351DF" w14:paraId="4A7BA362" w14:textId="77777777" w:rsidTr="00FA3BF5">
        <w:trPr>
          <w:cantSplit/>
        </w:trPr>
        <w:tc>
          <w:tcPr>
            <w:tcW w:w="2297"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270" w:type="dxa"/>
          </w:tcPr>
          <w:p w14:paraId="4A7BA361" w14:textId="696A6EE7" w:rsidR="00F12F6D" w:rsidRPr="00C351DF" w:rsidRDefault="00A33BC3" w:rsidP="00587169">
            <w:pPr>
              <w:pStyle w:val="MarginText"/>
              <w:jc w:val="left"/>
              <w:rPr>
                <w:rFonts w:cs="Arial"/>
                <w:sz w:val="22"/>
                <w:szCs w:val="22"/>
              </w:rPr>
            </w:pPr>
            <w:r>
              <w:rPr>
                <w:rFonts w:cs="Arial"/>
                <w:sz w:val="22"/>
                <w:szCs w:val="22"/>
              </w:rPr>
              <w:t>M</w:t>
            </w:r>
            <w:r w:rsidR="00F12F6D" w:rsidRPr="00C351DF">
              <w:rPr>
                <w:rFonts w:cs="Arial"/>
                <w:sz w:val="22"/>
                <w:szCs w:val="22"/>
              </w:rPr>
              <w:t xml:space="preserve">eans the qualitative evaluation of a Tender undertaken during the </w:t>
            </w:r>
            <w:r w:rsidR="00587169">
              <w:rPr>
                <w:rFonts w:cs="Arial"/>
                <w:sz w:val="22"/>
                <w:szCs w:val="22"/>
              </w:rPr>
              <w:t>Evaluation process</w:t>
            </w:r>
            <w:r w:rsidR="005F0C41">
              <w:rPr>
                <w:rFonts w:cs="Arial"/>
                <w:sz w:val="22"/>
                <w:szCs w:val="22"/>
              </w:rPr>
              <w:t xml:space="preserve">. </w:t>
            </w:r>
          </w:p>
        </w:tc>
      </w:tr>
      <w:tr w:rsidR="00F12F6D" w:rsidRPr="00C351DF" w14:paraId="4A7BA365" w14:textId="77777777" w:rsidTr="00FA3BF5">
        <w:trPr>
          <w:cantSplit/>
        </w:trPr>
        <w:tc>
          <w:tcPr>
            <w:tcW w:w="2297"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270" w:type="dxa"/>
          </w:tcPr>
          <w:p w14:paraId="4A7BA364" w14:textId="48C2A36C" w:rsidR="00F12F6D" w:rsidRPr="00C351DF" w:rsidRDefault="00A33BC3" w:rsidP="00DD5E00">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FA3BF5">
        <w:trPr>
          <w:cantSplit/>
        </w:trPr>
        <w:tc>
          <w:tcPr>
            <w:tcW w:w="2297"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270" w:type="dxa"/>
          </w:tcPr>
          <w:p w14:paraId="4A7BA369" w14:textId="332D85F6" w:rsidR="00F12F6D" w:rsidRPr="00C351DF" w:rsidRDefault="00FA3BF5" w:rsidP="00FA3BF5">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the Public Contracts Regulations 2015</w:t>
            </w:r>
            <w:r w:rsidR="00F12F6D">
              <w:rPr>
                <w:rFonts w:cs="Arial"/>
                <w:sz w:val="22"/>
                <w:szCs w:val="22"/>
              </w:rPr>
              <w:t xml:space="preserve"> (</w:t>
            </w:r>
            <w:hyperlink r:id="rId11" w:history="1">
              <w:r w:rsidR="00F12F6D" w:rsidRPr="00B01C9C">
                <w:rPr>
                  <w:rStyle w:val="Hyperlink"/>
                  <w:rFonts w:cs="Arial"/>
                  <w:sz w:val="22"/>
                  <w:szCs w:val="22"/>
                </w:rPr>
                <w:t>http://www.legislation.gov.uk/uksi/2015/102/contents/made</w:t>
              </w:r>
            </w:hyperlink>
            <w:r w:rsidR="00F12F6D">
              <w:rPr>
                <w:rFonts w:cs="Arial"/>
                <w:sz w:val="22"/>
                <w:szCs w:val="22"/>
              </w:rPr>
              <w:t>)</w:t>
            </w:r>
            <w:r w:rsidR="005F0C41">
              <w:rPr>
                <w:rFonts w:cs="Arial"/>
                <w:sz w:val="22"/>
                <w:szCs w:val="22"/>
              </w:rPr>
              <w:t>.</w:t>
            </w:r>
            <w:r w:rsidR="00F12F6D" w:rsidRPr="00065ECA" w:rsidDel="00065ECA">
              <w:rPr>
                <w:rFonts w:cs="Arial"/>
                <w:sz w:val="22"/>
                <w:szCs w:val="22"/>
              </w:rPr>
              <w:t xml:space="preserve"> </w:t>
            </w:r>
          </w:p>
        </w:tc>
      </w:tr>
      <w:tr w:rsidR="00F12F6D" w:rsidRPr="00C351DF" w14:paraId="4A7BA376" w14:textId="77777777" w:rsidTr="00FA3BF5">
        <w:trPr>
          <w:cantSplit/>
        </w:trPr>
        <w:tc>
          <w:tcPr>
            <w:tcW w:w="2297"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Small Medium Enterprise or SME</w:t>
            </w:r>
          </w:p>
        </w:tc>
        <w:tc>
          <w:tcPr>
            <w:tcW w:w="6270" w:type="dxa"/>
          </w:tcPr>
          <w:p w14:paraId="4A7BA375" w14:textId="5F1D8EE0" w:rsidR="00F12F6D" w:rsidRPr="00C351DF" w:rsidRDefault="00FA3BF5" w:rsidP="00FA3BF5">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an </w:t>
            </w:r>
            <w:r w:rsidR="00F12F6D">
              <w:rPr>
                <w:rFonts w:cs="Arial"/>
                <w:sz w:val="22"/>
                <w:szCs w:val="22"/>
              </w:rPr>
              <w:t xml:space="preserve">economic organisation </w:t>
            </w:r>
            <w:r w:rsidR="00F12F6D" w:rsidRPr="00C351DF">
              <w:rPr>
                <w:rFonts w:cs="Arial"/>
                <w:sz w:val="22"/>
                <w:szCs w:val="22"/>
              </w:rPr>
              <w:t xml:space="preserve">falling within the category of micro, small and medium-sized enterprises defined by the Commission Recommendation of 6 May 2003. See also </w:t>
            </w:r>
            <w:hyperlink r:id="rId12" w:history="1">
              <w:r w:rsidR="00F12F6D" w:rsidRPr="00C351DF">
                <w:rPr>
                  <w:rStyle w:val="Hyperlink"/>
                  <w:rFonts w:cs="Arial"/>
                  <w:sz w:val="22"/>
                  <w:szCs w:val="22"/>
                </w:rPr>
                <w:t>http://ec.europa.eu/enterprise/policies/sme/facts-figures-analysis/sme-definition/</w:t>
              </w:r>
            </w:hyperlink>
            <w:r w:rsidR="005F0C41">
              <w:rPr>
                <w:rFonts w:cs="Arial"/>
                <w:sz w:val="22"/>
                <w:szCs w:val="22"/>
              </w:rPr>
              <w:t>.</w:t>
            </w:r>
          </w:p>
        </w:tc>
      </w:tr>
      <w:tr w:rsidR="00F12F6D" w:rsidRPr="00C351DF" w14:paraId="4A7BA380" w14:textId="77777777" w:rsidTr="00FA3BF5">
        <w:trPr>
          <w:cantSplit/>
        </w:trPr>
        <w:tc>
          <w:tcPr>
            <w:tcW w:w="2297"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270" w:type="dxa"/>
          </w:tcPr>
          <w:p w14:paraId="4A7BA37B" w14:textId="50A19B2B" w:rsidR="00F12F6D" w:rsidRPr="00C351DF" w:rsidRDefault="00FA3BF5" w:rsidP="00FA3BF5">
            <w:pPr>
              <w:pStyle w:val="MarginText"/>
              <w:jc w:val="left"/>
              <w:rPr>
                <w:rFonts w:cs="Arial"/>
                <w:sz w:val="22"/>
                <w:szCs w:val="22"/>
              </w:rPr>
            </w:pPr>
            <w:r>
              <w:rPr>
                <w:rFonts w:cs="Arial"/>
                <w:sz w:val="22"/>
                <w:szCs w:val="22"/>
              </w:rPr>
              <w:t>M</w:t>
            </w:r>
            <w:r w:rsidR="00F12F6D" w:rsidRPr="00C351DF">
              <w:rPr>
                <w:rFonts w:cs="Arial"/>
                <w:sz w:val="22"/>
                <w:szCs w:val="22"/>
              </w:rPr>
              <w:t xml:space="preserve">eans a third party which: </w:t>
            </w:r>
          </w:p>
          <w:p w14:paraId="4A7BA37C" w14:textId="77777777" w:rsidR="00F12F6D" w:rsidRPr="00AA1BD9" w:rsidRDefault="00F12F6D" w:rsidP="00FA3BF5">
            <w:pPr>
              <w:pStyle w:val="ListParagraph"/>
              <w:numPr>
                <w:ilvl w:val="0"/>
                <w:numId w:val="34"/>
              </w:numPr>
              <w:spacing w:after="0"/>
              <w:jc w:val="left"/>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A3BF5">
            <w:pPr>
              <w:pStyle w:val="ListParagraph"/>
              <w:numPr>
                <w:ilvl w:val="0"/>
                <w:numId w:val="34"/>
              </w:numPr>
              <w:spacing w:after="0"/>
              <w:jc w:val="left"/>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A3BF5">
            <w:pPr>
              <w:pStyle w:val="ListParagraph"/>
              <w:numPr>
                <w:ilvl w:val="0"/>
                <w:numId w:val="34"/>
              </w:numPr>
              <w:spacing w:after="0"/>
              <w:jc w:val="left"/>
              <w:rPr>
                <w:rFonts w:cs="Arial"/>
                <w:sz w:val="22"/>
                <w:szCs w:val="22"/>
              </w:rPr>
            </w:pPr>
            <w:r w:rsidRPr="00AA1BD9">
              <w:rPr>
                <w:rFonts w:cs="Arial"/>
                <w:sz w:val="22"/>
                <w:szCs w:val="22"/>
              </w:rPr>
              <w:t>is responsible for the management, direction or control of the Goods and/or Services (or any part of them);</w:t>
            </w:r>
          </w:p>
          <w:p w14:paraId="4A7BA37F" w14:textId="55E06C34" w:rsidR="00F12F6D" w:rsidRPr="00C351DF" w:rsidRDefault="005F0C41" w:rsidP="00FA3BF5">
            <w:pPr>
              <w:pStyle w:val="MarginText"/>
              <w:jc w:val="left"/>
              <w:rPr>
                <w:rFonts w:cs="Arial"/>
                <w:sz w:val="22"/>
                <w:szCs w:val="22"/>
              </w:rPr>
            </w:pPr>
            <w:r w:rsidRPr="00C351DF">
              <w:rPr>
                <w:rFonts w:cs="Arial"/>
                <w:sz w:val="22"/>
                <w:szCs w:val="22"/>
              </w:rPr>
              <w:t>Pursuant</w:t>
            </w:r>
            <w:r w:rsidR="00F12F6D" w:rsidRPr="00C351DF">
              <w:rPr>
                <w:rFonts w:cs="Arial"/>
                <w:sz w:val="22"/>
                <w:szCs w:val="22"/>
              </w:rPr>
              <w:t xml:space="preserve"> to any contract or agreement (or proposed contract or agreement), other than </w:t>
            </w:r>
            <w:r w:rsidR="00F12F6D">
              <w:rPr>
                <w:rFonts w:cs="Arial"/>
                <w:sz w:val="22"/>
                <w:szCs w:val="22"/>
              </w:rPr>
              <w:t>the Contract</w:t>
            </w:r>
            <w:r w:rsidR="00F12F6D" w:rsidRPr="00AA1BD9">
              <w:rPr>
                <w:rFonts w:cs="Arial"/>
                <w:sz w:val="22"/>
                <w:szCs w:val="22"/>
              </w:rPr>
              <w:t xml:space="preserve"> or a Call Off Contract</w:t>
            </w:r>
            <w:r>
              <w:rPr>
                <w:rFonts w:cs="Arial"/>
                <w:sz w:val="22"/>
                <w:szCs w:val="22"/>
              </w:rPr>
              <w:t xml:space="preserve">. </w:t>
            </w:r>
          </w:p>
        </w:tc>
      </w:tr>
      <w:tr w:rsidR="00F12F6D" w:rsidRPr="00C351DF" w14:paraId="4A7BA383" w14:textId="77777777" w:rsidTr="00FA3BF5">
        <w:trPr>
          <w:cantSplit/>
        </w:trPr>
        <w:tc>
          <w:tcPr>
            <w:tcW w:w="2297"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270" w:type="dxa"/>
          </w:tcPr>
          <w:p w14:paraId="4A7BA382" w14:textId="7D68D214" w:rsidR="00F12F6D" w:rsidRPr="00C351DF" w:rsidRDefault="00FA3BF5" w:rsidP="00FA3BF5">
            <w:pPr>
              <w:pStyle w:val="MarginText"/>
              <w:jc w:val="left"/>
              <w:rPr>
                <w:rFonts w:cs="Arial"/>
                <w:sz w:val="22"/>
                <w:szCs w:val="22"/>
              </w:rPr>
            </w:pPr>
            <w:r>
              <w:rPr>
                <w:rFonts w:cs="Arial"/>
                <w:sz w:val="22"/>
                <w:szCs w:val="22"/>
              </w:rPr>
              <w:t>M</w:t>
            </w:r>
            <w:r w:rsidR="00F12F6D" w:rsidRPr="00C351DF">
              <w:rPr>
                <w:rFonts w:cs="Arial"/>
                <w:sz w:val="22"/>
                <w:szCs w:val="22"/>
              </w:rPr>
              <w:t xml:space="preserve">eans a Potential Provider with whom </w:t>
            </w:r>
            <w:r w:rsidR="00F12F6D">
              <w:rPr>
                <w:rFonts w:cs="Arial"/>
                <w:sz w:val="22"/>
                <w:szCs w:val="22"/>
              </w:rPr>
              <w:t>the Agent</w:t>
            </w:r>
            <w:r w:rsidR="00F12F6D" w:rsidRPr="00C351DF">
              <w:rPr>
                <w:rFonts w:cs="Arial"/>
                <w:sz w:val="22"/>
                <w:szCs w:val="22"/>
              </w:rPr>
              <w:t xml:space="preserve"> has concluded a </w:t>
            </w:r>
            <w:r w:rsidR="00F12F6D">
              <w:rPr>
                <w:rFonts w:cs="Arial"/>
                <w:sz w:val="22"/>
                <w:szCs w:val="22"/>
              </w:rPr>
              <w:t>Contract</w:t>
            </w:r>
            <w:r w:rsidR="005F0C41">
              <w:rPr>
                <w:rFonts w:cs="Arial"/>
                <w:sz w:val="22"/>
                <w:szCs w:val="22"/>
              </w:rPr>
              <w:t xml:space="preserve">. </w:t>
            </w:r>
          </w:p>
        </w:tc>
      </w:tr>
      <w:tr w:rsidR="00F12F6D" w:rsidRPr="00C351DF" w14:paraId="4A7BA386" w14:textId="77777777" w:rsidTr="00FA3BF5">
        <w:trPr>
          <w:cantSplit/>
        </w:trPr>
        <w:tc>
          <w:tcPr>
            <w:tcW w:w="2297"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270" w:type="dxa"/>
          </w:tcPr>
          <w:p w14:paraId="4A7BA385" w14:textId="36B42C48" w:rsidR="00F12F6D" w:rsidRPr="00C351DF" w:rsidRDefault="00FA3BF5" w:rsidP="00FA3BF5">
            <w:pPr>
              <w:pStyle w:val="MarginText"/>
              <w:jc w:val="left"/>
              <w:rPr>
                <w:rFonts w:cs="Arial"/>
                <w:b/>
                <w:sz w:val="22"/>
                <w:szCs w:val="22"/>
              </w:rPr>
            </w:pPr>
            <w:r>
              <w:rPr>
                <w:rFonts w:cs="Arial"/>
                <w:sz w:val="22"/>
                <w:szCs w:val="22"/>
              </w:rPr>
              <w:t>M</w:t>
            </w:r>
            <w:r w:rsidR="00F12F6D" w:rsidRPr="00C351DF">
              <w:rPr>
                <w:rFonts w:cs="Arial"/>
                <w:sz w:val="22"/>
                <w:szCs w:val="22"/>
              </w:rPr>
              <w:t>eans the Potential Provider’s formal offer in respo</w:t>
            </w:r>
            <w:r w:rsidR="005F0C41">
              <w:rPr>
                <w:rFonts w:cs="Arial"/>
                <w:sz w:val="22"/>
                <w:szCs w:val="22"/>
              </w:rPr>
              <w:t xml:space="preserve">nse to the Invitation to Tender. </w:t>
            </w:r>
          </w:p>
        </w:tc>
      </w:tr>
      <w:tr w:rsidR="00F12F6D" w:rsidRPr="00C351DF" w14:paraId="4A7BA389" w14:textId="77777777" w:rsidTr="00FA3BF5">
        <w:trPr>
          <w:cantSplit/>
        </w:trPr>
        <w:tc>
          <w:tcPr>
            <w:tcW w:w="2297"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270" w:type="dxa"/>
          </w:tcPr>
          <w:p w14:paraId="4A7BA388" w14:textId="40F0AB2E" w:rsidR="00F12F6D" w:rsidRPr="00BB5821" w:rsidRDefault="00FA3BF5" w:rsidP="00FA3BF5">
            <w:pPr>
              <w:pStyle w:val="MarginText"/>
              <w:jc w:val="left"/>
              <w:rPr>
                <w:rFonts w:cs="Arial"/>
                <w:sz w:val="22"/>
                <w:szCs w:val="22"/>
              </w:rPr>
            </w:pPr>
            <w:r>
              <w:rPr>
                <w:rFonts w:cs="Arial"/>
                <w:sz w:val="22"/>
                <w:szCs w:val="22"/>
              </w:rPr>
              <w:t>M</w:t>
            </w:r>
            <w:r w:rsidR="00F12F6D" w:rsidRPr="00BB5821">
              <w:rPr>
                <w:rFonts w:cs="Arial"/>
                <w:sz w:val="22"/>
                <w:szCs w:val="22"/>
              </w:rPr>
              <w:t xml:space="preserve">eans the time and date set out in paragraph </w:t>
            </w:r>
            <w:r w:rsidR="00D52CA7">
              <w:rPr>
                <w:rFonts w:cs="Arial"/>
                <w:sz w:val="22"/>
                <w:szCs w:val="22"/>
              </w:rPr>
              <w:t>4.2</w:t>
            </w:r>
            <w:r w:rsidR="00F12F6D" w:rsidRPr="00BB5821">
              <w:rPr>
                <w:rFonts w:cs="Arial"/>
                <w:sz w:val="22"/>
                <w:szCs w:val="22"/>
              </w:rPr>
              <w:t xml:space="preserve"> for the latest submis</w:t>
            </w:r>
            <w:r w:rsidR="005F0C41">
              <w:rPr>
                <w:rFonts w:cs="Arial"/>
                <w:sz w:val="22"/>
                <w:szCs w:val="22"/>
              </w:rPr>
              <w:t xml:space="preserve">sion of clarification questions. </w:t>
            </w:r>
          </w:p>
        </w:tc>
      </w:tr>
      <w:tr w:rsidR="00F12F6D" w:rsidRPr="00C351DF" w14:paraId="4A7BA38C" w14:textId="77777777" w:rsidTr="00FA3BF5">
        <w:trPr>
          <w:cantSplit/>
        </w:trPr>
        <w:tc>
          <w:tcPr>
            <w:tcW w:w="2297"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270" w:type="dxa"/>
          </w:tcPr>
          <w:p w14:paraId="4A7BA38B" w14:textId="1F07E3C9" w:rsidR="00F12F6D" w:rsidRPr="00BB5821" w:rsidRDefault="00FA3BF5" w:rsidP="005F0C41">
            <w:pPr>
              <w:pStyle w:val="MarginText"/>
              <w:jc w:val="left"/>
              <w:rPr>
                <w:rFonts w:cs="Arial"/>
                <w:b/>
                <w:sz w:val="22"/>
                <w:szCs w:val="22"/>
              </w:rPr>
            </w:pPr>
            <w:r>
              <w:rPr>
                <w:rFonts w:cs="Arial"/>
                <w:sz w:val="22"/>
                <w:szCs w:val="22"/>
              </w:rPr>
              <w:t>M</w:t>
            </w:r>
            <w:r w:rsidR="00F12F6D" w:rsidRPr="00BB5821">
              <w:rPr>
                <w:rFonts w:cs="Arial"/>
                <w:sz w:val="22"/>
                <w:szCs w:val="22"/>
              </w:rPr>
              <w:t xml:space="preserve">eans the time and date set out in paragraph </w:t>
            </w:r>
            <w:r w:rsidR="00F12F6D" w:rsidRPr="00BB5821">
              <w:rPr>
                <w:rFonts w:cs="Arial"/>
                <w:sz w:val="22"/>
                <w:szCs w:val="22"/>
              </w:rPr>
              <w:fldChar w:fldCharType="begin"/>
            </w:r>
            <w:r w:rsidR="00F12F6D" w:rsidRPr="00BB5821">
              <w:rPr>
                <w:rFonts w:cs="Arial"/>
                <w:sz w:val="22"/>
                <w:szCs w:val="22"/>
              </w:rPr>
              <w:instrText xml:space="preserve"> REF _Ref414960847 \r \h </w:instrText>
            </w:r>
            <w:r w:rsidR="00BB5821">
              <w:rPr>
                <w:rFonts w:cs="Arial"/>
                <w:sz w:val="22"/>
                <w:szCs w:val="22"/>
              </w:rPr>
              <w:instrText xml:space="preserve"> \* MERGEFORMAT </w:instrText>
            </w:r>
            <w:r w:rsidR="00F12F6D" w:rsidRPr="00BB5821">
              <w:rPr>
                <w:rFonts w:cs="Arial"/>
                <w:sz w:val="22"/>
                <w:szCs w:val="22"/>
              </w:rPr>
            </w:r>
            <w:r w:rsidR="00F12F6D" w:rsidRPr="00BB5821">
              <w:rPr>
                <w:rFonts w:cs="Arial"/>
                <w:sz w:val="22"/>
                <w:szCs w:val="22"/>
              </w:rPr>
              <w:fldChar w:fldCharType="separate"/>
            </w:r>
            <w:r w:rsidR="006F2590">
              <w:rPr>
                <w:rFonts w:cs="Arial"/>
                <w:sz w:val="22"/>
                <w:szCs w:val="22"/>
              </w:rPr>
              <w:t>4.2</w:t>
            </w:r>
            <w:r w:rsidR="00F12F6D" w:rsidRPr="00BB5821">
              <w:rPr>
                <w:rFonts w:cs="Arial"/>
                <w:sz w:val="22"/>
                <w:szCs w:val="22"/>
              </w:rPr>
              <w:fldChar w:fldCharType="end"/>
            </w:r>
            <w:r w:rsidR="00F12F6D" w:rsidRPr="00BB5821">
              <w:rPr>
                <w:rFonts w:cs="Arial"/>
                <w:sz w:val="22"/>
                <w:szCs w:val="22"/>
              </w:rPr>
              <w:t xml:space="preserve"> for the latest uploading of Tenders</w:t>
            </w:r>
            <w:r w:rsidR="005F0C41">
              <w:rPr>
                <w:rFonts w:cs="Arial"/>
                <w:sz w:val="22"/>
                <w:szCs w:val="22"/>
              </w:rPr>
              <w:t xml:space="preserve">. </w:t>
            </w:r>
          </w:p>
        </w:tc>
      </w:tr>
      <w:tr w:rsidR="00F12F6D" w:rsidRPr="00C351DF" w14:paraId="4A7BA38F" w14:textId="77777777" w:rsidTr="00FA3BF5">
        <w:trPr>
          <w:cantSplit/>
        </w:trPr>
        <w:tc>
          <w:tcPr>
            <w:tcW w:w="2297"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270" w:type="dxa"/>
          </w:tcPr>
          <w:p w14:paraId="4A7BA38E" w14:textId="46F1CE1D" w:rsidR="00F12F6D" w:rsidRPr="00C351DF" w:rsidRDefault="00FA3BF5" w:rsidP="00FA3BF5">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2913B" w14:textId="77777777" w:rsidR="001D4148" w:rsidRPr="00AE4296" w:rsidRDefault="001D4148" w:rsidP="00AE4296">
      <w:pPr>
        <w:spacing w:after="0" w:line="240" w:lineRule="auto"/>
      </w:pPr>
      <w:r>
        <w:separator/>
      </w:r>
    </w:p>
  </w:endnote>
  <w:endnote w:type="continuationSeparator" w:id="0">
    <w:p w14:paraId="112A2757" w14:textId="77777777" w:rsidR="001D4148" w:rsidRPr="00AE4296" w:rsidRDefault="001D4148" w:rsidP="00AE4296">
      <w:pPr>
        <w:spacing w:after="0" w:line="240" w:lineRule="auto"/>
      </w:pPr>
      <w:r>
        <w:continuationSeparator/>
      </w:r>
    </w:p>
  </w:endnote>
  <w:endnote w:type="continuationNotice" w:id="1">
    <w:p w14:paraId="78219660" w14:textId="77777777" w:rsidR="001D4148" w:rsidRDefault="001D4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7F6400" w:rsidRPr="009D0EAE" w:rsidRDefault="007F640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7F6400" w:rsidRPr="009D0EAE" w:rsidRDefault="007F6400"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1BD0A5AF" w:rsidR="007F6400" w:rsidRDefault="007F6400" w:rsidP="00AE4296">
    <w:pPr>
      <w:pStyle w:val="Footer"/>
      <w:pBdr>
        <w:top w:val="single" w:sz="6" w:space="1" w:color="auto"/>
      </w:pBdr>
      <w:tabs>
        <w:tab w:val="right" w:pos="8647"/>
      </w:tabs>
      <w:rPr>
        <w:rFonts w:ascii="Arial" w:hAnsi="Arial" w:cs="Arial"/>
        <w:sz w:val="20"/>
        <w:szCs w:val="20"/>
      </w:rPr>
    </w:pPr>
    <w:r w:rsidRPr="00955BDE">
      <w:rPr>
        <w:rFonts w:ascii="Arial" w:hAnsi="Arial" w:cs="Arial"/>
        <w:sz w:val="20"/>
        <w:szCs w:val="20"/>
      </w:rPr>
      <w:t>Lewis J Evans</w:t>
    </w:r>
  </w:p>
  <w:p w14:paraId="265FF3EA" w14:textId="48B5B80C" w:rsidR="007F6400" w:rsidRPr="009D0EAE" w:rsidRDefault="007F6400"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3689E41E" w:rsidR="007F6400" w:rsidRPr="009D0EAE" w:rsidRDefault="007F6400"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04/05/2018</w:t>
    </w:r>
  </w:p>
  <w:p w14:paraId="23416E65" w14:textId="5D051E43" w:rsidR="007F6400" w:rsidRPr="009D0EAE" w:rsidRDefault="007F640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A110B9">
      <w:rPr>
        <w:rFonts w:ascii="Arial" w:hAnsi="Arial" w:cs="Arial"/>
        <w:noProof/>
        <w:sz w:val="20"/>
        <w:szCs w:val="20"/>
      </w:rPr>
      <w:t>2</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0D361" w14:textId="77777777" w:rsidR="001D4148" w:rsidRPr="00AE4296" w:rsidRDefault="001D4148" w:rsidP="00AE4296">
      <w:pPr>
        <w:spacing w:after="0" w:line="240" w:lineRule="auto"/>
      </w:pPr>
      <w:r>
        <w:separator/>
      </w:r>
    </w:p>
  </w:footnote>
  <w:footnote w:type="continuationSeparator" w:id="0">
    <w:p w14:paraId="2E50D133" w14:textId="77777777" w:rsidR="001D4148" w:rsidRPr="00AE4296" w:rsidRDefault="001D4148" w:rsidP="00AE4296">
      <w:pPr>
        <w:spacing w:after="0" w:line="240" w:lineRule="auto"/>
      </w:pPr>
      <w:r>
        <w:continuationSeparator/>
      </w:r>
    </w:p>
  </w:footnote>
  <w:footnote w:type="continuationNotice" w:id="1">
    <w:p w14:paraId="73B9BE8A" w14:textId="77777777" w:rsidR="001D4148" w:rsidRDefault="001D414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7F6400" w:rsidRPr="00955BDE" w:rsidRDefault="007F6400" w:rsidP="009D0EAE">
    <w:pPr>
      <w:pStyle w:val="Header"/>
      <w:jc w:val="center"/>
      <w:rPr>
        <w:rFonts w:ascii="Arial" w:hAnsi="Arial" w:cs="Arial"/>
        <w:b/>
        <w:sz w:val="20"/>
        <w:szCs w:val="20"/>
      </w:rPr>
    </w:pPr>
    <w:r w:rsidRPr="009D0EAE">
      <w:rPr>
        <w:noProof/>
        <w:sz w:val="20"/>
        <w:szCs w:val="20"/>
      </w:rPr>
      <w:drawing>
        <wp:anchor distT="0" distB="0" distL="114300" distR="114300" simplePos="0" relativeHeight="251658240" behindDoc="0" locked="0" layoutInCell="1" allowOverlap="1" wp14:anchorId="102AC051" wp14:editId="42B4929D">
          <wp:simplePos x="0" y="0"/>
          <wp:positionH relativeFrom="column">
            <wp:posOffset>-739140</wp:posOffset>
          </wp:positionH>
          <wp:positionV relativeFrom="paragraph">
            <wp:posOffset>10795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7F6400" w:rsidRPr="00955BDE" w:rsidRDefault="007F6400" w:rsidP="003B7DD7">
    <w:pPr>
      <w:pStyle w:val="Header"/>
      <w:jc w:val="center"/>
      <w:rPr>
        <w:rFonts w:ascii="Arial" w:hAnsi="Arial" w:cs="Arial"/>
        <w:b/>
      </w:rPr>
    </w:pPr>
    <w:r w:rsidRPr="00955BDE">
      <w:rPr>
        <w:rFonts w:ascii="Arial" w:hAnsi="Arial" w:cs="Arial"/>
        <w:b/>
      </w:rPr>
      <w:t xml:space="preserve">Invitation to Tender </w:t>
    </w:r>
  </w:p>
  <w:p w14:paraId="4A7BA398" w14:textId="2AEF512E" w:rsidR="007F6400" w:rsidRPr="00955BDE" w:rsidRDefault="007F6400" w:rsidP="003B7DD7">
    <w:pPr>
      <w:pStyle w:val="Header"/>
      <w:jc w:val="center"/>
      <w:rPr>
        <w:rFonts w:ascii="Arial" w:hAnsi="Arial" w:cs="Arial"/>
      </w:rPr>
    </w:pPr>
    <w:r w:rsidRPr="00955BDE">
      <w:rPr>
        <w:rFonts w:ascii="Arial" w:hAnsi="Arial" w:cs="Arial"/>
      </w:rPr>
      <w:t xml:space="preserve">The Provision of Internships for Individuals with Autism for the Cabinet Office </w:t>
    </w:r>
  </w:p>
  <w:p w14:paraId="66F3E1C2" w14:textId="2A1AACA8" w:rsidR="007F6400" w:rsidRPr="000352DC" w:rsidRDefault="007F6400" w:rsidP="008B75DF">
    <w:pPr>
      <w:pStyle w:val="Header"/>
      <w:jc w:val="center"/>
      <w:rPr>
        <w:rFonts w:ascii="Arial" w:hAnsi="Arial" w:cs="Arial"/>
      </w:rPr>
    </w:pPr>
    <w:r w:rsidRPr="00955BDE">
      <w:rPr>
        <w:rFonts w:ascii="Arial" w:hAnsi="Arial" w:cs="Arial"/>
      </w:rPr>
      <w:t xml:space="preserve">Contract Reference: CCZP18A09 </w:t>
    </w:r>
  </w:p>
  <w:p w14:paraId="594134B2" w14:textId="6AE1B134" w:rsidR="007F6400" w:rsidRDefault="007F6400" w:rsidP="00955BDE">
    <w:pPr>
      <w:pStyle w:val="Head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3A90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7F6400" w:rsidRPr="009D0EAE" w:rsidRDefault="007F6400"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7F6400" w:rsidRDefault="007F6400">
    <w:pPr>
      <w:pStyle w:val="Header"/>
    </w:pPr>
    <w:r w:rsidRPr="009D0EAE">
      <w:rPr>
        <w:noProof/>
        <w:sz w:val="20"/>
        <w:szCs w:val="20"/>
      </w:rPr>
      <w:drawing>
        <wp:anchor distT="0" distB="0" distL="114300" distR="114300" simplePos="0" relativeHeight="251658242" behindDoc="0" locked="0" layoutInCell="1" allowOverlap="1" wp14:anchorId="6A1626B2" wp14:editId="2B514336">
          <wp:simplePos x="0" y="0"/>
          <wp:positionH relativeFrom="column">
            <wp:posOffset>-708660</wp:posOffset>
          </wp:positionH>
          <wp:positionV relativeFrom="paragraph">
            <wp:posOffset>14605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1531"/>
    <w:rsid w:val="000630CF"/>
    <w:rsid w:val="00065ECA"/>
    <w:rsid w:val="00065F46"/>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0BC"/>
    <w:rsid w:val="000B433E"/>
    <w:rsid w:val="000B5803"/>
    <w:rsid w:val="000B67F6"/>
    <w:rsid w:val="000B6BFA"/>
    <w:rsid w:val="000C0281"/>
    <w:rsid w:val="000C4620"/>
    <w:rsid w:val="000D0CED"/>
    <w:rsid w:val="000D3A3B"/>
    <w:rsid w:val="000D69C5"/>
    <w:rsid w:val="000D7C27"/>
    <w:rsid w:val="000E076D"/>
    <w:rsid w:val="000E1CB7"/>
    <w:rsid w:val="000E43C1"/>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4148"/>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D7D92"/>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4FBC"/>
    <w:rsid w:val="004B6890"/>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8ED"/>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0C41"/>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71EA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2590"/>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400"/>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8C"/>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5BDE"/>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5D9C"/>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10B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3BC3"/>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96E73"/>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0A0C"/>
    <w:rsid w:val="00CF117F"/>
    <w:rsid w:val="00CF144D"/>
    <w:rsid w:val="00CF165E"/>
    <w:rsid w:val="00CF2D21"/>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1644"/>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4B0E"/>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3BF5"/>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4D272154-7534-4E92-ADC8-F957C8C2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4565</Words>
  <Characters>26023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Lianne Lewis</cp:lastModifiedBy>
  <cp:revision>9</cp:revision>
  <cp:lastPrinted>2018-05-04T11:36:00Z</cp:lastPrinted>
  <dcterms:created xsi:type="dcterms:W3CDTF">2018-04-05T14:04:00Z</dcterms:created>
  <dcterms:modified xsi:type="dcterms:W3CDTF">2018-05-04T13:53:00Z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