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C364A" w14:textId="4CCD9317" w:rsidR="005B54B3" w:rsidRPr="005B54B3" w:rsidRDefault="005B54B3" w:rsidP="005B54B3">
      <w:pPr>
        <w:jc w:val="center"/>
        <w:rPr>
          <w:rFonts w:eastAsia="Times New Roman"/>
          <w:b/>
          <w:u w:val="single"/>
        </w:rPr>
      </w:pPr>
      <w:r w:rsidRPr="005B54B3">
        <w:rPr>
          <w:rFonts w:eastAsia="Times New Roman"/>
          <w:b/>
          <w:u w:val="single"/>
        </w:rPr>
        <w:t>Primary Care Extended Access for Bedfordshire CCG</w:t>
      </w:r>
    </w:p>
    <w:p w14:paraId="4B9DAF86" w14:textId="7B63833D" w:rsidR="005B54B3" w:rsidRDefault="005B54B3" w:rsidP="005B54B3">
      <w:pPr>
        <w:rPr>
          <w:rFonts w:eastAsia="Times New Roman"/>
        </w:rPr>
      </w:pPr>
    </w:p>
    <w:p w14:paraId="33AEBA04" w14:textId="6BD8C5FB" w:rsidR="005B54B3" w:rsidRDefault="005B54B3" w:rsidP="005B54B3">
      <w:r>
        <w:t>Leadership &amp; Governance</w:t>
      </w:r>
      <w:r>
        <w:t xml:space="preserve"> - </w:t>
      </w:r>
      <w:r>
        <w:t>Ensure leadership and governance arrangements in place</w:t>
      </w:r>
      <w:r>
        <w:t>:</w:t>
      </w:r>
    </w:p>
    <w:p w14:paraId="4ADF35CF" w14:textId="77777777" w:rsidR="005B54B3" w:rsidRDefault="005B54B3" w:rsidP="005B54B3">
      <w:pPr>
        <w:rPr>
          <w:rFonts w:eastAsia="Times New Roman"/>
        </w:rPr>
      </w:pPr>
      <w:bookmarkStart w:id="0" w:name="_GoBack"/>
      <w:bookmarkEnd w:id="0"/>
    </w:p>
    <w:p w14:paraId="5F43D259" w14:textId="78B3FC38" w:rsidR="005B54B3" w:rsidRDefault="005B54B3" w:rsidP="005B54B3">
      <w:pPr>
        <w:pStyle w:val="ListParagraph"/>
        <w:numPr>
          <w:ilvl w:val="0"/>
          <w:numId w:val="4"/>
        </w:numPr>
        <w:rPr>
          <w:rFonts w:eastAsia="Times New Roman"/>
        </w:rPr>
      </w:pPr>
      <w:r w:rsidRPr="005B54B3">
        <w:rPr>
          <w:rFonts w:eastAsia="Times New Roman"/>
        </w:rPr>
        <w:t>Signed up Memorandum of Understanding from each Practice to access their registered list of patients.</w:t>
      </w:r>
    </w:p>
    <w:p w14:paraId="2BDFDA72" w14:textId="77777777" w:rsidR="005B54B3" w:rsidRPr="005B54B3" w:rsidRDefault="005B54B3" w:rsidP="005B54B3">
      <w:pPr>
        <w:pStyle w:val="ListParagraph"/>
        <w:ind w:left="1080"/>
        <w:rPr>
          <w:rFonts w:eastAsia="Times New Roman"/>
        </w:rPr>
      </w:pPr>
    </w:p>
    <w:p w14:paraId="6EE12D3C" w14:textId="45CC02AF" w:rsidR="005B54B3" w:rsidRDefault="005B54B3" w:rsidP="005B54B3">
      <w:pPr>
        <w:pStyle w:val="ListParagraph"/>
        <w:numPr>
          <w:ilvl w:val="0"/>
          <w:numId w:val="4"/>
        </w:numPr>
        <w:rPr>
          <w:rFonts w:eastAsia="Times New Roman"/>
        </w:rPr>
      </w:pPr>
      <w:r w:rsidRPr="005B54B3">
        <w:rPr>
          <w:rFonts w:eastAsia="Times New Roman"/>
        </w:rPr>
        <w:t>There must be 100% percentage patient coverage for each of the 5 Localities across Bedfordshire as imposed by NHS England.</w:t>
      </w:r>
    </w:p>
    <w:p w14:paraId="3E8FC10D" w14:textId="77777777" w:rsidR="005B54B3" w:rsidRPr="005B54B3" w:rsidRDefault="005B54B3" w:rsidP="005B54B3">
      <w:pPr>
        <w:rPr>
          <w:rFonts w:eastAsia="Times New Roman"/>
        </w:rPr>
      </w:pPr>
    </w:p>
    <w:p w14:paraId="77410DE4" w14:textId="5602A0A7" w:rsidR="005B54B3" w:rsidRDefault="005B54B3" w:rsidP="005B54B3">
      <w:pPr>
        <w:pStyle w:val="ListParagraph"/>
        <w:numPr>
          <w:ilvl w:val="0"/>
          <w:numId w:val="4"/>
        </w:numPr>
        <w:rPr>
          <w:rFonts w:eastAsia="Times New Roman"/>
        </w:rPr>
      </w:pPr>
      <w:r w:rsidRPr="005B54B3">
        <w:rPr>
          <w:rFonts w:eastAsia="Times New Roman"/>
        </w:rPr>
        <w:t>The funding is for 2 years only and non-recurring and although indicative per weighted population funds for year 1 and year 2 have been announced the actual amount of money may be reduced.</w:t>
      </w:r>
    </w:p>
    <w:p w14:paraId="3DDA163D" w14:textId="77777777" w:rsidR="005B54B3" w:rsidRPr="005B54B3" w:rsidRDefault="005B54B3" w:rsidP="005B54B3">
      <w:pPr>
        <w:rPr>
          <w:rFonts w:eastAsia="Times New Roman"/>
        </w:rPr>
      </w:pPr>
    </w:p>
    <w:p w14:paraId="251CC9FF" w14:textId="64AAF193" w:rsidR="005B54B3" w:rsidRDefault="005B54B3" w:rsidP="005B54B3">
      <w:pPr>
        <w:pStyle w:val="ListParagraph"/>
        <w:numPr>
          <w:ilvl w:val="0"/>
          <w:numId w:val="4"/>
        </w:numPr>
        <w:rPr>
          <w:rFonts w:eastAsia="Times New Roman"/>
        </w:rPr>
      </w:pPr>
      <w:r w:rsidRPr="005B54B3">
        <w:rPr>
          <w:rFonts w:eastAsia="Times New Roman"/>
        </w:rPr>
        <w:t>The extended access service must be aligned with the Primary Care Home model of care and consider utilising staff such as GPs, Advance Nurse Specialists, Clinical Pharmacist, physiotherapists, paramedics, Consultant, Long Term Conditions specialist, etc.</w:t>
      </w:r>
    </w:p>
    <w:p w14:paraId="0D028C84" w14:textId="77777777" w:rsidR="005B54B3" w:rsidRPr="005B54B3" w:rsidRDefault="005B54B3" w:rsidP="005B54B3">
      <w:pPr>
        <w:rPr>
          <w:rFonts w:eastAsia="Times New Roman"/>
        </w:rPr>
      </w:pPr>
    </w:p>
    <w:p w14:paraId="236438BF" w14:textId="2E7539D1" w:rsidR="005B54B3" w:rsidRPr="005B54B3" w:rsidRDefault="005B54B3" w:rsidP="005B54B3">
      <w:pPr>
        <w:pStyle w:val="ListParagraph"/>
        <w:numPr>
          <w:ilvl w:val="0"/>
          <w:numId w:val="4"/>
        </w:numPr>
        <w:rPr>
          <w:rFonts w:eastAsia="Times New Roman"/>
        </w:rPr>
      </w:pPr>
      <w:r w:rsidRPr="005B54B3">
        <w:t>Collaboratively work with existing incumbent providers/GP Practices covering evenings, Saturdays and Sundays.</w:t>
      </w:r>
    </w:p>
    <w:p w14:paraId="6237D3CD" w14:textId="77777777" w:rsidR="005B54B3" w:rsidRPr="005B54B3" w:rsidRDefault="005B54B3" w:rsidP="005B54B3">
      <w:pPr>
        <w:rPr>
          <w:rFonts w:eastAsia="Times New Roman"/>
        </w:rPr>
      </w:pPr>
    </w:p>
    <w:p w14:paraId="7BF0C57F" w14:textId="3EE7582A" w:rsidR="005B54B3" w:rsidRPr="005B54B3" w:rsidRDefault="005B54B3" w:rsidP="005B54B3">
      <w:pPr>
        <w:pStyle w:val="ListParagraph"/>
        <w:numPr>
          <w:ilvl w:val="0"/>
          <w:numId w:val="4"/>
        </w:numPr>
        <w:rPr>
          <w:rFonts w:eastAsia="Times New Roman"/>
        </w:rPr>
      </w:pPr>
      <w:r w:rsidRPr="005B54B3">
        <w:t>Promote actively advertising the services to Stakeholders, Community and Secondary Care environments.</w:t>
      </w:r>
    </w:p>
    <w:p w14:paraId="4C2E23FD" w14:textId="77777777" w:rsidR="005B54B3" w:rsidRPr="005B54B3" w:rsidRDefault="005B54B3" w:rsidP="005B54B3">
      <w:pPr>
        <w:rPr>
          <w:rFonts w:eastAsia="Times New Roman"/>
        </w:rPr>
      </w:pPr>
    </w:p>
    <w:p w14:paraId="5C9A44D0" w14:textId="1AD39102" w:rsidR="005B54B3" w:rsidRPr="005B54B3" w:rsidRDefault="005B54B3" w:rsidP="005B54B3">
      <w:pPr>
        <w:pStyle w:val="ListParagraph"/>
        <w:numPr>
          <w:ilvl w:val="0"/>
          <w:numId w:val="4"/>
        </w:numPr>
        <w:rPr>
          <w:rFonts w:eastAsia="Times New Roman"/>
        </w:rPr>
      </w:pPr>
      <w:r w:rsidRPr="005B54B3">
        <w:t>Be able to take NHS 111 directly bookable appointments and follow due diligence process and validation of patient experience.</w:t>
      </w:r>
    </w:p>
    <w:p w14:paraId="416EAF3A" w14:textId="77777777" w:rsidR="005B54B3" w:rsidRPr="005B54B3" w:rsidRDefault="005B54B3" w:rsidP="005B54B3">
      <w:pPr>
        <w:rPr>
          <w:rFonts w:eastAsia="Times New Roman"/>
        </w:rPr>
      </w:pPr>
    </w:p>
    <w:p w14:paraId="3CBE1EE4" w14:textId="701430E5" w:rsidR="005B54B3" w:rsidRPr="005B54B3" w:rsidRDefault="005B54B3" w:rsidP="005B54B3">
      <w:pPr>
        <w:pStyle w:val="ListParagraph"/>
        <w:numPr>
          <w:ilvl w:val="0"/>
          <w:numId w:val="4"/>
        </w:numPr>
        <w:rPr>
          <w:rFonts w:eastAsia="Times New Roman"/>
        </w:rPr>
      </w:pPr>
      <w:r w:rsidRPr="005B54B3">
        <w:t>The new organization must be able to deliver within the CCG defined locality footprint</w:t>
      </w:r>
    </w:p>
    <w:p w14:paraId="51A4BDA6" w14:textId="77777777" w:rsidR="005B54B3" w:rsidRPr="005B54B3" w:rsidRDefault="005B54B3" w:rsidP="005B54B3">
      <w:pPr>
        <w:rPr>
          <w:rFonts w:eastAsia="Times New Roman"/>
        </w:rPr>
      </w:pPr>
    </w:p>
    <w:p w14:paraId="22E10C6D" w14:textId="77777777" w:rsidR="005B54B3" w:rsidRPr="005B54B3" w:rsidRDefault="005B54B3" w:rsidP="005B54B3">
      <w:pPr>
        <w:pStyle w:val="ListParagraph"/>
        <w:numPr>
          <w:ilvl w:val="0"/>
          <w:numId w:val="4"/>
        </w:numPr>
        <w:rPr>
          <w:rFonts w:eastAsia="Times New Roman"/>
        </w:rPr>
      </w:pPr>
      <w:r w:rsidRPr="005B54B3">
        <w:t xml:space="preserve">IT expectation is that it must be interoperable with </w:t>
      </w:r>
      <w:proofErr w:type="spellStart"/>
      <w:r w:rsidRPr="005B54B3">
        <w:t>SystmOne</w:t>
      </w:r>
      <w:proofErr w:type="spellEnd"/>
    </w:p>
    <w:p w14:paraId="678EB69C" w14:textId="0255711D" w:rsidR="005B54B3" w:rsidRPr="005B54B3" w:rsidRDefault="005B54B3" w:rsidP="005B54B3">
      <w:pPr>
        <w:rPr>
          <w:rFonts w:eastAsia="Times New Roman"/>
        </w:rPr>
      </w:pPr>
      <w:r w:rsidRPr="005B54B3">
        <w:t xml:space="preserve"> </w:t>
      </w:r>
    </w:p>
    <w:p w14:paraId="06F53D60" w14:textId="0A026616" w:rsidR="005B54B3" w:rsidRPr="005B54B3" w:rsidRDefault="005B54B3" w:rsidP="005B54B3">
      <w:pPr>
        <w:pStyle w:val="ListParagraph"/>
        <w:numPr>
          <w:ilvl w:val="0"/>
          <w:numId w:val="4"/>
        </w:numPr>
        <w:rPr>
          <w:rFonts w:eastAsia="Times New Roman"/>
        </w:rPr>
      </w:pPr>
      <w:r w:rsidRPr="005B54B3">
        <w:t xml:space="preserve"> CQC registration must be a rating of “Good” or above.</w:t>
      </w:r>
    </w:p>
    <w:p w14:paraId="1913193C" w14:textId="77777777" w:rsidR="005B54B3" w:rsidRPr="005B54B3" w:rsidRDefault="005B54B3" w:rsidP="005B54B3">
      <w:pPr>
        <w:rPr>
          <w:rFonts w:eastAsia="Times New Roman"/>
        </w:rPr>
      </w:pPr>
    </w:p>
    <w:p w14:paraId="7503D5B7" w14:textId="5B4B7428" w:rsidR="005B54B3" w:rsidRPr="005B54B3" w:rsidRDefault="005B54B3" w:rsidP="005B54B3">
      <w:pPr>
        <w:pStyle w:val="ListParagraph"/>
        <w:numPr>
          <w:ilvl w:val="0"/>
          <w:numId w:val="4"/>
        </w:numPr>
        <w:rPr>
          <w:rFonts w:eastAsia="Times New Roman"/>
        </w:rPr>
      </w:pPr>
      <w:r w:rsidRPr="005B54B3">
        <w:t>Interested organisations must have some experience of delivering this kind of service at scale.</w:t>
      </w:r>
    </w:p>
    <w:p w14:paraId="2F2AB961" w14:textId="77777777" w:rsidR="009C3A99" w:rsidRDefault="009C3A99"/>
    <w:sectPr w:rsidR="009C3A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B410F"/>
    <w:multiLevelType w:val="hybridMultilevel"/>
    <w:tmpl w:val="EB6C10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EF91183"/>
    <w:multiLevelType w:val="hybridMultilevel"/>
    <w:tmpl w:val="F8EE6C6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01F1C79"/>
    <w:multiLevelType w:val="hybridMultilevel"/>
    <w:tmpl w:val="0D4A4B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B3"/>
    <w:rsid w:val="005B54B3"/>
    <w:rsid w:val="009C3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1060"/>
  <w15:chartTrackingRefBased/>
  <w15:docId w15:val="{B9F07711-2C96-4E79-801E-FA4CD544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4B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9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299D74751C7429C1D2CF7317039C4" ma:contentTypeVersion="8" ma:contentTypeDescription="Create a new document." ma:contentTypeScope="" ma:versionID="3f49ae8ed9e0085419406f900ce6a770">
  <xsd:schema xmlns:xsd="http://www.w3.org/2001/XMLSchema" xmlns:xs="http://www.w3.org/2001/XMLSchema" xmlns:p="http://schemas.microsoft.com/office/2006/metadata/properties" xmlns:ns2="8e5f708b-030d-4fbb-818f-e1f40e834d5e" xmlns:ns3="e7e84f26-cecc-4775-a0fd-d119caba8a10" targetNamespace="http://schemas.microsoft.com/office/2006/metadata/properties" ma:root="true" ma:fieldsID="b19682fee8fb0a53643026b4db742f69" ns2:_="" ns3:_="">
    <xsd:import namespace="8e5f708b-030d-4fbb-818f-e1f40e834d5e"/>
    <xsd:import namespace="e7e84f26-cecc-4775-a0fd-d119caba8a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f708b-030d-4fbb-818f-e1f40e834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e84f26-cecc-4775-a0fd-d119caba8a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5B5D6-1641-4F58-ACDF-C38B1B8FC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f708b-030d-4fbb-818f-e1f40e834d5e"/>
    <ds:schemaRef ds:uri="e7e84f26-cecc-4775-a0fd-d119caba8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FB2F4-7BFC-479A-8851-8F3E11DFB508}">
  <ds:schemaRefs>
    <ds:schemaRef ds:uri="http://schemas.microsoft.com/sharepoint/v3/contenttype/forms"/>
  </ds:schemaRefs>
</ds:datastoreItem>
</file>

<file path=customXml/itemProps3.xml><?xml version="1.0" encoding="utf-8"?>
<ds:datastoreItem xmlns:ds="http://schemas.openxmlformats.org/officeDocument/2006/customXml" ds:itemID="{35DBF939-5869-4124-AFA8-171124762C73}">
  <ds:schemaRefs>
    <ds:schemaRef ds:uri="e7e84f26-cecc-4775-a0fd-d119caba8a10"/>
    <ds:schemaRef ds:uri="http://schemas.microsoft.com/office/2006/metadata/propertie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8e5f708b-030d-4fbb-818f-e1f40e834d5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Attain LTD</dc:creator>
  <cp:keywords/>
  <dc:description/>
  <cp:lastModifiedBy>Attain LTD</cp:lastModifiedBy>
  <cp:revision>1</cp:revision>
  <dcterms:created xsi:type="dcterms:W3CDTF">2018-04-24T10:47:00Z</dcterms:created>
  <dcterms:modified xsi:type="dcterms:W3CDTF">2018-04-24T10:51:00Z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0x0101003BD299D74751C7429C1D2CF7317039C4</vt:lpwstr>
  </property>
</Properties>
</file>