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17CE5" w14:textId="77777777" w:rsidR="00C73240" w:rsidRDefault="00C73240" w:rsidP="00A85B19">
      <w:pPr>
        <w:pStyle w:val="CoverTitle"/>
      </w:pPr>
      <w:bookmarkStart w:id="0" w:name="_Hlk506984387"/>
      <w:r>
        <w:t xml:space="preserve">Notification of Supplier Day and </w:t>
      </w:r>
      <w:r w:rsidR="0082192E">
        <w:t xml:space="preserve">Request for </w:t>
      </w:r>
      <w:r w:rsidR="00260638">
        <w:t xml:space="preserve">Expressions of </w:t>
      </w:r>
      <w:r>
        <w:t>I</w:t>
      </w:r>
      <w:r w:rsidR="0082192E">
        <w:t>nterest</w:t>
      </w:r>
    </w:p>
    <w:bookmarkEnd w:id="0"/>
    <w:p w14:paraId="666138E7" w14:textId="77777777" w:rsidR="0082192E" w:rsidRPr="00080091" w:rsidRDefault="0082192E" w:rsidP="00A85B19">
      <w:pPr>
        <w:pStyle w:val="CoverTitle"/>
        <w:rPr>
          <w:i/>
        </w:rPr>
      </w:pPr>
      <w:r>
        <w:t xml:space="preserve">RSSB research project </w:t>
      </w:r>
      <w:r w:rsidR="00A54888" w:rsidRPr="000505AF">
        <w:t>T11</w:t>
      </w:r>
      <w:r w:rsidR="002A2B23">
        <w:t>32</w:t>
      </w:r>
      <w:r>
        <w:t xml:space="preserve"> </w:t>
      </w:r>
      <w:r w:rsidR="002A2B23">
        <w:rPr>
          <w:i/>
        </w:rPr>
        <w:t>Development of Supplementary Freight Container Gauges</w:t>
      </w:r>
    </w:p>
    <w:p w14:paraId="3AD0DC58" w14:textId="77777777" w:rsidR="005302A4" w:rsidRDefault="00DD7945" w:rsidP="005302A4">
      <w:pPr>
        <w:pStyle w:val="CoverSubTitle"/>
      </w:pPr>
      <w:r>
        <w:t>RSSB</w:t>
      </w:r>
      <w:r w:rsidR="008A357B">
        <w:t>, on behalf of the rail industry,</w:t>
      </w:r>
      <w:r>
        <w:t xml:space="preserve"> are seeking to </w:t>
      </w:r>
      <w:r w:rsidR="002A2B23" w:rsidRPr="002A2B23">
        <w:t xml:space="preserve">assess the technical and economic feasibility of possible </w:t>
      </w:r>
      <w:r w:rsidR="002A2B23">
        <w:t>options, before developing supplementary container gauges</w:t>
      </w:r>
    </w:p>
    <w:p w14:paraId="79A2016B" w14:textId="77777777" w:rsidR="00D81163" w:rsidRDefault="00D81163" w:rsidP="00BA4D29">
      <w:pPr>
        <w:pStyle w:val="Heading10"/>
      </w:pPr>
      <w:r>
        <w:t>Purpose</w:t>
      </w:r>
    </w:p>
    <w:p w14:paraId="571D63D3" w14:textId="77777777" w:rsidR="00C73240" w:rsidRDefault="00D81163" w:rsidP="006527F4">
      <w:pPr>
        <w:pStyle w:val="Body"/>
        <w:jc w:val="both"/>
      </w:pPr>
      <w:r>
        <w:t xml:space="preserve">This notification is to attend a supplier day on </w:t>
      </w:r>
      <w:r w:rsidR="000B3F01" w:rsidRPr="000B3F01">
        <w:rPr>
          <w:b/>
          <w:color w:val="FF0000"/>
        </w:rPr>
        <w:t>15</w:t>
      </w:r>
      <w:r w:rsidR="00AD2519" w:rsidRPr="00C12274">
        <w:rPr>
          <w:color w:val="FF0000"/>
        </w:rPr>
        <w:t xml:space="preserve"> </w:t>
      </w:r>
      <w:r w:rsidR="002A2B23">
        <w:rPr>
          <w:b/>
          <w:color w:val="FF0000"/>
        </w:rPr>
        <w:t>August</w:t>
      </w:r>
      <w:r w:rsidR="00AE4409" w:rsidRPr="00C12274">
        <w:rPr>
          <w:b/>
          <w:color w:val="FF0000"/>
        </w:rPr>
        <w:t xml:space="preserve"> 2018</w:t>
      </w:r>
      <w:r w:rsidR="00AE4409">
        <w:t xml:space="preserve"> </w:t>
      </w:r>
      <w:r>
        <w:t>and</w:t>
      </w:r>
      <w:r w:rsidR="00C73240">
        <w:t>/or</w:t>
      </w:r>
      <w:r>
        <w:t xml:space="preserve"> provide info</w:t>
      </w:r>
      <w:r w:rsidR="005B46B1">
        <w:t>rmation</w:t>
      </w:r>
      <w:r>
        <w:t xml:space="preserve"> </w:t>
      </w:r>
      <w:r w:rsidR="00C73240">
        <w:t>through Expression of Interest (</w:t>
      </w:r>
      <w:proofErr w:type="spellStart"/>
      <w:r w:rsidR="00C73240">
        <w:t>EoI</w:t>
      </w:r>
      <w:proofErr w:type="spellEnd"/>
      <w:r w:rsidR="00C73240">
        <w:t xml:space="preserve">). </w:t>
      </w:r>
    </w:p>
    <w:p w14:paraId="1D8B7C88" w14:textId="77777777" w:rsidR="00C73240" w:rsidRDefault="005B46B1" w:rsidP="006527F4">
      <w:pPr>
        <w:pStyle w:val="Body"/>
        <w:jc w:val="both"/>
      </w:pPr>
      <w:r>
        <w:t xml:space="preserve">The supplier day will offer </w:t>
      </w:r>
      <w:r w:rsidR="00C73240">
        <w:t>more detail on the</w:t>
      </w:r>
      <w:r w:rsidR="00B95469">
        <w:t xml:space="preserve"> background to the research proposal and </w:t>
      </w:r>
      <w:r>
        <w:t xml:space="preserve">suppliers </w:t>
      </w:r>
      <w:r w:rsidR="00B95469">
        <w:t xml:space="preserve">will be given </w:t>
      </w:r>
      <w:r>
        <w:t>the</w:t>
      </w:r>
      <w:r w:rsidR="00B95469">
        <w:t xml:space="preserve"> opportunity to ask questions to establish a greater understanding of the project</w:t>
      </w:r>
      <w:r w:rsidR="00C73240">
        <w:t xml:space="preserve"> and support the direction of the research</w:t>
      </w:r>
      <w:r w:rsidR="00B95469">
        <w:t>.</w:t>
      </w:r>
      <w:r w:rsidR="00C73240">
        <w:t xml:space="preserve"> </w:t>
      </w:r>
    </w:p>
    <w:p w14:paraId="0B352FF2" w14:textId="775EDC89" w:rsidR="00D81163" w:rsidRDefault="00C73240" w:rsidP="006527F4">
      <w:pPr>
        <w:pStyle w:val="Body"/>
        <w:jc w:val="both"/>
      </w:pPr>
      <w:r>
        <w:t xml:space="preserve">The </w:t>
      </w:r>
      <w:proofErr w:type="spellStart"/>
      <w:r>
        <w:t>EoI</w:t>
      </w:r>
      <w:proofErr w:type="spellEnd"/>
      <w:r>
        <w:t xml:space="preserve"> enables interested parties to put forward their capability </w:t>
      </w:r>
      <w:proofErr w:type="gramStart"/>
      <w:r>
        <w:t>and also</w:t>
      </w:r>
      <w:proofErr w:type="gramEnd"/>
      <w:r>
        <w:t xml:space="preserve"> </w:t>
      </w:r>
      <w:r w:rsidR="00AD2519">
        <w:t xml:space="preserve">provide </w:t>
      </w:r>
      <w:r>
        <w:t xml:space="preserve">any thinking that </w:t>
      </w:r>
      <w:r w:rsidR="00AD2519">
        <w:t xml:space="preserve">could </w:t>
      </w:r>
      <w:r>
        <w:t>support the development of the scope. To feed into the process</w:t>
      </w:r>
      <w:r w:rsidR="005C3EEB">
        <w:t>,</w:t>
      </w:r>
      <w:r>
        <w:t xml:space="preserve"> </w:t>
      </w:r>
      <w:proofErr w:type="spellStart"/>
      <w:r>
        <w:t>EoIs</w:t>
      </w:r>
      <w:proofErr w:type="spellEnd"/>
      <w:r>
        <w:t xml:space="preserve"> </w:t>
      </w:r>
      <w:r w:rsidR="00413D0B">
        <w:t xml:space="preserve">will </w:t>
      </w:r>
      <w:r>
        <w:t xml:space="preserve">need to be received by COP </w:t>
      </w:r>
      <w:r w:rsidR="00367A7E">
        <w:rPr>
          <w:b/>
          <w:color w:val="FF0000"/>
        </w:rPr>
        <w:t>13</w:t>
      </w:r>
      <w:r w:rsidR="00AD2519" w:rsidRPr="00C12274">
        <w:rPr>
          <w:b/>
          <w:color w:val="FF0000"/>
        </w:rPr>
        <w:t xml:space="preserve"> </w:t>
      </w:r>
      <w:r w:rsidR="005F21FF">
        <w:rPr>
          <w:b/>
          <w:color w:val="FF0000"/>
        </w:rPr>
        <w:t>Aug</w:t>
      </w:r>
      <w:r w:rsidRPr="00C12274">
        <w:rPr>
          <w:b/>
          <w:color w:val="FF0000"/>
        </w:rPr>
        <w:t xml:space="preserve"> 2018</w:t>
      </w:r>
      <w:r>
        <w:t>.</w:t>
      </w:r>
    </w:p>
    <w:p w14:paraId="127D15C8" w14:textId="77777777" w:rsidR="00260638" w:rsidRDefault="00260638">
      <w:pPr>
        <w:rPr>
          <w:rFonts w:ascii="Calibri" w:hAnsi="Calibri" w:cs="Arial"/>
          <w:sz w:val="22"/>
          <w:szCs w:val="22"/>
          <w:lang w:eastAsia="en-GB"/>
        </w:rPr>
      </w:pPr>
    </w:p>
    <w:p w14:paraId="63B95C57" w14:textId="77777777" w:rsidR="00AD08D0" w:rsidRDefault="0056187C" w:rsidP="00BA4D29">
      <w:pPr>
        <w:pStyle w:val="Heading10"/>
      </w:pPr>
      <w:r>
        <w:t xml:space="preserve">Background </w:t>
      </w:r>
    </w:p>
    <w:p w14:paraId="0282ED84" w14:textId="3C3C521A" w:rsidR="00854E56" w:rsidRDefault="00D00F9D" w:rsidP="00367A7E">
      <w:pPr>
        <w:pStyle w:val="Body"/>
        <w:jc w:val="both"/>
      </w:pPr>
      <w:r>
        <w:t>A d</w:t>
      </w:r>
      <w:r w:rsidR="00D442AC">
        <w:t>ecline</w:t>
      </w:r>
      <w:r>
        <w:t xml:space="preserve"> in</w:t>
      </w:r>
      <w:r w:rsidR="00D442AC">
        <w:t xml:space="preserve"> freight </w:t>
      </w:r>
      <w:r w:rsidR="00AA17DB">
        <w:t>traffic</w:t>
      </w:r>
      <w:r w:rsidR="00FF0FB7">
        <w:t xml:space="preserve"> and</w:t>
      </w:r>
      <w:r w:rsidR="00D442AC">
        <w:t xml:space="preserve"> a shift from the traditional market composition </w:t>
      </w:r>
      <w:r>
        <w:t xml:space="preserve">necessitates </w:t>
      </w:r>
      <w:r w:rsidR="00FF0FB7">
        <w:t xml:space="preserve">changes in the rail freight industry to maintain </w:t>
      </w:r>
      <w:r w:rsidR="00D442AC">
        <w:t xml:space="preserve">competitiveness </w:t>
      </w:r>
      <w:r w:rsidR="00AA17DB">
        <w:t xml:space="preserve">with </w:t>
      </w:r>
      <w:r w:rsidR="00D442AC">
        <w:t xml:space="preserve">other transport modes. </w:t>
      </w:r>
      <w:r w:rsidR="00807B4A" w:rsidRPr="00807B4A">
        <w:t>W7, W8, W9 (including W9Plus), W10 (including W10A) &amp; W12 are the standard gauges used for container/wagon combinations</w:t>
      </w:r>
      <w:r w:rsidR="00807B4A">
        <w:t xml:space="preserve">, however some of these </w:t>
      </w:r>
      <w:r w:rsidR="00D442AC">
        <w:t xml:space="preserve">do not align with </w:t>
      </w:r>
      <w:r w:rsidR="00D442AC">
        <w:lastRenderedPageBreak/>
        <w:t xml:space="preserve">some common </w:t>
      </w:r>
      <w:r w:rsidR="00807B4A">
        <w:t>container</w:t>
      </w:r>
      <w:r w:rsidR="00D442AC">
        <w:t>/</w:t>
      </w:r>
      <w:r w:rsidR="00807B4A">
        <w:t>w</w:t>
      </w:r>
      <w:r w:rsidR="00D442AC">
        <w:t xml:space="preserve">agon combinations used within the industry e.g. international and domestic intermodal. Consequently, many emerging opportunities need to be authorised </w:t>
      </w:r>
      <w:r w:rsidR="00367A7E">
        <w:t xml:space="preserve">annually </w:t>
      </w:r>
      <w:r w:rsidR="00D442AC">
        <w:t>by Network Rail, which is often time-consuming</w:t>
      </w:r>
      <w:r w:rsidR="00367A7E">
        <w:t>, impacting rail’s competitiveness with other modes of transport.</w:t>
      </w:r>
    </w:p>
    <w:p w14:paraId="18782E60" w14:textId="5B675697" w:rsidR="006E63F0" w:rsidRDefault="00497BED" w:rsidP="000D3887">
      <w:pPr>
        <w:pStyle w:val="Body"/>
        <w:jc w:val="both"/>
      </w:pPr>
      <w:r>
        <w:rPr>
          <w:noProof/>
        </w:rPr>
        <mc:AlternateContent>
          <mc:Choice Requires="wps">
            <w:drawing>
              <wp:anchor distT="0" distB="0" distL="114300" distR="114300" simplePos="0" relativeHeight="251660288" behindDoc="1" locked="0" layoutInCell="1" allowOverlap="1" wp14:anchorId="1BCCE334" wp14:editId="55AADD8F">
                <wp:simplePos x="0" y="0"/>
                <wp:positionH relativeFrom="margin">
                  <wp:align>right</wp:align>
                </wp:positionH>
                <wp:positionV relativeFrom="paragraph">
                  <wp:posOffset>3311525</wp:posOffset>
                </wp:positionV>
                <wp:extent cx="5047615" cy="524510"/>
                <wp:effectExtent l="0" t="0" r="635" b="8890"/>
                <wp:wrapTight wrapText="bothSides">
                  <wp:wrapPolygon edited="0">
                    <wp:start x="0" y="0"/>
                    <wp:lineTo x="0" y="21182"/>
                    <wp:lineTo x="21521" y="21182"/>
                    <wp:lineTo x="21521"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5047615" cy="620201"/>
                        </a:xfrm>
                        <a:prstGeom prst="rect">
                          <a:avLst/>
                        </a:prstGeom>
                        <a:solidFill>
                          <a:prstClr val="white"/>
                        </a:solidFill>
                        <a:ln>
                          <a:noFill/>
                        </a:ln>
                      </wps:spPr>
                      <wps:txbx>
                        <w:txbxContent>
                          <w:p w14:paraId="1BCFB8C8" w14:textId="671C350B" w:rsidR="00497BED" w:rsidRPr="000F1137" w:rsidRDefault="00497BED" w:rsidP="003A540F">
                            <w:pPr>
                              <w:pStyle w:val="Caption"/>
                              <w:jc w:val="both"/>
                              <w:rPr>
                                <w:rFonts w:ascii="Calibri" w:hAnsi="Calibri" w:cs="Arial"/>
                                <w:noProof/>
                              </w:rPr>
                            </w:pPr>
                            <w:r>
                              <w:t xml:space="preserve">Figure </w:t>
                            </w:r>
                            <w:r w:rsidR="001B768D">
                              <w:rPr>
                                <w:noProof/>
                              </w:rPr>
                              <w:fldChar w:fldCharType="begin"/>
                            </w:r>
                            <w:r w:rsidR="001B768D">
                              <w:rPr>
                                <w:noProof/>
                              </w:rPr>
                              <w:instrText xml:space="preserve"> SEQ Figure \* ARABIC </w:instrText>
                            </w:r>
                            <w:r w:rsidR="001B768D">
                              <w:rPr>
                                <w:noProof/>
                              </w:rPr>
                              <w:fldChar w:fldCharType="separate"/>
                            </w:r>
                            <w:r>
                              <w:rPr>
                                <w:noProof/>
                              </w:rPr>
                              <w:t>1</w:t>
                            </w:r>
                            <w:r w:rsidR="001B768D">
                              <w:rPr>
                                <w:noProof/>
                              </w:rPr>
                              <w:fldChar w:fldCharType="end"/>
                            </w:r>
                            <w:r>
                              <w:t>: The green space is clearance between the infrastructure and gauge profiles. Therefore, container gauges could be made narrower and taller or wider and shorter without requiring infrastructure work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CE334" id="_x0000_t202" coordsize="21600,21600" o:spt="202" path="m,l,21600r21600,l21600,xe">
                <v:stroke joinstyle="miter"/>
                <v:path gradientshapeok="t" o:connecttype="rect"/>
              </v:shapetype>
              <v:shape id="Text Box 3" o:spid="_x0000_s1026" type="#_x0000_t202" style="position:absolute;left:0;text-align:left;margin-left:346.25pt;margin-top:260.75pt;width:397.45pt;height:41.3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" stroked="f">
                <v:textbox inset="0,0,0,0">
                  <w:txbxContent>
                    <w:p w14:paraId="1BCFB8C8" w14:textId="671C350B" w:rsidR="00497BED" w:rsidRPr="000F1137" w:rsidRDefault="00497BED" w:rsidP="003A540F">
                      <w:pPr>
                        <w:pStyle w:val="Caption"/>
                        <w:jc w:val="both"/>
                        <w:rPr>
                          <w:rFonts w:ascii="Calibri" w:hAnsi="Calibri" w:cs="Arial"/>
                          <w:noProof/>
                        </w:rPr>
                      </w:pPr>
                      <w:r>
                        <w:t xml:space="preserve">Figure </w:t>
                      </w:r>
                      <w:fldSimple w:instr=" SEQ Figure \* ARABIC ">
                        <w:r>
                          <w:rPr>
                            <w:noProof/>
                          </w:rPr>
                          <w:t>1</w:t>
                        </w:r>
                      </w:fldSimple>
                      <w:r>
                        <w:t>: The green space is clearance between the infrastructure and gauge profiles. Therefore, container gauges could be made narrower and taller or wider and shorter without requiring infrastructure work</w:t>
                      </w:r>
                    </w:p>
                  </w:txbxContent>
                </v:textbox>
                <w10:wrap type="tight" anchorx="margin"/>
              </v:shape>
            </w:pict>
          </mc:Fallback>
        </mc:AlternateContent>
      </w:r>
      <w:r>
        <w:rPr>
          <w:noProof/>
        </w:rPr>
        <w:drawing>
          <wp:anchor distT="0" distB="0" distL="114300" distR="114300" simplePos="0" relativeHeight="251658240" behindDoc="1" locked="0" layoutInCell="1" allowOverlap="1" wp14:anchorId="2FD41EB5" wp14:editId="0069D501">
            <wp:simplePos x="0" y="0"/>
            <wp:positionH relativeFrom="margin">
              <wp:align>center</wp:align>
            </wp:positionH>
            <wp:positionV relativeFrom="paragraph">
              <wp:posOffset>786033</wp:posOffset>
            </wp:positionV>
            <wp:extent cx="4476115" cy="2466340"/>
            <wp:effectExtent l="0" t="0" r="635" b="0"/>
            <wp:wrapTight wrapText="bothSides">
              <wp:wrapPolygon edited="0">
                <wp:start x="0" y="0"/>
                <wp:lineTo x="0" y="21355"/>
                <wp:lineTo x="21511" y="21355"/>
                <wp:lineTo x="215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5583" t="17370" r="5583" b="17370"/>
                    <a:stretch/>
                  </pic:blipFill>
                  <pic:spPr bwMode="auto">
                    <a:xfrm>
                      <a:off x="0" y="0"/>
                      <a:ext cx="4476115" cy="2466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540F">
        <w:t>As illustrated below, t</w:t>
      </w:r>
      <w:r w:rsidR="00D442AC">
        <w:t xml:space="preserve">he development of a set of ‘supplementary’ container gauges could allow more wagon types and container </w:t>
      </w:r>
      <w:r w:rsidR="000D3887">
        <w:t xml:space="preserve">sizes to be carried on existing cleared routes without costly infrastructure work, </w:t>
      </w:r>
      <w:proofErr w:type="gramStart"/>
      <w:r w:rsidR="000D3887">
        <w:t>opening up</w:t>
      </w:r>
      <w:proofErr w:type="gramEnd"/>
      <w:r w:rsidR="000D3887">
        <w:t xml:space="preserve"> more opportunities for rail to exploit.</w:t>
      </w:r>
    </w:p>
    <w:p w14:paraId="5597E66D" w14:textId="77777777" w:rsidR="005F21FF" w:rsidRPr="005F21FF" w:rsidRDefault="005F21FF" w:rsidP="000D3887">
      <w:pPr>
        <w:pStyle w:val="Body"/>
        <w:jc w:val="both"/>
      </w:pPr>
      <w:r>
        <w:t xml:space="preserve">The proposed project </w:t>
      </w:r>
      <w:r w:rsidR="00D00F9D">
        <w:t>will</w:t>
      </w:r>
      <w:r>
        <w:t xml:space="preserve"> </w:t>
      </w:r>
      <w:r w:rsidRPr="005F21FF">
        <w:t>assess the technical and economic feasibility of possible options, before developing suitable supplementary container gauges for inclusion in the revised gauging standards (GE/RT8073). In turn, the outputs from this project should allow the freight community to respond to changing market demands, enhancing its competi</w:t>
      </w:r>
      <w:r>
        <w:t>ti</w:t>
      </w:r>
      <w:r w:rsidRPr="005F21FF">
        <w:t>veness against other modes of transport.</w:t>
      </w:r>
    </w:p>
    <w:p w14:paraId="3F6FBD5D" w14:textId="6F094350" w:rsidR="00807B4A" w:rsidRDefault="00807B4A">
      <w:pPr>
        <w:rPr>
          <w:rFonts w:ascii="Calibri" w:hAnsi="Calibri" w:cs="Arial"/>
          <w:sz w:val="22"/>
          <w:szCs w:val="22"/>
          <w:lang w:eastAsia="en-GB"/>
        </w:rPr>
      </w:pPr>
      <w:r>
        <w:br w:type="page"/>
      </w:r>
    </w:p>
    <w:p w14:paraId="3CC0637D" w14:textId="77777777" w:rsidR="0056187C" w:rsidRDefault="0056187C" w:rsidP="004C3A9C">
      <w:pPr>
        <w:pStyle w:val="Heading10"/>
      </w:pPr>
      <w:r>
        <w:lastRenderedPageBreak/>
        <w:t>Scope of work</w:t>
      </w:r>
    </w:p>
    <w:p w14:paraId="3BB58FEC" w14:textId="77777777" w:rsidR="0056187C" w:rsidRDefault="0056187C" w:rsidP="000D3887">
      <w:pPr>
        <w:pStyle w:val="Body"/>
        <w:jc w:val="both"/>
      </w:pPr>
      <w:r>
        <w:t xml:space="preserve">The </w:t>
      </w:r>
      <w:r w:rsidR="00891DF7">
        <w:t xml:space="preserve">envisaged </w:t>
      </w:r>
      <w:r>
        <w:t xml:space="preserve">scope of work </w:t>
      </w:r>
      <w:r w:rsidR="00200238">
        <w:t>can be summarised a</w:t>
      </w:r>
      <w:r>
        <w:t>s</w:t>
      </w:r>
      <w:r w:rsidR="00AE4409">
        <w:t>:</w:t>
      </w:r>
    </w:p>
    <w:p w14:paraId="3F5F1E96" w14:textId="77777777" w:rsidR="00C92E29" w:rsidRDefault="00F4795C" w:rsidP="000D3887">
      <w:pPr>
        <w:pStyle w:val="Body"/>
        <w:jc w:val="both"/>
        <w:rPr>
          <w:b/>
        </w:rPr>
      </w:pPr>
      <w:r>
        <w:rPr>
          <w:b/>
        </w:rPr>
        <w:t xml:space="preserve">The </w:t>
      </w:r>
      <w:r w:rsidR="00C47955">
        <w:rPr>
          <w:b/>
        </w:rPr>
        <w:t>evaluation</w:t>
      </w:r>
      <w:r w:rsidR="000D3887" w:rsidRPr="000D3887">
        <w:rPr>
          <w:b/>
        </w:rPr>
        <w:t xml:space="preserve"> of the appropriateness of the container gauges</w:t>
      </w:r>
    </w:p>
    <w:p w14:paraId="3F252FC4" w14:textId="77777777" w:rsidR="000D3887" w:rsidRDefault="000D3887" w:rsidP="000D3887">
      <w:pPr>
        <w:pStyle w:val="Body"/>
        <w:jc w:val="both"/>
      </w:pPr>
      <w:r>
        <w:t xml:space="preserve">An evaluation of </w:t>
      </w:r>
      <w:r w:rsidRPr="000D3887">
        <w:t xml:space="preserve">the possible container gauge options that are feasible to implement </w:t>
      </w:r>
      <w:r>
        <w:t xml:space="preserve">and </w:t>
      </w:r>
      <w:r w:rsidRPr="000D3887">
        <w:t>demonstrate a significant financial benefit to the industry</w:t>
      </w:r>
      <w:r>
        <w:t xml:space="preserve"> will determine </w:t>
      </w:r>
      <w:r w:rsidRPr="000D3887">
        <w:t>the appropriate container gauges to develop.</w:t>
      </w:r>
      <w:r>
        <w:t xml:space="preserve"> It is expected the work will include, but is not limited to:</w:t>
      </w:r>
    </w:p>
    <w:p w14:paraId="10A652CA" w14:textId="77777777" w:rsidR="000D3887" w:rsidRPr="000D3887" w:rsidRDefault="000D3887" w:rsidP="000D3887">
      <w:pPr>
        <w:pStyle w:val="Body"/>
        <w:numPr>
          <w:ilvl w:val="0"/>
          <w:numId w:val="38"/>
        </w:numPr>
        <w:jc w:val="both"/>
      </w:pPr>
      <w:r w:rsidRPr="000D3887">
        <w:t xml:space="preserve">An economic assessment of the current and potential demand from high-growth areas (e.g. short-sea and domestic swap body market). The assessment of each </w:t>
      </w:r>
      <w:r w:rsidR="00C47955">
        <w:t xml:space="preserve">supplementary </w:t>
      </w:r>
      <w:r w:rsidRPr="000D3887">
        <w:t>gauge should estimate costs, benefits, and give a consideration of estimated implementation timeframes.</w:t>
      </w:r>
    </w:p>
    <w:p w14:paraId="57C2C807" w14:textId="77777777" w:rsidR="000D3887" w:rsidRPr="000D3887" w:rsidRDefault="000D3887" w:rsidP="000D3887">
      <w:pPr>
        <w:pStyle w:val="Body"/>
        <w:numPr>
          <w:ilvl w:val="0"/>
          <w:numId w:val="38"/>
        </w:numPr>
        <w:jc w:val="both"/>
      </w:pPr>
      <w:r w:rsidRPr="000D3887">
        <w:t>A technical feasibility study, including</w:t>
      </w:r>
    </w:p>
    <w:p w14:paraId="66809AAB" w14:textId="77777777" w:rsidR="000D3887" w:rsidRPr="000D3887" w:rsidRDefault="000D3887" w:rsidP="000D3887">
      <w:pPr>
        <w:pStyle w:val="Body"/>
        <w:numPr>
          <w:ilvl w:val="1"/>
          <w:numId w:val="38"/>
        </w:numPr>
        <w:jc w:val="both"/>
      </w:pPr>
      <w:r w:rsidRPr="000D3887">
        <w:t xml:space="preserve">A comparison between the proposed </w:t>
      </w:r>
      <w:r w:rsidR="00C47955">
        <w:t xml:space="preserve">supplementary </w:t>
      </w:r>
      <w:r w:rsidRPr="000D3887">
        <w:t>container gauge(s)</w:t>
      </w:r>
      <w:r w:rsidRPr="000D3887">
        <w:rPr>
          <w:vertAlign w:val="superscript"/>
        </w:rPr>
        <w:footnoteReference w:id="1"/>
      </w:r>
      <w:r w:rsidRPr="000D3887">
        <w:t xml:space="preserve"> and existing gauge(s). </w:t>
      </w:r>
    </w:p>
    <w:p w14:paraId="6EBA8210" w14:textId="77777777" w:rsidR="000D3887" w:rsidRPr="000D3887" w:rsidRDefault="000D3887" w:rsidP="000D3887">
      <w:pPr>
        <w:pStyle w:val="Body"/>
        <w:numPr>
          <w:ilvl w:val="1"/>
          <w:numId w:val="38"/>
        </w:numPr>
        <w:jc w:val="both"/>
      </w:pPr>
      <w:r w:rsidRPr="000D3887">
        <w:t>A consideration of infrastructure on the routes that the existing standard gauge is cleared for.</w:t>
      </w:r>
    </w:p>
    <w:p w14:paraId="041C87E4" w14:textId="77777777" w:rsidR="000D3887" w:rsidRPr="000D3887" w:rsidRDefault="000D3887" w:rsidP="000D3887">
      <w:pPr>
        <w:pStyle w:val="Body"/>
        <w:numPr>
          <w:ilvl w:val="1"/>
          <w:numId w:val="38"/>
        </w:numPr>
        <w:jc w:val="both"/>
      </w:pPr>
      <w:r w:rsidRPr="000D3887">
        <w:t>An assessment of the Load Unit/Wagon combinations, and a consideration of the lifespan of assets.</w:t>
      </w:r>
    </w:p>
    <w:p w14:paraId="5595F4D8" w14:textId="77777777" w:rsidR="000D3887" w:rsidRDefault="000D3887" w:rsidP="000D3887">
      <w:pPr>
        <w:pStyle w:val="Body"/>
        <w:jc w:val="both"/>
      </w:pPr>
    </w:p>
    <w:p w14:paraId="74DED317" w14:textId="77777777" w:rsidR="00C92E29" w:rsidRDefault="00C92E29" w:rsidP="000D3887">
      <w:pPr>
        <w:pStyle w:val="Body"/>
        <w:jc w:val="both"/>
        <w:rPr>
          <w:b/>
        </w:rPr>
      </w:pPr>
      <w:r>
        <w:rPr>
          <w:b/>
        </w:rPr>
        <w:t>The d</w:t>
      </w:r>
      <w:r w:rsidR="000D3887" w:rsidRPr="000D3887">
        <w:rPr>
          <w:b/>
        </w:rPr>
        <w:t>evelopmen</w:t>
      </w:r>
      <w:r w:rsidR="000D3887">
        <w:rPr>
          <w:b/>
        </w:rPr>
        <w:t>t</w:t>
      </w:r>
      <w:r w:rsidR="000D3887" w:rsidRPr="000D3887">
        <w:rPr>
          <w:b/>
        </w:rPr>
        <w:t xml:space="preserve"> of the optimised ‘supplementary’ gauge profiles</w:t>
      </w:r>
    </w:p>
    <w:p w14:paraId="23550448" w14:textId="77777777" w:rsidR="000D3887" w:rsidRDefault="000D3887" w:rsidP="000D3887">
      <w:pPr>
        <w:pStyle w:val="Body"/>
        <w:jc w:val="both"/>
      </w:pPr>
      <w:r>
        <w:t xml:space="preserve">It is expected that this work will build upon the findings from the </w:t>
      </w:r>
      <w:r w:rsidR="00C47955">
        <w:t>evaluation</w:t>
      </w:r>
      <w:r>
        <w:t xml:space="preserve"> process </w:t>
      </w:r>
      <w:proofErr w:type="gramStart"/>
      <w:r>
        <w:t>in order to</w:t>
      </w:r>
      <w:proofErr w:type="gramEnd"/>
      <w:r>
        <w:t xml:space="preserve"> </w:t>
      </w:r>
      <w:r w:rsidR="00C47955">
        <w:t>specify</w:t>
      </w:r>
      <w:r>
        <w:t xml:space="preserve"> the beneficial supplementary container gauges. This should include, but is not limited to:</w:t>
      </w:r>
    </w:p>
    <w:p w14:paraId="0F91F96E" w14:textId="77777777" w:rsidR="000D3887" w:rsidRDefault="000D3887" w:rsidP="000D3887">
      <w:pPr>
        <w:pStyle w:val="Body"/>
        <w:numPr>
          <w:ilvl w:val="0"/>
          <w:numId w:val="39"/>
        </w:numPr>
        <w:jc w:val="both"/>
      </w:pPr>
      <w:r>
        <w:t>Defining an appropriate criteria for the optimisation of the refined gauges.</w:t>
      </w:r>
    </w:p>
    <w:p w14:paraId="6E1A9812" w14:textId="7A6F94E9" w:rsidR="000D3887" w:rsidRDefault="000D3887" w:rsidP="000D3887">
      <w:pPr>
        <w:pStyle w:val="Body"/>
        <w:numPr>
          <w:ilvl w:val="0"/>
          <w:numId w:val="39"/>
        </w:numPr>
        <w:jc w:val="both"/>
      </w:pPr>
      <w:r>
        <w:t xml:space="preserve">Defining the tallest practical container top corner to fit the </w:t>
      </w:r>
      <w:r w:rsidR="00807B4A">
        <w:t>above rail level (ARL)</w:t>
      </w:r>
      <w:r w:rsidRPr="00E45BE1">
        <w:t xml:space="preserve"> set in </w:t>
      </w:r>
      <w:r w:rsidR="00807B4A">
        <w:t>GE/RT8073</w:t>
      </w:r>
      <w:r w:rsidRPr="00E45BE1">
        <w:t xml:space="preserve"> </w:t>
      </w:r>
      <w:r>
        <w:t>and/or to fit under the Overhead Line Equipment on electrified routes.</w:t>
      </w:r>
    </w:p>
    <w:p w14:paraId="0D48E3B4" w14:textId="77777777" w:rsidR="000D3887" w:rsidRDefault="000D3887" w:rsidP="000D3887">
      <w:pPr>
        <w:pStyle w:val="Body"/>
        <w:numPr>
          <w:ilvl w:val="0"/>
          <w:numId w:val="39"/>
        </w:numPr>
        <w:jc w:val="both"/>
      </w:pPr>
      <w:r>
        <w:t>Modelling the supplementary container gauges in the RSSB J Table spreadsheet to determine the sizes of Load Units available</w:t>
      </w:r>
    </w:p>
    <w:p w14:paraId="405418ED" w14:textId="77777777" w:rsidR="000D3887" w:rsidRDefault="000D3887" w:rsidP="000D3887">
      <w:pPr>
        <w:pStyle w:val="Body"/>
        <w:numPr>
          <w:ilvl w:val="0"/>
          <w:numId w:val="39"/>
        </w:numPr>
        <w:jc w:val="both"/>
      </w:pPr>
      <w:r>
        <w:t>Confirming the viability through modelling the container gauges on the routes that the existing standard gauge is cleared for.</w:t>
      </w:r>
      <w:r w:rsidRPr="00804D64">
        <w:t xml:space="preserve"> </w:t>
      </w:r>
      <w:proofErr w:type="gramStart"/>
      <w:r>
        <w:t>In order to</w:t>
      </w:r>
      <w:proofErr w:type="gramEnd"/>
      <w:r>
        <w:t xml:space="preserve"> ensure the viability of the container gauges, it is anticipated that there will be a large number of structures that would need to be cleared. Therefore, it is likely that some iteration of the defined container gauges would be required at this stage. – Exploring </w:t>
      </w:r>
      <w:r>
        <w:lastRenderedPageBreak/>
        <w:t>optimal trade-off between being able to transport the most amount of container combinations and maximising the route capability.</w:t>
      </w:r>
    </w:p>
    <w:p w14:paraId="754D2033" w14:textId="696BBA52" w:rsidR="008E52AC" w:rsidRDefault="000D3887" w:rsidP="000D3887">
      <w:pPr>
        <w:pStyle w:val="Body"/>
        <w:numPr>
          <w:ilvl w:val="0"/>
          <w:numId w:val="39"/>
        </w:numPr>
        <w:jc w:val="both"/>
      </w:pPr>
      <w:r>
        <w:t>Proposing the text for inclusion in GE/RT8073.</w:t>
      </w:r>
    </w:p>
    <w:p w14:paraId="629E53FF" w14:textId="77777777" w:rsidR="00807B4A" w:rsidRPr="000D3887" w:rsidRDefault="00807B4A" w:rsidP="00030E61">
      <w:pPr>
        <w:pStyle w:val="Body"/>
        <w:jc w:val="both"/>
      </w:pPr>
    </w:p>
    <w:p w14:paraId="2AD93825" w14:textId="77777777" w:rsidR="004C3A9C" w:rsidRDefault="004C3A9C" w:rsidP="004C3A9C">
      <w:pPr>
        <w:pStyle w:val="Heading10"/>
      </w:pPr>
      <w:r>
        <w:t>Delivery particulars</w:t>
      </w:r>
    </w:p>
    <w:p w14:paraId="6A4BA168" w14:textId="77777777" w:rsidR="004808C6" w:rsidRDefault="00AE7AF2" w:rsidP="006527F4">
      <w:pPr>
        <w:pStyle w:val="Bullet1"/>
        <w:numPr>
          <w:ilvl w:val="0"/>
          <w:numId w:val="0"/>
        </w:numPr>
        <w:jc w:val="both"/>
        <w:rPr>
          <w:b/>
        </w:rPr>
      </w:pPr>
      <w:r>
        <w:t>Outputs from</w:t>
      </w:r>
      <w:r w:rsidR="00AD2519">
        <w:t xml:space="preserve"> the </w:t>
      </w:r>
      <w:r w:rsidR="002C0219">
        <w:t xml:space="preserve">research project </w:t>
      </w:r>
      <w:r w:rsidR="00AD2519">
        <w:t xml:space="preserve">are expected to </w:t>
      </w:r>
      <w:r>
        <w:t>be included in a revised version of GE/RT8073</w:t>
      </w:r>
      <w:r w:rsidR="002C0219">
        <w:t xml:space="preserve">, therefore it is imperative that the timeframes are aligned. </w:t>
      </w:r>
      <w:r w:rsidR="00AD2519">
        <w:t>To support this</w:t>
      </w:r>
      <w:r w:rsidR="002C0219">
        <w:t xml:space="preserve">, the expected date of release of ITT is </w:t>
      </w:r>
      <w:r w:rsidR="000B3F01" w:rsidRPr="000B3F01">
        <w:rPr>
          <w:b/>
          <w:color w:val="FF0000"/>
        </w:rPr>
        <w:t>Late</w:t>
      </w:r>
      <w:r w:rsidR="004808C6" w:rsidRPr="00C12274">
        <w:rPr>
          <w:b/>
          <w:color w:val="FF0000"/>
        </w:rPr>
        <w:t xml:space="preserve"> </w:t>
      </w:r>
      <w:r w:rsidR="00C47955">
        <w:rPr>
          <w:b/>
          <w:color w:val="FF0000"/>
        </w:rPr>
        <w:t>August</w:t>
      </w:r>
      <w:r w:rsidR="002C0219" w:rsidRPr="00C12274">
        <w:rPr>
          <w:b/>
          <w:color w:val="FF0000"/>
        </w:rPr>
        <w:t xml:space="preserve"> 2018</w:t>
      </w:r>
      <w:r w:rsidR="002C0219">
        <w:rPr>
          <w:b/>
        </w:rPr>
        <w:t>,</w:t>
      </w:r>
      <w:r w:rsidR="002C0219">
        <w:t xml:space="preserve"> </w:t>
      </w:r>
      <w:r w:rsidR="004808C6">
        <w:t xml:space="preserve">with tenders to be received by </w:t>
      </w:r>
      <w:r w:rsidR="000B3F01" w:rsidRPr="000B3F01">
        <w:rPr>
          <w:b/>
          <w:color w:val="FF0000"/>
        </w:rPr>
        <w:t>Late</w:t>
      </w:r>
      <w:r w:rsidR="004808C6" w:rsidRPr="000B3F01">
        <w:rPr>
          <w:b/>
          <w:color w:val="FF0000"/>
        </w:rPr>
        <w:t xml:space="preserve"> </w:t>
      </w:r>
      <w:r w:rsidR="00C47955" w:rsidRPr="000B3F01">
        <w:rPr>
          <w:b/>
          <w:color w:val="FF0000"/>
        </w:rPr>
        <w:t>September</w:t>
      </w:r>
      <w:r w:rsidR="004808C6" w:rsidRPr="000B3F01">
        <w:rPr>
          <w:b/>
          <w:color w:val="FF0000"/>
        </w:rPr>
        <w:t xml:space="preserve"> 2018</w:t>
      </w:r>
      <w:r w:rsidR="004808C6" w:rsidRPr="00DF76E9">
        <w:t xml:space="preserve">. </w:t>
      </w:r>
      <w:r w:rsidR="004808C6">
        <w:t>T</w:t>
      </w:r>
      <w:r w:rsidR="002C0219">
        <w:t xml:space="preserve">he expected date of project </w:t>
      </w:r>
      <w:r w:rsidR="004808C6">
        <w:t xml:space="preserve">completion </w:t>
      </w:r>
      <w:r w:rsidR="002C0219">
        <w:t xml:space="preserve">is </w:t>
      </w:r>
      <w:r w:rsidR="00C47955">
        <w:rPr>
          <w:b/>
          <w:color w:val="FF0000"/>
        </w:rPr>
        <w:t>September</w:t>
      </w:r>
      <w:r w:rsidR="004808C6" w:rsidRPr="00DF76E9">
        <w:rPr>
          <w:b/>
          <w:color w:val="FF0000"/>
        </w:rPr>
        <w:t xml:space="preserve"> </w:t>
      </w:r>
      <w:r w:rsidR="002C0219" w:rsidRPr="00DF76E9">
        <w:rPr>
          <w:b/>
          <w:color w:val="FF0000"/>
        </w:rPr>
        <w:t>201</w:t>
      </w:r>
      <w:r w:rsidR="00E020E4">
        <w:rPr>
          <w:b/>
          <w:color w:val="FF0000"/>
        </w:rPr>
        <w:t>9</w:t>
      </w:r>
      <w:r w:rsidR="00C47955">
        <w:t>.</w:t>
      </w:r>
    </w:p>
    <w:p w14:paraId="727BF4EF" w14:textId="7BD35061" w:rsidR="004808C6" w:rsidRDefault="004C3A9C" w:rsidP="006527F4">
      <w:pPr>
        <w:pStyle w:val="Bullet1"/>
        <w:numPr>
          <w:ilvl w:val="0"/>
          <w:numId w:val="0"/>
        </w:numPr>
        <w:jc w:val="both"/>
      </w:pPr>
      <w:r>
        <w:t xml:space="preserve">The indicative budget </w:t>
      </w:r>
      <w:r w:rsidR="00AE7AF2">
        <w:t xml:space="preserve">for this project </w:t>
      </w:r>
      <w:r>
        <w:t xml:space="preserve">is </w:t>
      </w:r>
      <w:r w:rsidRPr="00C47955">
        <w:rPr>
          <w:b/>
        </w:rPr>
        <w:t>£</w:t>
      </w:r>
      <w:r w:rsidR="00AE7AF2" w:rsidRPr="00C47955">
        <w:rPr>
          <w:b/>
        </w:rPr>
        <w:t>1</w:t>
      </w:r>
      <w:r w:rsidR="00367A7E">
        <w:rPr>
          <w:b/>
        </w:rPr>
        <w:t>2</w:t>
      </w:r>
      <w:r w:rsidR="00AE7AF2" w:rsidRPr="00C47955">
        <w:rPr>
          <w:b/>
        </w:rPr>
        <w:t>0k</w:t>
      </w:r>
      <w:r w:rsidR="00AE7AF2">
        <w:t xml:space="preserve"> </w:t>
      </w:r>
      <w:r w:rsidR="00C47955">
        <w:t xml:space="preserve">and the suitability of the budget will be assessed during </w:t>
      </w:r>
      <w:r w:rsidR="00AE7AF2">
        <w:t>supplier engagement day</w:t>
      </w:r>
      <w:r w:rsidR="004808C6">
        <w:t>.</w:t>
      </w:r>
    </w:p>
    <w:p w14:paraId="18707315" w14:textId="77777777" w:rsidR="00F30D29" w:rsidRPr="003B6FD9" w:rsidRDefault="00F30D29" w:rsidP="004C3A9C">
      <w:pPr>
        <w:pStyle w:val="Bullet1"/>
        <w:numPr>
          <w:ilvl w:val="0"/>
          <w:numId w:val="0"/>
        </w:numPr>
      </w:pPr>
    </w:p>
    <w:p w14:paraId="2CFBA2A7" w14:textId="77777777" w:rsidR="00BB74E1" w:rsidRDefault="00B851E1" w:rsidP="004C3A9C">
      <w:pPr>
        <w:pStyle w:val="Heading10"/>
      </w:pPr>
      <w:bookmarkStart w:id="1" w:name="_Hlk506909856"/>
      <w:r>
        <w:t>Supplier Day</w:t>
      </w:r>
    </w:p>
    <w:bookmarkEnd w:id="1"/>
    <w:p w14:paraId="4C9BB915" w14:textId="77777777" w:rsidR="00004439" w:rsidRDefault="00004439" w:rsidP="006527F4">
      <w:pPr>
        <w:pStyle w:val="Body"/>
        <w:jc w:val="both"/>
      </w:pPr>
      <w:r>
        <w:t>W</w:t>
      </w:r>
      <w:r w:rsidR="00BB74E1">
        <w:t xml:space="preserve">e welcome suppliers’ thoughts on developing </w:t>
      </w:r>
      <w:r>
        <w:t>objectives of the project to</w:t>
      </w:r>
      <w:r w:rsidR="00BB74E1">
        <w:t xml:space="preserve"> contribute to achieving a successful outcome.</w:t>
      </w:r>
      <w:r>
        <w:t xml:space="preserve"> </w:t>
      </w:r>
    </w:p>
    <w:p w14:paraId="0D18415C" w14:textId="77777777" w:rsidR="00BB74E1" w:rsidRDefault="00004439" w:rsidP="006527F4">
      <w:pPr>
        <w:pStyle w:val="Body"/>
        <w:jc w:val="both"/>
      </w:pPr>
      <w:r>
        <w:t>While there is expected to be some discussion of the approach to be taken in delivery of the objectives, the tender is expected to be left open for the supplier to define the approach to meeting those objectives.</w:t>
      </w:r>
    </w:p>
    <w:p w14:paraId="76901B05" w14:textId="77777777" w:rsidR="00BB74E1" w:rsidRDefault="003D3C5F" w:rsidP="006527F4">
      <w:pPr>
        <w:pStyle w:val="Body"/>
        <w:jc w:val="both"/>
      </w:pPr>
      <w:r>
        <w:t>During the s</w:t>
      </w:r>
      <w:r w:rsidR="00BB74E1">
        <w:t xml:space="preserve">upplier day, </w:t>
      </w:r>
      <w:r>
        <w:t xml:space="preserve">we aim to </w:t>
      </w:r>
      <w:r w:rsidR="004808C6">
        <w:t>discuss the</w:t>
      </w:r>
      <w:r>
        <w:t xml:space="preserve"> timeframes and refine the scope further. W</w:t>
      </w:r>
      <w:r w:rsidR="00BB74E1">
        <w:t xml:space="preserve">e would like </w:t>
      </w:r>
      <w:r w:rsidR="00B33B3B">
        <w:t xml:space="preserve">suppliers </w:t>
      </w:r>
      <w:r w:rsidR="00BB74E1">
        <w:t>to consider:</w:t>
      </w:r>
    </w:p>
    <w:p w14:paraId="11697C4A" w14:textId="4BCC6B0B" w:rsidR="00BB74E1" w:rsidRDefault="00367A7E" w:rsidP="006527F4">
      <w:pPr>
        <w:pStyle w:val="Body"/>
        <w:numPr>
          <w:ilvl w:val="0"/>
          <w:numId w:val="34"/>
        </w:numPr>
        <w:jc w:val="both"/>
      </w:pPr>
      <w:r>
        <w:t>Given the changing market composition, i</w:t>
      </w:r>
      <w:r w:rsidR="00064E75">
        <w:t>s the freight community on the right path, and what are your initial thoughts on the benefits of this proposed project?</w:t>
      </w:r>
    </w:p>
    <w:p w14:paraId="0169EF37" w14:textId="77777777" w:rsidR="00367A7E" w:rsidRDefault="00367A7E" w:rsidP="006527F4">
      <w:pPr>
        <w:pStyle w:val="Body"/>
        <w:numPr>
          <w:ilvl w:val="0"/>
          <w:numId w:val="34"/>
        </w:numPr>
        <w:jc w:val="both"/>
      </w:pPr>
      <w:r>
        <w:t>Who are the key stakeholders that should be engaged through the project to enable successful outcomes?</w:t>
      </w:r>
    </w:p>
    <w:p w14:paraId="16D1E4E6" w14:textId="77777777" w:rsidR="00141905" w:rsidRDefault="00141905" w:rsidP="006527F4">
      <w:pPr>
        <w:pStyle w:val="Body"/>
        <w:numPr>
          <w:ilvl w:val="0"/>
          <w:numId w:val="34"/>
        </w:numPr>
        <w:jc w:val="both"/>
      </w:pPr>
      <w:r>
        <w:t xml:space="preserve">What key sources of information </w:t>
      </w:r>
      <w:r w:rsidR="004808C6">
        <w:t>will be required</w:t>
      </w:r>
      <w:r>
        <w:t>?</w:t>
      </w:r>
      <w:r w:rsidR="004808C6">
        <w:t xml:space="preserve"> Where are there likely to be barriers in gaining access to this information?</w:t>
      </w:r>
    </w:p>
    <w:p w14:paraId="77D805E5" w14:textId="77777777" w:rsidR="00141905" w:rsidRDefault="00141905" w:rsidP="006527F4">
      <w:pPr>
        <w:pStyle w:val="Body"/>
        <w:numPr>
          <w:ilvl w:val="0"/>
          <w:numId w:val="34"/>
        </w:numPr>
        <w:jc w:val="both"/>
      </w:pPr>
      <w:r>
        <w:t xml:space="preserve">Considering the </w:t>
      </w:r>
      <w:r w:rsidR="000B3F01">
        <w:t>proposed project schedule</w:t>
      </w:r>
      <w:r>
        <w:t xml:space="preserve">, </w:t>
      </w:r>
      <w:r w:rsidR="004808C6">
        <w:t xml:space="preserve">what structure of the project would best support a successful </w:t>
      </w:r>
      <w:r w:rsidR="00064E75">
        <w:t xml:space="preserve">and timely </w:t>
      </w:r>
      <w:r w:rsidR="004808C6">
        <w:t>outcome?</w:t>
      </w:r>
    </w:p>
    <w:p w14:paraId="356712BC" w14:textId="77777777" w:rsidR="00141905" w:rsidRDefault="00141905" w:rsidP="006527F4">
      <w:pPr>
        <w:pStyle w:val="Body"/>
        <w:numPr>
          <w:ilvl w:val="0"/>
          <w:numId w:val="34"/>
        </w:numPr>
        <w:jc w:val="both"/>
      </w:pPr>
      <w:r>
        <w:t xml:space="preserve">What </w:t>
      </w:r>
      <w:r w:rsidR="004808C6">
        <w:t xml:space="preserve">are the key </w:t>
      </w:r>
      <w:r>
        <w:t>skillset</w:t>
      </w:r>
      <w:r w:rsidR="004808C6">
        <w:t>s</w:t>
      </w:r>
      <w:r>
        <w:t xml:space="preserve"> </w:t>
      </w:r>
      <w:r w:rsidR="004808C6">
        <w:t>needed for each of the key project activities?</w:t>
      </w:r>
    </w:p>
    <w:p w14:paraId="4E46898B" w14:textId="77777777" w:rsidR="00141905" w:rsidRDefault="00141905" w:rsidP="006527F4">
      <w:pPr>
        <w:pStyle w:val="Body"/>
        <w:numPr>
          <w:ilvl w:val="0"/>
          <w:numId w:val="34"/>
        </w:numPr>
        <w:jc w:val="both"/>
      </w:pPr>
      <w:r>
        <w:t xml:space="preserve">What </w:t>
      </w:r>
      <w:r w:rsidR="002B6A10">
        <w:t>are the key objectives of the work that should be included in the specification?</w:t>
      </w:r>
    </w:p>
    <w:p w14:paraId="03176BC5" w14:textId="02A74126" w:rsidR="000B3F01" w:rsidRDefault="000B3F01" w:rsidP="006527F4">
      <w:pPr>
        <w:pStyle w:val="Body"/>
        <w:numPr>
          <w:ilvl w:val="0"/>
          <w:numId w:val="34"/>
        </w:numPr>
        <w:jc w:val="both"/>
      </w:pPr>
      <w:r>
        <w:t>Is the proposed budget suitable for the delivery of the work proposed?</w:t>
      </w:r>
    </w:p>
    <w:p w14:paraId="657AF28B" w14:textId="77777777" w:rsidR="006527F4" w:rsidRDefault="006527F4" w:rsidP="006527F4">
      <w:pPr>
        <w:pStyle w:val="Body"/>
        <w:ind w:left="720"/>
        <w:jc w:val="both"/>
      </w:pPr>
    </w:p>
    <w:p w14:paraId="4CC6D271" w14:textId="77777777" w:rsidR="00482BA9" w:rsidRDefault="00482BA9" w:rsidP="004C3A9C">
      <w:pPr>
        <w:pStyle w:val="Heading10"/>
      </w:pPr>
      <w:r>
        <w:lastRenderedPageBreak/>
        <w:t>Expressions of interest</w:t>
      </w:r>
    </w:p>
    <w:p w14:paraId="02841ECF" w14:textId="77777777" w:rsidR="004C3A9C" w:rsidRDefault="0056187C" w:rsidP="006527F4">
      <w:pPr>
        <w:pStyle w:val="Body"/>
        <w:jc w:val="both"/>
      </w:pPr>
      <w:r>
        <w:t xml:space="preserve">We </w:t>
      </w:r>
      <w:r w:rsidR="000B3F01">
        <w:t>also welcome</w:t>
      </w:r>
      <w:r>
        <w:t xml:space="preserve"> suppliers to provide a short summary of their capabilities and experience in this subject area to help us deliver a successful project.  </w:t>
      </w:r>
      <w:proofErr w:type="gramStart"/>
      <w:r w:rsidR="00891DF7">
        <w:t>Taking into account</w:t>
      </w:r>
      <w:proofErr w:type="gramEnd"/>
      <w:r w:rsidR="00891DF7">
        <w:t xml:space="preserve"> the </w:t>
      </w:r>
      <w:r w:rsidR="00200238">
        <w:t>envisaged scope of work</w:t>
      </w:r>
      <w:r w:rsidR="004C3A9C">
        <w:t>,</w:t>
      </w:r>
      <w:r w:rsidR="00200238">
        <w:t xml:space="preserve"> </w:t>
      </w:r>
      <w:r w:rsidR="00891DF7">
        <w:t>we would be pleased to receive a summary response (</w:t>
      </w:r>
      <w:r w:rsidR="004C3A9C">
        <w:t>Max</w:t>
      </w:r>
      <w:r w:rsidR="00891DF7">
        <w:t xml:space="preserve"> 4 pages) by </w:t>
      </w:r>
      <w:r w:rsidR="000B3F01" w:rsidRPr="000B3F01">
        <w:rPr>
          <w:b/>
          <w:color w:val="FF0000"/>
        </w:rPr>
        <w:t>13</w:t>
      </w:r>
      <w:r w:rsidR="002B6A10" w:rsidRPr="00981D64">
        <w:rPr>
          <w:b/>
          <w:color w:val="FF0000"/>
        </w:rPr>
        <w:t xml:space="preserve"> </w:t>
      </w:r>
      <w:r w:rsidR="00064E75">
        <w:rPr>
          <w:b/>
          <w:color w:val="FF0000"/>
        </w:rPr>
        <w:t>Aug</w:t>
      </w:r>
      <w:r w:rsidR="00C37A8C" w:rsidRPr="00981D64">
        <w:rPr>
          <w:b/>
          <w:color w:val="FF0000"/>
        </w:rPr>
        <w:t xml:space="preserve"> 201</w:t>
      </w:r>
      <w:r w:rsidR="003364F9" w:rsidRPr="00981D64">
        <w:rPr>
          <w:b/>
          <w:color w:val="FF0000"/>
        </w:rPr>
        <w:t>8</w:t>
      </w:r>
      <w:r w:rsidR="00891DF7" w:rsidRPr="00981D64">
        <w:rPr>
          <w:color w:val="FF0000"/>
        </w:rPr>
        <w:t xml:space="preserve"> </w:t>
      </w:r>
      <w:r w:rsidR="00891DF7">
        <w:t xml:space="preserve">setting out your </w:t>
      </w:r>
      <w:r w:rsidR="000B3F01">
        <w:t>capabilities related to the project</w:t>
      </w:r>
      <w:r w:rsidR="00200238">
        <w:t>.</w:t>
      </w:r>
      <w:r w:rsidR="003B6FD9">
        <w:t xml:space="preserve"> </w:t>
      </w:r>
    </w:p>
    <w:p w14:paraId="219E91F0" w14:textId="77777777" w:rsidR="00832204" w:rsidRDefault="003B6FD9" w:rsidP="006527F4">
      <w:pPr>
        <w:pStyle w:val="Body"/>
        <w:jc w:val="both"/>
      </w:pPr>
      <w:r>
        <w:t>Based on experience</w:t>
      </w:r>
      <w:r w:rsidR="004C3A9C">
        <w:t xml:space="preserve"> of similar projects</w:t>
      </w:r>
      <w:r w:rsidR="00930681" w:rsidRPr="00930681">
        <w:t xml:space="preserve">, </w:t>
      </w:r>
      <w:r w:rsidR="004C3A9C">
        <w:t xml:space="preserve">we would welcome </w:t>
      </w:r>
      <w:r w:rsidR="002B6A10">
        <w:t xml:space="preserve">any additional </w:t>
      </w:r>
      <w:r w:rsidR="005B46B1">
        <w:t>thoughts</w:t>
      </w:r>
      <w:r w:rsidR="00930681" w:rsidRPr="00930681">
        <w:t xml:space="preserve"> </w:t>
      </w:r>
      <w:r w:rsidR="002B6A10">
        <w:t>based on the questions outlined for the supplier day</w:t>
      </w:r>
      <w:r w:rsidR="004C3A9C">
        <w:t xml:space="preserve"> </w:t>
      </w:r>
      <w:r w:rsidR="000B3F01">
        <w:t xml:space="preserve">to support the development of the project </w:t>
      </w:r>
      <w:r w:rsidR="004C3A9C">
        <w:t>(no page limit).</w:t>
      </w:r>
    </w:p>
    <w:p w14:paraId="5B517A82" w14:textId="77777777" w:rsidR="002B6A10" w:rsidRDefault="002B6A10" w:rsidP="00832204">
      <w:pPr>
        <w:pStyle w:val="Body"/>
      </w:pPr>
    </w:p>
    <w:p w14:paraId="5FD5A14B" w14:textId="77777777" w:rsidR="00645E17" w:rsidRPr="004C3A9C" w:rsidRDefault="00645E17" w:rsidP="004C3A9C">
      <w:pPr>
        <w:pStyle w:val="Heading10"/>
      </w:pPr>
      <w:r w:rsidRPr="004C3A9C">
        <w:t>Next steps</w:t>
      </w:r>
    </w:p>
    <w:p w14:paraId="2199B2CF" w14:textId="40A30D42" w:rsidR="007F78BC" w:rsidRPr="00645E17" w:rsidRDefault="00645E17" w:rsidP="006527F4">
      <w:pPr>
        <w:pStyle w:val="Bullet1"/>
        <w:numPr>
          <w:ilvl w:val="0"/>
          <w:numId w:val="0"/>
        </w:numPr>
        <w:jc w:val="both"/>
      </w:pPr>
      <w:r w:rsidRPr="00645E17">
        <w:t xml:space="preserve">Please </w:t>
      </w:r>
      <w:r w:rsidR="000B3F01">
        <w:t>contact</w:t>
      </w:r>
      <w:r w:rsidRPr="00645E17">
        <w:t xml:space="preserve"> </w:t>
      </w:r>
      <w:r w:rsidR="004A5575" w:rsidRPr="004A5575">
        <w:rPr>
          <w:rStyle w:val="Hyperlink"/>
        </w:rPr>
        <w:t>Shareditt@rssb.co.uk</w:t>
      </w:r>
      <w:r w:rsidR="000B3F01">
        <w:t xml:space="preserve"> if you wish to attend the supplier day, or to submit an expression of interest.</w:t>
      </w:r>
      <w:bookmarkStart w:id="2" w:name="_GoBack"/>
      <w:bookmarkEnd w:id="2"/>
    </w:p>
    <w:sectPr w:rsidR="007F78BC" w:rsidRPr="00645E17" w:rsidSect="00D26B62">
      <w:headerReference w:type="default" r:id="rId12"/>
      <w:footerReference w:type="even" r:id="rId13"/>
      <w:footerReference w:type="default" r:id="rId14"/>
      <w:pgSz w:w="11906" w:h="16838"/>
      <w:pgMar w:top="1985" w:right="1985" w:bottom="1985"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883B2" w14:textId="77777777" w:rsidR="00ED2E70" w:rsidRDefault="00ED2E70" w:rsidP="0003785D">
      <w:r>
        <w:separator/>
      </w:r>
    </w:p>
  </w:endnote>
  <w:endnote w:type="continuationSeparator" w:id="0">
    <w:p w14:paraId="1B6B49EC" w14:textId="77777777" w:rsidR="00ED2E70" w:rsidRDefault="00ED2E70"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Times New Roman"/>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32892" w14:textId="77777777" w:rsidR="00E90951" w:rsidRDefault="00E90951" w:rsidP="00674166">
    <w:pPr>
      <w:pStyle w:val="FooterLeft"/>
    </w:pPr>
    <w:r>
      <w:fldChar w:fldCharType="begin"/>
    </w:r>
    <w:r>
      <w:instrText xml:space="preserve"> PAGE   \* MERGEFORMAT </w:instrText>
    </w:r>
    <w:r>
      <w:fldChar w:fldCharType="separate"/>
    </w:r>
    <w:r w:rsidR="00D523CF">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CED0E" w14:textId="77777777" w:rsidR="00E90951" w:rsidRDefault="00E90951" w:rsidP="00674166">
    <w:pPr>
      <w:pStyle w:val="FooterRight"/>
    </w:pPr>
    <w:r>
      <w:fldChar w:fldCharType="begin"/>
    </w:r>
    <w:r>
      <w:instrText xml:space="preserve"> PAGE   \* MERGEFORMAT </w:instrText>
    </w:r>
    <w:r>
      <w:fldChar w:fldCharType="separate"/>
    </w:r>
    <w:r w:rsidR="00D523C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791C1" w14:textId="77777777" w:rsidR="00ED2E70" w:rsidRDefault="00ED2E70" w:rsidP="0003785D">
      <w:r>
        <w:separator/>
      </w:r>
    </w:p>
  </w:footnote>
  <w:footnote w:type="continuationSeparator" w:id="0">
    <w:p w14:paraId="7AC1AF3A" w14:textId="77777777" w:rsidR="00ED2E70" w:rsidRDefault="00ED2E70" w:rsidP="0003785D">
      <w:r>
        <w:continuationSeparator/>
      </w:r>
    </w:p>
  </w:footnote>
  <w:footnote w:id="1">
    <w:p w14:paraId="08768E5C" w14:textId="77777777" w:rsidR="000D3887" w:rsidRDefault="000D3887" w:rsidP="000D3887">
      <w:pPr>
        <w:pStyle w:val="FootnoteText"/>
      </w:pPr>
      <w:r>
        <w:rPr>
          <w:rStyle w:val="FootnoteReference"/>
        </w:rPr>
        <w:footnoteRef/>
      </w:r>
      <w:r>
        <w:t xml:space="preserve"> </w:t>
      </w:r>
      <w:r w:rsidRPr="00A919B9">
        <w:rPr>
          <w:rFonts w:cs="Arial"/>
          <w:sz w:val="16"/>
        </w:rPr>
        <w:t>The new gauge could be narrower and taller, shorter and wider, or recommend utilising both.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26701" w14:textId="77777777" w:rsidR="00E90951" w:rsidRPr="0003785D" w:rsidRDefault="00E90951" w:rsidP="0003785D">
    <w:pPr>
      <w:pStyle w:val="Image"/>
    </w:pPr>
    <w:r>
      <w:rPr>
        <w:noProof/>
        <w:lang w:eastAsia="en-GB"/>
      </w:rPr>
      <w:drawing>
        <wp:inline distT="0" distB="0" distL="0" distR="0" wp14:anchorId="357C8A93" wp14:editId="05DCF383">
          <wp:extent cx="1256030" cy="699770"/>
          <wp:effectExtent l="0" t="0" r="1270" b="508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330FC"/>
    <w:multiLevelType w:val="multilevel"/>
    <w:tmpl w:val="17DEDCEA"/>
    <w:lvl w:ilvl="0">
      <w:start w:val="1"/>
      <w:numFmt w:val="upperLetter"/>
      <w:suff w:val="space"/>
      <w:lvlText w:val="%1  "/>
      <w:lvlJc w:val="left"/>
      <w:pPr>
        <w:ind w:left="0" w:firstLine="0"/>
      </w:pPr>
      <w:rPr>
        <w:rFonts w:ascii="Calibri" w:hAnsi="Calibri" w:hint="default"/>
        <w:b w:val="0"/>
        <w:i w:val="0"/>
        <w:color w:val="00968E"/>
        <w:sz w:val="36"/>
      </w:rPr>
    </w:lvl>
    <w:lvl w:ilvl="1">
      <w:start w:val="1"/>
      <w:numFmt w:val="decimal"/>
      <w:suff w:val="space"/>
      <w:lvlText w:val="%1.%2  "/>
      <w:lvlJc w:val="left"/>
      <w:pPr>
        <w:ind w:left="0" w:firstLine="0"/>
      </w:pPr>
      <w:rPr>
        <w:rFonts w:ascii="Calibri" w:hAnsi="Calibri" w:hint="default"/>
        <w:b w:val="0"/>
        <w:i w:val="0"/>
        <w:color w:val="00968E"/>
        <w:sz w:val="32"/>
      </w:rPr>
    </w:lvl>
    <w:lvl w:ilvl="2">
      <w:start w:val="1"/>
      <w:numFmt w:val="decimal"/>
      <w:suff w:val="space"/>
      <w:lvlText w:val="%1.%2.%3  "/>
      <w:lvlJc w:val="left"/>
      <w:pPr>
        <w:ind w:left="0" w:firstLine="0"/>
      </w:pPr>
      <w:rPr>
        <w:rFonts w:ascii="Calibri" w:hAnsi="Calibri" w:hint="default"/>
        <w:b w:val="0"/>
        <w:i w:val="0"/>
        <w:color w:val="00968E"/>
        <w:sz w:val="28"/>
      </w:rPr>
    </w:lvl>
    <w:lvl w:ilvl="3">
      <w:start w:val="1"/>
      <w:numFmt w:val="decimal"/>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10DA2330"/>
    <w:multiLevelType w:val="hybridMultilevel"/>
    <w:tmpl w:val="61B02768"/>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117018CB"/>
    <w:multiLevelType w:val="hybridMultilevel"/>
    <w:tmpl w:val="99281F34"/>
    <w:lvl w:ilvl="0" w:tplc="3F8433D0">
      <w:start w:val="1"/>
      <w:numFmt w:val="decimal"/>
      <w:pStyle w:val="TableTitle"/>
      <w:lvlText w:val="Table %1: "/>
      <w:lvlJc w:val="center"/>
      <w:pPr>
        <w:ind w:left="5888"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6608" w:hanging="360"/>
      </w:pPr>
    </w:lvl>
    <w:lvl w:ilvl="2" w:tplc="0809001B" w:tentative="1">
      <w:start w:val="1"/>
      <w:numFmt w:val="lowerRoman"/>
      <w:lvlText w:val="%3."/>
      <w:lvlJc w:val="right"/>
      <w:pPr>
        <w:ind w:left="7328" w:hanging="180"/>
      </w:pPr>
    </w:lvl>
    <w:lvl w:ilvl="3" w:tplc="0809000F" w:tentative="1">
      <w:start w:val="1"/>
      <w:numFmt w:val="decimal"/>
      <w:lvlText w:val="%4."/>
      <w:lvlJc w:val="left"/>
      <w:pPr>
        <w:ind w:left="8048" w:hanging="360"/>
      </w:pPr>
    </w:lvl>
    <w:lvl w:ilvl="4" w:tplc="08090019" w:tentative="1">
      <w:start w:val="1"/>
      <w:numFmt w:val="lowerLetter"/>
      <w:lvlText w:val="%5."/>
      <w:lvlJc w:val="left"/>
      <w:pPr>
        <w:ind w:left="8768" w:hanging="360"/>
      </w:pPr>
    </w:lvl>
    <w:lvl w:ilvl="5" w:tplc="0809001B" w:tentative="1">
      <w:start w:val="1"/>
      <w:numFmt w:val="lowerRoman"/>
      <w:lvlText w:val="%6."/>
      <w:lvlJc w:val="right"/>
      <w:pPr>
        <w:ind w:left="9488" w:hanging="180"/>
      </w:pPr>
    </w:lvl>
    <w:lvl w:ilvl="6" w:tplc="0809000F" w:tentative="1">
      <w:start w:val="1"/>
      <w:numFmt w:val="decimal"/>
      <w:lvlText w:val="%7."/>
      <w:lvlJc w:val="left"/>
      <w:pPr>
        <w:ind w:left="10208" w:hanging="360"/>
      </w:pPr>
    </w:lvl>
    <w:lvl w:ilvl="7" w:tplc="08090019" w:tentative="1">
      <w:start w:val="1"/>
      <w:numFmt w:val="lowerLetter"/>
      <w:lvlText w:val="%8."/>
      <w:lvlJc w:val="left"/>
      <w:pPr>
        <w:ind w:left="10928" w:hanging="360"/>
      </w:pPr>
    </w:lvl>
    <w:lvl w:ilvl="8" w:tplc="0809001B" w:tentative="1">
      <w:start w:val="1"/>
      <w:numFmt w:val="lowerRoman"/>
      <w:lvlText w:val="%9."/>
      <w:lvlJc w:val="right"/>
      <w:pPr>
        <w:ind w:left="11648" w:hanging="180"/>
      </w:pPr>
    </w:lvl>
  </w:abstractNum>
  <w:abstractNum w:abstractNumId="8" w15:restartNumberingAfterBreak="0">
    <w:nsid w:val="19A50575"/>
    <w:multiLevelType w:val="hybridMultilevel"/>
    <w:tmpl w:val="108E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C2F5B"/>
    <w:multiLevelType w:val="hybridMultilevel"/>
    <w:tmpl w:val="E8C8E4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ED30A3"/>
    <w:multiLevelType w:val="hybridMultilevel"/>
    <w:tmpl w:val="54CA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516E7"/>
    <w:multiLevelType w:val="hybridMultilevel"/>
    <w:tmpl w:val="A804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4" w15:restartNumberingAfterBreak="0">
    <w:nsid w:val="2CAD1290"/>
    <w:multiLevelType w:val="multilevel"/>
    <w:tmpl w:val="8D9643E4"/>
    <w:lvl w:ilvl="0">
      <w:start w:val="1"/>
      <w:numFmt w:val="upperLetter"/>
      <w:lvlText w:val="%1"/>
      <w:lvlJc w:val="left"/>
      <w:pPr>
        <w:tabs>
          <w:tab w:val="num" w:pos="454"/>
        </w:tabs>
        <w:ind w:left="454" w:hanging="454"/>
      </w:pPr>
      <w:rPr>
        <w:rFonts w:ascii="Calibri Light" w:hAnsi="Calibri Light" w:hint="default"/>
        <w:b w:val="0"/>
        <w:i w:val="0"/>
        <w:color w:val="00968E"/>
        <w:sz w:val="32"/>
        <w:u w:color="FFFFFF" w:themeColor="background1"/>
      </w:rPr>
    </w:lvl>
    <w:lvl w:ilvl="1">
      <w:start w:val="1"/>
      <w:numFmt w:val="decimal"/>
      <w:lvlText w:val="%1.%2"/>
      <w:lvlJc w:val="left"/>
      <w:pPr>
        <w:tabs>
          <w:tab w:val="num" w:pos="454"/>
        </w:tabs>
        <w:ind w:left="454" w:hanging="454"/>
      </w:pPr>
      <w:rPr>
        <w:rFonts w:ascii="Calibri Light" w:hAnsi="Calibri Light" w:hint="default"/>
        <w:b w:val="0"/>
        <w:i w:val="0"/>
        <w:color w:val="00968E"/>
        <w:sz w:val="28"/>
      </w:rPr>
    </w:lvl>
    <w:lvl w:ilvl="2">
      <w:start w:val="1"/>
      <w:numFmt w:val="decimal"/>
      <w:lvlText w:val="%1.%2.%3"/>
      <w:lvlJc w:val="left"/>
      <w:pPr>
        <w:tabs>
          <w:tab w:val="num" w:pos="680"/>
        </w:tabs>
        <w:ind w:left="680" w:hanging="680"/>
      </w:pPr>
      <w:rPr>
        <w:rFonts w:ascii="Calibri" w:hAnsi="Calibri" w:hint="default"/>
        <w:b w:val="0"/>
        <w:i w:val="0"/>
        <w:color w:val="00968E"/>
        <w:sz w:val="24"/>
      </w:rPr>
    </w:lvl>
    <w:lvl w:ilvl="3">
      <w:start w:val="1"/>
      <w:numFmt w:val="decimal"/>
      <w:lvlText w:val="%1.%2.%3.%4"/>
      <w:lvlJc w:val="left"/>
      <w:pPr>
        <w:tabs>
          <w:tab w:val="num" w:pos="907"/>
        </w:tabs>
        <w:ind w:left="907" w:hanging="907"/>
      </w:pPr>
      <w:rPr>
        <w:rFonts w:ascii="Calibri" w:hAnsi="Calibri" w:hint="default"/>
        <w:b w:val="0"/>
        <w:i w:val="0"/>
        <w:color w:val="00968E"/>
        <w:sz w:val="22"/>
      </w:rPr>
    </w:lvl>
    <w:lvl w:ilvl="4">
      <w:start w:val="1"/>
      <w:numFmt w:val="lowerLetter"/>
      <w:lvlText w:val="(%5)"/>
      <w:lvlJc w:val="left"/>
      <w:pPr>
        <w:tabs>
          <w:tab w:val="num" w:pos="454"/>
        </w:tabs>
        <w:ind w:left="454" w:hanging="454"/>
      </w:pPr>
      <w:rPr>
        <w:rFonts w:hint="default"/>
      </w:rPr>
    </w:lvl>
    <w:lvl w:ilvl="5">
      <w:start w:val="1"/>
      <w:numFmt w:val="lowerRoman"/>
      <w:lvlText w:val="(%6)"/>
      <w:lvlJc w:val="left"/>
      <w:pPr>
        <w:tabs>
          <w:tab w:val="num" w:pos="454"/>
        </w:tabs>
        <w:ind w:left="454" w:hanging="454"/>
      </w:pPr>
      <w:rPr>
        <w:rFonts w:hint="default"/>
      </w:rPr>
    </w:lvl>
    <w:lvl w:ilvl="6">
      <w:start w:val="1"/>
      <w:numFmt w:val="decimal"/>
      <w:lvlText w:val="%7."/>
      <w:lvlJc w:val="left"/>
      <w:pPr>
        <w:tabs>
          <w:tab w:val="num" w:pos="454"/>
        </w:tabs>
        <w:ind w:left="454" w:hanging="454"/>
      </w:pPr>
      <w:rPr>
        <w:rFonts w:hint="default"/>
      </w:rPr>
    </w:lvl>
    <w:lvl w:ilvl="7">
      <w:start w:val="1"/>
      <w:numFmt w:val="lowerLetter"/>
      <w:lvlText w:val="%8."/>
      <w:lvlJc w:val="left"/>
      <w:pPr>
        <w:tabs>
          <w:tab w:val="num" w:pos="454"/>
        </w:tabs>
        <w:ind w:left="454" w:hanging="454"/>
      </w:pPr>
      <w:rPr>
        <w:rFonts w:hint="default"/>
      </w:rPr>
    </w:lvl>
    <w:lvl w:ilvl="8">
      <w:start w:val="1"/>
      <w:numFmt w:val="lowerRoman"/>
      <w:lvlText w:val="%9."/>
      <w:lvlJc w:val="left"/>
      <w:pPr>
        <w:tabs>
          <w:tab w:val="num" w:pos="454"/>
        </w:tabs>
        <w:ind w:left="454" w:hanging="454"/>
      </w:pPr>
      <w:rPr>
        <w:rFonts w:hint="default"/>
      </w:rPr>
    </w:lvl>
  </w:abstractNum>
  <w:abstractNum w:abstractNumId="15" w15:restartNumberingAfterBreak="0">
    <w:nsid w:val="2EE83189"/>
    <w:multiLevelType w:val="hybridMultilevel"/>
    <w:tmpl w:val="FFF2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93616"/>
    <w:multiLevelType w:val="hybridMultilevel"/>
    <w:tmpl w:val="CE08C094"/>
    <w:lvl w:ilvl="0" w:tplc="DC0EA69A">
      <w:start w:val="1"/>
      <w:numFmt w:val="decimal"/>
      <w:lvlText w:val="%1)"/>
      <w:lvlJc w:val="left"/>
      <w:pPr>
        <w:ind w:left="360" w:hanging="360"/>
      </w:pPr>
      <w:rPr>
        <w:rFonts w:ascii="Calibri" w:hAnsi="Calibri" w:hint="default"/>
        <w:b w:val="0"/>
        <w:i w:val="0"/>
        <w:caps w:val="0"/>
        <w:strike w:val="0"/>
        <w:dstrike w:val="0"/>
        <w:vanish w:val="0"/>
        <w:color w:val="auto"/>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347F4"/>
    <w:multiLevelType w:val="hybridMultilevel"/>
    <w:tmpl w:val="BEC8B9EC"/>
    <w:lvl w:ilvl="0" w:tplc="51F22F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2"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4" w15:restartNumberingAfterBreak="0">
    <w:nsid w:val="47873DB9"/>
    <w:multiLevelType w:val="hybridMultilevel"/>
    <w:tmpl w:val="DB8E54D6"/>
    <w:lvl w:ilvl="0" w:tplc="A52E46A0">
      <w:start w:val="1"/>
      <w:numFmt w:val="lowerLetter"/>
      <w:lvlText w:val="%1)"/>
      <w:lvlJc w:val="left"/>
      <w:pPr>
        <w:ind w:left="814" w:hanging="360"/>
      </w:pPr>
      <w:rPr>
        <w:rFonts w:ascii="Calibri" w:hAnsi="Calibri" w:hint="default"/>
        <w:b w:val="0"/>
        <w:i w:val="0"/>
        <w:caps w:val="0"/>
        <w:strike w:val="0"/>
        <w:dstrike w:val="0"/>
        <w:vanish w:val="0"/>
        <w:color w:val="auto"/>
        <w:sz w:val="22"/>
        <w:vertAlign w:val="baseline"/>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5"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19073D"/>
    <w:multiLevelType w:val="hybridMultilevel"/>
    <w:tmpl w:val="B9F2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49534F"/>
    <w:multiLevelType w:val="hybridMultilevel"/>
    <w:tmpl w:val="7E82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277FF7"/>
    <w:multiLevelType w:val="hybridMultilevel"/>
    <w:tmpl w:val="FBF80152"/>
    <w:name w:val="OutlineNumber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3"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35"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num w:numId="1">
    <w:abstractNumId w:val="2"/>
  </w:num>
  <w:num w:numId="2">
    <w:abstractNumId w:val="17"/>
  </w:num>
  <w:num w:numId="3">
    <w:abstractNumId w:val="10"/>
  </w:num>
  <w:num w:numId="4">
    <w:abstractNumId w:val="22"/>
  </w:num>
  <w:num w:numId="5">
    <w:abstractNumId w:val="33"/>
  </w:num>
  <w:num w:numId="6">
    <w:abstractNumId w:val="0"/>
  </w:num>
  <w:num w:numId="7">
    <w:abstractNumId w:val="34"/>
  </w:num>
  <w:num w:numId="8">
    <w:abstractNumId w:val="32"/>
  </w:num>
  <w:num w:numId="9">
    <w:abstractNumId w:val="1"/>
  </w:num>
  <w:num w:numId="10">
    <w:abstractNumId w:val="23"/>
  </w:num>
  <w:num w:numId="11">
    <w:abstractNumId w:val="36"/>
  </w:num>
  <w:num w:numId="12">
    <w:abstractNumId w:val="3"/>
  </w:num>
  <w:num w:numId="13">
    <w:abstractNumId w:val="35"/>
  </w:num>
  <w:num w:numId="14">
    <w:abstractNumId w:val="29"/>
  </w:num>
  <w:num w:numId="15">
    <w:abstractNumId w:val="25"/>
  </w:num>
  <w:num w:numId="16">
    <w:abstractNumId w:val="4"/>
  </w:num>
  <w:num w:numId="17">
    <w:abstractNumId w:val="30"/>
  </w:num>
  <w:num w:numId="18">
    <w:abstractNumId w:val="7"/>
  </w:num>
  <w:num w:numId="19">
    <w:abstractNumId w:val="18"/>
  </w:num>
  <w:num w:numId="20">
    <w:abstractNumId w:val="20"/>
  </w:num>
  <w:num w:numId="21">
    <w:abstractNumId w:val="5"/>
  </w:num>
  <w:num w:numId="22">
    <w:abstractNumId w:val="28"/>
  </w:num>
  <w:num w:numId="23">
    <w:abstractNumId w:val="21"/>
  </w:num>
  <w:num w:numId="24">
    <w:abstractNumId w:val="13"/>
  </w:num>
  <w:num w:numId="25">
    <w:abstractNumId w:val="14"/>
  </w:num>
  <w:num w:numId="26">
    <w:abstractNumId w:val="16"/>
  </w:num>
  <w:num w:numId="27">
    <w:abstractNumId w:val="24"/>
  </w:num>
  <w:num w:numId="28">
    <w:abstractNumId w:val="16"/>
    <w:lvlOverride w:ilvl="0">
      <w:startOverride w:val="1"/>
    </w:lvlOverride>
  </w:num>
  <w:num w:numId="29">
    <w:abstractNumId w:val="4"/>
  </w:num>
  <w:num w:numId="30">
    <w:abstractNumId w:val="15"/>
  </w:num>
  <w:num w:numId="31">
    <w:abstractNumId w:val="9"/>
  </w:num>
  <w:num w:numId="32">
    <w:abstractNumId w:val="27"/>
  </w:num>
  <w:num w:numId="33">
    <w:abstractNumId w:val="12"/>
  </w:num>
  <w:num w:numId="34">
    <w:abstractNumId w:val="8"/>
  </w:num>
  <w:num w:numId="35">
    <w:abstractNumId w:val="11"/>
  </w:num>
  <w:num w:numId="36">
    <w:abstractNumId w:val="19"/>
  </w:num>
  <w:num w:numId="37">
    <w:abstractNumId w:val="26"/>
  </w:num>
  <w:num w:numId="38">
    <w:abstractNumId w:val="6"/>
  </w:num>
  <w:num w:numId="39">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45"/>
    <w:rsid w:val="00001E00"/>
    <w:rsid w:val="00004439"/>
    <w:rsid w:val="00010241"/>
    <w:rsid w:val="00025BF9"/>
    <w:rsid w:val="00027D88"/>
    <w:rsid w:val="00030E61"/>
    <w:rsid w:val="0003785D"/>
    <w:rsid w:val="000505AF"/>
    <w:rsid w:val="00064E75"/>
    <w:rsid w:val="00080091"/>
    <w:rsid w:val="00095757"/>
    <w:rsid w:val="00095A03"/>
    <w:rsid w:val="000B09B1"/>
    <w:rsid w:val="000B3445"/>
    <w:rsid w:val="000B3F01"/>
    <w:rsid w:val="000D1938"/>
    <w:rsid w:val="000D3887"/>
    <w:rsid w:val="000D3F24"/>
    <w:rsid w:val="000E1B11"/>
    <w:rsid w:val="000F3413"/>
    <w:rsid w:val="001007D1"/>
    <w:rsid w:val="00100BAD"/>
    <w:rsid w:val="00105AA8"/>
    <w:rsid w:val="00106515"/>
    <w:rsid w:val="00134A7B"/>
    <w:rsid w:val="00141905"/>
    <w:rsid w:val="001640EB"/>
    <w:rsid w:val="00180DB2"/>
    <w:rsid w:val="001B4560"/>
    <w:rsid w:val="001B768D"/>
    <w:rsid w:val="001D6DF8"/>
    <w:rsid w:val="001E7204"/>
    <w:rsid w:val="001F22B3"/>
    <w:rsid w:val="001F2882"/>
    <w:rsid w:val="001F5CE5"/>
    <w:rsid w:val="00200238"/>
    <w:rsid w:val="002030AF"/>
    <w:rsid w:val="0023065B"/>
    <w:rsid w:val="002345D7"/>
    <w:rsid w:val="002569DA"/>
    <w:rsid w:val="00260638"/>
    <w:rsid w:val="002624B8"/>
    <w:rsid w:val="00263CE4"/>
    <w:rsid w:val="002A2B23"/>
    <w:rsid w:val="002A4FD2"/>
    <w:rsid w:val="002B6A10"/>
    <w:rsid w:val="002C0219"/>
    <w:rsid w:val="002C10B0"/>
    <w:rsid w:val="002C3930"/>
    <w:rsid w:val="003364F9"/>
    <w:rsid w:val="00367A7E"/>
    <w:rsid w:val="00394C4E"/>
    <w:rsid w:val="00395222"/>
    <w:rsid w:val="003A540F"/>
    <w:rsid w:val="003A58F0"/>
    <w:rsid w:val="003B6FD9"/>
    <w:rsid w:val="003D3C5F"/>
    <w:rsid w:val="004044AF"/>
    <w:rsid w:val="00413D0B"/>
    <w:rsid w:val="00415889"/>
    <w:rsid w:val="004236BB"/>
    <w:rsid w:val="0043756F"/>
    <w:rsid w:val="00443FAF"/>
    <w:rsid w:val="004666E1"/>
    <w:rsid w:val="004808C6"/>
    <w:rsid w:val="00482BA9"/>
    <w:rsid w:val="00493B51"/>
    <w:rsid w:val="00497BED"/>
    <w:rsid w:val="004A5575"/>
    <w:rsid w:val="004B1232"/>
    <w:rsid w:val="004B23F1"/>
    <w:rsid w:val="004C3A9C"/>
    <w:rsid w:val="004C5BAF"/>
    <w:rsid w:val="004D06B4"/>
    <w:rsid w:val="004D1C89"/>
    <w:rsid w:val="004E158D"/>
    <w:rsid w:val="004F1F66"/>
    <w:rsid w:val="00504F1B"/>
    <w:rsid w:val="005170FA"/>
    <w:rsid w:val="00523E0C"/>
    <w:rsid w:val="005302A4"/>
    <w:rsid w:val="00546361"/>
    <w:rsid w:val="00547F63"/>
    <w:rsid w:val="0056187C"/>
    <w:rsid w:val="00564678"/>
    <w:rsid w:val="00565059"/>
    <w:rsid w:val="00581B3B"/>
    <w:rsid w:val="00597917"/>
    <w:rsid w:val="005A51FF"/>
    <w:rsid w:val="005B46B1"/>
    <w:rsid w:val="005C1DDB"/>
    <w:rsid w:val="005C3EEB"/>
    <w:rsid w:val="005E0FA3"/>
    <w:rsid w:val="005E6B5A"/>
    <w:rsid w:val="005F1D65"/>
    <w:rsid w:val="005F21FF"/>
    <w:rsid w:val="005F75AA"/>
    <w:rsid w:val="00620FA0"/>
    <w:rsid w:val="0062110D"/>
    <w:rsid w:val="00645E17"/>
    <w:rsid w:val="006527F4"/>
    <w:rsid w:val="006719F2"/>
    <w:rsid w:val="00674166"/>
    <w:rsid w:val="00677B4C"/>
    <w:rsid w:val="00692F4B"/>
    <w:rsid w:val="006955FB"/>
    <w:rsid w:val="006A70D0"/>
    <w:rsid w:val="006C4975"/>
    <w:rsid w:val="006D3A06"/>
    <w:rsid w:val="006E2708"/>
    <w:rsid w:val="006E63F0"/>
    <w:rsid w:val="00715049"/>
    <w:rsid w:val="00727E0C"/>
    <w:rsid w:val="00750268"/>
    <w:rsid w:val="0075783D"/>
    <w:rsid w:val="0077002C"/>
    <w:rsid w:val="007721A7"/>
    <w:rsid w:val="0078187F"/>
    <w:rsid w:val="00787199"/>
    <w:rsid w:val="007A6DDC"/>
    <w:rsid w:val="007B25CE"/>
    <w:rsid w:val="007B59B2"/>
    <w:rsid w:val="007C3155"/>
    <w:rsid w:val="007C61C6"/>
    <w:rsid w:val="007D658E"/>
    <w:rsid w:val="007F78BC"/>
    <w:rsid w:val="00807B4A"/>
    <w:rsid w:val="008149E8"/>
    <w:rsid w:val="0082192E"/>
    <w:rsid w:val="00832204"/>
    <w:rsid w:val="00844432"/>
    <w:rsid w:val="00854E56"/>
    <w:rsid w:val="00856404"/>
    <w:rsid w:val="00866746"/>
    <w:rsid w:val="0089034C"/>
    <w:rsid w:val="00891DF7"/>
    <w:rsid w:val="00896506"/>
    <w:rsid w:val="008A357B"/>
    <w:rsid w:val="008B57D9"/>
    <w:rsid w:val="008C0B12"/>
    <w:rsid w:val="008C0F62"/>
    <w:rsid w:val="008E52AC"/>
    <w:rsid w:val="008F04B0"/>
    <w:rsid w:val="008F329D"/>
    <w:rsid w:val="00903E24"/>
    <w:rsid w:val="00911D0D"/>
    <w:rsid w:val="00916E86"/>
    <w:rsid w:val="0092127D"/>
    <w:rsid w:val="00923B5C"/>
    <w:rsid w:val="00930681"/>
    <w:rsid w:val="00931E25"/>
    <w:rsid w:val="009334E8"/>
    <w:rsid w:val="0095074C"/>
    <w:rsid w:val="00971DFA"/>
    <w:rsid w:val="00981D64"/>
    <w:rsid w:val="00986FE3"/>
    <w:rsid w:val="00992F31"/>
    <w:rsid w:val="00996875"/>
    <w:rsid w:val="009A43CE"/>
    <w:rsid w:val="009C66F7"/>
    <w:rsid w:val="009E1F97"/>
    <w:rsid w:val="009E5BF2"/>
    <w:rsid w:val="00A04747"/>
    <w:rsid w:val="00A12089"/>
    <w:rsid w:val="00A54888"/>
    <w:rsid w:val="00A814EC"/>
    <w:rsid w:val="00A85B19"/>
    <w:rsid w:val="00A90A0A"/>
    <w:rsid w:val="00A92A2B"/>
    <w:rsid w:val="00AA17DB"/>
    <w:rsid w:val="00AC7566"/>
    <w:rsid w:val="00AD08D0"/>
    <w:rsid w:val="00AD2519"/>
    <w:rsid w:val="00AE4409"/>
    <w:rsid w:val="00AE7AF2"/>
    <w:rsid w:val="00B057FF"/>
    <w:rsid w:val="00B073F2"/>
    <w:rsid w:val="00B079E2"/>
    <w:rsid w:val="00B15684"/>
    <w:rsid w:val="00B20829"/>
    <w:rsid w:val="00B33B3B"/>
    <w:rsid w:val="00B34E30"/>
    <w:rsid w:val="00B37A77"/>
    <w:rsid w:val="00B55A28"/>
    <w:rsid w:val="00B60346"/>
    <w:rsid w:val="00B770DC"/>
    <w:rsid w:val="00B851E1"/>
    <w:rsid w:val="00B928F8"/>
    <w:rsid w:val="00B95469"/>
    <w:rsid w:val="00B9637C"/>
    <w:rsid w:val="00BA4D29"/>
    <w:rsid w:val="00BB37E9"/>
    <w:rsid w:val="00BB74E1"/>
    <w:rsid w:val="00BC31A4"/>
    <w:rsid w:val="00BE38C8"/>
    <w:rsid w:val="00C06857"/>
    <w:rsid w:val="00C12274"/>
    <w:rsid w:val="00C15913"/>
    <w:rsid w:val="00C24A54"/>
    <w:rsid w:val="00C264FE"/>
    <w:rsid w:val="00C37A8C"/>
    <w:rsid w:val="00C411AA"/>
    <w:rsid w:val="00C47955"/>
    <w:rsid w:val="00C62BAC"/>
    <w:rsid w:val="00C72510"/>
    <w:rsid w:val="00C73240"/>
    <w:rsid w:val="00C85A39"/>
    <w:rsid w:val="00C92E29"/>
    <w:rsid w:val="00CA4153"/>
    <w:rsid w:val="00CB219F"/>
    <w:rsid w:val="00CB60A5"/>
    <w:rsid w:val="00CC0375"/>
    <w:rsid w:val="00CC2358"/>
    <w:rsid w:val="00CF7392"/>
    <w:rsid w:val="00D00F9D"/>
    <w:rsid w:val="00D11754"/>
    <w:rsid w:val="00D21CBD"/>
    <w:rsid w:val="00D23B6A"/>
    <w:rsid w:val="00D26B62"/>
    <w:rsid w:val="00D30600"/>
    <w:rsid w:val="00D33121"/>
    <w:rsid w:val="00D36888"/>
    <w:rsid w:val="00D371CD"/>
    <w:rsid w:val="00D442AC"/>
    <w:rsid w:val="00D523CF"/>
    <w:rsid w:val="00D62C55"/>
    <w:rsid w:val="00D64E7C"/>
    <w:rsid w:val="00D67EE0"/>
    <w:rsid w:val="00D73B6A"/>
    <w:rsid w:val="00D81163"/>
    <w:rsid w:val="00D853F3"/>
    <w:rsid w:val="00D97589"/>
    <w:rsid w:val="00DD1ABC"/>
    <w:rsid w:val="00DD3C0B"/>
    <w:rsid w:val="00DD7945"/>
    <w:rsid w:val="00DE33A2"/>
    <w:rsid w:val="00DE45B7"/>
    <w:rsid w:val="00DF078D"/>
    <w:rsid w:val="00DF3EE4"/>
    <w:rsid w:val="00DF76E9"/>
    <w:rsid w:val="00E00C43"/>
    <w:rsid w:val="00E020E4"/>
    <w:rsid w:val="00E04231"/>
    <w:rsid w:val="00E224BE"/>
    <w:rsid w:val="00E304AF"/>
    <w:rsid w:val="00E32EB0"/>
    <w:rsid w:val="00E56E0B"/>
    <w:rsid w:val="00E615FD"/>
    <w:rsid w:val="00E66DEE"/>
    <w:rsid w:val="00E90951"/>
    <w:rsid w:val="00E9299E"/>
    <w:rsid w:val="00E94B95"/>
    <w:rsid w:val="00EC063D"/>
    <w:rsid w:val="00EC2C5A"/>
    <w:rsid w:val="00ED080B"/>
    <w:rsid w:val="00ED1F36"/>
    <w:rsid w:val="00ED2E70"/>
    <w:rsid w:val="00F10B9B"/>
    <w:rsid w:val="00F16B8B"/>
    <w:rsid w:val="00F30D29"/>
    <w:rsid w:val="00F4795C"/>
    <w:rsid w:val="00F47E34"/>
    <w:rsid w:val="00F5184E"/>
    <w:rsid w:val="00F61D45"/>
    <w:rsid w:val="00F62B1B"/>
    <w:rsid w:val="00F7317C"/>
    <w:rsid w:val="00F771E4"/>
    <w:rsid w:val="00FB3B74"/>
    <w:rsid w:val="00FF0FB7"/>
    <w:rsid w:val="00FF2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13AD4"/>
  <w15:docId w15:val="{9FC05B27-A36F-4900-8EF5-C0188B3F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semiHidden/>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basedOn w:val="TableNormal"/>
    <w:semiHidden/>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360" w:hanging="360"/>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2"/>
      </w:numPr>
      <w:tabs>
        <w:tab w:val="left" w:pos="340"/>
      </w:tabs>
      <w:ind w:left="340" w:hanging="340"/>
    </w:pPr>
  </w:style>
  <w:style w:type="paragraph" w:customStyle="1" w:styleId="Number2First">
    <w:name w:val="Number2First"/>
    <w:basedOn w:val="Body"/>
    <w:qFormat/>
    <w:rsid w:val="008B57D9"/>
    <w:pPr>
      <w:numPr>
        <w:numId w:val="23"/>
      </w:numPr>
      <w:tabs>
        <w:tab w:val="left" w:pos="680"/>
      </w:tabs>
      <w:ind w:left="680" w:hanging="340"/>
    </w:pPr>
  </w:style>
  <w:style w:type="paragraph" w:customStyle="1" w:styleId="Number3First">
    <w:name w:val="Number3First"/>
    <w:basedOn w:val="Body"/>
    <w:qFormat/>
    <w:rsid w:val="008B57D9"/>
    <w:pPr>
      <w:numPr>
        <w:numId w:val="24"/>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character" w:styleId="Hyperlink">
    <w:name w:val="Hyperlink"/>
    <w:basedOn w:val="DefaultParagraphFont"/>
    <w:unhideWhenUsed/>
    <w:rsid w:val="007C3155"/>
    <w:rPr>
      <w:color w:val="0563C1" w:themeColor="hyperlink"/>
      <w:u w:val="single"/>
    </w:rPr>
  </w:style>
  <w:style w:type="character" w:styleId="Mention">
    <w:name w:val="Mention"/>
    <w:basedOn w:val="DefaultParagraphFont"/>
    <w:uiPriority w:val="99"/>
    <w:semiHidden/>
    <w:unhideWhenUsed/>
    <w:rsid w:val="007C3155"/>
    <w:rPr>
      <w:color w:val="2B579A"/>
      <w:shd w:val="clear" w:color="auto" w:fill="E6E6E6"/>
    </w:rPr>
  </w:style>
  <w:style w:type="character" w:styleId="CommentReference">
    <w:name w:val="annotation reference"/>
    <w:basedOn w:val="DefaultParagraphFont"/>
    <w:uiPriority w:val="99"/>
    <w:semiHidden/>
    <w:unhideWhenUsed/>
    <w:rsid w:val="00200238"/>
    <w:rPr>
      <w:sz w:val="16"/>
      <w:szCs w:val="16"/>
    </w:rPr>
  </w:style>
  <w:style w:type="paragraph" w:styleId="CommentText">
    <w:name w:val="annotation text"/>
    <w:basedOn w:val="Normal"/>
    <w:link w:val="CommentTextChar"/>
    <w:uiPriority w:val="99"/>
    <w:unhideWhenUsed/>
    <w:rsid w:val="00200238"/>
    <w:rPr>
      <w:sz w:val="20"/>
      <w:szCs w:val="20"/>
    </w:rPr>
  </w:style>
  <w:style w:type="character" w:customStyle="1" w:styleId="CommentTextChar">
    <w:name w:val="Comment Text Char"/>
    <w:basedOn w:val="DefaultParagraphFont"/>
    <w:link w:val="CommentText"/>
    <w:uiPriority w:val="99"/>
    <w:rsid w:val="00200238"/>
    <w:rPr>
      <w:rFonts w:ascii="Arial" w:hAnsi="Arial"/>
      <w:lang w:eastAsia="en-US"/>
    </w:rPr>
  </w:style>
  <w:style w:type="paragraph" w:styleId="CommentSubject">
    <w:name w:val="annotation subject"/>
    <w:basedOn w:val="CommentText"/>
    <w:next w:val="CommentText"/>
    <w:link w:val="CommentSubjectChar"/>
    <w:semiHidden/>
    <w:unhideWhenUsed/>
    <w:rsid w:val="00200238"/>
    <w:rPr>
      <w:b/>
      <w:bCs/>
    </w:rPr>
  </w:style>
  <w:style w:type="character" w:customStyle="1" w:styleId="CommentSubjectChar">
    <w:name w:val="Comment Subject Char"/>
    <w:basedOn w:val="CommentTextChar"/>
    <w:link w:val="CommentSubject"/>
    <w:semiHidden/>
    <w:rsid w:val="00200238"/>
    <w:rPr>
      <w:rFonts w:ascii="Arial" w:hAnsi="Arial"/>
      <w:b/>
      <w:bCs/>
      <w:lang w:eastAsia="en-US"/>
    </w:rPr>
  </w:style>
  <w:style w:type="paragraph" w:styleId="FootnoteText">
    <w:name w:val="footnote text"/>
    <w:basedOn w:val="Normal"/>
    <w:link w:val="FootnoteTextChar"/>
    <w:semiHidden/>
    <w:unhideWhenUsed/>
    <w:rsid w:val="00B95469"/>
    <w:rPr>
      <w:sz w:val="20"/>
      <w:szCs w:val="20"/>
    </w:rPr>
  </w:style>
  <w:style w:type="character" w:customStyle="1" w:styleId="FootnoteTextChar">
    <w:name w:val="Footnote Text Char"/>
    <w:basedOn w:val="DefaultParagraphFont"/>
    <w:link w:val="FootnoteText"/>
    <w:semiHidden/>
    <w:rsid w:val="00B95469"/>
    <w:rPr>
      <w:rFonts w:ascii="Arial" w:hAnsi="Arial"/>
      <w:lang w:eastAsia="en-US"/>
    </w:rPr>
  </w:style>
  <w:style w:type="character" w:styleId="FootnoteReference">
    <w:name w:val="footnote reference"/>
    <w:basedOn w:val="DefaultParagraphFont"/>
    <w:semiHidden/>
    <w:unhideWhenUsed/>
    <w:rsid w:val="00B95469"/>
    <w:rPr>
      <w:vertAlign w:val="superscript"/>
    </w:rPr>
  </w:style>
  <w:style w:type="character" w:customStyle="1" w:styleId="BodyChar">
    <w:name w:val="Body Char"/>
    <w:link w:val="Body"/>
    <w:locked/>
    <w:rsid w:val="000D3887"/>
    <w:rPr>
      <w:rFonts w:ascii="Calibri" w:hAnsi="Calibri" w:cs="Arial"/>
      <w:sz w:val="22"/>
      <w:szCs w:val="22"/>
    </w:rPr>
  </w:style>
  <w:style w:type="character" w:styleId="UnresolvedMention">
    <w:name w:val="Unresolved Mention"/>
    <w:basedOn w:val="DefaultParagraphFont"/>
    <w:uiPriority w:val="99"/>
    <w:semiHidden/>
    <w:unhideWhenUsed/>
    <w:rsid w:val="000B3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411054">
      <w:bodyDiv w:val="1"/>
      <w:marLeft w:val="0"/>
      <w:marRight w:val="0"/>
      <w:marTop w:val="0"/>
      <w:marBottom w:val="0"/>
      <w:divBdr>
        <w:top w:val="none" w:sz="0" w:space="0" w:color="auto"/>
        <w:left w:val="none" w:sz="0" w:space="0" w:color="auto"/>
        <w:bottom w:val="none" w:sz="0" w:space="0" w:color="auto"/>
        <w:right w:val="none" w:sz="0" w:space="0" w:color="auto"/>
      </w:divBdr>
    </w:div>
    <w:div w:id="185515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ray\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2016-01-05T00:00:00+00:00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e25369f69275e65d6daf0803ca62104d">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e3b0d81c363e17538c39ebfb067e63a9"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{061DF4F3-3DA3-4956-97B4-CA5D5CEBFDAD}</b:Guid>
    <b:Title>https://www.gov.uk/government/speeches/lets-raise-our-ambitions-for-a-cleaner-greener-railway</b:Title>
    <b:RefOrder>1</b:RefOrder>
  </b:Source>
</b:Sources>
</file>

<file path=customXml/itemProps1.xml><?xml version="1.0" encoding="utf-8"?>
<ds:datastoreItem xmlns:ds="http://schemas.openxmlformats.org/officeDocument/2006/customXml" ds:itemID="{F45A268A-96B1-4D79-9B30-F946F74ACF1D}">
  <ds:schemaRefs>
    <ds:schemaRef ds:uri="http://schemas.microsoft.com/office/2006/metadata/properties"/>
    <ds:schemaRef ds:uri="http://schemas.microsoft.com/office/infopath/2007/PartnerControls"/>
    <ds:schemaRef ds:uri="f5f58a65-2606-47be-a5f0-cc00fc74839b"/>
    <ds:schemaRef ds:uri="4486A3F1-5225-4438-9DE8-7B687B4D3D5C"/>
    <ds:schemaRef ds:uri="http://schemas.microsoft.com/sharepoint/v4"/>
  </ds:schemaRefs>
</ds:datastoreItem>
</file>

<file path=customXml/itemProps2.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3.xml><?xml version="1.0" encoding="utf-8"?>
<ds:datastoreItem xmlns:ds="http://schemas.openxmlformats.org/officeDocument/2006/customXml" ds:itemID="{431295D6-D319-49F1-B676-B5888DA6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81B566-0295-4B8E-B565-2AD025C9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Template>
  <TotalTime>0</TotalTime>
  <Pages>5</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Paul Gray</dc:creator>
  <cp:lastModifiedBy>Matthew Riley</cp:lastModifiedBy>
  <cp:revision>2</cp:revision>
  <cp:lastPrinted>2017-05-12T15:14:00Z</cp:lastPrinted>
  <dcterms:created xsi:type="dcterms:W3CDTF">2018-08-03T13:37:00Z</dcterms:created>
  <dcterms:modified xsi:type="dcterms:W3CDTF">2018-08-03T13:37:00Z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