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8EE" w:rsidRDefault="00687A42">
      <w:pPr>
        <w:keepNext/>
        <w:keepLines/>
        <w:widowControl w:val="0"/>
        <w:pBdr>
          <w:top w:val="nil"/>
          <w:left w:val="nil"/>
          <w:bottom w:val="nil"/>
          <w:right w:val="nil"/>
          <w:between w:val="nil"/>
        </w:pBdr>
        <w:spacing w:before="20" w:after="20" w:line="240" w:lineRule="auto"/>
        <w:ind w:left="360" w:hanging="360"/>
        <w:rPr>
          <w:rFonts w:ascii="Arial" w:eastAsia="Arial" w:hAnsi="Arial" w:cs="Arial"/>
          <w:b/>
          <w:color w:val="000000"/>
          <w:sz w:val="36"/>
          <w:szCs w:val="36"/>
        </w:rPr>
      </w:pPr>
      <w:r>
        <w:rPr>
          <w:rFonts w:ascii="Arial" w:eastAsia="Arial" w:hAnsi="Arial" w:cs="Arial"/>
          <w:sz w:val="36"/>
          <w:szCs w:val="36"/>
        </w:rPr>
        <w:t xml:space="preserve"> </w:t>
      </w:r>
      <w:r>
        <w:rPr>
          <w:rFonts w:ascii="Arial" w:eastAsia="Arial" w:hAnsi="Arial" w:cs="Arial"/>
          <w:b/>
          <w:color w:val="000000"/>
          <w:sz w:val="36"/>
          <w:szCs w:val="36"/>
        </w:rPr>
        <w:t>Joint Schedule 11 (Processing Data)</w:t>
      </w:r>
    </w:p>
    <w:p w:rsidR="00E118EE" w:rsidRDefault="00E118EE">
      <w:pPr>
        <w:pBdr>
          <w:top w:val="nil"/>
          <w:left w:val="nil"/>
          <w:bottom w:val="nil"/>
          <w:right w:val="nil"/>
          <w:between w:val="nil"/>
        </w:pBdr>
        <w:tabs>
          <w:tab w:val="center" w:pos="4513"/>
          <w:tab w:val="right" w:pos="9026"/>
        </w:tabs>
        <w:spacing w:after="0" w:line="240" w:lineRule="auto"/>
        <w:rPr>
          <w:b/>
          <w:color w:val="000000"/>
          <w:sz w:val="24"/>
          <w:szCs w:val="24"/>
        </w:rPr>
      </w:pPr>
    </w:p>
    <w:p w:rsidR="00E118EE" w:rsidRDefault="00687A42">
      <w:pPr>
        <w:keepNext/>
        <w:pBdr>
          <w:top w:val="nil"/>
          <w:left w:val="nil"/>
          <w:bottom w:val="nil"/>
          <w:right w:val="nil"/>
          <w:between w:val="nil"/>
        </w:pBdr>
        <w:spacing w:after="220" w:line="240" w:lineRule="auto"/>
        <w:rPr>
          <w:rFonts w:ascii="Arial" w:eastAsia="Arial" w:hAnsi="Arial" w:cs="Arial"/>
          <w:b/>
          <w:color w:val="000000"/>
          <w:sz w:val="24"/>
          <w:szCs w:val="24"/>
        </w:rPr>
      </w:pPr>
      <w:r>
        <w:rPr>
          <w:rFonts w:ascii="Arial" w:eastAsia="Arial" w:hAnsi="Arial" w:cs="Arial"/>
          <w:b/>
          <w:color w:val="000000"/>
          <w:sz w:val="24"/>
          <w:szCs w:val="24"/>
        </w:rPr>
        <w:t>Definitions</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1"/>
        <w:tblW w:w="8312" w:type="dxa"/>
        <w:tblInd w:w="704" w:type="dxa"/>
        <w:tblLayout w:type="fixed"/>
        <w:tblLook w:val="0400" w:firstRow="0" w:lastRow="0" w:firstColumn="0" w:lastColumn="0" w:noHBand="0" w:noVBand="1"/>
      </w:tblPr>
      <w:tblGrid>
        <w:gridCol w:w="1843"/>
        <w:gridCol w:w="6469"/>
      </w:tblGrid>
      <w:tr w:rsidR="00E118EE">
        <w:tc>
          <w:tcPr>
            <w:tcW w:w="1843" w:type="dxa"/>
          </w:tcPr>
          <w:p w:rsidR="00E118EE" w:rsidRDefault="00687A42">
            <w:pPr>
              <w:keepNext/>
              <w:pBdr>
                <w:top w:val="nil"/>
                <w:left w:val="nil"/>
                <w:bottom w:val="nil"/>
                <w:right w:val="nil"/>
                <w:between w:val="nil"/>
              </w:pBdr>
              <w:spacing w:after="220"/>
              <w:rPr>
                <w:rFonts w:ascii="Arial" w:eastAsia="Arial" w:hAnsi="Arial" w:cs="Arial"/>
                <w:b/>
                <w:sz w:val="24"/>
                <w:szCs w:val="24"/>
              </w:rPr>
            </w:pPr>
            <w:r>
              <w:rPr>
                <w:rFonts w:ascii="Arial" w:eastAsia="Arial" w:hAnsi="Arial" w:cs="Arial"/>
                <w:b/>
                <w:sz w:val="24"/>
                <w:szCs w:val="24"/>
              </w:rPr>
              <w:t>“Processor Personnel”</w:t>
            </w:r>
          </w:p>
        </w:tc>
        <w:tc>
          <w:tcPr>
            <w:tcW w:w="6469" w:type="dxa"/>
          </w:tcPr>
          <w:p w:rsidR="00E118EE" w:rsidRDefault="00687A42">
            <w:pPr>
              <w:keepNext/>
              <w:pBdr>
                <w:top w:val="nil"/>
                <w:left w:val="nil"/>
                <w:bottom w:val="nil"/>
                <w:right w:val="nil"/>
                <w:between w:val="nil"/>
              </w:pBdr>
              <w:spacing w:after="220"/>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 </w:t>
            </w:r>
          </w:p>
        </w:tc>
      </w:tr>
    </w:tbl>
    <w:p w:rsidR="00E118EE" w:rsidRDefault="00687A42">
      <w:pPr>
        <w:keepNext/>
        <w:pBdr>
          <w:top w:val="nil"/>
          <w:left w:val="nil"/>
          <w:bottom w:val="nil"/>
          <w:right w:val="nil"/>
          <w:between w:val="nil"/>
        </w:pBdr>
        <w:spacing w:after="220" w:line="240" w:lineRule="auto"/>
        <w:rPr>
          <w:rFonts w:ascii="Arial" w:eastAsia="Arial" w:hAnsi="Arial" w:cs="Arial"/>
          <w:b/>
          <w:color w:val="000000"/>
          <w:sz w:val="24"/>
          <w:szCs w:val="24"/>
        </w:rPr>
      </w:pPr>
      <w:r>
        <w:rPr>
          <w:rFonts w:ascii="Arial" w:eastAsia="Arial" w:hAnsi="Arial" w:cs="Arial"/>
          <w:b/>
          <w:color w:val="000000"/>
          <w:sz w:val="24"/>
          <w:szCs w:val="24"/>
        </w:rPr>
        <w:t>Status of the Controller</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The Parties acknowledge that for the purposes of th</w:t>
      </w:r>
      <w:r>
        <w:rPr>
          <w:rFonts w:ascii="Arial" w:eastAsia="Arial" w:hAnsi="Arial" w:cs="Arial"/>
          <w:sz w:val="24"/>
          <w:szCs w:val="24"/>
        </w:rPr>
        <w:t>e Data Protection Legislation, the nature of the activity carried out by each of them in relation to their respective obligations under a Contract dictates the status of each party under the DPA 2018. A Party may act as:</w:t>
      </w:r>
    </w:p>
    <w:p w:rsidR="00E118EE" w:rsidRDefault="00687A42">
      <w:pPr>
        <w:numPr>
          <w:ilvl w:val="2"/>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“Controller” in respect of the other Party who is “Processor”;</w:t>
      </w:r>
    </w:p>
    <w:p w:rsidR="00E118EE" w:rsidRDefault="00687A42">
      <w:pPr>
        <w:numPr>
          <w:ilvl w:val="2"/>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“Processor” in respect of the other Party who is “Controller”;</w:t>
      </w:r>
    </w:p>
    <w:p w:rsidR="00E118EE" w:rsidRDefault="00687A42">
      <w:pPr>
        <w:numPr>
          <w:ilvl w:val="2"/>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 xml:space="preserve">“Joint Controller” with the other Party; </w:t>
      </w:r>
    </w:p>
    <w:p w:rsidR="00E118EE" w:rsidRDefault="00687A42">
      <w:pPr>
        <w:numPr>
          <w:ilvl w:val="2"/>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r>
        <w:rPr>
          <w:rFonts w:ascii="Arial" w:eastAsia="Arial" w:hAnsi="Arial" w:cs="Arial"/>
          <w:sz w:val="24"/>
          <w:szCs w:val="24"/>
        </w:rPr>
        <w:t>,</w:t>
      </w:r>
    </w:p>
    <w:p w:rsidR="00E118EE" w:rsidRDefault="00687A42">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rsidR="00E118EE" w:rsidRDefault="00687A42">
      <w:pPr>
        <w:keepNext/>
        <w:pBdr>
          <w:top w:val="nil"/>
          <w:left w:val="nil"/>
          <w:bottom w:val="nil"/>
          <w:right w:val="nil"/>
          <w:between w:val="nil"/>
        </w:pBdr>
        <w:spacing w:after="220" w:line="240" w:lineRule="auto"/>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w:t>
      </w:r>
      <w:r>
        <w:rPr>
          <w:rFonts w:ascii="Arial" w:eastAsia="Arial" w:hAnsi="Arial" w:cs="Arial"/>
          <w:sz w:val="24"/>
          <w:szCs w:val="24"/>
        </w:rPr>
        <w:t>s infringe the Data Protection Legislation.</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w:t>
      </w:r>
      <w:r>
        <w:rPr>
          <w:rFonts w:ascii="Arial" w:eastAsia="Arial" w:hAnsi="Arial" w:cs="Arial"/>
          <w:sz w:val="24"/>
          <w:szCs w:val="24"/>
        </w:rPr>
        <w:t>he Controller, include:</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an assessment of the necessity and proportionality of the Processing in relation to the Goods or Services;</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lastRenderedPageBreak/>
        <w:t>an assessment of the risks to the rig</w:t>
      </w:r>
      <w:r>
        <w:rPr>
          <w:rFonts w:ascii="Arial" w:eastAsia="Arial" w:hAnsi="Arial" w:cs="Arial"/>
          <w:sz w:val="24"/>
          <w:szCs w:val="24"/>
        </w:rPr>
        <w:t>hts and freedoms of Data Subjects; and</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The Processor shall, in relation to any Personal Data Processed in connect</w:t>
      </w:r>
      <w:r>
        <w:rPr>
          <w:rFonts w:ascii="Arial" w:eastAsia="Arial" w:hAnsi="Arial" w:cs="Arial"/>
          <w:sz w:val="24"/>
          <w:szCs w:val="24"/>
        </w:rPr>
        <w:t>ion with its obligations under the Contract:</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bookmarkStart w:id="0" w:name="bookmark=id.30j0zll" w:colFirst="0" w:colLast="0"/>
      <w:bookmarkEnd w:id="0"/>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w:t>
      </w:r>
      <w:r>
        <w:rPr>
          <w:rFonts w:ascii="Arial" w:eastAsia="Arial" w:hAnsi="Arial" w:cs="Arial"/>
          <w:sz w:val="24"/>
          <w:szCs w:val="24"/>
        </w:rPr>
        <w:t>re Processing the Personal Data unless prohibited by Law;</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bookmarkStart w:id="1" w:name="bookmark=id.1fob9te" w:colFirst="0" w:colLast="0"/>
      <w:bookmarkStart w:id="2" w:name="_heading=h.gjdgxs" w:colFirst="0" w:colLast="0"/>
      <w:bookmarkEnd w:id="1"/>
      <w:bookmarkEnd w:id="2"/>
      <w:r>
        <w:rPr>
          <w:rFonts w:ascii="Arial" w:eastAsia="Arial" w:hAnsi="Arial" w:cs="Arial"/>
          <w:sz w:val="24"/>
          <w:szCs w:val="24"/>
        </w:rPr>
        <w:t>ensure that it has in place Protective Measures, including in the case of the Agency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w:t>
      </w:r>
      <w:r>
        <w:rPr>
          <w:rFonts w:ascii="Arial" w:eastAsia="Arial" w:hAnsi="Arial" w:cs="Arial"/>
          <w:sz w:val="24"/>
          <w:szCs w:val="24"/>
        </w:rPr>
        <w:t xml:space="preserve"> reject shall not amount to approval by the Controller of the adequacy of the Protective Measures) having taken account of the:</w:t>
      </w:r>
    </w:p>
    <w:p w:rsidR="00E118EE" w:rsidRDefault="00687A42">
      <w:pPr>
        <w:numPr>
          <w:ilvl w:val="3"/>
          <w:numId w:val="1"/>
        </w:numPr>
        <w:pBdr>
          <w:top w:val="nil"/>
          <w:left w:val="nil"/>
          <w:bottom w:val="nil"/>
          <w:right w:val="nil"/>
          <w:between w:val="nil"/>
        </w:pBdr>
        <w:tabs>
          <w:tab w:val="left" w:pos="2261"/>
        </w:tabs>
        <w:spacing w:after="120" w:line="240" w:lineRule="auto"/>
        <w:ind w:hanging="707"/>
        <w:rPr>
          <w:rFonts w:ascii="Arial" w:eastAsia="Arial" w:hAnsi="Arial" w:cs="Arial"/>
          <w:sz w:val="24"/>
          <w:szCs w:val="24"/>
        </w:rPr>
      </w:pPr>
      <w:r>
        <w:rPr>
          <w:rFonts w:ascii="Arial" w:eastAsia="Arial" w:hAnsi="Arial" w:cs="Arial"/>
          <w:sz w:val="24"/>
          <w:szCs w:val="24"/>
        </w:rPr>
        <w:t>nature of the data to be protected;</w:t>
      </w:r>
      <w:bookmarkStart w:id="3" w:name="bookmark=id.3znysh7" w:colFirst="0" w:colLast="0"/>
      <w:bookmarkEnd w:id="3"/>
    </w:p>
    <w:p w:rsidR="00E118EE" w:rsidRDefault="00687A42">
      <w:pPr>
        <w:numPr>
          <w:ilvl w:val="3"/>
          <w:numId w:val="1"/>
        </w:numPr>
        <w:pBdr>
          <w:top w:val="nil"/>
          <w:left w:val="nil"/>
          <w:bottom w:val="nil"/>
          <w:right w:val="nil"/>
          <w:between w:val="nil"/>
        </w:pBdr>
        <w:tabs>
          <w:tab w:val="left" w:pos="2261"/>
        </w:tabs>
        <w:spacing w:after="120" w:line="240" w:lineRule="auto"/>
        <w:ind w:hanging="707"/>
        <w:rPr>
          <w:rFonts w:ascii="Arial" w:eastAsia="Arial" w:hAnsi="Arial" w:cs="Arial"/>
          <w:sz w:val="24"/>
          <w:szCs w:val="24"/>
        </w:rPr>
      </w:pPr>
      <w:r>
        <w:rPr>
          <w:rFonts w:ascii="Arial" w:eastAsia="Arial" w:hAnsi="Arial" w:cs="Arial"/>
          <w:sz w:val="24"/>
          <w:szCs w:val="24"/>
        </w:rPr>
        <w:t>harm that might result from a Personal Data Breach;</w:t>
      </w:r>
    </w:p>
    <w:p w:rsidR="00E118EE" w:rsidRDefault="00687A42">
      <w:pPr>
        <w:numPr>
          <w:ilvl w:val="3"/>
          <w:numId w:val="1"/>
        </w:numPr>
        <w:pBdr>
          <w:top w:val="nil"/>
          <w:left w:val="nil"/>
          <w:bottom w:val="nil"/>
          <w:right w:val="nil"/>
          <w:between w:val="nil"/>
        </w:pBdr>
        <w:tabs>
          <w:tab w:val="left" w:pos="2261"/>
        </w:tabs>
        <w:spacing w:after="120" w:line="240" w:lineRule="auto"/>
        <w:ind w:hanging="707"/>
        <w:rPr>
          <w:rFonts w:ascii="Arial" w:eastAsia="Arial" w:hAnsi="Arial" w:cs="Arial"/>
          <w:sz w:val="24"/>
          <w:szCs w:val="24"/>
        </w:rPr>
      </w:pPr>
      <w:r>
        <w:rPr>
          <w:rFonts w:ascii="Arial" w:eastAsia="Arial" w:hAnsi="Arial" w:cs="Arial"/>
          <w:sz w:val="24"/>
          <w:szCs w:val="24"/>
        </w:rPr>
        <w:t>state of technological development; and</w:t>
      </w:r>
    </w:p>
    <w:p w:rsidR="00E118EE" w:rsidRDefault="00687A42">
      <w:pPr>
        <w:numPr>
          <w:ilvl w:val="3"/>
          <w:numId w:val="1"/>
        </w:numPr>
        <w:pBdr>
          <w:top w:val="nil"/>
          <w:left w:val="nil"/>
          <w:bottom w:val="nil"/>
          <w:right w:val="nil"/>
          <w:between w:val="nil"/>
        </w:pBdr>
        <w:tabs>
          <w:tab w:val="left" w:pos="2261"/>
        </w:tabs>
        <w:spacing w:after="120" w:line="240" w:lineRule="auto"/>
        <w:ind w:hanging="707"/>
        <w:rPr>
          <w:rFonts w:ascii="Arial" w:eastAsia="Arial" w:hAnsi="Arial" w:cs="Arial"/>
          <w:sz w:val="24"/>
          <w:szCs w:val="24"/>
        </w:rPr>
      </w:pPr>
      <w:r>
        <w:rPr>
          <w:rFonts w:ascii="Arial" w:eastAsia="Arial" w:hAnsi="Arial" w:cs="Arial"/>
          <w:sz w:val="24"/>
          <w:szCs w:val="24"/>
        </w:rPr>
        <w:t xml:space="preserve">cost of implementing any measures; </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ensure that:</w:t>
      </w:r>
    </w:p>
    <w:p w:rsidR="00E118EE" w:rsidRDefault="00687A42">
      <w:pPr>
        <w:numPr>
          <w:ilvl w:val="3"/>
          <w:numId w:val="1"/>
        </w:numPr>
        <w:pBdr>
          <w:top w:val="nil"/>
          <w:left w:val="nil"/>
          <w:bottom w:val="nil"/>
          <w:right w:val="nil"/>
          <w:between w:val="nil"/>
        </w:pBdr>
        <w:tabs>
          <w:tab w:val="left" w:pos="2261"/>
        </w:tabs>
        <w:spacing w:after="120" w:line="240" w:lineRule="auto"/>
        <w:ind w:hanging="707"/>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rsidR="00E118EE" w:rsidRDefault="00687A42">
      <w:pPr>
        <w:numPr>
          <w:ilvl w:val="3"/>
          <w:numId w:val="1"/>
        </w:numPr>
        <w:pBdr>
          <w:top w:val="nil"/>
          <w:left w:val="nil"/>
          <w:bottom w:val="nil"/>
          <w:right w:val="nil"/>
          <w:between w:val="nil"/>
        </w:pBdr>
        <w:tabs>
          <w:tab w:val="left" w:pos="2261"/>
        </w:tabs>
        <w:spacing w:after="120" w:line="240" w:lineRule="auto"/>
        <w:ind w:hanging="707"/>
        <w:rPr>
          <w:rFonts w:ascii="Arial" w:eastAsia="Arial" w:hAnsi="Arial" w:cs="Arial"/>
          <w:sz w:val="24"/>
          <w:szCs w:val="24"/>
        </w:rPr>
      </w:pPr>
      <w:r>
        <w:rPr>
          <w:rFonts w:ascii="Arial" w:eastAsia="Arial" w:hAnsi="Arial" w:cs="Arial"/>
          <w:sz w:val="24"/>
          <w:szCs w:val="24"/>
        </w:rPr>
        <w:t>it takes all reasonable steps to ensure the reliability and</w:t>
      </w:r>
      <w:r>
        <w:rPr>
          <w:rFonts w:ascii="Arial" w:eastAsia="Arial" w:hAnsi="Arial" w:cs="Arial"/>
          <w:sz w:val="24"/>
          <w:szCs w:val="24"/>
        </w:rPr>
        <w:t xml:space="preserve"> integrity of any Processor Personnel who have access to the Personal Data and ensure that they:</w:t>
      </w:r>
    </w:p>
    <w:p w:rsidR="00E118EE" w:rsidRDefault="00687A42">
      <w:pPr>
        <w:numPr>
          <w:ilvl w:val="4"/>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w:t>
      </w:r>
      <w:r>
        <w:rPr>
          <w:rFonts w:ascii="Arial" w:eastAsia="Arial" w:hAnsi="Arial" w:cs="Arial"/>
          <w:i/>
          <w:sz w:val="24"/>
          <w:szCs w:val="24"/>
        </w:rPr>
        <w:t>en you can share information</w:t>
      </w:r>
      <w:r>
        <w:rPr>
          <w:rFonts w:ascii="Arial" w:eastAsia="Arial" w:hAnsi="Arial" w:cs="Arial"/>
          <w:sz w:val="24"/>
          <w:szCs w:val="24"/>
        </w:rPr>
        <w:t>);</w:t>
      </w:r>
    </w:p>
    <w:p w:rsidR="00E118EE" w:rsidRDefault="00687A42">
      <w:pPr>
        <w:numPr>
          <w:ilvl w:val="4"/>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rsidR="00E118EE" w:rsidRDefault="00687A42">
      <w:pPr>
        <w:numPr>
          <w:ilvl w:val="4"/>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 xml:space="preserve">are informed of the confidential nature of the Personal Data and do not publish, disclose or divulge any of the Personal Data to </w:t>
      </w:r>
      <w:r>
        <w:rPr>
          <w:rFonts w:ascii="Arial" w:eastAsia="Arial" w:hAnsi="Arial" w:cs="Arial"/>
          <w:sz w:val="24"/>
          <w:szCs w:val="24"/>
        </w:rPr>
        <w:t>any third party unless directed in writing to do so by the Controller or as otherwise permitted by the Contract; and</w:t>
      </w:r>
    </w:p>
    <w:p w:rsidR="00E118EE" w:rsidRDefault="00687A42">
      <w:pPr>
        <w:numPr>
          <w:ilvl w:val="4"/>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bookmarkStart w:id="4" w:name="bookmark=id.tyjcwt" w:colFirst="0" w:colLast="0"/>
      <w:bookmarkEnd w:id="4"/>
      <w:r>
        <w:rPr>
          <w:rFonts w:ascii="Arial" w:eastAsia="Arial" w:hAnsi="Arial" w:cs="Arial"/>
          <w:sz w:val="24"/>
          <w:szCs w:val="24"/>
        </w:rPr>
        <w:t>not transfer Personal Data outside of the EU unless the prior written consent of the Controller has been obtained and the following conditions are fulfilled:</w:t>
      </w:r>
    </w:p>
    <w:p w:rsidR="00E118EE" w:rsidRDefault="00687A42">
      <w:pPr>
        <w:numPr>
          <w:ilvl w:val="3"/>
          <w:numId w:val="1"/>
        </w:numPr>
        <w:pBdr>
          <w:top w:val="nil"/>
          <w:left w:val="nil"/>
          <w:bottom w:val="nil"/>
          <w:right w:val="nil"/>
          <w:between w:val="nil"/>
        </w:pBdr>
        <w:tabs>
          <w:tab w:val="left" w:pos="2261"/>
        </w:tabs>
        <w:spacing w:after="120" w:line="240" w:lineRule="auto"/>
        <w:ind w:hanging="707"/>
        <w:rPr>
          <w:rFonts w:ascii="Arial" w:eastAsia="Arial" w:hAnsi="Arial" w:cs="Arial"/>
          <w:sz w:val="24"/>
          <w:szCs w:val="24"/>
        </w:rPr>
      </w:pPr>
      <w:bookmarkStart w:id="5" w:name="bookmark=id.3dy6vkm" w:colFirst="0" w:colLast="0"/>
      <w:bookmarkEnd w:id="5"/>
      <w:r>
        <w:rPr>
          <w:rFonts w:ascii="Arial" w:eastAsia="Arial" w:hAnsi="Arial" w:cs="Arial"/>
          <w:sz w:val="24"/>
          <w:szCs w:val="24"/>
        </w:rPr>
        <w:t>the Controller or the Processor has provided appropriate safeguards in relation to the transfer (w</w:t>
      </w:r>
      <w:r>
        <w:rPr>
          <w:rFonts w:ascii="Arial" w:eastAsia="Arial" w:hAnsi="Arial" w:cs="Arial"/>
          <w:sz w:val="24"/>
          <w:szCs w:val="24"/>
        </w:rPr>
        <w:t xml:space="preserve">hether in accordance with </w:t>
      </w:r>
      <w:r>
        <w:rPr>
          <w:rFonts w:ascii="Arial" w:eastAsia="Arial" w:hAnsi="Arial" w:cs="Arial"/>
          <w:sz w:val="24"/>
          <w:szCs w:val="24"/>
        </w:rPr>
        <w:lastRenderedPageBreak/>
        <w:t>UK GDPR Article 46 or LED Article 37) as determined by the Controller;</w:t>
      </w:r>
    </w:p>
    <w:p w:rsidR="00E118EE" w:rsidRDefault="00687A42">
      <w:pPr>
        <w:numPr>
          <w:ilvl w:val="3"/>
          <w:numId w:val="1"/>
        </w:numPr>
        <w:pBdr>
          <w:top w:val="nil"/>
          <w:left w:val="nil"/>
          <w:bottom w:val="nil"/>
          <w:right w:val="nil"/>
          <w:between w:val="nil"/>
        </w:pBdr>
        <w:tabs>
          <w:tab w:val="left" w:pos="2261"/>
        </w:tabs>
        <w:spacing w:after="120" w:line="240" w:lineRule="auto"/>
        <w:ind w:hanging="707"/>
        <w:rPr>
          <w:rFonts w:ascii="Arial" w:eastAsia="Arial" w:hAnsi="Arial" w:cs="Arial"/>
          <w:sz w:val="24"/>
          <w:szCs w:val="24"/>
        </w:rPr>
      </w:pPr>
      <w:bookmarkStart w:id="6" w:name="bookmark=id.22vxnjd" w:colFirst="0" w:colLast="0"/>
      <w:bookmarkEnd w:id="6"/>
      <w:r>
        <w:rPr>
          <w:rFonts w:ascii="Arial" w:eastAsia="Arial" w:hAnsi="Arial" w:cs="Arial"/>
          <w:sz w:val="24"/>
          <w:szCs w:val="24"/>
        </w:rPr>
        <w:t>the Data Subject has enforceable rights and effective legal remedies;</w:t>
      </w:r>
    </w:p>
    <w:p w:rsidR="00E118EE" w:rsidRDefault="00687A42">
      <w:pPr>
        <w:numPr>
          <w:ilvl w:val="3"/>
          <w:numId w:val="1"/>
        </w:numPr>
        <w:pBdr>
          <w:top w:val="nil"/>
          <w:left w:val="nil"/>
          <w:bottom w:val="nil"/>
          <w:right w:val="nil"/>
          <w:between w:val="nil"/>
        </w:pBdr>
        <w:tabs>
          <w:tab w:val="left" w:pos="2261"/>
        </w:tabs>
        <w:spacing w:after="120" w:line="240" w:lineRule="auto"/>
        <w:ind w:hanging="707"/>
        <w:rPr>
          <w:rFonts w:ascii="Arial" w:eastAsia="Arial" w:hAnsi="Arial" w:cs="Arial"/>
          <w:sz w:val="24"/>
          <w:szCs w:val="24"/>
        </w:rPr>
      </w:pPr>
      <w:bookmarkStart w:id="7" w:name="bookmark=id.4d34og8" w:colFirst="0" w:colLast="0"/>
      <w:bookmarkEnd w:id="7"/>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w:t>
      </w:r>
      <w:r>
        <w:rPr>
          <w:rFonts w:ascii="Arial" w:eastAsia="Arial" w:hAnsi="Arial" w:cs="Arial"/>
          <w:sz w:val="24"/>
          <w:szCs w:val="24"/>
        </w:rPr>
        <w:t xml:space="preserve"> its obligations); and</w:t>
      </w:r>
    </w:p>
    <w:p w:rsidR="00E118EE" w:rsidRDefault="00687A42">
      <w:pPr>
        <w:numPr>
          <w:ilvl w:val="3"/>
          <w:numId w:val="1"/>
        </w:numPr>
        <w:pBdr>
          <w:top w:val="nil"/>
          <w:left w:val="nil"/>
          <w:bottom w:val="nil"/>
          <w:right w:val="nil"/>
          <w:between w:val="nil"/>
        </w:pBdr>
        <w:tabs>
          <w:tab w:val="left" w:pos="2261"/>
        </w:tabs>
        <w:spacing w:after="120" w:line="240" w:lineRule="auto"/>
        <w:ind w:hanging="707"/>
        <w:rPr>
          <w:rFonts w:ascii="Arial" w:eastAsia="Arial" w:hAnsi="Arial" w:cs="Arial"/>
          <w:sz w:val="24"/>
          <w:szCs w:val="24"/>
        </w:rPr>
      </w:pPr>
      <w:bookmarkStart w:id="8" w:name="bookmark=id.2s8eyo1" w:colFirst="0" w:colLast="0"/>
      <w:bookmarkEnd w:id="8"/>
      <w:r>
        <w:rPr>
          <w:rFonts w:ascii="Arial" w:eastAsia="Arial" w:hAnsi="Arial" w:cs="Arial"/>
          <w:sz w:val="24"/>
          <w:szCs w:val="24"/>
        </w:rPr>
        <w:t>the Processor complies with any reasonable instructions notified to it in advance by the Controller with respect to the Processing of the Personal Data; and</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bookmarkStart w:id="9" w:name="bookmark=id.17dp8vu" w:colFirst="0" w:colLast="0"/>
      <w:bookmarkEnd w:id="9"/>
      <w:r>
        <w:rPr>
          <w:rFonts w:ascii="Arial" w:eastAsia="Arial" w:hAnsi="Arial" w:cs="Arial"/>
          <w:sz w:val="24"/>
          <w:szCs w:val="24"/>
        </w:rPr>
        <w:t>at the written direction of the Controller, delete or return Personal Data (</w:t>
      </w:r>
      <w:r>
        <w:rPr>
          <w:rFonts w:ascii="Arial" w:eastAsia="Arial" w:hAnsi="Arial" w:cs="Arial"/>
          <w:sz w:val="24"/>
          <w:szCs w:val="24"/>
        </w:rPr>
        <w:t>and any copies of it) to the Controller on termination of the Contract unless the Processor is required by Law to retain the Personal Data.</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bookmarkStart w:id="10" w:name="bookmark=id.3rdcrjn" w:colFirst="0" w:colLast="0"/>
      <w:bookmarkEnd w:id="10"/>
      <w:r>
        <w:rPr>
          <w:rFonts w:ascii="Arial" w:eastAsia="Arial" w:hAnsi="Arial" w:cs="Arial"/>
          <w:sz w:val="24"/>
          <w:szCs w:val="24"/>
        </w:rPr>
        <w:t>Subject to paragraph 7 of this Joint Schedule 11, the Processor shall notify the Controller immediately if in relation to it Processing Personal Data under or in connection with the Contract it:</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receives a Data Subject Access Request (or purported Data Sub</w:t>
      </w:r>
      <w:r>
        <w:rPr>
          <w:rFonts w:ascii="Arial" w:eastAsia="Arial" w:hAnsi="Arial" w:cs="Arial"/>
          <w:sz w:val="24"/>
          <w:szCs w:val="24"/>
        </w:rPr>
        <w:t>ject Access Request);</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receives any communication from th</w:t>
      </w:r>
      <w:r>
        <w:rPr>
          <w:rFonts w:ascii="Arial" w:eastAsia="Arial" w:hAnsi="Arial" w:cs="Arial"/>
          <w:sz w:val="24"/>
          <w:szCs w:val="24"/>
        </w:rPr>
        <w:t xml:space="preserve">e Information Commissioner or any other regulatory authority in connection with Personal Data Processed under the Contract; </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w:t>
      </w:r>
      <w:r>
        <w:rPr>
          <w:rFonts w:ascii="Arial" w:eastAsia="Arial" w:hAnsi="Arial" w:cs="Arial"/>
          <w:sz w:val="24"/>
          <w:szCs w:val="24"/>
        </w:rPr>
        <w:t xml:space="preserve"> to be required by Law; or</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becomes aware of a Personal Data Breach.</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proofErr w:type="gramStart"/>
      <w:r>
        <w:rPr>
          <w:rFonts w:ascii="Arial" w:eastAsia="Arial" w:hAnsi="Arial" w:cs="Arial"/>
          <w:sz w:val="24"/>
          <w:szCs w:val="24"/>
        </w:rPr>
        <w:t xml:space="preserve">Taking </w:t>
      </w:r>
      <w:r>
        <w:rPr>
          <w:rFonts w:ascii="Arial" w:eastAsia="Arial" w:hAnsi="Arial" w:cs="Arial"/>
          <w:sz w:val="24"/>
          <w:szCs w:val="24"/>
        </w:rPr>
        <w:t>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Joi</w:t>
      </w:r>
      <w:r>
        <w:rPr>
          <w:rFonts w:ascii="Arial" w:eastAsia="Arial" w:hAnsi="Arial" w:cs="Arial"/>
          <w:sz w:val="24"/>
          <w:szCs w:val="24"/>
        </w:rPr>
        <w:t>nt Schedule 11 (and insofar as possible within the timescales reasonably required by the Controller) including by immediately providing:</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lastRenderedPageBreak/>
        <w:t>such assistance as is reasonabl</w:t>
      </w:r>
      <w:r>
        <w:rPr>
          <w:rFonts w:ascii="Arial" w:eastAsia="Arial" w:hAnsi="Arial" w:cs="Arial"/>
          <w:sz w:val="24"/>
          <w:szCs w:val="24"/>
        </w:rPr>
        <w:t xml:space="preserve">y requested by the Controller to enable it to comply with a Data Subject Access Request within the relevant timescales set out in the Data Protection Legislation; </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the Controller, at its request, with any Personal Data it holds in relation to a Data Subjec</w:t>
      </w:r>
      <w:r>
        <w:rPr>
          <w:rFonts w:ascii="Arial" w:eastAsia="Arial" w:hAnsi="Arial" w:cs="Arial"/>
          <w:sz w:val="24"/>
          <w:szCs w:val="24"/>
        </w:rPr>
        <w:t xml:space="preserve">t; </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w:t>
      </w:r>
      <w:r>
        <w:rPr>
          <w:rFonts w:ascii="Arial" w:eastAsia="Arial" w:hAnsi="Arial" w:cs="Arial"/>
          <w:sz w:val="24"/>
          <w:szCs w:val="24"/>
        </w:rPr>
        <w:t>ation Commissioner's Office.</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the</w:t>
      </w:r>
      <w:r>
        <w:rPr>
          <w:rFonts w:ascii="Arial" w:eastAsia="Arial" w:hAnsi="Arial" w:cs="Arial"/>
          <w:sz w:val="24"/>
          <w:szCs w:val="24"/>
        </w:rPr>
        <w:t xml:space="preserve"> Controller determines that the Processing is not occasional;</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bookmarkStart w:id="11" w:name="_heading=h.i17xr6" w:colFirst="0" w:colLast="0"/>
      <w:bookmarkEnd w:id="11"/>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w:t>
      </w:r>
      <w:r>
        <w:rPr>
          <w:rFonts w:ascii="Arial" w:eastAsia="Arial" w:hAnsi="Arial" w:cs="Arial"/>
          <w:sz w:val="24"/>
          <w:szCs w:val="24"/>
        </w:rPr>
        <w:t xml:space="preserve"> to in Article 10 of the UK GDPR; or</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bookmarkStart w:id="12" w:name="bookmark=id.lnxbz9" w:colFirst="0" w:colLast="0"/>
      <w:bookmarkEnd w:id="12"/>
      <w:r>
        <w:rPr>
          <w:rFonts w:ascii="Arial" w:eastAsia="Arial" w:hAnsi="Arial" w:cs="Arial"/>
          <w:sz w:val="24"/>
          <w:szCs w:val="24"/>
        </w:rPr>
        <w:t>The Processor shall allow for audits of its Data Processing activity by the Controller or the Controller’s designated auditor.</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w:t>
      </w:r>
      <w:r>
        <w:rPr>
          <w:rFonts w:ascii="Arial" w:eastAsia="Arial" w:hAnsi="Arial" w:cs="Arial"/>
          <w:sz w:val="24"/>
          <w:szCs w:val="24"/>
        </w:rPr>
        <w:t>cessor</w:t>
      </w:r>
      <w:proofErr w:type="spellEnd"/>
      <w:r>
        <w:rPr>
          <w:rFonts w:ascii="Arial" w:eastAsia="Arial" w:hAnsi="Arial" w:cs="Arial"/>
          <w:sz w:val="24"/>
          <w:szCs w:val="24"/>
        </w:rPr>
        <w:t xml:space="preserve"> to Process any Personal Data related to the Contract, the Processor must:</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 xml:space="preserve">obtain the written consent of the Controller; </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w:t>
      </w:r>
      <w:r>
        <w:rPr>
          <w:rFonts w:ascii="Arial" w:eastAsia="Arial" w:hAnsi="Arial" w:cs="Arial"/>
          <w:sz w:val="24"/>
          <w:szCs w:val="24"/>
        </w:rPr>
        <w:t>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rsidR="00E118EE" w:rsidRDefault="00687A42">
      <w:pPr>
        <w:numPr>
          <w:ilvl w:val="2"/>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The Processor shall remain f</w:t>
      </w:r>
      <w:r>
        <w:rPr>
          <w:rFonts w:ascii="Arial" w:eastAsia="Arial" w:hAnsi="Arial" w:cs="Arial"/>
          <w:sz w:val="24"/>
          <w:szCs w:val="24"/>
        </w:rPr>
        <w:t xml:space="preserve">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bookmarkStart w:id="13" w:name="bookmark=id.35nkun2" w:colFirst="0" w:colLast="0"/>
      <w:bookmarkEnd w:id="13"/>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w:t>
      </w:r>
      <w:r>
        <w:rPr>
          <w:rFonts w:ascii="Arial" w:eastAsia="Arial" w:hAnsi="Arial" w:cs="Arial"/>
          <w:sz w:val="24"/>
          <w:szCs w:val="24"/>
        </w:rPr>
        <w:t xml:space="preserve"> clauses or similar terms forming part of an applicable certification scheme (which shall apply when incorporated by attachment to the Contract).</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lastRenderedPageBreak/>
        <w:t>The Parties agree to take account of any guidance issued by the Information Commissioner’s Office. The Relevan</w:t>
      </w:r>
      <w:r>
        <w:rPr>
          <w:rFonts w:ascii="Arial" w:eastAsia="Arial" w:hAnsi="Arial" w:cs="Arial"/>
          <w:sz w:val="24"/>
          <w:szCs w:val="24"/>
        </w:rPr>
        <w:t xml:space="preserve">t Authority may on not less than thirty (30) Working Days’ notice to the Agency amend the Contract to ensure that it complies with any guidance issued by the Information Commissioner’s Office. </w:t>
      </w:r>
    </w:p>
    <w:p w:rsidR="00E118EE" w:rsidRDefault="00687A42">
      <w:pPr>
        <w:keepNext/>
        <w:pBdr>
          <w:top w:val="nil"/>
          <w:left w:val="nil"/>
          <w:bottom w:val="nil"/>
          <w:right w:val="nil"/>
          <w:between w:val="nil"/>
        </w:pBdr>
        <w:spacing w:after="220" w:line="240" w:lineRule="auto"/>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r>
        <w:rPr>
          <w:rFonts w:ascii="Arial" w:eastAsia="Arial" w:hAnsi="Arial" w:cs="Arial"/>
          <w:sz w:val="24"/>
          <w:szCs w:val="24"/>
        </w:rPr>
        <w:t xml:space="preserve"> </w:t>
      </w:r>
    </w:p>
    <w:p w:rsidR="00E118EE" w:rsidRDefault="00687A42">
      <w:pPr>
        <w:keepNext/>
        <w:pBdr>
          <w:top w:val="nil"/>
          <w:left w:val="nil"/>
          <w:bottom w:val="nil"/>
          <w:right w:val="nil"/>
          <w:between w:val="nil"/>
        </w:pBdr>
        <w:spacing w:after="220" w:line="240" w:lineRule="auto"/>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w:t>
      </w:r>
      <w:r>
        <w:rPr>
          <w:rFonts w:ascii="Arial" w:eastAsia="Arial" w:hAnsi="Arial" w:cs="Arial"/>
          <w:sz w:val="24"/>
          <w:szCs w:val="24"/>
        </w:rPr>
        <w:t>cable Data Protection Legislation in respect of their Processing of such Personal Data as Controller.</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Each Party shall Process the Personal Data in compliance with its obligations under the Data Protection Legislation and not do anything to cause the other</w:t>
      </w:r>
      <w:r>
        <w:rPr>
          <w:rFonts w:ascii="Arial" w:eastAsia="Arial" w:hAnsi="Arial" w:cs="Arial"/>
          <w:sz w:val="24"/>
          <w:szCs w:val="24"/>
        </w:rPr>
        <w:t xml:space="preserve"> Party to be in breach of it. </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w:t>
      </w:r>
      <w:r>
        <w:rPr>
          <w:rFonts w:ascii="Arial" w:eastAsia="Arial" w:hAnsi="Arial" w:cs="Arial"/>
          <w:sz w:val="24"/>
          <w:szCs w:val="24"/>
        </w:rPr>
        <w:t xml:space="preserve"> and procedures as the other Party may reasonably require.</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The Parties shall only pro</w:t>
      </w:r>
      <w:r>
        <w:rPr>
          <w:rFonts w:ascii="Arial" w:eastAsia="Arial" w:hAnsi="Arial" w:cs="Arial"/>
          <w:sz w:val="24"/>
          <w:szCs w:val="24"/>
        </w:rPr>
        <w:t>vide Personal Data to each other:</w:t>
      </w:r>
    </w:p>
    <w:p w:rsidR="00E118EE" w:rsidRDefault="00687A42">
      <w:pPr>
        <w:numPr>
          <w:ilvl w:val="2"/>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rsidR="00E118EE" w:rsidRDefault="00687A42">
      <w:pPr>
        <w:numPr>
          <w:ilvl w:val="2"/>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w:t>
      </w:r>
      <w:r>
        <w:rPr>
          <w:rFonts w:ascii="Arial" w:eastAsia="Arial" w:hAnsi="Arial" w:cs="Arial"/>
          <w:sz w:val="24"/>
          <w:szCs w:val="24"/>
        </w:rPr>
        <w:t xml:space="preserve"> Data Subjects to meet the requirements of Articles 13 and 14 of the UK GDPR); and</w:t>
      </w:r>
    </w:p>
    <w:p w:rsidR="00E118EE" w:rsidRDefault="00687A42">
      <w:pPr>
        <w:numPr>
          <w:ilvl w:val="2"/>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w:t>
      </w:r>
      <w:r>
        <w:rPr>
          <w:rFonts w:ascii="Arial" w:eastAsia="Arial" w:hAnsi="Arial" w:cs="Arial"/>
          <w:sz w:val="24"/>
          <w:szCs w:val="24"/>
        </w:rPr>
        <w:t xml:space="preserve">spect to its Processing of Personal Data as Independent Controller, implement and maintain appropriate technical and organisational measures to ensure a level of security appropriate to that risk, </w:t>
      </w:r>
      <w:r>
        <w:rPr>
          <w:rFonts w:ascii="Arial" w:eastAsia="Arial" w:hAnsi="Arial" w:cs="Arial"/>
          <w:sz w:val="24"/>
          <w:szCs w:val="24"/>
        </w:rPr>
        <w:lastRenderedPageBreak/>
        <w:t>including, as appropriate, the measures referred to in Arti</w:t>
      </w:r>
      <w:r>
        <w:rPr>
          <w:rFonts w:ascii="Arial" w:eastAsia="Arial" w:hAnsi="Arial" w:cs="Arial"/>
          <w:sz w:val="24"/>
          <w:szCs w:val="24"/>
        </w:rPr>
        <w:t>cle 32(1)(a), (b), (c) and (d) of the UK GDPR, and the measures shall, at a minimum, comply with the requirements of the Data Protection Legislation, including Article 32 of the UK GDPR.</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A Party Processing Personal Data for the purposes of the Contract sha</w:t>
      </w:r>
      <w:r>
        <w:rPr>
          <w:rFonts w:ascii="Arial" w:eastAsia="Arial" w:hAnsi="Arial" w:cs="Arial"/>
          <w:sz w:val="24"/>
          <w:szCs w:val="24"/>
        </w:rPr>
        <w:t>ll maintain a record of its Processing activities in accordance with Article 30 UK GDPR and shall make the record available to the other Party upon reasonable request.</w:t>
      </w:r>
    </w:p>
    <w:p w:rsidR="00E118EE" w:rsidRDefault="00687A42">
      <w:pPr>
        <w:numPr>
          <w:ilvl w:val="1"/>
          <w:numId w:val="1"/>
        </w:numPr>
        <w:pBdr>
          <w:top w:val="nil"/>
          <w:left w:val="nil"/>
          <w:bottom w:val="nil"/>
          <w:right w:val="nil"/>
          <w:between w:val="nil"/>
        </w:pBdr>
        <w:spacing w:before="280" w:after="120" w:line="240" w:lineRule="auto"/>
        <w:rPr>
          <w:sz w:val="24"/>
          <w:szCs w:val="24"/>
        </w:rPr>
      </w:pPr>
      <w:r>
        <w:rPr>
          <w:rFonts w:ascii="Arial" w:eastAsia="Arial" w:hAnsi="Arial" w:cs="Arial"/>
          <w:sz w:val="24"/>
          <w:szCs w:val="24"/>
        </w:rPr>
        <w:t>Where a Party receives a request by any Data Subject to exercise any of their rights und</w:t>
      </w:r>
      <w:r>
        <w:rPr>
          <w:rFonts w:ascii="Arial" w:eastAsia="Arial" w:hAnsi="Arial" w:cs="Arial"/>
          <w:sz w:val="24"/>
          <w:szCs w:val="24"/>
        </w:rPr>
        <w:t xml:space="preserve">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rsidR="00E118EE" w:rsidRDefault="00687A42">
      <w:pPr>
        <w:numPr>
          <w:ilvl w:val="2"/>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w:t>
      </w:r>
      <w:r>
        <w:rPr>
          <w:rFonts w:ascii="Arial" w:eastAsia="Arial" w:hAnsi="Arial" w:cs="Arial"/>
          <w:sz w:val="24"/>
          <w:szCs w:val="24"/>
        </w:rPr>
        <w:t>ipient to help it respond to the request or correspondence, at the cost of the Request Recipient; or</w:t>
      </w:r>
    </w:p>
    <w:p w:rsidR="00E118EE" w:rsidRDefault="00687A42">
      <w:pPr>
        <w:numPr>
          <w:ilvl w:val="2"/>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w:t>
      </w:r>
      <w:r>
        <w:rPr>
          <w:rFonts w:ascii="Arial" w:eastAsia="Arial" w:hAnsi="Arial" w:cs="Arial"/>
          <w:sz w:val="24"/>
          <w:szCs w:val="24"/>
        </w:rPr>
        <w:t>ent will:</w:t>
      </w:r>
    </w:p>
    <w:p w:rsidR="00E118EE" w:rsidRDefault="00687A42">
      <w:pPr>
        <w:numPr>
          <w:ilvl w:val="3"/>
          <w:numId w:val="1"/>
        </w:numPr>
        <w:pBdr>
          <w:top w:val="nil"/>
          <w:left w:val="nil"/>
          <w:bottom w:val="nil"/>
          <w:right w:val="nil"/>
          <w:between w:val="nil"/>
        </w:pBdr>
        <w:spacing w:before="280" w:after="120" w:line="240" w:lineRule="auto"/>
        <w:ind w:hanging="707"/>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rsidR="00E118EE" w:rsidRDefault="00687A42">
      <w:pPr>
        <w:numPr>
          <w:ilvl w:val="3"/>
          <w:numId w:val="1"/>
        </w:numPr>
        <w:pBdr>
          <w:top w:val="nil"/>
          <w:left w:val="nil"/>
          <w:bottom w:val="nil"/>
          <w:right w:val="nil"/>
          <w:between w:val="nil"/>
        </w:pBdr>
        <w:spacing w:before="280" w:after="120" w:line="240" w:lineRule="auto"/>
        <w:ind w:hanging="707"/>
        <w:rPr>
          <w:rFonts w:ascii="Arial" w:eastAsia="Arial" w:hAnsi="Arial" w:cs="Arial"/>
          <w:sz w:val="24"/>
          <w:szCs w:val="24"/>
        </w:rPr>
      </w:pPr>
      <w:r>
        <w:rPr>
          <w:rFonts w:ascii="Arial" w:eastAsia="Arial" w:hAnsi="Arial" w:cs="Arial"/>
          <w:sz w:val="24"/>
          <w:szCs w:val="24"/>
        </w:rPr>
        <w:t>provide any informa</w:t>
      </w:r>
      <w:r>
        <w:rPr>
          <w:rFonts w:ascii="Arial" w:eastAsia="Arial" w:hAnsi="Arial" w:cs="Arial"/>
          <w:sz w:val="24"/>
          <w:szCs w:val="24"/>
        </w:rPr>
        <w:t>tion and/or assistance as reasonably requested by the other Party to help it respond to the request or correspondence in the timeframes specified by Data Protection Legislation.</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Each Party shall promptly notify the other Party upon it becoming aware of any</w:t>
      </w:r>
      <w:r>
        <w:rPr>
          <w:rFonts w:ascii="Arial" w:eastAsia="Arial" w:hAnsi="Arial" w:cs="Arial"/>
          <w:sz w:val="24"/>
          <w:szCs w:val="24"/>
        </w:rPr>
        <w:t xml:space="preserve"> Personal Data Breach relating to Personal Data provided by the other Party pursuant to the Contract and shall: </w:t>
      </w:r>
    </w:p>
    <w:p w:rsidR="00E118EE" w:rsidRDefault="00687A42">
      <w:pPr>
        <w:numPr>
          <w:ilvl w:val="2"/>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rsidR="00E118EE" w:rsidRDefault="00687A42">
      <w:pPr>
        <w:numPr>
          <w:ilvl w:val="2"/>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rsidR="00E118EE" w:rsidRDefault="00687A42">
      <w:pPr>
        <w:numPr>
          <w:ilvl w:val="2"/>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w:t>
      </w:r>
      <w:r>
        <w:rPr>
          <w:rFonts w:ascii="Arial" w:eastAsia="Arial" w:hAnsi="Arial" w:cs="Arial"/>
          <w:sz w:val="24"/>
          <w:szCs w:val="24"/>
        </w:rPr>
        <w:t>ion Legislation (including the timeframes set out therein); and</w:t>
      </w:r>
    </w:p>
    <w:p w:rsidR="00E118EE" w:rsidRDefault="00687A42">
      <w:pPr>
        <w:numPr>
          <w:ilvl w:val="2"/>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lastRenderedPageBreak/>
        <w:t>Personal Data provided by one Party t</w:t>
      </w:r>
      <w:r>
        <w:rPr>
          <w:rFonts w:ascii="Arial" w:eastAsia="Arial" w:hAnsi="Arial" w:cs="Arial"/>
          <w:sz w:val="24"/>
          <w:szCs w:val="24"/>
        </w:rPr>
        <w:t xml:space="preserve">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ab/>
        <w:t>Personal Data shall not be retained or processed for longer than is necessary to perform each Party’s resp</w:t>
      </w:r>
      <w:r>
        <w:rPr>
          <w:rFonts w:ascii="Arial" w:eastAsia="Arial" w:hAnsi="Arial" w:cs="Arial"/>
          <w:sz w:val="24"/>
          <w:szCs w:val="24"/>
        </w:rPr>
        <w:t xml:space="preserve">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E118EE" w:rsidRDefault="00687A42">
      <w:pPr>
        <w:numPr>
          <w:ilvl w:val="1"/>
          <w:numId w:val="1"/>
        </w:numPr>
        <w:pBdr>
          <w:top w:val="nil"/>
          <w:left w:val="nil"/>
          <w:bottom w:val="nil"/>
          <w:right w:val="nil"/>
          <w:between w:val="nil"/>
        </w:pBdr>
        <w:spacing w:before="280" w:after="120" w:line="240" w:lineRule="auto"/>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Agency is required to exercise its regulato</w:t>
      </w:r>
      <w:r>
        <w:rPr>
          <w:rFonts w:ascii="Arial" w:eastAsia="Arial" w:hAnsi="Arial" w:cs="Arial"/>
          <w:sz w:val="24"/>
          <w:szCs w:val="24"/>
        </w:rPr>
        <w:t>ry and/or legal obligations in respect of Personal Data, it shall act as an Independent Controller of Personal Data in accordance with paragraphs 18 to 27 of this Joint Schedule 11.</w:t>
      </w:r>
    </w:p>
    <w:p w:rsidR="00E118EE" w:rsidRDefault="00E118EE">
      <w:pPr>
        <w:pBdr>
          <w:top w:val="nil"/>
          <w:left w:val="nil"/>
          <w:bottom w:val="nil"/>
          <w:right w:val="nil"/>
          <w:between w:val="nil"/>
        </w:pBdr>
        <w:spacing w:before="280" w:after="120"/>
        <w:ind w:left="709"/>
        <w:rPr>
          <w:rFonts w:ascii="Arial" w:eastAsia="Arial" w:hAnsi="Arial" w:cs="Arial"/>
          <w:sz w:val="24"/>
          <w:szCs w:val="24"/>
        </w:rPr>
      </w:pPr>
    </w:p>
    <w:p w:rsidR="00E118EE" w:rsidRDefault="00687A42">
      <w:pPr>
        <w:rPr>
          <w:rFonts w:ascii="Arial" w:eastAsia="Arial" w:hAnsi="Arial" w:cs="Arial"/>
          <w:b/>
          <w:sz w:val="24"/>
          <w:szCs w:val="24"/>
        </w:rPr>
      </w:pPr>
      <w:r>
        <w:br w:type="page"/>
      </w:r>
      <w:r>
        <w:rPr>
          <w:rFonts w:ascii="Arial" w:eastAsia="Arial" w:hAnsi="Arial" w:cs="Arial"/>
          <w:b/>
          <w:sz w:val="24"/>
          <w:szCs w:val="24"/>
        </w:rPr>
        <w:lastRenderedPageBreak/>
        <w:t>Annex 1 - Processing Personal Data</w:t>
      </w:r>
    </w:p>
    <w:p w:rsidR="00E118EE" w:rsidRDefault="00687A42">
      <w:pPr>
        <w:rPr>
          <w:rFonts w:ascii="Arial" w:eastAsia="Arial" w:hAnsi="Arial" w:cs="Arial"/>
          <w:sz w:val="24"/>
          <w:szCs w:val="24"/>
        </w:rPr>
      </w:pPr>
      <w:r>
        <w:rPr>
          <w:rFonts w:ascii="Arial" w:eastAsia="Arial" w:hAnsi="Arial" w:cs="Arial"/>
          <w:sz w:val="24"/>
          <w:szCs w:val="24"/>
        </w:rPr>
        <w:t xml:space="preserve">This Annex shall be completed by the </w:t>
      </w:r>
      <w:r>
        <w:rPr>
          <w:rFonts w:ascii="Arial" w:eastAsia="Arial" w:hAnsi="Arial" w:cs="Arial"/>
          <w:sz w:val="24"/>
          <w:szCs w:val="24"/>
        </w:rPr>
        <w:t xml:space="preserve">Controller, who may take account of the view of the Processors, however the final decision as to the content of this Annex shall be with the Relevant Authority at its absolute discretion.  </w:t>
      </w:r>
    </w:p>
    <w:p w:rsidR="00E118EE" w:rsidRDefault="00687A42">
      <w:pPr>
        <w:keepNext/>
        <w:numPr>
          <w:ilvl w:val="3"/>
          <w:numId w:val="3"/>
        </w:numPr>
        <w:spacing w:after="0" w:line="240" w:lineRule="auto"/>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2F277E" w:rsidRPr="002F277E">
        <w:rPr>
          <w:rFonts w:ascii="Arial" w:eastAsia="Arial" w:hAnsi="Arial" w:cs="Arial"/>
          <w:sz w:val="24"/>
          <w:szCs w:val="24"/>
        </w:rPr>
        <w:t>REDACTED TEXT under FOIA Section 40, Personal Information</w:t>
      </w:r>
    </w:p>
    <w:p w:rsidR="00E118EE" w:rsidRPr="002F277E" w:rsidRDefault="00687A42">
      <w:pPr>
        <w:keepNext/>
        <w:numPr>
          <w:ilvl w:val="3"/>
          <w:numId w:val="3"/>
        </w:numPr>
        <w:spacing w:after="0" w:line="240" w:lineRule="auto"/>
        <w:rPr>
          <w:sz w:val="24"/>
          <w:szCs w:val="24"/>
        </w:rPr>
      </w:pPr>
      <w:r>
        <w:rPr>
          <w:rFonts w:ascii="Arial" w:eastAsia="Arial" w:hAnsi="Arial" w:cs="Arial"/>
          <w:sz w:val="24"/>
          <w:szCs w:val="24"/>
        </w:rPr>
        <w:t xml:space="preserve">The contact details of the Agency’s Data Protection Officer are: </w:t>
      </w:r>
      <w:r w:rsidR="002F277E" w:rsidRPr="002F277E">
        <w:rPr>
          <w:rFonts w:ascii="Arial" w:eastAsia="Arial" w:hAnsi="Arial" w:cs="Arial"/>
          <w:sz w:val="24"/>
          <w:szCs w:val="24"/>
        </w:rPr>
        <w:t>REDACTED TEXT under FOIA Section 40, Personal Information</w:t>
      </w:r>
    </w:p>
    <w:p w:rsidR="00E118EE" w:rsidRDefault="00687A42">
      <w:pPr>
        <w:keepNext/>
        <w:numPr>
          <w:ilvl w:val="3"/>
          <w:numId w:val="3"/>
        </w:numPr>
        <w:spacing w:after="0" w:line="240" w:lineRule="auto"/>
        <w:rPr>
          <w:rFonts w:ascii="Arial" w:eastAsia="Arial" w:hAnsi="Arial" w:cs="Arial"/>
          <w:sz w:val="24"/>
          <w:szCs w:val="24"/>
        </w:rPr>
      </w:pPr>
      <w:r>
        <w:rPr>
          <w:rFonts w:ascii="Arial" w:eastAsia="Arial" w:hAnsi="Arial" w:cs="Arial"/>
          <w:sz w:val="24"/>
          <w:szCs w:val="24"/>
        </w:rPr>
        <w:t>The Processor shall comply with any furthe</w:t>
      </w:r>
      <w:r>
        <w:rPr>
          <w:rFonts w:ascii="Arial" w:eastAsia="Arial" w:hAnsi="Arial" w:cs="Arial"/>
          <w:sz w:val="24"/>
          <w:szCs w:val="24"/>
        </w:rPr>
        <w:t>r written instructions with respect to Processing by the Controller.</w:t>
      </w:r>
      <w:bookmarkStart w:id="14" w:name="_GoBack"/>
      <w:bookmarkEnd w:id="14"/>
    </w:p>
    <w:p w:rsidR="00E118EE" w:rsidRDefault="00687A42">
      <w:pPr>
        <w:keepNext/>
        <w:numPr>
          <w:ilvl w:val="3"/>
          <w:numId w:val="3"/>
        </w:numPr>
        <w:spacing w:after="0" w:line="240" w:lineRule="auto"/>
        <w:rPr>
          <w:rFonts w:ascii="Arial" w:eastAsia="Arial" w:hAnsi="Arial" w:cs="Arial"/>
          <w:sz w:val="24"/>
          <w:szCs w:val="24"/>
        </w:rPr>
      </w:pPr>
      <w:r>
        <w:rPr>
          <w:rFonts w:ascii="Arial" w:eastAsia="Arial" w:hAnsi="Arial" w:cs="Arial"/>
          <w:sz w:val="24"/>
          <w:szCs w:val="24"/>
        </w:rPr>
        <w:t>Any such further instructions shall be incorporated into this Annex.</w:t>
      </w:r>
    </w:p>
    <w:p w:rsidR="00E118EE" w:rsidRDefault="00E118EE">
      <w:pPr>
        <w:keepNext/>
        <w:ind w:left="720"/>
        <w:rPr>
          <w:rFonts w:ascii="Arial" w:eastAsia="Arial" w:hAnsi="Arial" w:cs="Arial"/>
          <w:sz w:val="24"/>
          <w:szCs w:val="24"/>
        </w:rPr>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E118EE">
        <w:trPr>
          <w:trHeight w:val="700"/>
        </w:trPr>
        <w:tc>
          <w:tcPr>
            <w:tcW w:w="2263" w:type="dxa"/>
            <w:shd w:val="clear" w:color="auto" w:fill="BFBFBF"/>
            <w:vAlign w:val="center"/>
          </w:tcPr>
          <w:p w:rsidR="00E118EE" w:rsidRDefault="00687A42">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rsidR="00E118EE" w:rsidRDefault="00687A42">
            <w:pPr>
              <w:rPr>
                <w:rFonts w:ascii="Arial" w:eastAsia="Arial" w:hAnsi="Arial" w:cs="Arial"/>
                <w:b/>
                <w:sz w:val="24"/>
                <w:szCs w:val="24"/>
              </w:rPr>
            </w:pPr>
            <w:r>
              <w:rPr>
                <w:rFonts w:ascii="Arial" w:eastAsia="Arial" w:hAnsi="Arial" w:cs="Arial"/>
                <w:b/>
                <w:sz w:val="24"/>
                <w:szCs w:val="24"/>
              </w:rPr>
              <w:t>Details</w:t>
            </w:r>
          </w:p>
        </w:tc>
      </w:tr>
      <w:tr w:rsidR="00E118EE">
        <w:trPr>
          <w:trHeight w:val="1620"/>
        </w:trPr>
        <w:tc>
          <w:tcPr>
            <w:tcW w:w="2263" w:type="dxa"/>
            <w:shd w:val="clear" w:color="auto" w:fill="auto"/>
          </w:tcPr>
          <w:p w:rsidR="00E118EE" w:rsidRDefault="00687A42">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rsidR="00E118EE" w:rsidRDefault="00687A42">
            <w:pPr>
              <w:rPr>
                <w:rFonts w:ascii="Arial" w:eastAsia="Arial" w:hAnsi="Arial" w:cs="Arial"/>
                <w:b/>
                <w:sz w:val="24"/>
                <w:szCs w:val="24"/>
              </w:rPr>
            </w:pPr>
            <w:r>
              <w:rPr>
                <w:rFonts w:ascii="Arial" w:eastAsia="Arial" w:hAnsi="Arial" w:cs="Arial"/>
                <w:b/>
                <w:sz w:val="24"/>
                <w:szCs w:val="24"/>
              </w:rPr>
              <w:t>The Relevant Authority is Controller and the Agency is Processor</w:t>
            </w:r>
          </w:p>
          <w:p w:rsidR="00E118EE" w:rsidRDefault="00687A42">
            <w:pPr>
              <w:rPr>
                <w:rFonts w:ascii="Arial" w:eastAsia="Arial" w:hAnsi="Arial" w:cs="Arial"/>
                <w:sz w:val="24"/>
                <w:szCs w:val="24"/>
              </w:rPr>
            </w:pPr>
            <w:r>
              <w:rPr>
                <w:rFonts w:ascii="Arial" w:eastAsia="Arial" w:hAnsi="Arial" w:cs="Arial"/>
                <w:sz w:val="24"/>
                <w:szCs w:val="24"/>
              </w:rPr>
              <w:t>The Parties acknowledge that in accordance with paragraph 2 to paragraph 15 and for the purposes of the Data Protection Legislation, the Relevant Authority is the Controller and the Agency is</w:t>
            </w:r>
            <w:r>
              <w:rPr>
                <w:rFonts w:ascii="Arial" w:eastAsia="Arial" w:hAnsi="Arial" w:cs="Arial"/>
                <w:sz w:val="24"/>
                <w:szCs w:val="24"/>
              </w:rPr>
              <w:t xml:space="preserve"> the Processor of the following Personal Data:</w:t>
            </w:r>
          </w:p>
          <w:p w:rsidR="00E118EE" w:rsidRDefault="00E118EE">
            <w:pPr>
              <w:rPr>
                <w:rFonts w:ascii="Arial" w:eastAsia="Arial" w:hAnsi="Arial" w:cs="Arial"/>
                <w:sz w:val="24"/>
                <w:szCs w:val="24"/>
              </w:rPr>
            </w:pPr>
          </w:p>
          <w:p w:rsidR="00E118EE" w:rsidRDefault="00687A42">
            <w:pPr>
              <w:numPr>
                <w:ilvl w:val="0"/>
                <w:numId w:val="2"/>
              </w:numPr>
              <w:pBdr>
                <w:top w:val="nil"/>
                <w:left w:val="nil"/>
                <w:bottom w:val="nil"/>
                <w:right w:val="nil"/>
                <w:between w:val="nil"/>
              </w:pBdr>
              <w:spacing w:after="0" w:line="240" w:lineRule="auto"/>
              <w:rPr>
                <w:i/>
                <w:color w:val="000000"/>
                <w:sz w:val="24"/>
                <w:szCs w:val="24"/>
              </w:rPr>
            </w:pPr>
            <w:r>
              <w:rPr>
                <w:rFonts w:ascii="Arial" w:eastAsia="Arial" w:hAnsi="Arial" w:cs="Arial"/>
                <w:i/>
                <w:color w:val="000000"/>
                <w:sz w:val="24"/>
                <w:szCs w:val="24"/>
              </w:rPr>
              <w:t>Any personal information relating to individuals for which the Commission has been asked to carry out vetting.</w:t>
            </w:r>
          </w:p>
          <w:p w:rsidR="00E118EE" w:rsidRDefault="00687A42">
            <w:pPr>
              <w:numPr>
                <w:ilvl w:val="0"/>
                <w:numId w:val="2"/>
              </w:numPr>
              <w:pBdr>
                <w:top w:val="nil"/>
                <w:left w:val="nil"/>
                <w:bottom w:val="nil"/>
                <w:right w:val="nil"/>
                <w:between w:val="nil"/>
              </w:pBdr>
              <w:spacing w:after="0" w:line="240" w:lineRule="auto"/>
              <w:rPr>
                <w:i/>
                <w:color w:val="000000"/>
                <w:sz w:val="24"/>
                <w:szCs w:val="24"/>
              </w:rPr>
            </w:pPr>
            <w:r>
              <w:rPr>
                <w:rFonts w:ascii="Arial" w:eastAsia="Arial" w:hAnsi="Arial" w:cs="Arial"/>
                <w:i/>
                <w:color w:val="000000"/>
                <w:sz w:val="24"/>
                <w:szCs w:val="24"/>
              </w:rPr>
              <w:t>Any personal information relating to individuals who have applied to become cross bench peers in the House of Lords, including at application and interview stage.</w:t>
            </w:r>
          </w:p>
          <w:p w:rsidR="00E118EE" w:rsidRDefault="00687A42">
            <w:pPr>
              <w:numPr>
                <w:ilvl w:val="0"/>
                <w:numId w:val="2"/>
              </w:numPr>
              <w:pBdr>
                <w:top w:val="nil"/>
                <w:left w:val="nil"/>
                <w:bottom w:val="nil"/>
                <w:right w:val="nil"/>
                <w:between w:val="nil"/>
              </w:pBdr>
              <w:spacing w:after="0" w:line="240" w:lineRule="auto"/>
              <w:rPr>
                <w:i/>
                <w:color w:val="000000"/>
                <w:sz w:val="24"/>
                <w:szCs w:val="24"/>
              </w:rPr>
            </w:pPr>
            <w:r>
              <w:rPr>
                <w:rFonts w:ascii="Arial" w:eastAsia="Arial" w:hAnsi="Arial" w:cs="Arial"/>
                <w:i/>
                <w:color w:val="000000"/>
                <w:sz w:val="24"/>
                <w:szCs w:val="24"/>
              </w:rPr>
              <w:t>Any personal information relating to members of the Commission, or the Commission’s Secretari</w:t>
            </w:r>
            <w:r>
              <w:rPr>
                <w:rFonts w:ascii="Arial" w:eastAsia="Arial" w:hAnsi="Arial" w:cs="Arial"/>
                <w:i/>
                <w:color w:val="000000"/>
                <w:sz w:val="24"/>
                <w:szCs w:val="24"/>
              </w:rPr>
              <w:t>at, that is not otherwise publicly available.</w:t>
            </w:r>
          </w:p>
          <w:p w:rsidR="00E118EE" w:rsidRDefault="00E118EE">
            <w:pPr>
              <w:rPr>
                <w:rFonts w:ascii="Arial" w:eastAsia="Arial" w:hAnsi="Arial" w:cs="Arial"/>
                <w:sz w:val="24"/>
                <w:szCs w:val="24"/>
              </w:rPr>
            </w:pPr>
          </w:p>
        </w:tc>
      </w:tr>
      <w:tr w:rsidR="00E118EE">
        <w:trPr>
          <w:trHeight w:val="1460"/>
        </w:trPr>
        <w:tc>
          <w:tcPr>
            <w:tcW w:w="2263" w:type="dxa"/>
            <w:shd w:val="clear" w:color="auto" w:fill="auto"/>
          </w:tcPr>
          <w:p w:rsidR="00E118EE" w:rsidRDefault="00687A42">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rsidR="00E118EE" w:rsidRDefault="00687A42">
            <w:pPr>
              <w:rPr>
                <w:rFonts w:ascii="Arial" w:eastAsia="Arial" w:hAnsi="Arial" w:cs="Arial"/>
                <w:sz w:val="24"/>
                <w:szCs w:val="24"/>
              </w:rPr>
            </w:pPr>
            <w:r>
              <w:rPr>
                <w:rFonts w:ascii="Arial" w:eastAsia="Arial" w:hAnsi="Arial" w:cs="Arial"/>
                <w:sz w:val="24"/>
                <w:szCs w:val="24"/>
              </w:rPr>
              <w:t>The dates for processing will vary, and will be dependent on the work of the Commission. Data should only be retained whilst the Commission is actively considering a case/individual</w:t>
            </w:r>
            <w:r>
              <w:rPr>
                <w:rFonts w:ascii="Arial" w:eastAsia="Arial" w:hAnsi="Arial" w:cs="Arial"/>
                <w:sz w:val="24"/>
                <w:szCs w:val="24"/>
              </w:rPr>
              <w:t>, and should not be retained beyond this point.</w:t>
            </w:r>
          </w:p>
        </w:tc>
      </w:tr>
      <w:tr w:rsidR="00E118EE">
        <w:trPr>
          <w:trHeight w:val="1520"/>
        </w:trPr>
        <w:tc>
          <w:tcPr>
            <w:tcW w:w="2263" w:type="dxa"/>
            <w:shd w:val="clear" w:color="auto" w:fill="auto"/>
          </w:tcPr>
          <w:p w:rsidR="00E118EE" w:rsidRDefault="00687A42">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rsidR="00E118EE" w:rsidRDefault="00687A42">
            <w:pPr>
              <w:rPr>
                <w:rFonts w:ascii="Arial" w:eastAsia="Arial" w:hAnsi="Arial" w:cs="Arial"/>
                <w:sz w:val="24"/>
                <w:szCs w:val="24"/>
              </w:rPr>
            </w:pPr>
            <w:r>
              <w:rPr>
                <w:rFonts w:ascii="Arial" w:eastAsia="Arial" w:hAnsi="Arial" w:cs="Arial"/>
                <w:sz w:val="24"/>
                <w:szCs w:val="24"/>
              </w:rPr>
              <w:t>The Commission is required to process the personal information of individuals for the duration of its vetting responsibilities, including receiving vetting advice from a number of government departments. The information obtained over the course of its inve</w:t>
            </w:r>
            <w:r>
              <w:rPr>
                <w:rFonts w:ascii="Arial" w:eastAsia="Arial" w:hAnsi="Arial" w:cs="Arial"/>
                <w:sz w:val="24"/>
                <w:szCs w:val="24"/>
              </w:rPr>
              <w:t xml:space="preserve">stigation is to be used solely for the purpose of providing confidential advice to the Prime Minister on the propriety of the proposed individual. </w:t>
            </w:r>
          </w:p>
          <w:p w:rsidR="00E118EE" w:rsidRDefault="00687A42">
            <w:pPr>
              <w:rPr>
                <w:rFonts w:ascii="Arial" w:eastAsia="Arial" w:hAnsi="Arial" w:cs="Arial"/>
                <w:sz w:val="24"/>
                <w:szCs w:val="24"/>
              </w:rPr>
            </w:pPr>
            <w:r>
              <w:rPr>
                <w:rFonts w:ascii="Arial" w:eastAsia="Arial" w:hAnsi="Arial" w:cs="Arial"/>
                <w:sz w:val="24"/>
                <w:szCs w:val="24"/>
              </w:rPr>
              <w:lastRenderedPageBreak/>
              <w:t>The Commission also collects personal data as part of its application process for non-party-political peers.</w:t>
            </w:r>
            <w:r>
              <w:rPr>
                <w:rFonts w:ascii="Arial" w:eastAsia="Arial" w:hAnsi="Arial" w:cs="Arial"/>
                <w:sz w:val="24"/>
                <w:szCs w:val="24"/>
              </w:rPr>
              <w:t xml:space="preserve"> Information obtained in relation to this is to be used solely for determining that individual's suitability to become a cross bench peer.</w:t>
            </w:r>
          </w:p>
        </w:tc>
      </w:tr>
      <w:tr w:rsidR="00E118EE">
        <w:trPr>
          <w:trHeight w:val="1400"/>
        </w:trPr>
        <w:tc>
          <w:tcPr>
            <w:tcW w:w="2263" w:type="dxa"/>
            <w:shd w:val="clear" w:color="auto" w:fill="auto"/>
          </w:tcPr>
          <w:p w:rsidR="00E118EE" w:rsidRDefault="00687A42">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shd w:val="clear" w:color="auto" w:fill="auto"/>
          </w:tcPr>
          <w:p w:rsidR="00E118EE" w:rsidRDefault="00687A42">
            <w:pPr>
              <w:rPr>
                <w:rFonts w:ascii="Arial" w:eastAsia="Arial" w:hAnsi="Arial" w:cs="Arial"/>
                <w:sz w:val="24"/>
                <w:szCs w:val="24"/>
              </w:rPr>
            </w:pPr>
            <w:bookmarkStart w:id="15" w:name="_heading=h.30j0zll" w:colFirst="0" w:colLast="0"/>
            <w:bookmarkEnd w:id="15"/>
            <w:r>
              <w:rPr>
                <w:rFonts w:ascii="Arial" w:eastAsia="Arial" w:hAnsi="Arial" w:cs="Arial"/>
                <w:sz w:val="24"/>
                <w:szCs w:val="24"/>
              </w:rPr>
              <w:t>Name, address, date of birth, NI number, telephone number, email address, tax ratings provided</w:t>
            </w:r>
            <w:r>
              <w:rPr>
                <w:rFonts w:ascii="Arial" w:eastAsia="Arial" w:hAnsi="Arial" w:cs="Arial"/>
                <w:sz w:val="24"/>
                <w:szCs w:val="24"/>
              </w:rPr>
              <w:t xml:space="preserve"> by HMRC and any other confidential vetting advice provided by government departments. This list may not be exhaustive.</w:t>
            </w:r>
          </w:p>
        </w:tc>
      </w:tr>
      <w:tr w:rsidR="00E118EE">
        <w:trPr>
          <w:trHeight w:val="1560"/>
        </w:trPr>
        <w:tc>
          <w:tcPr>
            <w:tcW w:w="2263" w:type="dxa"/>
            <w:shd w:val="clear" w:color="auto" w:fill="auto"/>
          </w:tcPr>
          <w:p w:rsidR="00E118EE" w:rsidRDefault="00687A42">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rsidR="00E118EE" w:rsidRDefault="00687A42">
            <w:pPr>
              <w:rPr>
                <w:rFonts w:ascii="Arial" w:eastAsia="Arial" w:hAnsi="Arial" w:cs="Arial"/>
                <w:i/>
                <w:sz w:val="24"/>
                <w:szCs w:val="24"/>
              </w:rPr>
            </w:pPr>
            <w:r>
              <w:rPr>
                <w:rFonts w:ascii="Arial" w:eastAsia="Arial" w:hAnsi="Arial" w:cs="Arial"/>
                <w:i/>
                <w:sz w:val="24"/>
                <w:szCs w:val="24"/>
              </w:rPr>
              <w:t>Crossbench applicants and Individuals vetted for propriety.</w:t>
            </w:r>
          </w:p>
        </w:tc>
      </w:tr>
      <w:tr w:rsidR="00E118EE">
        <w:trPr>
          <w:trHeight w:val="1660"/>
        </w:trPr>
        <w:tc>
          <w:tcPr>
            <w:tcW w:w="2263" w:type="dxa"/>
            <w:shd w:val="clear" w:color="auto" w:fill="auto"/>
          </w:tcPr>
          <w:p w:rsidR="00E118EE" w:rsidRDefault="00687A42">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rsidR="00E118EE" w:rsidRDefault="00687A42">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rsidR="00E118EE" w:rsidRDefault="00687A42">
            <w:pPr>
              <w:rPr>
                <w:rFonts w:ascii="Arial" w:eastAsia="Arial" w:hAnsi="Arial" w:cs="Arial"/>
                <w:sz w:val="24"/>
                <w:szCs w:val="24"/>
              </w:rPr>
            </w:pPr>
            <w:r>
              <w:rPr>
                <w:rFonts w:ascii="Arial" w:eastAsia="Arial" w:hAnsi="Arial" w:cs="Arial"/>
                <w:sz w:val="24"/>
                <w:szCs w:val="24"/>
              </w:rPr>
              <w:t>Data should not be retained for longer than one year following the completion of processing of that</w:t>
            </w:r>
            <w:r>
              <w:rPr>
                <w:rFonts w:ascii="Arial" w:eastAsia="Arial" w:hAnsi="Arial" w:cs="Arial"/>
                <w:sz w:val="24"/>
                <w:szCs w:val="24"/>
              </w:rPr>
              <w:t xml:space="preserve"> individual's case.</w:t>
            </w:r>
          </w:p>
        </w:tc>
      </w:tr>
    </w:tbl>
    <w:p w:rsidR="00E118EE" w:rsidRDefault="00E118EE">
      <w:pPr>
        <w:rPr>
          <w:rFonts w:ascii="Arial" w:eastAsia="Arial" w:hAnsi="Arial" w:cs="Arial"/>
          <w:b/>
          <w:sz w:val="24"/>
          <w:szCs w:val="24"/>
        </w:rPr>
      </w:pPr>
    </w:p>
    <w:p w:rsidR="00E118EE" w:rsidRDefault="00E118EE">
      <w:pPr>
        <w:rPr>
          <w:rFonts w:ascii="Arial" w:eastAsia="Arial" w:hAnsi="Arial" w:cs="Arial"/>
          <w:b/>
          <w:sz w:val="24"/>
          <w:szCs w:val="24"/>
        </w:rPr>
      </w:pPr>
    </w:p>
    <w:sectPr w:rsidR="00E118EE">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A42" w:rsidRDefault="00687A42">
      <w:pPr>
        <w:spacing w:after="0" w:line="240" w:lineRule="auto"/>
      </w:pPr>
      <w:r>
        <w:separator/>
      </w:r>
    </w:p>
  </w:endnote>
  <w:endnote w:type="continuationSeparator" w:id="0">
    <w:p w:rsidR="00687A42" w:rsidRDefault="00687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8EE" w:rsidRDefault="00E118EE">
    <w:pPr>
      <w:tabs>
        <w:tab w:val="center" w:pos="4513"/>
        <w:tab w:val="right" w:pos="9026"/>
      </w:tabs>
      <w:spacing w:after="0" w:line="276" w:lineRule="auto"/>
      <w:jc w:val="both"/>
      <w:rPr>
        <w:color w:val="BFBFBF"/>
      </w:rPr>
    </w:pPr>
  </w:p>
  <w:p w:rsidR="00E118EE" w:rsidRDefault="00687A42">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highlight w:val="white"/>
      </w:rPr>
      <w:t xml:space="preserve">RM6124 – Communications Marketplace DPS </w:t>
    </w:r>
    <w:r>
      <w:rPr>
        <w:rFonts w:ascii="Arial" w:eastAsia="Arial" w:hAnsi="Arial" w:cs="Arial"/>
        <w:sz w:val="20"/>
        <w:szCs w:val="20"/>
      </w:rPr>
      <w:t xml:space="preserve">                                          </w:t>
    </w:r>
  </w:p>
  <w:p w:rsidR="00E118EE" w:rsidRDefault="00687A42">
    <w:pPr>
      <w:tabs>
        <w:tab w:val="center" w:pos="4513"/>
        <w:tab w:val="right" w:pos="9026"/>
      </w:tabs>
      <w:spacing w:after="0" w:line="240" w:lineRule="auto"/>
    </w:pPr>
    <w:r>
      <w:rPr>
        <w:rFonts w:ascii="Arial" w:eastAsia="Arial" w:hAnsi="Arial" w:cs="Arial"/>
        <w:sz w:val="20"/>
        <w:szCs w:val="20"/>
      </w:rPr>
      <w:t>Project Version: v1.0</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A42" w:rsidRDefault="00687A42">
      <w:pPr>
        <w:spacing w:after="0" w:line="240" w:lineRule="auto"/>
      </w:pPr>
      <w:r>
        <w:separator/>
      </w:r>
    </w:p>
  </w:footnote>
  <w:footnote w:type="continuationSeparator" w:id="0">
    <w:p w:rsidR="00687A42" w:rsidRDefault="00687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8EE" w:rsidRDefault="00687A42">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11 (Processing Data)</w:t>
    </w:r>
  </w:p>
  <w:p w:rsidR="00E118EE" w:rsidRDefault="00687A42">
    <w:pPr>
      <w:tabs>
        <w:tab w:val="center" w:pos="4513"/>
        <w:tab w:val="right" w:pos="9026"/>
      </w:tabs>
      <w:spacing w:after="0" w:line="240" w:lineRule="auto"/>
    </w:pPr>
    <w:r>
      <w:rPr>
        <w:rFonts w:ascii="Arial" w:eastAsia="Arial" w:hAnsi="Arial" w:cs="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6018"/>
    <w:multiLevelType w:val="multilevel"/>
    <w:tmpl w:val="9F54D70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0D0BC2"/>
    <w:multiLevelType w:val="multilevel"/>
    <w:tmpl w:val="79869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114985"/>
    <w:multiLevelType w:val="multilevel"/>
    <w:tmpl w:val="66CE76F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8EE"/>
    <w:rsid w:val="002F277E"/>
    <w:rsid w:val="00687A42"/>
    <w:rsid w:val="00E11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307BC1-99A9-4AFD-AC85-4C6206B8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40F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6">
    <w:name w:val="6"/>
    <w:basedOn w:val="TableNormal"/>
    <w:rsid w:val="007140FD"/>
    <w:tblPr>
      <w:tblStyleRowBandSize w:val="1"/>
      <w:tblStyleColBandSize w:val="1"/>
      <w:tblCellMar>
        <w:left w:w="115" w:type="dxa"/>
        <w:right w:w="115" w:type="dxa"/>
      </w:tblCellMar>
    </w:tblPr>
  </w:style>
  <w:style w:type="table" w:customStyle="1" w:styleId="5">
    <w:name w:val="5"/>
    <w:basedOn w:val="TableNormal"/>
    <w:rsid w:val="007140FD"/>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14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0FD"/>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B806B6"/>
    <w:rPr>
      <w:sz w:val="16"/>
      <w:szCs w:val="16"/>
    </w:rPr>
  </w:style>
  <w:style w:type="paragraph" w:styleId="CommentText">
    <w:name w:val="annotation text"/>
    <w:basedOn w:val="Normal"/>
    <w:link w:val="CommentTextChar"/>
    <w:uiPriority w:val="99"/>
    <w:semiHidden/>
    <w:unhideWhenUsed/>
    <w:rsid w:val="00B806B6"/>
    <w:pPr>
      <w:spacing w:line="240" w:lineRule="auto"/>
    </w:pPr>
    <w:rPr>
      <w:sz w:val="20"/>
      <w:szCs w:val="20"/>
    </w:rPr>
  </w:style>
  <w:style w:type="character" w:customStyle="1" w:styleId="CommentTextChar">
    <w:name w:val="Comment Text Char"/>
    <w:basedOn w:val="DefaultParagraphFont"/>
    <w:link w:val="CommentText"/>
    <w:uiPriority w:val="99"/>
    <w:semiHidden/>
    <w:rsid w:val="00B806B6"/>
    <w:rPr>
      <w:sz w:val="20"/>
      <w:szCs w:val="20"/>
    </w:rPr>
  </w:style>
  <w:style w:type="paragraph" w:styleId="CommentSubject">
    <w:name w:val="annotation subject"/>
    <w:basedOn w:val="CommentText"/>
    <w:next w:val="CommentText"/>
    <w:link w:val="CommentSubjectChar"/>
    <w:uiPriority w:val="99"/>
    <w:semiHidden/>
    <w:unhideWhenUsed/>
    <w:rsid w:val="00B806B6"/>
    <w:rPr>
      <w:b/>
      <w:bCs/>
    </w:rPr>
  </w:style>
  <w:style w:type="character" w:customStyle="1" w:styleId="CommentSubjectChar">
    <w:name w:val="Comment Subject Char"/>
    <w:basedOn w:val="CommentTextChar"/>
    <w:link w:val="CommentSubject"/>
    <w:uiPriority w:val="99"/>
    <w:semiHidden/>
    <w:rsid w:val="00B806B6"/>
    <w:rPr>
      <w:b/>
      <w:bCs/>
      <w:sz w:val="20"/>
      <w:szCs w:val="20"/>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ekKxAHEeAzgK3Bu8xfIpEh6Vsg==">CgMxLjAyCmlkLjMwajB6bGwyCmlkLjFmb2I5dGUyCGguZ2pkZ3hzMgppZC4zem55c2g3MglpZC50eWpjd3QyCmlkLjNkeTZ2a20yCmlkLjIydnhuamQyCmlkLjRkMzRvZzgyCmlkLjJzOGV5bzEyCmlkLjE3ZHA4dnUyCmlkLjNyZGNyam4yCGguaTE3eHI2MglpZC5sbnhiejkyCmlkLjM1bmt1bjIyCWguMzBqMHpsbDgAciExbTVqOC0wY2tlcFpRZnF0bkRZWlM1MnNLN01BTjVyU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2615</Words>
  <Characters>14909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Oliver Backhouse</cp:lastModifiedBy>
  <cp:revision>2</cp:revision>
  <dcterms:created xsi:type="dcterms:W3CDTF">2024-04-17T10:42:00Z</dcterms:created>
  <dcterms:modified xsi:type="dcterms:W3CDTF">2024-04-17T10:42:00Z</dcterms:modified>
</cp:coreProperties>
</file>