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Relevant Convictions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1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0F">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Convictions will be assessed in accordance with The Rehabilitation of Offenders Act 1974. As detailed in the tables below:</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2355"/>
        <w:gridCol w:w="2565"/>
        <w:gridCol w:w="2550"/>
        <w:tblGridChange w:id="0">
          <w:tblGrid>
            <w:gridCol w:w="1560"/>
            <w:gridCol w:w="2355"/>
            <w:gridCol w:w="2565"/>
            <w:gridCol w:w="2550"/>
          </w:tblGrid>
        </w:tblGridChange>
      </w:tblGrid>
      <w:tr>
        <w:trPr>
          <w:cantSplit w:val="0"/>
          <w:trHeight w:val="827.373046875" w:hRule="atLeast"/>
          <w:tblHeader w:val="0"/>
        </w:trPr>
        <w:tc>
          <w:tcPr>
            <w:gridSpan w:val="4"/>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Arial" w:cs="Arial" w:eastAsia="Arial" w:hAnsi="Arial"/>
                <w:b w:val="1"/>
                <w:color w:val="0070c0"/>
                <w:sz w:val="24"/>
                <w:szCs w:val="24"/>
              </w:rPr>
            </w:pPr>
            <w:r w:rsidDel="00000000" w:rsidR="00000000" w:rsidRPr="00000000">
              <w:rPr>
                <w:rFonts w:ascii="Arial" w:cs="Arial" w:eastAsia="Arial" w:hAnsi="Arial"/>
                <w:b w:val="1"/>
                <w:color w:val="0070c0"/>
                <w:sz w:val="24"/>
                <w:szCs w:val="24"/>
                <w:rtl w:val="0"/>
              </w:rPr>
              <w:t xml:space="preserve">Prison sentence &amp; Community orders (with a buffer period)</w:t>
            </w:r>
          </w:p>
        </w:tc>
      </w:tr>
      <w:tr>
        <w:trPr>
          <w:cantSplit w:val="0"/>
          <w:trHeight w:val="285" w:hRule="atLeast"/>
          <w:tblHeader w:val="0"/>
        </w:trPr>
        <w:tc>
          <w:tcPr>
            <w:gridSpan w:val="2"/>
            <w:vMerge w:val="restart"/>
            <w:tcBorders>
              <w:top w:color="000000" w:space="0" w:sz="0" w:val="nil"/>
              <w:left w:color="000000" w:space="0" w:sz="6" w:val="single"/>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Sentence</w:t>
            </w:r>
          </w:p>
        </w:tc>
        <w:tc>
          <w:tcPr>
            <w:gridSpan w:val="2"/>
            <w:tcBorders>
              <w:top w:color="000000" w:space="0" w:sz="0" w:val="nil"/>
              <w:left w:color="000000" w:space="0" w:sz="0" w:val="nil"/>
              <w:bottom w:color="000000" w:space="0" w:sz="6" w:val="single"/>
              <w:right w:color="000000" w:space="0" w:sz="6" w:val="single"/>
            </w:tcBorders>
            <w:shd w:fill="808080" w:val="clear"/>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Time it takes to become spent</w:t>
            </w:r>
          </w:p>
        </w:tc>
      </w:tr>
      <w:tr>
        <w:trPr>
          <w:cantSplit w:val="0"/>
          <w:trHeight w:val="555" w:hRule="atLeast"/>
          <w:tblHeader w:val="0"/>
        </w:trPr>
        <w:tc>
          <w:tcPr>
            <w:gridSpan w:val="2"/>
            <w:vMerge w:val="continue"/>
            <w:tcBorders>
              <w:top w:color="000000" w:space="0" w:sz="0" w:val="nil"/>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before="240" w:lineRule="auto"/>
              <w:rPr>
                <w:rFonts w:ascii="Arial" w:cs="Arial" w:eastAsia="Arial" w:hAnsi="Arial"/>
                <w:b w:val="1"/>
                <w:sz w:val="24"/>
                <w:szCs w:val="24"/>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Adult (18+) at conviction/disposal</w:t>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Young person (U18)at conviction/disposal</w:t>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 </w:t>
            </w:r>
          </w:p>
        </w:tc>
      </w:tr>
      <w:tr>
        <w:trPr>
          <w:cantSplit w:val="0"/>
          <w:trHeight w:val="1252.119140625" w:hRule="atLeast"/>
          <w:tblHeader w:val="0"/>
        </w:trPr>
        <w:tc>
          <w:tcPr>
            <w:vMerge w:val="restart"/>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Prison (Including suspended prison sentences)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 4 years or public protection sentence</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Never spent</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Never spent</w:t>
            </w:r>
          </w:p>
        </w:tc>
      </w:tr>
      <w:tr>
        <w:trPr>
          <w:cantSplit w:val="0"/>
          <w:trHeight w:val="8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before="240" w:lineRule="auto"/>
              <w:rPr>
                <w:rFonts w:ascii="Arial" w:cs="Arial" w:eastAsia="Arial" w:hAnsi="Arial"/>
                <w:b w:val="1"/>
                <w:sz w:val="24"/>
                <w:szCs w:val="24"/>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More than 30 months and less than (or equal to) 4 years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+ 7 years*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+ 3 ½ years*</w:t>
            </w:r>
          </w:p>
        </w:tc>
      </w:tr>
      <w:tr>
        <w:trPr>
          <w:cantSplit w:val="0"/>
          <w:trHeight w:val="1629.4921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before="240" w:lineRule="auto"/>
              <w:rPr>
                <w:rFonts w:ascii="Arial" w:cs="Arial" w:eastAsia="Arial" w:hAnsi="Arial"/>
                <w:b w:val="1"/>
                <w:sz w:val="24"/>
                <w:szCs w:val="24"/>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More than 6 months and less than (or equal to) 30 months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+ 4 years*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+ 2 years*</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before="240" w:lineRule="auto"/>
              <w:rPr>
                <w:rFonts w:ascii="Arial" w:cs="Arial" w:eastAsia="Arial" w:hAnsi="Arial"/>
                <w:b w:val="1"/>
                <w:sz w:val="24"/>
                <w:szCs w:val="24"/>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Less than (or equal to) 6 months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+ 2 years*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sentence + 18 months*</w:t>
            </w:r>
          </w:p>
        </w:tc>
      </w:tr>
      <w:tr>
        <w:trPr>
          <w:cantSplit w:val="0"/>
          <w:trHeight w:val="979.74609375" w:hRule="atLeast"/>
          <w:tblHeader w:val="0"/>
        </w:trPr>
        <w:tc>
          <w:tcPr>
            <w:gridSpan w:val="2"/>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Community order / Youth rehabilitation order</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length of the order +1 year</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33">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 length of the order +1 year</w:t>
            </w:r>
          </w:p>
        </w:tc>
      </w:tr>
    </w:tbl>
    <w:p w:rsidR="00000000" w:rsidDel="00000000" w:rsidP="00000000" w:rsidRDefault="00000000" w:rsidRPr="00000000" w14:paraId="00000034">
      <w:pPr>
        <w:spacing w:after="240" w:before="240" w:lineRule="auto"/>
        <w:ind w:left="720" w:firstLine="0"/>
        <w:rPr>
          <w:rFonts w:ascii="Arial" w:cs="Arial" w:eastAsia="Arial" w:hAnsi="Arial"/>
          <w:b w:val="1"/>
          <w:color w:val="0070c0"/>
          <w:sz w:val="18"/>
          <w:szCs w:val="18"/>
        </w:rPr>
      </w:pPr>
      <w:r w:rsidDel="00000000" w:rsidR="00000000" w:rsidRPr="00000000">
        <w:rPr>
          <w:rFonts w:ascii="Arial" w:cs="Arial" w:eastAsia="Arial" w:hAnsi="Arial"/>
          <w:b w:val="1"/>
          <w:color w:val="0070c0"/>
          <w:sz w:val="18"/>
          <w:szCs w:val="18"/>
          <w:rtl w:val="0"/>
        </w:rPr>
        <w:t xml:space="preserve">*Sentence length includes time spent on licence</w:t>
      </w:r>
    </w:p>
    <w:p w:rsidR="00000000" w:rsidDel="00000000" w:rsidP="00000000" w:rsidRDefault="00000000" w:rsidRPr="00000000" w14:paraId="00000035">
      <w:pPr>
        <w:spacing w:after="240" w:before="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1.250985768536"/>
        <w:gridCol w:w="2419.7828276087985"/>
        <w:gridCol w:w="2614.4779976462883"/>
        <w:tblGridChange w:id="0">
          <w:tblGrid>
            <w:gridCol w:w="3991.250985768536"/>
            <w:gridCol w:w="2419.7828276087985"/>
            <w:gridCol w:w="2614.4779976462883"/>
          </w:tblGrid>
        </w:tblGridChange>
      </w:tblGrid>
      <w:tr>
        <w:trPr>
          <w:cantSplit w:val="0"/>
          <w:trHeight w:val="285"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Rule="auto"/>
              <w:rPr>
                <w:rFonts w:ascii="Arial" w:cs="Arial" w:eastAsia="Arial" w:hAnsi="Arial"/>
                <w:b w:val="1"/>
                <w:color w:val="0070c0"/>
                <w:sz w:val="24"/>
                <w:szCs w:val="24"/>
              </w:rPr>
            </w:pPr>
            <w:r w:rsidDel="00000000" w:rsidR="00000000" w:rsidRPr="00000000">
              <w:rPr>
                <w:rFonts w:ascii="Arial" w:cs="Arial" w:eastAsia="Arial" w:hAnsi="Arial"/>
                <w:b w:val="1"/>
                <w:color w:val="0070c0"/>
                <w:sz w:val="24"/>
                <w:szCs w:val="24"/>
                <w:rtl w:val="0"/>
              </w:rPr>
              <w:t xml:space="preserve">Other community sentence (with no buffer period)</w:t>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39">
            <w:pPr>
              <w:spacing w:after="240" w:before="24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Sentence/Disposal</w:t>
            </w:r>
          </w:p>
        </w:tc>
        <w:tc>
          <w:tcPr>
            <w:gridSpan w:val="2"/>
            <w:tcBorders>
              <w:top w:color="000000" w:space="0" w:sz="0" w:val="nil"/>
              <w:left w:color="000000" w:space="0" w:sz="0" w:val="nil"/>
              <w:bottom w:color="000000" w:space="0" w:sz="6" w:val="single"/>
              <w:right w:color="000000" w:space="0" w:sz="6" w:val="single"/>
            </w:tcBorders>
            <w:shd w:fill="808080" w:val="clear"/>
            <w:tcMar>
              <w:top w:w="0.0" w:type="dxa"/>
              <w:left w:w="100.0" w:type="dxa"/>
              <w:bottom w:w="0.0" w:type="dxa"/>
              <w:right w:w="100.0" w:type="dxa"/>
            </w:tcMar>
            <w:vAlign w:val="top"/>
          </w:tcPr>
          <w:p w:rsidR="00000000" w:rsidDel="00000000" w:rsidP="00000000" w:rsidRDefault="00000000" w:rsidRPr="00000000" w14:paraId="0000003A">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Time it takes to become spent (from date of conviction)</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before="240" w:lineRule="auto"/>
              <w:rPr>
                <w:rFonts w:ascii="Arial" w:cs="Arial" w:eastAsia="Arial" w:hAnsi="Arial"/>
                <w:b w:val="1"/>
                <w:sz w:val="24"/>
                <w:szCs w:val="24"/>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3D">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Adult (18+) at conviction/disposal</w:t>
            </w:r>
          </w:p>
        </w:tc>
        <w:tc>
          <w:tcPr>
            <w:tcBorders>
              <w:top w:color="000000" w:space="0" w:sz="0" w:val="nil"/>
              <w:left w:color="000000" w:space="0" w:sz="0" w:val="nil"/>
              <w:bottom w:color="000000" w:space="0" w:sz="6" w:val="single"/>
              <w:right w:color="000000" w:space="0" w:sz="6" w:val="single"/>
            </w:tcBorders>
            <w:shd w:fill="4f81bd" w:val="clear"/>
            <w:tcMar>
              <w:top w:w="0.0" w:type="dxa"/>
              <w:left w:w="100.0" w:type="dxa"/>
              <w:bottom w:w="0.0" w:type="dxa"/>
              <w:right w:w="100.0" w:type="dxa"/>
            </w:tcMar>
            <w:vAlign w:val="top"/>
          </w:tcPr>
          <w:p w:rsidR="00000000" w:rsidDel="00000000" w:rsidP="00000000" w:rsidRDefault="00000000" w:rsidRPr="00000000" w14:paraId="0000003E">
            <w:pPr>
              <w:spacing w:after="240" w:befor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Young person (U18)at conviction/disposal</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3F">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Fine</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0">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year</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1">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months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2">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Conditional discharge</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3">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Length of the order</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4">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Length of the order</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5">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Absolute discharge</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6">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Spent immediately</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8">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Conditional caution / youth conditional caution</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9">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months (or when it ends, if earlier</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months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B">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Simple caution / youth caution</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C">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Spent immediately</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E">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Compensation order</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4F">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Once it is Paid in Full</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1">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Bind over</w:t>
            </w:r>
          </w:p>
        </w:tc>
        <w:tc>
          <w:tcPr>
            <w:gridSpan w:val="2"/>
            <w:vMerge w:val="restart"/>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2">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Length of the Order</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4">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Hospital order (with or without restrictions</w:t>
            </w:r>
          </w:p>
        </w:tc>
        <w:tc>
          <w:tcPr>
            <w:gridSpan w:val="2"/>
            <w:vMerge w:val="continue"/>
            <w:tcBorders>
              <w:top w:color="000000" w:space="0" w:sz="0" w:val="nil"/>
              <w:left w:color="000000" w:space="0" w:sz="0" w:val="nil"/>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before="240" w:lineRule="auto"/>
              <w:rPr>
                <w:rFonts w:ascii="Arial" w:cs="Arial" w:eastAsia="Arial" w:hAnsi="Arial"/>
                <w:b w:val="1"/>
                <w:sz w:val="24"/>
                <w:szCs w:val="24"/>
                <w:highlight w:val="yellow"/>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7">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Referral order</w:t>
            </w:r>
          </w:p>
        </w:tc>
        <w:tc>
          <w:tcPr>
            <w:gridSpan w:val="2"/>
            <w:vMerge w:val="continue"/>
            <w:tcBorders>
              <w:top w:color="000000" w:space="0" w:sz="0" w:val="nil"/>
              <w:left w:color="000000" w:space="0" w:sz="0" w:val="nil"/>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before="240" w:lineRule="auto"/>
              <w:rPr>
                <w:rFonts w:ascii="Arial" w:cs="Arial" w:eastAsia="Arial" w:hAnsi="Arial"/>
                <w:b w:val="1"/>
                <w:sz w:val="24"/>
                <w:szCs w:val="24"/>
                <w:highlight w:val="yellow"/>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A">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Reparation order</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Spent immediately</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D">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Endorsement (imposed by a court)</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E">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years</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5F">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2½ years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60">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Motoring disqualification (imposed by a court)</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61">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Length of the disqualification</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63">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order</w:t>
            </w:r>
          </w:p>
        </w:tc>
        <w:tc>
          <w:tcPr>
            <w:gridSpan w:val="2"/>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64">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Length of the order</w:t>
            </w:r>
          </w:p>
        </w:tc>
      </w:tr>
    </w:tbl>
    <w:p w:rsidR="00000000" w:rsidDel="00000000" w:rsidP="00000000" w:rsidRDefault="00000000" w:rsidRPr="00000000" w14:paraId="00000066">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7">
      <w:pPr>
        <w:spacing w:after="0" w:before="240" w:lineRule="auto"/>
        <w:rPr>
          <w:rFonts w:ascii="Arial" w:cs="Arial" w:eastAsia="Arial" w:hAnsi="Arial"/>
          <w:b w:val="1"/>
          <w:sz w:val="24"/>
          <w:szCs w:val="24"/>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1.250985768536"/>
        <w:gridCol w:w="2419.7828276087985"/>
        <w:gridCol w:w="2614.4779976462883"/>
        <w:tblGridChange w:id="0">
          <w:tblGrid>
            <w:gridCol w:w="3991.250985768536"/>
            <w:gridCol w:w="2419.7828276087985"/>
            <w:gridCol w:w="2614.4779976462883"/>
          </w:tblGrid>
        </w:tblGridChange>
      </w:tblGrid>
      <w:tr>
        <w:trPr>
          <w:cantSplit w:val="0"/>
          <w:trHeight w:val="1532.373046875"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after="240" w:before="240" w:lineRule="auto"/>
              <w:rPr>
                <w:rFonts w:ascii="Arial" w:cs="Arial" w:eastAsia="Arial" w:hAnsi="Arial"/>
                <w:b w:val="1"/>
                <w:color w:val="0070c0"/>
                <w:sz w:val="24"/>
                <w:szCs w:val="24"/>
              </w:rPr>
            </w:pPr>
            <w:r w:rsidDel="00000000" w:rsidR="00000000" w:rsidRPr="00000000">
              <w:rPr>
                <w:rtl w:val="0"/>
              </w:rPr>
            </w:r>
          </w:p>
        </w:tc>
      </w:tr>
    </w:tbl>
    <w:p w:rsidR="00000000" w:rsidDel="00000000" w:rsidP="00000000" w:rsidRDefault="00000000" w:rsidRPr="00000000" w14:paraId="0000006B">
      <w:pPr>
        <w:spacing w:after="240" w:before="240" w:lineRule="auto"/>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7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spacing w:after="0" w:line="240" w:lineRule="auto"/>
      <w:jc w:val="both"/>
      <w:rPr>
        <w:rFonts w:ascii="Arial" w:cs="Arial" w:eastAsia="Arial" w:hAnsi="Arial"/>
        <w:sz w:val="18"/>
        <w:szCs w:val="18"/>
      </w:rPr>
    </w:pPr>
    <w:bookmarkStart w:colFirst="0" w:colLast="0" w:name="_heading=h.3znysh7" w:id="4"/>
    <w:bookmarkEnd w:id="4"/>
    <w:r w:rsidDel="00000000" w:rsidR="00000000" w:rsidRPr="00000000">
      <w:rPr>
        <w:rFonts w:ascii="Arial" w:cs="Arial" w:eastAsia="Arial" w:hAnsi="Arial"/>
        <w:sz w:val="20"/>
        <w:szCs w:val="20"/>
        <w:rtl w:val="0"/>
      </w:rPr>
      <w:t xml:space="preserve">Model Version: v3.0</w:t>
    </w:r>
    <w:bookmarkStart w:colFirst="0" w:colLast="0" w:name="bookmark=id.2et92p0" w:id="3"/>
    <w:bookmarkEnd w:id="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18 (Background Checks)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5m+qtcvjcDAN7iMldPILfMWVg==">CgMxLjAyCGguZ2pkZ3hzMgloLjMwajB6bGwyCWguMWZvYjl0ZTIKaWQuMmV0OTJwMDIJaC4zem55c2g3OAByITFQYkxPRUdYcWFjR0VNTGVzdng5azA2bE4zektaX1RYRg==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