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3CDDC" w14:textId="77777777" w:rsidR="00AB6B30" w:rsidRPr="0081103C" w:rsidRDefault="00AB6B30" w:rsidP="00AB6B30">
      <w:pPr>
        <w:spacing w:after="0"/>
        <w:jc w:val="both"/>
        <w:rPr>
          <w:rFonts w:cs="Arial"/>
          <w:color w:val="00AF41"/>
          <w:sz w:val="32"/>
          <w:szCs w:val="32"/>
        </w:rPr>
      </w:pPr>
      <w:r>
        <w:rPr>
          <w:noProof/>
          <w:lang w:eastAsia="en-GB"/>
        </w:rPr>
        <w:drawing>
          <wp:inline distT="0" distB="0" distL="0" distR="0" wp14:anchorId="4EEACEF5" wp14:editId="2112723C">
            <wp:extent cx="2058670" cy="1052195"/>
            <wp:effectExtent l="0" t="0" r="0" b="0"/>
            <wp:docPr id="12297" name="Picture 1"/>
            <wp:cNvGraphicFramePr/>
            <a:graphic xmlns:a="http://schemas.openxmlformats.org/drawingml/2006/main">
              <a:graphicData uri="http://schemas.openxmlformats.org/drawingml/2006/picture">
                <pic:pic xmlns:pic="http://schemas.openxmlformats.org/drawingml/2006/picture">
                  <pic:nvPicPr>
                    <pic:cNvPr id="12297"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8670" cy="1052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cs="Arial"/>
          <w:color w:val="00AF41"/>
          <w:sz w:val="32"/>
          <w:szCs w:val="32"/>
        </w:rPr>
        <w:t xml:space="preserve">                                       </w:t>
      </w:r>
      <w:r w:rsidRPr="0081103C">
        <w:rPr>
          <w:rFonts w:cs="Arial"/>
          <w:color w:val="00AF41"/>
          <w:sz w:val="32"/>
          <w:szCs w:val="32"/>
        </w:rPr>
        <w:t>www.gov.uk/defra</w:t>
      </w:r>
    </w:p>
    <w:p w14:paraId="184D5328" w14:textId="77777777" w:rsidR="00AB6B30" w:rsidRDefault="00AB6B30" w:rsidP="00AB6B30">
      <w:pPr>
        <w:rPr>
          <w:rFonts w:ascii="Arial" w:hAnsi="Arial" w:cs="Arial"/>
          <w:b/>
          <w:noProof/>
          <w:u w:val="single"/>
        </w:rPr>
      </w:pPr>
    </w:p>
    <w:p w14:paraId="697BDE06" w14:textId="39A6CDE6" w:rsidR="00AB6B30" w:rsidRDefault="00B22655" w:rsidP="00B22655">
      <w:pPr>
        <w:pStyle w:val="PubTitle"/>
        <w:tabs>
          <w:tab w:val="left" w:pos="6804"/>
        </w:tabs>
      </w:pPr>
      <w:r>
        <w:t>Memorandum of Information and Questionnaire</w:t>
      </w:r>
    </w:p>
    <w:p w14:paraId="72A8BD97" w14:textId="77777777" w:rsidR="00AB6B30" w:rsidRPr="00AB6B30" w:rsidRDefault="00AB6B30" w:rsidP="00AB6B30"/>
    <w:p w14:paraId="50018ABC" w14:textId="659963B8" w:rsidR="00AB6B30" w:rsidRDefault="00B22655" w:rsidP="00B22655">
      <w:pPr>
        <w:pStyle w:val="PubTitle"/>
        <w:tabs>
          <w:tab w:val="left" w:pos="6804"/>
        </w:tabs>
      </w:pPr>
      <w:r>
        <w:t>Engineering Delivery Framework -</w:t>
      </w:r>
      <w:r w:rsidR="00AB6B30">
        <w:t xml:space="preserve"> Soft Market Testing</w:t>
      </w:r>
    </w:p>
    <w:p w14:paraId="6634201E" w14:textId="77777777" w:rsidR="00AB6B30" w:rsidRPr="00F235A7" w:rsidRDefault="00AB6B30" w:rsidP="00AB6B30"/>
    <w:p w14:paraId="2018A50E" w14:textId="79D0FA64" w:rsidR="00AB6B30" w:rsidRPr="00F235A7" w:rsidRDefault="00C52ED6" w:rsidP="00AB6B30">
      <w:pPr>
        <w:pStyle w:val="PubTitle"/>
        <w:jc w:val="both"/>
      </w:pPr>
      <w:r>
        <w:t xml:space="preserve">May </w:t>
      </w:r>
      <w:r w:rsidR="00AB6B30">
        <w:t>202</w:t>
      </w:r>
      <w:r w:rsidR="00B22655">
        <w:t>1</w:t>
      </w:r>
    </w:p>
    <w:p w14:paraId="25BAE388" w14:textId="77777777" w:rsidR="00AB6B30" w:rsidRDefault="00AB6B30" w:rsidP="00AB6B30">
      <w:pPr>
        <w:rPr>
          <w:rFonts w:ascii="Arial" w:hAnsi="Arial" w:cs="Arial"/>
          <w:b/>
          <w:noProof/>
          <w:u w:val="single"/>
        </w:rPr>
      </w:pPr>
    </w:p>
    <w:p w14:paraId="0DB7AE5A" w14:textId="77777777" w:rsidR="00AB6B30" w:rsidRPr="00F235A7" w:rsidRDefault="00AB6B30" w:rsidP="00AB6B30">
      <w:pPr>
        <w:rPr>
          <w:rFonts w:ascii="Arial" w:hAnsi="Arial" w:cs="Arial"/>
          <w:b/>
          <w:noProof/>
          <w:sz w:val="24"/>
          <w:szCs w:val="24"/>
          <w:u w:val="single"/>
        </w:rPr>
      </w:pPr>
    </w:p>
    <w:sdt>
      <w:sdtPr>
        <w:rPr>
          <w:rFonts w:ascii="Arial" w:eastAsiaTheme="minorEastAsia" w:hAnsi="Arial" w:cs="Arial"/>
          <w:b/>
          <w:color w:val="00B050"/>
          <w:sz w:val="44"/>
          <w:szCs w:val="44"/>
          <w:lang w:val="en-GB" w:eastAsia="en-GB"/>
        </w:rPr>
        <w:id w:val="70936019"/>
        <w:docPartObj>
          <w:docPartGallery w:val="Table of Contents"/>
          <w:docPartUnique/>
        </w:docPartObj>
      </w:sdtPr>
      <w:sdtEndPr>
        <w:rPr>
          <w:rFonts w:eastAsiaTheme="minorHAnsi"/>
          <w:bCs/>
          <w:noProof/>
          <w:color w:val="auto"/>
          <w:sz w:val="24"/>
          <w:szCs w:val="24"/>
          <w:lang w:eastAsia="en-US"/>
        </w:rPr>
      </w:sdtEndPr>
      <w:sdtContent>
        <w:p w14:paraId="5AA87348" w14:textId="77777777" w:rsidR="00AB6B30" w:rsidRPr="00F235A7" w:rsidRDefault="00AB6B30" w:rsidP="00AB6B30">
          <w:pPr>
            <w:pStyle w:val="TOCHeading"/>
            <w:rPr>
              <w:rFonts w:ascii="Arial" w:hAnsi="Arial" w:cs="Arial"/>
              <w:b/>
              <w:color w:val="00B050"/>
              <w:sz w:val="44"/>
              <w:szCs w:val="44"/>
            </w:rPr>
          </w:pPr>
          <w:r w:rsidRPr="00F235A7">
            <w:rPr>
              <w:rFonts w:ascii="Arial" w:hAnsi="Arial" w:cs="Arial"/>
              <w:b/>
              <w:color w:val="00B050"/>
              <w:sz w:val="44"/>
              <w:szCs w:val="44"/>
            </w:rPr>
            <w:t>Contents</w:t>
          </w:r>
        </w:p>
        <w:p w14:paraId="0B5B8107" w14:textId="77777777" w:rsidR="00AB6B30" w:rsidRPr="00F235A7" w:rsidRDefault="00AB6B30" w:rsidP="00AB6B30">
          <w:pPr>
            <w:rPr>
              <w:lang w:val="en-US"/>
            </w:rPr>
          </w:pPr>
        </w:p>
        <w:p w14:paraId="661AEEB6" w14:textId="28BC5E99" w:rsidR="00BA1386" w:rsidRDefault="00AB6B30">
          <w:pPr>
            <w:pStyle w:val="TOC2"/>
            <w:tabs>
              <w:tab w:val="left" w:pos="660"/>
              <w:tab w:val="right" w:leader="dot" w:pos="9182"/>
            </w:tabs>
            <w:rPr>
              <w:noProof/>
            </w:rPr>
          </w:pPr>
          <w:r w:rsidRPr="00F235A7">
            <w:rPr>
              <w:rFonts w:ascii="Arial" w:hAnsi="Arial" w:cs="Arial"/>
              <w:b/>
              <w:bCs/>
              <w:noProof/>
              <w:sz w:val="24"/>
              <w:szCs w:val="24"/>
            </w:rPr>
            <w:fldChar w:fldCharType="begin"/>
          </w:r>
          <w:r w:rsidRPr="00F235A7">
            <w:rPr>
              <w:rFonts w:ascii="Arial" w:hAnsi="Arial" w:cs="Arial"/>
              <w:b/>
              <w:bCs/>
              <w:noProof/>
              <w:sz w:val="24"/>
              <w:szCs w:val="24"/>
            </w:rPr>
            <w:instrText xml:space="preserve"> TOC \o "1-3" \h \z \u </w:instrText>
          </w:r>
          <w:r w:rsidRPr="00F235A7">
            <w:rPr>
              <w:rFonts w:ascii="Arial" w:hAnsi="Arial" w:cs="Arial"/>
              <w:b/>
              <w:bCs/>
              <w:noProof/>
              <w:sz w:val="24"/>
              <w:szCs w:val="24"/>
            </w:rPr>
            <w:fldChar w:fldCharType="separate"/>
          </w:r>
          <w:hyperlink w:anchor="_Toc71645605" w:history="1">
            <w:r w:rsidR="00BA1386" w:rsidRPr="0089115E">
              <w:rPr>
                <w:rStyle w:val="Hyperlink"/>
                <w:rFonts w:ascii="Arial" w:eastAsia="Times New Roman" w:hAnsi="Arial"/>
                <w:b/>
                <w:bCs/>
                <w:noProof/>
              </w:rPr>
              <w:t>1.</w:t>
            </w:r>
            <w:r w:rsidR="00BA1386">
              <w:rPr>
                <w:noProof/>
              </w:rPr>
              <w:tab/>
            </w:r>
            <w:r w:rsidR="00BA1386" w:rsidRPr="0089115E">
              <w:rPr>
                <w:rStyle w:val="Hyperlink"/>
                <w:rFonts w:ascii="Arial" w:eastAsia="Times New Roman" w:hAnsi="Arial"/>
                <w:b/>
                <w:bCs/>
                <w:noProof/>
              </w:rPr>
              <w:t>Introduction</w:t>
            </w:r>
            <w:r w:rsidR="00BA1386">
              <w:rPr>
                <w:noProof/>
                <w:webHidden/>
              </w:rPr>
              <w:tab/>
            </w:r>
            <w:r w:rsidR="00BA1386">
              <w:rPr>
                <w:noProof/>
                <w:webHidden/>
              </w:rPr>
              <w:fldChar w:fldCharType="begin"/>
            </w:r>
            <w:r w:rsidR="00BA1386">
              <w:rPr>
                <w:noProof/>
                <w:webHidden/>
              </w:rPr>
              <w:instrText xml:space="preserve"> PAGEREF _Toc71645605 \h </w:instrText>
            </w:r>
            <w:r w:rsidR="00BA1386">
              <w:rPr>
                <w:noProof/>
                <w:webHidden/>
              </w:rPr>
            </w:r>
            <w:r w:rsidR="00BA1386">
              <w:rPr>
                <w:noProof/>
                <w:webHidden/>
              </w:rPr>
              <w:fldChar w:fldCharType="separate"/>
            </w:r>
            <w:r w:rsidR="00BA1386">
              <w:rPr>
                <w:noProof/>
                <w:webHidden/>
              </w:rPr>
              <w:t>3</w:t>
            </w:r>
            <w:r w:rsidR="00BA1386">
              <w:rPr>
                <w:noProof/>
                <w:webHidden/>
              </w:rPr>
              <w:fldChar w:fldCharType="end"/>
            </w:r>
          </w:hyperlink>
        </w:p>
        <w:p w14:paraId="32449CA0" w14:textId="32517407" w:rsidR="00BA1386" w:rsidRDefault="00625F18">
          <w:pPr>
            <w:pStyle w:val="TOC2"/>
            <w:tabs>
              <w:tab w:val="left" w:pos="660"/>
              <w:tab w:val="right" w:leader="dot" w:pos="9182"/>
            </w:tabs>
            <w:rPr>
              <w:noProof/>
            </w:rPr>
          </w:pPr>
          <w:hyperlink w:anchor="_Toc71645606" w:history="1">
            <w:r w:rsidR="00BA1386" w:rsidRPr="0089115E">
              <w:rPr>
                <w:rStyle w:val="Hyperlink"/>
                <w:rFonts w:ascii="Arial" w:eastAsia="Times New Roman" w:hAnsi="Arial"/>
                <w:b/>
                <w:bCs/>
                <w:noProof/>
              </w:rPr>
              <w:t>2.</w:t>
            </w:r>
            <w:r w:rsidR="00BA1386">
              <w:rPr>
                <w:noProof/>
              </w:rPr>
              <w:tab/>
            </w:r>
            <w:r w:rsidR="00BA1386" w:rsidRPr="0089115E">
              <w:rPr>
                <w:rStyle w:val="Hyperlink"/>
                <w:rFonts w:ascii="Arial" w:eastAsia="Times New Roman" w:hAnsi="Arial"/>
                <w:b/>
                <w:bCs/>
                <w:noProof/>
              </w:rPr>
              <w:t>Background to APHA Weybridge</w:t>
            </w:r>
            <w:r w:rsidR="00BA1386">
              <w:rPr>
                <w:noProof/>
                <w:webHidden/>
              </w:rPr>
              <w:tab/>
            </w:r>
            <w:r w:rsidR="00BA1386">
              <w:rPr>
                <w:noProof/>
                <w:webHidden/>
              </w:rPr>
              <w:fldChar w:fldCharType="begin"/>
            </w:r>
            <w:r w:rsidR="00BA1386">
              <w:rPr>
                <w:noProof/>
                <w:webHidden/>
              </w:rPr>
              <w:instrText xml:space="preserve"> PAGEREF _Toc71645606 \h </w:instrText>
            </w:r>
            <w:r w:rsidR="00BA1386">
              <w:rPr>
                <w:noProof/>
                <w:webHidden/>
              </w:rPr>
            </w:r>
            <w:r w:rsidR="00BA1386">
              <w:rPr>
                <w:noProof/>
                <w:webHidden/>
              </w:rPr>
              <w:fldChar w:fldCharType="separate"/>
            </w:r>
            <w:r w:rsidR="00BA1386">
              <w:rPr>
                <w:noProof/>
                <w:webHidden/>
              </w:rPr>
              <w:t>4</w:t>
            </w:r>
            <w:r w:rsidR="00BA1386">
              <w:rPr>
                <w:noProof/>
                <w:webHidden/>
              </w:rPr>
              <w:fldChar w:fldCharType="end"/>
            </w:r>
          </w:hyperlink>
        </w:p>
        <w:p w14:paraId="0D397E2B" w14:textId="1314CDEA" w:rsidR="00BA1386" w:rsidRDefault="00625F18">
          <w:pPr>
            <w:pStyle w:val="TOC2"/>
            <w:tabs>
              <w:tab w:val="left" w:pos="660"/>
              <w:tab w:val="right" w:leader="dot" w:pos="9182"/>
            </w:tabs>
            <w:rPr>
              <w:noProof/>
            </w:rPr>
          </w:pPr>
          <w:hyperlink w:anchor="_Toc71645607" w:history="1">
            <w:r w:rsidR="00BA1386" w:rsidRPr="0089115E">
              <w:rPr>
                <w:rStyle w:val="Hyperlink"/>
                <w:rFonts w:ascii="Arial" w:eastAsia="Times New Roman" w:hAnsi="Arial"/>
                <w:b/>
                <w:bCs/>
                <w:noProof/>
              </w:rPr>
              <w:t>3.</w:t>
            </w:r>
            <w:r w:rsidR="00BA1386">
              <w:rPr>
                <w:noProof/>
              </w:rPr>
              <w:tab/>
            </w:r>
            <w:r w:rsidR="00BA1386" w:rsidRPr="0089115E">
              <w:rPr>
                <w:rStyle w:val="Hyperlink"/>
                <w:rFonts w:ascii="Arial" w:eastAsia="Times New Roman" w:hAnsi="Arial"/>
                <w:b/>
                <w:bCs/>
                <w:noProof/>
              </w:rPr>
              <w:t>Existing Estate and Planned Investment:</w:t>
            </w:r>
            <w:r w:rsidR="00BA1386">
              <w:rPr>
                <w:noProof/>
                <w:webHidden/>
              </w:rPr>
              <w:tab/>
            </w:r>
            <w:r w:rsidR="00BA1386">
              <w:rPr>
                <w:noProof/>
                <w:webHidden/>
              </w:rPr>
              <w:fldChar w:fldCharType="begin"/>
            </w:r>
            <w:r w:rsidR="00BA1386">
              <w:rPr>
                <w:noProof/>
                <w:webHidden/>
              </w:rPr>
              <w:instrText xml:space="preserve"> PAGEREF _Toc71645607 \h </w:instrText>
            </w:r>
            <w:r w:rsidR="00BA1386">
              <w:rPr>
                <w:noProof/>
                <w:webHidden/>
              </w:rPr>
            </w:r>
            <w:r w:rsidR="00BA1386">
              <w:rPr>
                <w:noProof/>
                <w:webHidden/>
              </w:rPr>
              <w:fldChar w:fldCharType="separate"/>
            </w:r>
            <w:r w:rsidR="00BA1386">
              <w:rPr>
                <w:noProof/>
                <w:webHidden/>
              </w:rPr>
              <w:t>5</w:t>
            </w:r>
            <w:r w:rsidR="00BA1386">
              <w:rPr>
                <w:noProof/>
                <w:webHidden/>
              </w:rPr>
              <w:fldChar w:fldCharType="end"/>
            </w:r>
          </w:hyperlink>
        </w:p>
        <w:p w14:paraId="71A9FB81" w14:textId="03789E04" w:rsidR="00BA1386" w:rsidRDefault="00625F18">
          <w:pPr>
            <w:pStyle w:val="TOC2"/>
            <w:tabs>
              <w:tab w:val="left" w:pos="660"/>
              <w:tab w:val="right" w:leader="dot" w:pos="9182"/>
            </w:tabs>
            <w:rPr>
              <w:noProof/>
            </w:rPr>
          </w:pPr>
          <w:hyperlink w:anchor="_Toc71645608" w:history="1">
            <w:r w:rsidR="00BA1386" w:rsidRPr="0089115E">
              <w:rPr>
                <w:rStyle w:val="Hyperlink"/>
                <w:rFonts w:ascii="Arial" w:eastAsia="Times New Roman" w:hAnsi="Arial"/>
                <w:b/>
                <w:bCs/>
                <w:noProof/>
              </w:rPr>
              <w:t>4.</w:t>
            </w:r>
            <w:r w:rsidR="00BA1386">
              <w:rPr>
                <w:noProof/>
              </w:rPr>
              <w:tab/>
            </w:r>
            <w:r w:rsidR="00BA1386" w:rsidRPr="0089115E">
              <w:rPr>
                <w:rStyle w:val="Hyperlink"/>
                <w:rFonts w:ascii="Arial" w:eastAsia="Times New Roman" w:hAnsi="Arial"/>
                <w:b/>
                <w:bCs/>
                <w:noProof/>
              </w:rPr>
              <w:t>Procurement and Contracting Strategy</w:t>
            </w:r>
            <w:r w:rsidR="00BA1386">
              <w:rPr>
                <w:noProof/>
                <w:webHidden/>
              </w:rPr>
              <w:tab/>
            </w:r>
            <w:r w:rsidR="00BA1386">
              <w:rPr>
                <w:noProof/>
                <w:webHidden/>
              </w:rPr>
              <w:fldChar w:fldCharType="begin"/>
            </w:r>
            <w:r w:rsidR="00BA1386">
              <w:rPr>
                <w:noProof/>
                <w:webHidden/>
              </w:rPr>
              <w:instrText xml:space="preserve"> PAGEREF _Toc71645608 \h </w:instrText>
            </w:r>
            <w:r w:rsidR="00BA1386">
              <w:rPr>
                <w:noProof/>
                <w:webHidden/>
              </w:rPr>
            </w:r>
            <w:r w:rsidR="00BA1386">
              <w:rPr>
                <w:noProof/>
                <w:webHidden/>
              </w:rPr>
              <w:fldChar w:fldCharType="separate"/>
            </w:r>
            <w:r w:rsidR="00BA1386">
              <w:rPr>
                <w:noProof/>
                <w:webHidden/>
              </w:rPr>
              <w:t>6</w:t>
            </w:r>
            <w:r w:rsidR="00BA1386">
              <w:rPr>
                <w:noProof/>
                <w:webHidden/>
              </w:rPr>
              <w:fldChar w:fldCharType="end"/>
            </w:r>
          </w:hyperlink>
        </w:p>
        <w:p w14:paraId="2122736F" w14:textId="62A01D84" w:rsidR="00BA1386" w:rsidRDefault="00625F18">
          <w:pPr>
            <w:pStyle w:val="TOC2"/>
            <w:tabs>
              <w:tab w:val="left" w:pos="660"/>
              <w:tab w:val="right" w:leader="dot" w:pos="9182"/>
            </w:tabs>
            <w:rPr>
              <w:noProof/>
            </w:rPr>
          </w:pPr>
          <w:hyperlink w:anchor="_Toc71645609" w:history="1">
            <w:r w:rsidR="00BA1386" w:rsidRPr="0089115E">
              <w:rPr>
                <w:rStyle w:val="Hyperlink"/>
                <w:rFonts w:ascii="Arial" w:eastAsia="Times New Roman" w:hAnsi="Arial"/>
                <w:b/>
                <w:bCs/>
                <w:noProof/>
              </w:rPr>
              <w:t>5.</w:t>
            </w:r>
            <w:r w:rsidR="00BA1386">
              <w:rPr>
                <w:noProof/>
              </w:rPr>
              <w:tab/>
            </w:r>
            <w:r w:rsidR="00BA1386" w:rsidRPr="0089115E">
              <w:rPr>
                <w:rStyle w:val="Hyperlink"/>
                <w:rFonts w:ascii="Arial" w:eastAsia="Times New Roman" w:hAnsi="Arial"/>
                <w:b/>
                <w:bCs/>
                <w:noProof/>
              </w:rPr>
              <w:t>Soft Market Testing Process</w:t>
            </w:r>
            <w:r w:rsidR="00BA1386">
              <w:rPr>
                <w:noProof/>
                <w:webHidden/>
              </w:rPr>
              <w:tab/>
            </w:r>
            <w:r w:rsidR="00BA1386">
              <w:rPr>
                <w:noProof/>
                <w:webHidden/>
              </w:rPr>
              <w:fldChar w:fldCharType="begin"/>
            </w:r>
            <w:r w:rsidR="00BA1386">
              <w:rPr>
                <w:noProof/>
                <w:webHidden/>
              </w:rPr>
              <w:instrText xml:space="preserve"> PAGEREF _Toc71645609 \h </w:instrText>
            </w:r>
            <w:r w:rsidR="00BA1386">
              <w:rPr>
                <w:noProof/>
                <w:webHidden/>
              </w:rPr>
            </w:r>
            <w:r w:rsidR="00BA1386">
              <w:rPr>
                <w:noProof/>
                <w:webHidden/>
              </w:rPr>
              <w:fldChar w:fldCharType="separate"/>
            </w:r>
            <w:r w:rsidR="00BA1386">
              <w:rPr>
                <w:noProof/>
                <w:webHidden/>
              </w:rPr>
              <w:t>6</w:t>
            </w:r>
            <w:r w:rsidR="00BA1386">
              <w:rPr>
                <w:noProof/>
                <w:webHidden/>
              </w:rPr>
              <w:fldChar w:fldCharType="end"/>
            </w:r>
          </w:hyperlink>
        </w:p>
        <w:p w14:paraId="43271F5B" w14:textId="69EFF70C" w:rsidR="00AB6B30" w:rsidRPr="00F235A7" w:rsidRDefault="00AB6B30" w:rsidP="00AB6B30">
          <w:pPr>
            <w:rPr>
              <w:rFonts w:ascii="Arial" w:hAnsi="Arial" w:cs="Arial"/>
              <w:sz w:val="24"/>
              <w:szCs w:val="24"/>
            </w:rPr>
          </w:pPr>
          <w:r w:rsidRPr="00F235A7">
            <w:rPr>
              <w:rFonts w:ascii="Arial" w:hAnsi="Arial" w:cs="Arial"/>
              <w:b/>
              <w:bCs/>
              <w:noProof/>
              <w:sz w:val="24"/>
              <w:szCs w:val="24"/>
            </w:rPr>
            <w:fldChar w:fldCharType="end"/>
          </w:r>
        </w:p>
      </w:sdtContent>
    </w:sdt>
    <w:p w14:paraId="08DA7BB8" w14:textId="77777777" w:rsidR="00AB6B30" w:rsidRPr="00AB6B30" w:rsidRDefault="00AB6B30" w:rsidP="00AB6B30"/>
    <w:p w14:paraId="40C9031B" w14:textId="77777777" w:rsidR="00AB6B30" w:rsidRPr="00AB6B30" w:rsidRDefault="00AB6B30" w:rsidP="00AB6B30"/>
    <w:p w14:paraId="630AAC7D" w14:textId="25F6407C" w:rsidR="005A1771" w:rsidRPr="00AB6B30" w:rsidRDefault="00AB6B30" w:rsidP="00BA1386">
      <w:pPr>
        <w:pStyle w:val="Heading2"/>
        <w:keepLines w:val="0"/>
        <w:numPr>
          <w:ilvl w:val="0"/>
          <w:numId w:val="34"/>
        </w:numPr>
        <w:tabs>
          <w:tab w:val="left" w:pos="567"/>
        </w:tabs>
        <w:spacing w:before="100" w:beforeAutospacing="1" w:after="100" w:afterAutospacing="1" w:line="240" w:lineRule="auto"/>
        <w:ind w:left="567" w:hanging="567"/>
        <w:jc w:val="both"/>
        <w:rPr>
          <w:rFonts w:ascii="Arial" w:eastAsia="Times New Roman" w:hAnsi="Arial" w:cs="Times New Roman"/>
          <w:b/>
          <w:bCs/>
          <w:color w:val="00AF41"/>
          <w:sz w:val="36"/>
        </w:rPr>
      </w:pPr>
      <w:r w:rsidRPr="00AB6B30">
        <w:rPr>
          <w:rFonts w:ascii="Arial" w:eastAsia="Times New Roman" w:hAnsi="Arial" w:cs="Times New Roman"/>
          <w:b/>
          <w:bCs/>
          <w:color w:val="00AF41"/>
          <w:sz w:val="36"/>
        </w:rPr>
        <w:br w:type="page"/>
      </w:r>
      <w:bookmarkStart w:id="0" w:name="_Toc71645605"/>
      <w:r w:rsidR="005A1771" w:rsidRPr="00AB6B30">
        <w:rPr>
          <w:rFonts w:ascii="Arial" w:eastAsia="Times New Roman" w:hAnsi="Arial" w:cs="Times New Roman"/>
          <w:b/>
          <w:bCs/>
          <w:color w:val="00AF41"/>
          <w:sz w:val="36"/>
        </w:rPr>
        <w:lastRenderedPageBreak/>
        <w:t>Introduction</w:t>
      </w:r>
      <w:bookmarkEnd w:id="0"/>
    </w:p>
    <w:p w14:paraId="37280A06" w14:textId="09E8EF4F" w:rsidR="005A1771" w:rsidRDefault="005A1771" w:rsidP="002A1ACD">
      <w:pPr>
        <w:spacing w:before="100" w:beforeAutospacing="1" w:after="100" w:afterAutospacing="1" w:line="240" w:lineRule="auto"/>
        <w:rPr>
          <w:rFonts w:eastAsia="Times New Roman" w:cstheme="minorHAnsi"/>
          <w:lang w:eastAsia="en-GB"/>
        </w:rPr>
      </w:pPr>
      <w:bookmarkStart w:id="1" w:name="2_Project_Overview"/>
      <w:bookmarkStart w:id="2" w:name="_bookmark1"/>
      <w:bookmarkStart w:id="3" w:name="1_Introduction"/>
      <w:bookmarkStart w:id="4" w:name="_bookmark0"/>
      <w:bookmarkEnd w:id="1"/>
      <w:bookmarkEnd w:id="2"/>
      <w:bookmarkEnd w:id="3"/>
      <w:bookmarkEnd w:id="4"/>
      <w:r w:rsidRPr="00D54D4C">
        <w:rPr>
          <w:rFonts w:eastAsia="Times New Roman" w:cstheme="minorHAnsi"/>
          <w:lang w:eastAsia="en-GB"/>
        </w:rPr>
        <w:t>The Department for Environment, Food &amp; Rural Affairs (DEFRA) wish</w:t>
      </w:r>
      <w:r w:rsidR="008813A2">
        <w:rPr>
          <w:rFonts w:eastAsia="Times New Roman" w:cstheme="minorHAnsi"/>
          <w:lang w:eastAsia="en-GB"/>
        </w:rPr>
        <w:t>es</w:t>
      </w:r>
      <w:r w:rsidRPr="00D54D4C">
        <w:rPr>
          <w:rFonts w:eastAsia="Times New Roman" w:cstheme="minorHAnsi"/>
          <w:lang w:eastAsia="en-GB"/>
        </w:rPr>
        <w:t xml:space="preserve"> to engage Suppliers in a Soft Market Testing (SMT) exercise in anticipation of the procurement of </w:t>
      </w:r>
      <w:r w:rsidR="00414B70">
        <w:rPr>
          <w:rFonts w:eastAsia="Times New Roman" w:cstheme="minorHAnsi"/>
          <w:lang w:eastAsia="en-GB"/>
        </w:rPr>
        <w:t>contractor</w:t>
      </w:r>
      <w:r w:rsidR="00346CBA">
        <w:rPr>
          <w:rFonts w:eastAsia="Times New Roman" w:cstheme="minorHAnsi"/>
          <w:lang w:eastAsia="en-GB"/>
        </w:rPr>
        <w:t>s</w:t>
      </w:r>
      <w:r w:rsidRPr="00D54D4C">
        <w:rPr>
          <w:rFonts w:eastAsia="Times New Roman" w:cstheme="minorHAnsi"/>
          <w:lang w:eastAsia="en-GB"/>
        </w:rPr>
        <w:t xml:space="preserve"> for</w:t>
      </w:r>
      <w:r w:rsidR="00346CBA">
        <w:rPr>
          <w:rFonts w:eastAsia="Times New Roman" w:cstheme="minorHAnsi"/>
          <w:lang w:eastAsia="en-GB"/>
        </w:rPr>
        <w:t xml:space="preserve"> delivery of works and services under a new </w:t>
      </w:r>
      <w:r w:rsidR="00C52ED6">
        <w:rPr>
          <w:rFonts w:eastAsia="Times New Roman" w:cstheme="minorHAnsi"/>
          <w:lang w:eastAsia="en-GB"/>
        </w:rPr>
        <w:t xml:space="preserve">Science </w:t>
      </w:r>
      <w:r w:rsidR="00346CBA">
        <w:rPr>
          <w:rFonts w:eastAsia="Times New Roman" w:cstheme="minorHAnsi"/>
          <w:lang w:eastAsia="en-GB"/>
        </w:rPr>
        <w:t xml:space="preserve">Engineering Delivery Framework which will support </w:t>
      </w:r>
      <w:r w:rsidR="000D2AF7">
        <w:rPr>
          <w:rFonts w:eastAsia="Times New Roman" w:cstheme="minorHAnsi"/>
          <w:lang w:eastAsia="en-GB"/>
        </w:rPr>
        <w:t xml:space="preserve">the redevelopment of </w:t>
      </w:r>
      <w:r w:rsidRPr="00D54D4C">
        <w:rPr>
          <w:rFonts w:eastAsia="Times New Roman" w:cstheme="minorHAnsi"/>
          <w:lang w:eastAsia="en-GB"/>
        </w:rPr>
        <w:t>the Animal Plan</w:t>
      </w:r>
      <w:r w:rsidR="00DC12E3">
        <w:rPr>
          <w:rFonts w:eastAsia="Times New Roman" w:cstheme="minorHAnsi"/>
          <w:lang w:eastAsia="en-GB"/>
        </w:rPr>
        <w:t>t</w:t>
      </w:r>
      <w:r w:rsidRPr="00D54D4C">
        <w:rPr>
          <w:rFonts w:eastAsia="Times New Roman" w:cstheme="minorHAnsi"/>
          <w:lang w:eastAsia="en-GB"/>
        </w:rPr>
        <w:t xml:space="preserve"> and Health Agency facility at Woodham Road Addlestone, known more commonly as APHA Weybridge.</w:t>
      </w:r>
    </w:p>
    <w:p w14:paraId="78F1EFA4" w14:textId="5F390EEC" w:rsidR="005A1771" w:rsidRPr="00D54D4C" w:rsidRDefault="005A1771" w:rsidP="002A1ACD">
      <w:p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t>The purpose of this SMT exercise is</w:t>
      </w:r>
      <w:r w:rsidR="008E3722" w:rsidRPr="00D54D4C">
        <w:rPr>
          <w:rFonts w:eastAsia="Times New Roman" w:cstheme="minorHAnsi"/>
          <w:lang w:eastAsia="en-GB"/>
        </w:rPr>
        <w:t xml:space="preserve"> to optimise the procurement process for all parties.  Some of the key objectives from DEFRA’s perspective being</w:t>
      </w:r>
      <w:r w:rsidR="00952C91" w:rsidRPr="00D54D4C">
        <w:rPr>
          <w:rFonts w:eastAsia="Times New Roman" w:cstheme="minorHAnsi"/>
          <w:lang w:eastAsia="en-GB"/>
        </w:rPr>
        <w:t xml:space="preserve"> to</w:t>
      </w:r>
      <w:r w:rsidR="008E3722" w:rsidRPr="00D54D4C">
        <w:rPr>
          <w:rFonts w:eastAsia="Times New Roman" w:cstheme="minorHAnsi"/>
          <w:lang w:eastAsia="en-GB"/>
        </w:rPr>
        <w:t>:</w:t>
      </w:r>
    </w:p>
    <w:p w14:paraId="6724DA43" w14:textId="14176BC6" w:rsidR="005A1771" w:rsidRPr="00D54D4C" w:rsidRDefault="00346CBA" w:rsidP="002A1ACD">
      <w:pPr>
        <w:pStyle w:val="ListParagraph"/>
        <w:numPr>
          <w:ilvl w:val="0"/>
          <w:numId w:val="15"/>
        </w:num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t>A</w:t>
      </w:r>
      <w:r w:rsidR="005A1771" w:rsidRPr="00D54D4C">
        <w:rPr>
          <w:rFonts w:eastAsia="Times New Roman" w:cstheme="minorHAnsi"/>
          <w:lang w:eastAsia="en-GB"/>
        </w:rPr>
        <w:t>ssess</w:t>
      </w:r>
      <w:r>
        <w:rPr>
          <w:rFonts w:eastAsia="Times New Roman" w:cstheme="minorHAnsi"/>
          <w:lang w:eastAsia="en-GB"/>
        </w:rPr>
        <w:t xml:space="preserve"> and understand</w:t>
      </w:r>
      <w:r w:rsidR="005A1771" w:rsidRPr="00D54D4C">
        <w:rPr>
          <w:rFonts w:eastAsia="Times New Roman" w:cstheme="minorHAnsi"/>
          <w:lang w:eastAsia="en-GB"/>
        </w:rPr>
        <w:t xml:space="preserve"> the structure, capability and capacity of the market, particularly concerning the specialist areas and </w:t>
      </w:r>
      <w:proofErr w:type="gramStart"/>
      <w:r w:rsidR="00DD7231" w:rsidRPr="00D54D4C">
        <w:rPr>
          <w:rFonts w:eastAsia="Times New Roman" w:cstheme="minorHAnsi"/>
          <w:lang w:eastAsia="en-GB"/>
        </w:rPr>
        <w:t>services;</w:t>
      </w:r>
      <w:proofErr w:type="gramEnd"/>
    </w:p>
    <w:p w14:paraId="03FBD351" w14:textId="47EC51C2" w:rsidR="00102EA3" w:rsidRPr="00D54D4C" w:rsidRDefault="00102EA3" w:rsidP="002A1ACD">
      <w:pPr>
        <w:pStyle w:val="ListParagraph"/>
        <w:numPr>
          <w:ilvl w:val="0"/>
          <w:numId w:val="15"/>
        </w:num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t>align the procurement process with the skills</w:t>
      </w:r>
      <w:r w:rsidR="00952C91" w:rsidRPr="00D54D4C">
        <w:rPr>
          <w:rFonts w:eastAsia="Times New Roman" w:cstheme="minorHAnsi"/>
          <w:lang w:eastAsia="en-GB"/>
        </w:rPr>
        <w:t xml:space="preserve">, </w:t>
      </w:r>
      <w:r w:rsidRPr="00D54D4C">
        <w:rPr>
          <w:rFonts w:eastAsia="Times New Roman" w:cstheme="minorHAnsi"/>
          <w:lang w:eastAsia="en-GB"/>
        </w:rPr>
        <w:t xml:space="preserve">capabilities </w:t>
      </w:r>
      <w:r w:rsidR="00952C91" w:rsidRPr="00D54D4C">
        <w:rPr>
          <w:rFonts w:eastAsia="Times New Roman" w:cstheme="minorHAnsi"/>
          <w:lang w:eastAsia="en-GB"/>
        </w:rPr>
        <w:t xml:space="preserve">and capacity </w:t>
      </w:r>
      <w:r w:rsidRPr="00D54D4C">
        <w:rPr>
          <w:rFonts w:eastAsia="Times New Roman" w:cstheme="minorHAnsi"/>
          <w:lang w:eastAsia="en-GB"/>
        </w:rPr>
        <w:t xml:space="preserve">so that confidence </w:t>
      </w:r>
      <w:r w:rsidR="003E0E4E">
        <w:rPr>
          <w:rFonts w:eastAsia="Times New Roman" w:cstheme="minorHAnsi"/>
          <w:lang w:eastAsia="en-GB"/>
        </w:rPr>
        <w:t>with</w:t>
      </w:r>
      <w:r w:rsidRPr="00D54D4C">
        <w:rPr>
          <w:rFonts w:eastAsia="Times New Roman" w:cstheme="minorHAnsi"/>
          <w:lang w:eastAsia="en-GB"/>
        </w:rPr>
        <w:t xml:space="preserve">in the market is </w:t>
      </w:r>
      <w:proofErr w:type="gramStart"/>
      <w:r w:rsidRPr="00D54D4C">
        <w:rPr>
          <w:rFonts w:eastAsia="Times New Roman" w:cstheme="minorHAnsi"/>
          <w:lang w:eastAsia="en-GB"/>
        </w:rPr>
        <w:t>maximised</w:t>
      </w:r>
      <w:r w:rsidR="00CD189F">
        <w:rPr>
          <w:rFonts w:eastAsia="Times New Roman" w:cstheme="minorHAnsi"/>
          <w:lang w:eastAsia="en-GB"/>
        </w:rPr>
        <w:t>;</w:t>
      </w:r>
      <w:proofErr w:type="gramEnd"/>
    </w:p>
    <w:p w14:paraId="15D9D386" w14:textId="50094DED" w:rsidR="00D90395" w:rsidRPr="00D54D4C" w:rsidRDefault="00D90395" w:rsidP="002A1ACD">
      <w:pPr>
        <w:pStyle w:val="ListParagraph"/>
        <w:numPr>
          <w:ilvl w:val="0"/>
          <w:numId w:val="15"/>
        </w:num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t xml:space="preserve">understand what steps may encourage and increase market </w:t>
      </w:r>
      <w:proofErr w:type="gramStart"/>
      <w:r w:rsidRPr="00D54D4C">
        <w:rPr>
          <w:rFonts w:eastAsia="Times New Roman" w:cstheme="minorHAnsi"/>
          <w:lang w:eastAsia="en-GB"/>
        </w:rPr>
        <w:t>appetite</w:t>
      </w:r>
      <w:r w:rsidR="00CD189F">
        <w:rPr>
          <w:rFonts w:eastAsia="Times New Roman" w:cstheme="minorHAnsi"/>
          <w:lang w:eastAsia="en-GB"/>
        </w:rPr>
        <w:t>;</w:t>
      </w:r>
      <w:proofErr w:type="gramEnd"/>
    </w:p>
    <w:p w14:paraId="0F3B1F49" w14:textId="0FFF5DC2" w:rsidR="008007DF" w:rsidRPr="00D54D4C" w:rsidRDefault="00040EA0" w:rsidP="002A1ACD">
      <w:pPr>
        <w:pStyle w:val="ListParagraph"/>
        <w:numPr>
          <w:ilvl w:val="0"/>
          <w:numId w:val="15"/>
        </w:num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t>understand our suppliers</w:t>
      </w:r>
      <w:r w:rsidR="003E0E4E">
        <w:rPr>
          <w:rFonts w:eastAsia="Times New Roman" w:cstheme="minorHAnsi"/>
          <w:lang w:eastAsia="en-GB"/>
        </w:rPr>
        <w:t>’</w:t>
      </w:r>
      <w:r w:rsidRPr="00D54D4C">
        <w:rPr>
          <w:rFonts w:eastAsia="Times New Roman" w:cstheme="minorHAnsi"/>
          <w:lang w:eastAsia="en-GB"/>
        </w:rPr>
        <w:t xml:space="preserve"> supply chain requirements </w:t>
      </w:r>
      <w:r w:rsidR="00952C91" w:rsidRPr="00D54D4C">
        <w:rPr>
          <w:rFonts w:eastAsia="Times New Roman" w:cstheme="minorHAnsi"/>
          <w:lang w:eastAsia="en-GB"/>
        </w:rPr>
        <w:t xml:space="preserve">and any </w:t>
      </w:r>
      <w:r w:rsidR="00BC7FD1" w:rsidRPr="00D54D4C">
        <w:rPr>
          <w:rFonts w:eastAsia="Times New Roman" w:cstheme="minorHAnsi"/>
          <w:lang w:eastAsia="en-GB"/>
        </w:rPr>
        <w:t xml:space="preserve">conflicting demands that may exist in the </w:t>
      </w:r>
      <w:proofErr w:type="gramStart"/>
      <w:r w:rsidR="00BC7FD1" w:rsidRPr="00D54D4C">
        <w:rPr>
          <w:rFonts w:eastAsia="Times New Roman" w:cstheme="minorHAnsi"/>
          <w:lang w:eastAsia="en-GB"/>
        </w:rPr>
        <w:t>market</w:t>
      </w:r>
      <w:r w:rsidR="00CD189F">
        <w:rPr>
          <w:rFonts w:eastAsia="Times New Roman" w:cstheme="minorHAnsi"/>
          <w:lang w:eastAsia="en-GB"/>
        </w:rPr>
        <w:t>;</w:t>
      </w:r>
      <w:proofErr w:type="gramEnd"/>
    </w:p>
    <w:p w14:paraId="4D78A59A" w14:textId="2896A35D" w:rsidR="00D90395" w:rsidRPr="00D54D4C" w:rsidRDefault="00D90395" w:rsidP="002A1ACD">
      <w:pPr>
        <w:pStyle w:val="ListParagraph"/>
        <w:numPr>
          <w:ilvl w:val="0"/>
          <w:numId w:val="15"/>
        </w:num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t xml:space="preserve">improve team integration via aligned and clearly understood </w:t>
      </w:r>
      <w:r w:rsidR="00952C91" w:rsidRPr="00D54D4C">
        <w:rPr>
          <w:rFonts w:eastAsia="Times New Roman" w:cstheme="minorHAnsi"/>
          <w:lang w:eastAsia="en-GB"/>
        </w:rPr>
        <w:t>requirements</w:t>
      </w:r>
      <w:r w:rsidRPr="00D54D4C">
        <w:rPr>
          <w:rFonts w:eastAsia="Times New Roman" w:cstheme="minorHAnsi"/>
          <w:lang w:eastAsia="en-GB"/>
        </w:rPr>
        <w:t xml:space="preserve"> </w:t>
      </w:r>
      <w:r w:rsidR="00952C91" w:rsidRPr="00D54D4C">
        <w:rPr>
          <w:rFonts w:eastAsia="Times New Roman" w:cstheme="minorHAnsi"/>
          <w:lang w:eastAsia="en-GB"/>
        </w:rPr>
        <w:t>so that</w:t>
      </w:r>
      <w:r w:rsidRPr="00D54D4C">
        <w:rPr>
          <w:rFonts w:eastAsia="Times New Roman" w:cstheme="minorHAnsi"/>
          <w:lang w:eastAsia="en-GB"/>
        </w:rPr>
        <w:t xml:space="preserve"> effective collaboration </w:t>
      </w:r>
      <w:proofErr w:type="gramStart"/>
      <w:r w:rsidR="00952C91" w:rsidRPr="00D54D4C">
        <w:rPr>
          <w:rFonts w:eastAsia="Times New Roman" w:cstheme="minorHAnsi"/>
          <w:lang w:eastAsia="en-GB"/>
        </w:rPr>
        <w:t>follows</w:t>
      </w:r>
      <w:r w:rsidR="00CD189F">
        <w:rPr>
          <w:rFonts w:eastAsia="Times New Roman" w:cstheme="minorHAnsi"/>
          <w:lang w:eastAsia="en-GB"/>
        </w:rPr>
        <w:t>;</w:t>
      </w:r>
      <w:proofErr w:type="gramEnd"/>
    </w:p>
    <w:p w14:paraId="67F1DF00" w14:textId="3605F0BE" w:rsidR="00D90395" w:rsidRPr="00D54D4C" w:rsidRDefault="0081321B" w:rsidP="002A1ACD">
      <w:pPr>
        <w:pStyle w:val="ListParagraph"/>
        <w:numPr>
          <w:ilvl w:val="0"/>
          <w:numId w:val="15"/>
        </w:numPr>
        <w:spacing w:before="100" w:beforeAutospacing="1" w:after="100" w:afterAutospacing="1" w:line="240" w:lineRule="auto"/>
        <w:rPr>
          <w:rFonts w:eastAsia="Times New Roman" w:cstheme="minorHAnsi"/>
          <w:lang w:eastAsia="en-GB"/>
        </w:rPr>
      </w:pPr>
      <w:r>
        <w:rPr>
          <w:rFonts w:eastAsia="Times New Roman" w:cstheme="minorHAnsi"/>
          <w:lang w:eastAsia="en-GB"/>
        </w:rPr>
        <w:t>understand</w:t>
      </w:r>
      <w:r w:rsidR="00D90395" w:rsidRPr="00D54D4C">
        <w:rPr>
          <w:rFonts w:eastAsia="Times New Roman" w:cstheme="minorHAnsi"/>
          <w:lang w:eastAsia="en-GB"/>
        </w:rPr>
        <w:t xml:space="preserve"> the market</w:t>
      </w:r>
      <w:r w:rsidR="008030D8">
        <w:rPr>
          <w:rFonts w:eastAsia="Times New Roman" w:cstheme="minorHAnsi"/>
          <w:lang w:eastAsia="en-GB"/>
        </w:rPr>
        <w:t>’</w:t>
      </w:r>
      <w:r w:rsidR="00D90395" w:rsidRPr="00D54D4C">
        <w:rPr>
          <w:rFonts w:eastAsia="Times New Roman" w:cstheme="minorHAnsi"/>
          <w:lang w:eastAsia="en-GB"/>
        </w:rPr>
        <w:t xml:space="preserve">s risk tolerance for the proposed </w:t>
      </w:r>
      <w:proofErr w:type="gramStart"/>
      <w:r w:rsidR="00D90395" w:rsidRPr="00D54D4C">
        <w:rPr>
          <w:rFonts w:eastAsia="Times New Roman" w:cstheme="minorHAnsi"/>
          <w:lang w:eastAsia="en-GB"/>
        </w:rPr>
        <w:t>works</w:t>
      </w:r>
      <w:r w:rsidR="00CD189F">
        <w:rPr>
          <w:rFonts w:eastAsia="Times New Roman" w:cstheme="minorHAnsi"/>
          <w:lang w:eastAsia="en-GB"/>
        </w:rPr>
        <w:t>;</w:t>
      </w:r>
      <w:proofErr w:type="gramEnd"/>
    </w:p>
    <w:p w14:paraId="1D3F9465" w14:textId="1CF16737" w:rsidR="00D90395" w:rsidRPr="00D6151F" w:rsidRDefault="00D90395" w:rsidP="002A1ACD">
      <w:pPr>
        <w:pStyle w:val="ListParagraph"/>
        <w:numPr>
          <w:ilvl w:val="0"/>
          <w:numId w:val="15"/>
        </w:numPr>
        <w:spacing w:before="100" w:beforeAutospacing="1" w:after="100" w:afterAutospacing="1" w:line="240" w:lineRule="auto"/>
        <w:rPr>
          <w:rFonts w:eastAsia="Times New Roman" w:cstheme="minorHAnsi"/>
          <w:lang w:eastAsia="en-GB"/>
        </w:rPr>
      </w:pPr>
      <w:r w:rsidRPr="00D6151F">
        <w:rPr>
          <w:rFonts w:eastAsia="Times New Roman" w:cstheme="minorHAnsi"/>
          <w:lang w:eastAsia="en-GB"/>
        </w:rPr>
        <w:t xml:space="preserve">understand the market’s perception of the </w:t>
      </w:r>
      <w:proofErr w:type="gramStart"/>
      <w:r w:rsidRPr="00D6151F">
        <w:rPr>
          <w:rFonts w:eastAsia="Times New Roman" w:cstheme="minorHAnsi"/>
          <w:lang w:eastAsia="en-GB"/>
        </w:rPr>
        <w:t>Client</w:t>
      </w:r>
      <w:r w:rsidR="00CD189F">
        <w:rPr>
          <w:rFonts w:eastAsia="Times New Roman" w:cstheme="minorHAnsi"/>
          <w:lang w:eastAsia="en-GB"/>
        </w:rPr>
        <w:t>;</w:t>
      </w:r>
      <w:proofErr w:type="gramEnd"/>
    </w:p>
    <w:p w14:paraId="2294F7FE" w14:textId="5D75D3BD" w:rsidR="00D90395" w:rsidRPr="00D54D4C" w:rsidRDefault="00952C91" w:rsidP="002A1ACD">
      <w:pPr>
        <w:pStyle w:val="ListParagraph"/>
        <w:numPr>
          <w:ilvl w:val="0"/>
          <w:numId w:val="15"/>
        </w:num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t>a</w:t>
      </w:r>
      <w:r w:rsidR="00D90395" w:rsidRPr="00D54D4C">
        <w:rPr>
          <w:rFonts w:eastAsia="Times New Roman" w:cstheme="minorHAnsi"/>
          <w:lang w:eastAsia="en-GB"/>
        </w:rPr>
        <w:t xml:space="preserve">ssess approaches that may encourage </w:t>
      </w:r>
      <w:proofErr w:type="gramStart"/>
      <w:r w:rsidR="00D90395" w:rsidRPr="00D54D4C">
        <w:rPr>
          <w:rFonts w:eastAsia="Times New Roman" w:cstheme="minorHAnsi"/>
          <w:lang w:eastAsia="en-GB"/>
        </w:rPr>
        <w:t>collaboration</w:t>
      </w:r>
      <w:r w:rsidR="00102EA3" w:rsidRPr="00D54D4C">
        <w:rPr>
          <w:rFonts w:eastAsia="Times New Roman" w:cstheme="minorHAnsi"/>
          <w:lang w:eastAsia="en-GB"/>
        </w:rPr>
        <w:t>;</w:t>
      </w:r>
      <w:proofErr w:type="gramEnd"/>
      <w:r w:rsidR="00102EA3" w:rsidRPr="00D54D4C">
        <w:rPr>
          <w:rFonts w:eastAsia="Times New Roman" w:cstheme="minorHAnsi"/>
          <w:lang w:eastAsia="en-GB"/>
        </w:rPr>
        <w:t xml:space="preserve"> e.g. by s</w:t>
      </w:r>
      <w:r w:rsidR="00CD189F">
        <w:rPr>
          <w:rFonts w:eastAsia="Times New Roman" w:cstheme="minorHAnsi"/>
          <w:lang w:eastAsia="en-GB"/>
        </w:rPr>
        <w:t>oftening contractual interfaces;</w:t>
      </w:r>
    </w:p>
    <w:p w14:paraId="5CF1AA98" w14:textId="0C48D719" w:rsidR="00102EA3" w:rsidRPr="00D6151F" w:rsidRDefault="00102EA3" w:rsidP="002A1ACD">
      <w:pPr>
        <w:pStyle w:val="ListParagraph"/>
        <w:numPr>
          <w:ilvl w:val="0"/>
          <w:numId w:val="15"/>
        </w:numPr>
        <w:spacing w:before="100" w:beforeAutospacing="1" w:after="100" w:afterAutospacing="1" w:line="240" w:lineRule="auto"/>
        <w:rPr>
          <w:rFonts w:eastAsia="Times New Roman" w:cstheme="minorHAnsi"/>
          <w:lang w:eastAsia="en-GB"/>
        </w:rPr>
      </w:pPr>
      <w:r w:rsidRPr="00D6151F">
        <w:rPr>
          <w:rFonts w:eastAsia="Times New Roman" w:cstheme="minorHAnsi"/>
          <w:lang w:eastAsia="en-GB"/>
        </w:rPr>
        <w:t>explore and understand the market view of incentivisation and reward for effective collaboration and maximum productivity</w:t>
      </w:r>
      <w:r w:rsidR="00CD189F">
        <w:rPr>
          <w:rFonts w:eastAsia="Times New Roman" w:cstheme="minorHAnsi"/>
          <w:lang w:eastAsia="en-GB"/>
        </w:rPr>
        <w:t xml:space="preserve">, </w:t>
      </w:r>
      <w:proofErr w:type="gramStart"/>
      <w:r w:rsidR="00CD189F">
        <w:rPr>
          <w:rFonts w:eastAsia="Times New Roman" w:cstheme="minorHAnsi"/>
          <w:lang w:eastAsia="en-GB"/>
        </w:rPr>
        <w:t>and;</w:t>
      </w:r>
      <w:proofErr w:type="gramEnd"/>
    </w:p>
    <w:p w14:paraId="5DA403CC" w14:textId="2727EEA9" w:rsidR="00102EA3" w:rsidRPr="00D54D4C" w:rsidRDefault="00952C91" w:rsidP="002A1ACD">
      <w:pPr>
        <w:pStyle w:val="ListParagraph"/>
        <w:numPr>
          <w:ilvl w:val="0"/>
          <w:numId w:val="15"/>
        </w:num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t>p</w:t>
      </w:r>
      <w:r w:rsidR="00102EA3" w:rsidRPr="00D54D4C">
        <w:rPr>
          <w:rFonts w:eastAsia="Times New Roman" w:cstheme="minorHAnsi"/>
          <w:lang w:eastAsia="en-GB"/>
        </w:rPr>
        <w:t>rovide the market with an opportunity to ask questions and raise queries at an early stage.</w:t>
      </w:r>
    </w:p>
    <w:p w14:paraId="215F6EF1" w14:textId="558FE9C7" w:rsidR="004638E9" w:rsidRPr="00D54D4C" w:rsidRDefault="00952C91" w:rsidP="002A1ACD">
      <w:p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lastRenderedPageBreak/>
        <w:t xml:space="preserve">In summary, it is recognised that the effectiveness of the procurement process will be governed by the appetite of the firms engaging with the procurement process.  Understanding the market’s view of the risks, their chances of success and their ability to meet the </w:t>
      </w:r>
      <w:r w:rsidR="00DD7231" w:rsidRPr="00D54D4C">
        <w:rPr>
          <w:rFonts w:eastAsia="Times New Roman" w:cstheme="minorHAnsi"/>
          <w:lang w:eastAsia="en-GB"/>
        </w:rPr>
        <w:t>demands</w:t>
      </w:r>
      <w:r w:rsidRPr="00D54D4C">
        <w:rPr>
          <w:rFonts w:eastAsia="Times New Roman" w:cstheme="minorHAnsi"/>
          <w:lang w:eastAsia="en-GB"/>
        </w:rPr>
        <w:t xml:space="preserve"> will enable us to optimise the procurement process accordingly.</w:t>
      </w:r>
    </w:p>
    <w:p w14:paraId="67D4AD72" w14:textId="10B4CA35" w:rsidR="00AB2165" w:rsidRPr="00AB6B30" w:rsidRDefault="00952C91" w:rsidP="00AB6B30">
      <w:pPr>
        <w:pStyle w:val="Heading2"/>
        <w:keepLines w:val="0"/>
        <w:numPr>
          <w:ilvl w:val="0"/>
          <w:numId w:val="34"/>
        </w:numPr>
        <w:tabs>
          <w:tab w:val="left" w:pos="567"/>
        </w:tabs>
        <w:spacing w:before="100" w:beforeAutospacing="1" w:after="100" w:afterAutospacing="1" w:line="240" w:lineRule="auto"/>
        <w:ind w:left="567" w:hanging="567"/>
        <w:jc w:val="both"/>
        <w:rPr>
          <w:rFonts w:ascii="Arial" w:eastAsia="Times New Roman" w:hAnsi="Arial" w:cs="Times New Roman"/>
          <w:b/>
          <w:bCs/>
          <w:color w:val="00AF41"/>
          <w:sz w:val="36"/>
        </w:rPr>
      </w:pPr>
      <w:bookmarkStart w:id="5" w:name="_Toc71645606"/>
      <w:r w:rsidRPr="00AB6B30">
        <w:rPr>
          <w:rFonts w:ascii="Arial" w:eastAsia="Times New Roman" w:hAnsi="Arial" w:cs="Times New Roman"/>
          <w:b/>
          <w:bCs/>
          <w:color w:val="00AF41"/>
          <w:sz w:val="36"/>
        </w:rPr>
        <w:t>Background to APHA Weybridge</w:t>
      </w:r>
      <w:bookmarkEnd w:id="5"/>
    </w:p>
    <w:p w14:paraId="32B6B219" w14:textId="6122D87F" w:rsidR="00E7747F" w:rsidRPr="00D54D4C" w:rsidRDefault="00E7747F" w:rsidP="002A1ACD">
      <w:pPr>
        <w:spacing w:before="100" w:beforeAutospacing="1" w:after="100" w:afterAutospacing="1" w:line="240" w:lineRule="auto"/>
        <w:rPr>
          <w:rFonts w:eastAsia="Times New Roman" w:cstheme="minorHAnsi"/>
        </w:rPr>
      </w:pPr>
      <w:r w:rsidRPr="00D54D4C">
        <w:rPr>
          <w:rFonts w:eastAsia="Times New Roman" w:cstheme="minorHAnsi"/>
          <w:lang w:eastAsia="en-GB"/>
        </w:rPr>
        <w:t xml:space="preserve">The Animal and Plant Health Agency (APHA) science estate in </w:t>
      </w:r>
      <w:r w:rsidR="00C52ED6">
        <w:rPr>
          <w:rFonts w:eastAsia="Times New Roman" w:cstheme="minorHAnsi"/>
          <w:lang w:eastAsia="en-GB"/>
        </w:rPr>
        <w:t>New Haw</w:t>
      </w:r>
      <w:r w:rsidRPr="00D54D4C">
        <w:rPr>
          <w:rFonts w:eastAsia="Times New Roman" w:cstheme="minorHAnsi"/>
          <w:lang w:eastAsia="en-GB"/>
        </w:rPr>
        <w:t>, Surre</w:t>
      </w:r>
      <w:r w:rsidR="00300842" w:rsidRPr="00D54D4C">
        <w:rPr>
          <w:rFonts w:eastAsia="Times New Roman" w:cstheme="minorHAnsi"/>
          <w:lang w:eastAsia="en-GB"/>
        </w:rPr>
        <w:t>y was created in 1917 and</w:t>
      </w:r>
      <w:r w:rsidRPr="00D54D4C">
        <w:rPr>
          <w:rFonts w:eastAsia="Times New Roman" w:cstheme="minorHAnsi"/>
          <w:lang w:eastAsia="en-GB"/>
        </w:rPr>
        <w:t xml:space="preserve"> provides the UK’s primary capability for managing the extensive and continuously evolving threats posed by the spread of </w:t>
      </w:r>
      <w:r w:rsidR="00DD7231" w:rsidRPr="00D54D4C">
        <w:rPr>
          <w:rFonts w:eastAsia="Times New Roman" w:cstheme="minorHAnsi"/>
          <w:lang w:eastAsia="en-GB"/>
        </w:rPr>
        <w:t>high-risk</w:t>
      </w:r>
      <w:r w:rsidRPr="00D54D4C">
        <w:rPr>
          <w:rFonts w:eastAsia="Times New Roman" w:cstheme="minorHAnsi"/>
          <w:lang w:eastAsia="en-GB"/>
        </w:rPr>
        <w:t xml:space="preserve"> diseases carried by animals. </w:t>
      </w:r>
    </w:p>
    <w:p w14:paraId="511EAE3A" w14:textId="56AAE9F6" w:rsidR="00E7747F" w:rsidRPr="00D54D4C" w:rsidRDefault="00E7747F" w:rsidP="002A1ACD">
      <w:p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t xml:space="preserve">It does this through a combination of research, surveillance, diagnostic </w:t>
      </w:r>
      <w:proofErr w:type="gramStart"/>
      <w:r w:rsidRPr="00D54D4C">
        <w:rPr>
          <w:rFonts w:eastAsia="Times New Roman" w:cstheme="minorHAnsi"/>
          <w:lang w:eastAsia="en-GB"/>
        </w:rPr>
        <w:t>services</w:t>
      </w:r>
      <w:proofErr w:type="gramEnd"/>
      <w:r w:rsidRPr="00D54D4C">
        <w:rPr>
          <w:rFonts w:eastAsia="Times New Roman" w:cstheme="minorHAnsi"/>
          <w:lang w:eastAsia="en-GB"/>
        </w:rPr>
        <w:t xml:space="preserve"> and disease outbreak response. The estate contains a range of facilities, including a significant area of high containment. Weybridge houses 98% of all high containment space within the APHA network and is one of only two large animal high hazard pathogen containment facilities in the UK.  The work undertaken at Weybridge:</w:t>
      </w:r>
    </w:p>
    <w:p w14:paraId="5E222F92" w14:textId="6170A0F6" w:rsidR="00E7747F" w:rsidRPr="00D54D4C" w:rsidRDefault="00E7747F" w:rsidP="002A1ACD">
      <w:pPr>
        <w:pStyle w:val="ListParagraph"/>
        <w:numPr>
          <w:ilvl w:val="0"/>
          <w:numId w:val="17"/>
        </w:num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t xml:space="preserve">protects us against, and allows us to respond rapidly to, animal </w:t>
      </w:r>
      <w:proofErr w:type="gramStart"/>
      <w:r w:rsidRPr="00D54D4C">
        <w:rPr>
          <w:rFonts w:eastAsia="Times New Roman" w:cstheme="minorHAnsi"/>
          <w:lang w:eastAsia="en-GB"/>
        </w:rPr>
        <w:t>diseases</w:t>
      </w:r>
      <w:r w:rsidR="00CD189F">
        <w:rPr>
          <w:rFonts w:eastAsia="Times New Roman" w:cstheme="minorHAnsi"/>
          <w:lang w:eastAsia="en-GB"/>
        </w:rPr>
        <w:t>;</w:t>
      </w:r>
      <w:proofErr w:type="gramEnd"/>
    </w:p>
    <w:p w14:paraId="4415DF00" w14:textId="38DBF720" w:rsidR="00E7747F" w:rsidRPr="00D54D4C" w:rsidRDefault="00E7747F" w:rsidP="002A1ACD">
      <w:pPr>
        <w:pStyle w:val="ListParagraph"/>
        <w:numPr>
          <w:ilvl w:val="0"/>
          <w:numId w:val="17"/>
        </w:num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t xml:space="preserve">protects us against the risk these diseases can pose to human </w:t>
      </w:r>
      <w:proofErr w:type="gramStart"/>
      <w:r w:rsidRPr="00D54D4C">
        <w:rPr>
          <w:rFonts w:eastAsia="Times New Roman" w:cstheme="minorHAnsi"/>
          <w:lang w:eastAsia="en-GB"/>
        </w:rPr>
        <w:t>health</w:t>
      </w:r>
      <w:r w:rsidR="00CD189F">
        <w:rPr>
          <w:rFonts w:eastAsia="Times New Roman" w:cstheme="minorHAnsi"/>
          <w:lang w:eastAsia="en-GB"/>
        </w:rPr>
        <w:t>;</w:t>
      </w:r>
      <w:proofErr w:type="gramEnd"/>
    </w:p>
    <w:p w14:paraId="745E78B3" w14:textId="69A466D5" w:rsidR="00E7747F" w:rsidRPr="00D54D4C" w:rsidRDefault="00E7747F" w:rsidP="002A1ACD">
      <w:pPr>
        <w:pStyle w:val="ListParagraph"/>
        <w:numPr>
          <w:ilvl w:val="0"/>
          <w:numId w:val="17"/>
        </w:num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t>protects the economy and underpins trade</w:t>
      </w:r>
      <w:r w:rsidR="00CD189F">
        <w:rPr>
          <w:rFonts w:eastAsia="Times New Roman" w:cstheme="minorHAnsi"/>
          <w:lang w:eastAsia="en-GB"/>
        </w:rPr>
        <w:t xml:space="preserve">, </w:t>
      </w:r>
      <w:proofErr w:type="gramStart"/>
      <w:r w:rsidR="00CD189F">
        <w:rPr>
          <w:rFonts w:eastAsia="Times New Roman" w:cstheme="minorHAnsi"/>
          <w:lang w:eastAsia="en-GB"/>
        </w:rPr>
        <w:t>and;</w:t>
      </w:r>
      <w:proofErr w:type="gramEnd"/>
    </w:p>
    <w:p w14:paraId="28758E0C" w14:textId="6309DBE8" w:rsidR="00E7747F" w:rsidRPr="00D54D4C" w:rsidRDefault="00E7747F" w:rsidP="002A1ACD">
      <w:pPr>
        <w:pStyle w:val="ListParagraph"/>
        <w:numPr>
          <w:ilvl w:val="0"/>
          <w:numId w:val="17"/>
        </w:num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t>underpins our status as a world leader</w:t>
      </w:r>
      <w:r w:rsidR="00CD189F">
        <w:rPr>
          <w:rFonts w:eastAsia="Times New Roman" w:cstheme="minorHAnsi"/>
          <w:lang w:eastAsia="en-GB"/>
        </w:rPr>
        <w:t>.</w:t>
      </w:r>
    </w:p>
    <w:p w14:paraId="2291F5F1" w14:textId="0C464E04" w:rsidR="00E7747F" w:rsidRPr="00D54D4C" w:rsidRDefault="00A0484E" w:rsidP="002A1ACD">
      <w:p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t>The UK government has an obligation to maintain the scientific capability that safeguards the nation’s health and prosperity from both established and new threats</w:t>
      </w:r>
      <w:r w:rsidR="00E7747F" w:rsidRPr="00D54D4C">
        <w:rPr>
          <w:rFonts w:eastAsia="Times New Roman" w:cstheme="minorHAnsi"/>
          <w:lang w:eastAsia="en-GB"/>
        </w:rPr>
        <w:t>.  The world leading status will be even more important post EU-Exit: we rely on our animal health capability to underpin our reputation and trade with the EU and the rest of the world, and once outside the EU we will be responsible for setting and defending our own animal health rules</w:t>
      </w:r>
      <w:r w:rsidR="00CD189F">
        <w:rPr>
          <w:rFonts w:eastAsia="Times New Roman" w:cstheme="minorHAnsi"/>
          <w:lang w:eastAsia="en-GB"/>
        </w:rPr>
        <w:t>.</w:t>
      </w:r>
    </w:p>
    <w:p w14:paraId="77319F56" w14:textId="281E7337" w:rsidR="00AB2165" w:rsidRPr="00D54D4C" w:rsidRDefault="00E7747F" w:rsidP="002A1ACD">
      <w:p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lastRenderedPageBreak/>
        <w:t xml:space="preserve">Weybridge is the only high containment facility in Great Britain capable of </w:t>
      </w:r>
      <w:r w:rsidR="00AB2165" w:rsidRPr="00D54D4C">
        <w:rPr>
          <w:rFonts w:eastAsia="Times New Roman" w:cstheme="minorHAnsi"/>
          <w:lang w:eastAsia="en-GB"/>
        </w:rPr>
        <w:t xml:space="preserve">delivering the benefits summarised above and requires significant investment </w:t>
      </w:r>
      <w:r w:rsidR="008030D8">
        <w:rPr>
          <w:rFonts w:eastAsia="Times New Roman" w:cstheme="minorHAnsi"/>
          <w:lang w:eastAsia="en-GB"/>
        </w:rPr>
        <w:t xml:space="preserve">to </w:t>
      </w:r>
      <w:r w:rsidR="00AB2165" w:rsidRPr="00D54D4C">
        <w:rPr>
          <w:rFonts w:eastAsia="Times New Roman" w:cstheme="minorHAnsi"/>
          <w:lang w:eastAsia="en-GB"/>
        </w:rPr>
        <w:t>ma</w:t>
      </w:r>
      <w:r w:rsidR="00CD189F">
        <w:rPr>
          <w:rFonts w:eastAsia="Times New Roman" w:cstheme="minorHAnsi"/>
          <w:lang w:eastAsia="en-GB"/>
        </w:rPr>
        <w:t>intain this critical function.</w:t>
      </w:r>
    </w:p>
    <w:p w14:paraId="50F3CB30" w14:textId="22D9A765" w:rsidR="00E30AAE" w:rsidRPr="00D54D4C" w:rsidRDefault="00E30AAE" w:rsidP="002A1ACD">
      <w:pPr>
        <w:spacing w:before="100" w:beforeAutospacing="1" w:after="100" w:afterAutospacing="1" w:line="240" w:lineRule="auto"/>
        <w:jc w:val="both"/>
        <w:rPr>
          <w:rFonts w:eastAsia="Times New Roman" w:cstheme="minorHAnsi"/>
          <w:bCs/>
          <w:lang w:eastAsia="en-GB"/>
        </w:rPr>
      </w:pPr>
      <w:r w:rsidRPr="003E0E4E">
        <w:rPr>
          <w:rFonts w:eastAsia="Times New Roman" w:cstheme="minorHAnsi"/>
          <w:bCs/>
          <w:lang w:eastAsia="en-GB"/>
        </w:rPr>
        <w:t xml:space="preserve">The </w:t>
      </w:r>
      <w:r w:rsidR="00314F75" w:rsidRPr="003E0E4E">
        <w:rPr>
          <w:rFonts w:eastAsia="Times New Roman" w:cstheme="minorHAnsi"/>
          <w:bCs/>
          <w:lang w:eastAsia="en-GB"/>
        </w:rPr>
        <w:t>redeveloped APHA Weybridge site will be</w:t>
      </w:r>
      <w:r w:rsidRPr="003E0E4E">
        <w:rPr>
          <w:rFonts w:eastAsia="Times New Roman" w:cstheme="minorHAnsi"/>
          <w:bCs/>
          <w:lang w:eastAsia="en-GB"/>
        </w:rPr>
        <w:t xml:space="preserve"> an integral part of </w:t>
      </w:r>
      <w:r w:rsidRPr="003E0E4E">
        <w:rPr>
          <w:rFonts w:eastAsia="Times New Roman" w:cstheme="minorHAnsi"/>
          <w:lang w:eastAsia="en-GB"/>
        </w:rPr>
        <w:t>Defra’s 25 Year Plan to Improve the Environment for a Green Future.</w:t>
      </w:r>
      <w:r w:rsidR="00314F75" w:rsidRPr="00D54D4C">
        <w:rPr>
          <w:rFonts w:eastAsia="Times New Roman" w:cstheme="minorHAnsi"/>
          <w:b/>
          <w:bCs/>
          <w:lang w:eastAsia="en-GB"/>
        </w:rPr>
        <w:t xml:space="preserve">  </w:t>
      </w:r>
      <w:r w:rsidRPr="00D54D4C">
        <w:rPr>
          <w:rFonts w:eastAsia="Times New Roman" w:cstheme="minorHAnsi"/>
          <w:bCs/>
          <w:lang w:eastAsia="en-GB"/>
        </w:rPr>
        <w:t xml:space="preserve">The Plan states that healthier animals will lead to more productive farming, which in turn leads to a reduction in greenhouse gas emissions and the consumption of antimicrobials: helping tackle global issues such as the effects of climate change and the risk of antimicrobial resistance. </w:t>
      </w:r>
    </w:p>
    <w:p w14:paraId="3D86D655" w14:textId="5AF7FF61" w:rsidR="00E30AAE" w:rsidRPr="00D54D4C" w:rsidRDefault="00E30AAE" w:rsidP="002A1ACD">
      <w:pPr>
        <w:spacing w:before="100" w:beforeAutospacing="1" w:after="100" w:afterAutospacing="1" w:line="240" w:lineRule="auto"/>
        <w:jc w:val="both"/>
        <w:rPr>
          <w:rFonts w:eastAsia="Times New Roman" w:cstheme="minorHAnsi"/>
          <w:bCs/>
          <w:lang w:eastAsia="en-GB"/>
        </w:rPr>
      </w:pPr>
      <w:r w:rsidRPr="00D54D4C">
        <w:rPr>
          <w:rFonts w:eastAsia="Times New Roman" w:cstheme="minorHAnsi"/>
          <w:bCs/>
          <w:lang w:eastAsia="en-GB"/>
        </w:rPr>
        <w:t xml:space="preserve">The animal health science capability to innovate using rapidly developing science such as genomics and data science, </w:t>
      </w:r>
      <w:r w:rsidR="00CD189F">
        <w:rPr>
          <w:rFonts w:eastAsia="Times New Roman" w:cstheme="minorHAnsi"/>
          <w:bCs/>
          <w:lang w:eastAsia="en-GB"/>
        </w:rPr>
        <w:t>a</w:t>
      </w:r>
      <w:r w:rsidRPr="00D54D4C">
        <w:rPr>
          <w:rFonts w:eastAsia="Times New Roman" w:cstheme="minorHAnsi"/>
          <w:bCs/>
          <w:lang w:eastAsia="en-GB"/>
        </w:rPr>
        <w:t xml:space="preserve">rtificial </w:t>
      </w:r>
      <w:proofErr w:type="gramStart"/>
      <w:r w:rsidRPr="00D54D4C">
        <w:rPr>
          <w:rFonts w:eastAsia="Times New Roman" w:cstheme="minorHAnsi"/>
          <w:bCs/>
          <w:lang w:eastAsia="en-GB"/>
        </w:rPr>
        <w:t>Intelligence</w:t>
      </w:r>
      <w:proofErr w:type="gramEnd"/>
      <w:r w:rsidRPr="00D54D4C">
        <w:rPr>
          <w:rFonts w:eastAsia="Times New Roman" w:cstheme="minorHAnsi"/>
          <w:bCs/>
          <w:lang w:eastAsia="en-GB"/>
        </w:rPr>
        <w:t xml:space="preserve"> and machine learning to work with large data sets has benefits that go far beyond animal health, with potential applications across government science priorities.</w:t>
      </w:r>
    </w:p>
    <w:p w14:paraId="3695F907" w14:textId="6ADC0ED6" w:rsidR="00C952DB" w:rsidRPr="00D54D4C" w:rsidRDefault="00C952DB" w:rsidP="002A1ACD">
      <w:p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t xml:space="preserve">The facility and operational requirements are all centred on commercial farming.  The only exception to the species that may be accommodated in the facility would concern responses to viral outbreaks such as </w:t>
      </w:r>
      <w:r w:rsidR="00A25946">
        <w:rPr>
          <w:rFonts w:eastAsia="Times New Roman" w:cstheme="minorHAnsi"/>
          <w:lang w:eastAsia="en-GB"/>
        </w:rPr>
        <w:t>R</w:t>
      </w:r>
      <w:r w:rsidRPr="00D54D4C">
        <w:rPr>
          <w:rFonts w:eastAsia="Times New Roman" w:cstheme="minorHAnsi"/>
          <w:lang w:eastAsia="en-GB"/>
        </w:rPr>
        <w:t xml:space="preserve">abies or </w:t>
      </w:r>
      <w:r w:rsidR="002163C6" w:rsidRPr="00D54D4C">
        <w:rPr>
          <w:rFonts w:eastAsia="Times New Roman" w:cstheme="minorHAnsi"/>
          <w:lang w:eastAsia="en-GB"/>
        </w:rPr>
        <w:t>Ebola</w:t>
      </w:r>
      <w:r w:rsidRPr="00D54D4C">
        <w:rPr>
          <w:rFonts w:eastAsia="Times New Roman" w:cstheme="minorHAnsi"/>
          <w:lang w:eastAsia="en-GB"/>
        </w:rPr>
        <w:t xml:space="preserve"> where potentially infected domestic animals may require quarantine. </w:t>
      </w:r>
    </w:p>
    <w:p w14:paraId="680B31A9" w14:textId="2880F146" w:rsidR="00AB2165" w:rsidRPr="00AB6B30" w:rsidRDefault="00AB2165" w:rsidP="00AB6B30">
      <w:pPr>
        <w:pStyle w:val="Heading2"/>
        <w:keepLines w:val="0"/>
        <w:numPr>
          <w:ilvl w:val="0"/>
          <w:numId w:val="34"/>
        </w:numPr>
        <w:tabs>
          <w:tab w:val="left" w:pos="567"/>
        </w:tabs>
        <w:spacing w:before="100" w:beforeAutospacing="1" w:after="100" w:afterAutospacing="1" w:line="240" w:lineRule="auto"/>
        <w:ind w:left="567" w:hanging="567"/>
        <w:jc w:val="both"/>
        <w:rPr>
          <w:rFonts w:ascii="Arial" w:eastAsia="Times New Roman" w:hAnsi="Arial" w:cs="Times New Roman"/>
          <w:b/>
          <w:bCs/>
          <w:color w:val="00AF41"/>
          <w:sz w:val="36"/>
        </w:rPr>
      </w:pPr>
      <w:bookmarkStart w:id="6" w:name="_Toc71645607"/>
      <w:r w:rsidRPr="00AB6B30">
        <w:rPr>
          <w:rFonts w:ascii="Arial" w:eastAsia="Times New Roman" w:hAnsi="Arial" w:cs="Times New Roman"/>
          <w:b/>
          <w:bCs/>
          <w:color w:val="00AF41"/>
          <w:sz w:val="36"/>
        </w:rPr>
        <w:t>Existing Estate and Planned Investment:</w:t>
      </w:r>
      <w:bookmarkEnd w:id="6"/>
    </w:p>
    <w:p w14:paraId="19D3445F" w14:textId="28086A6F" w:rsidR="00E868F4" w:rsidRPr="00D54D4C" w:rsidRDefault="00E868F4" w:rsidP="002A1ACD">
      <w:p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t xml:space="preserve">The Weybridge estate was established for its current purpose in 1917 and has been developed piece-meal over its life.  Some of the remaining buildings are approaching 60 years’ service – 28% (by area) of its buildings are more than 30 years old and nearing the end of their original economic operational lives. </w:t>
      </w:r>
    </w:p>
    <w:p w14:paraId="05D6745F" w14:textId="03387B99" w:rsidR="00D40122" w:rsidRDefault="00D40122" w:rsidP="002A1ACD">
      <w:p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t xml:space="preserve">The Weybridge estate comprises two </w:t>
      </w:r>
      <w:r w:rsidR="00300842" w:rsidRPr="00D54D4C">
        <w:rPr>
          <w:rFonts w:eastAsia="Times New Roman" w:cstheme="minorHAnsi"/>
          <w:lang w:eastAsia="en-GB"/>
        </w:rPr>
        <w:t>parts.  The</w:t>
      </w:r>
      <w:r w:rsidR="00E7747F" w:rsidRPr="00D54D4C">
        <w:rPr>
          <w:rFonts w:eastAsia="Times New Roman" w:cstheme="minorHAnsi"/>
          <w:lang w:eastAsia="en-GB"/>
        </w:rPr>
        <w:t xml:space="preserve"> </w:t>
      </w:r>
      <w:r w:rsidR="00300842" w:rsidRPr="00D54D4C">
        <w:rPr>
          <w:rFonts w:eastAsia="Times New Roman" w:cstheme="minorHAnsi"/>
          <w:lang w:eastAsia="en-GB"/>
        </w:rPr>
        <w:t>first being the main</w:t>
      </w:r>
      <w:r w:rsidRPr="00D54D4C">
        <w:rPr>
          <w:rFonts w:eastAsia="Times New Roman" w:cstheme="minorHAnsi"/>
          <w:lang w:eastAsia="en-GB"/>
        </w:rPr>
        <w:t xml:space="preserve"> campus </w:t>
      </w:r>
      <w:r w:rsidR="00300842" w:rsidRPr="00D54D4C">
        <w:rPr>
          <w:rFonts w:eastAsia="Times New Roman" w:cstheme="minorHAnsi"/>
          <w:lang w:eastAsia="en-GB"/>
        </w:rPr>
        <w:t>with</w:t>
      </w:r>
      <w:r w:rsidRPr="00D54D4C">
        <w:rPr>
          <w:rFonts w:eastAsia="Times New Roman" w:cstheme="minorHAnsi"/>
          <w:lang w:eastAsia="en-GB"/>
        </w:rPr>
        <w:t xml:space="preserve"> offices, laboratories, high and low</w:t>
      </w:r>
      <w:r w:rsidR="00E7747F" w:rsidRPr="00D54D4C">
        <w:rPr>
          <w:rFonts w:eastAsia="Times New Roman" w:cstheme="minorHAnsi"/>
          <w:lang w:eastAsia="en-GB"/>
        </w:rPr>
        <w:t xml:space="preserve"> </w:t>
      </w:r>
      <w:r w:rsidRPr="00D54D4C">
        <w:rPr>
          <w:rFonts w:eastAsia="Times New Roman" w:cstheme="minorHAnsi"/>
          <w:lang w:eastAsia="en-GB"/>
        </w:rPr>
        <w:t xml:space="preserve">containment </w:t>
      </w:r>
      <w:proofErr w:type="gramStart"/>
      <w:r w:rsidRPr="00D54D4C">
        <w:rPr>
          <w:rFonts w:eastAsia="Times New Roman" w:cstheme="minorHAnsi"/>
          <w:lang w:eastAsia="en-GB"/>
        </w:rPr>
        <w:t>facilities</w:t>
      </w:r>
      <w:proofErr w:type="gramEnd"/>
      <w:r w:rsidRPr="00D54D4C">
        <w:rPr>
          <w:rFonts w:eastAsia="Times New Roman" w:cstheme="minorHAnsi"/>
          <w:lang w:eastAsia="en-GB"/>
        </w:rPr>
        <w:t xml:space="preserve"> and support</w:t>
      </w:r>
      <w:r w:rsidR="00300842" w:rsidRPr="00D54D4C">
        <w:rPr>
          <w:rFonts w:eastAsia="Times New Roman" w:cstheme="minorHAnsi"/>
          <w:lang w:eastAsia="en-GB"/>
        </w:rPr>
        <w:t xml:space="preserve">.  The second is the </w:t>
      </w:r>
      <w:r w:rsidRPr="00D54D4C">
        <w:rPr>
          <w:rFonts w:eastAsia="Times New Roman" w:cstheme="minorHAnsi"/>
          <w:lang w:eastAsia="en-GB"/>
        </w:rPr>
        <w:t>collection of fields and low containment animal facilities</w:t>
      </w:r>
      <w:r w:rsidR="00300842" w:rsidRPr="00D54D4C">
        <w:rPr>
          <w:rFonts w:eastAsia="Times New Roman" w:cstheme="minorHAnsi"/>
          <w:lang w:eastAsia="en-GB"/>
        </w:rPr>
        <w:t xml:space="preserve"> to the North of the main campus</w:t>
      </w:r>
      <w:r w:rsidRPr="00D54D4C">
        <w:rPr>
          <w:rFonts w:eastAsia="Times New Roman" w:cstheme="minorHAnsi"/>
          <w:lang w:eastAsia="en-GB"/>
        </w:rPr>
        <w:t>.</w:t>
      </w:r>
      <w:r w:rsidR="00E7747F" w:rsidRPr="00D54D4C">
        <w:rPr>
          <w:rFonts w:eastAsia="Times New Roman" w:cstheme="minorHAnsi"/>
          <w:lang w:eastAsia="en-GB"/>
        </w:rPr>
        <w:t xml:space="preserve"> </w:t>
      </w:r>
      <w:r w:rsidRPr="00D54D4C">
        <w:rPr>
          <w:rFonts w:eastAsia="Times New Roman" w:cstheme="minorHAnsi"/>
          <w:lang w:eastAsia="en-GB"/>
        </w:rPr>
        <w:t>The estate comprises an overall GIFA of 87,000sqm,</w:t>
      </w:r>
      <w:r w:rsidR="00E7747F" w:rsidRPr="00D54D4C">
        <w:rPr>
          <w:rFonts w:eastAsia="Times New Roman" w:cstheme="minorHAnsi"/>
          <w:lang w:eastAsia="en-GB"/>
        </w:rPr>
        <w:t xml:space="preserve"> </w:t>
      </w:r>
      <w:r w:rsidRPr="00D54D4C">
        <w:rPr>
          <w:rFonts w:eastAsia="Times New Roman" w:cstheme="minorHAnsi"/>
          <w:lang w:eastAsia="en-GB"/>
        </w:rPr>
        <w:t>including 20,000sqm of specialist research and animal</w:t>
      </w:r>
      <w:r w:rsidR="00E7747F" w:rsidRPr="00D54D4C">
        <w:rPr>
          <w:rFonts w:eastAsia="Times New Roman" w:cstheme="minorHAnsi"/>
          <w:lang w:eastAsia="en-GB"/>
        </w:rPr>
        <w:t xml:space="preserve"> </w:t>
      </w:r>
      <w:r w:rsidRPr="00D54D4C">
        <w:rPr>
          <w:rFonts w:eastAsia="Times New Roman" w:cstheme="minorHAnsi"/>
          <w:lang w:eastAsia="en-GB"/>
        </w:rPr>
        <w:t>facilities.</w:t>
      </w:r>
    </w:p>
    <w:p w14:paraId="1F1E76F5" w14:textId="534712E8" w:rsidR="00300842" w:rsidRPr="00D54D4C" w:rsidRDefault="00300842" w:rsidP="002A1ACD">
      <w:pPr>
        <w:spacing w:before="100" w:beforeAutospacing="1" w:after="100" w:afterAutospacing="1" w:line="240" w:lineRule="auto"/>
        <w:rPr>
          <w:rFonts w:eastAsia="Times New Roman" w:cstheme="minorHAnsi"/>
          <w:lang w:eastAsia="en-GB"/>
        </w:rPr>
      </w:pPr>
      <w:r w:rsidRPr="00D54D4C">
        <w:rPr>
          <w:rFonts w:eastAsia="Times New Roman" w:cstheme="minorHAnsi"/>
          <w:lang w:eastAsia="en-GB"/>
        </w:rPr>
        <w:lastRenderedPageBreak/>
        <w:t xml:space="preserve">Significant investment in new building stock and infrastructure is required over the next ten years to maintain its critical function.  The National Science Centre for Animal Health (NSCAH) masterplan development will set the compass for the transformation of the campus into a global exemplar of Animal Health Science diagnostics and research. </w:t>
      </w:r>
    </w:p>
    <w:p w14:paraId="58FEEE19" w14:textId="558FEA6C" w:rsidR="008416C5" w:rsidRPr="00AB6B30" w:rsidRDefault="008416C5" w:rsidP="00AB6B30">
      <w:pPr>
        <w:pStyle w:val="Heading2"/>
        <w:keepLines w:val="0"/>
        <w:numPr>
          <w:ilvl w:val="0"/>
          <w:numId w:val="34"/>
        </w:numPr>
        <w:tabs>
          <w:tab w:val="left" w:pos="567"/>
        </w:tabs>
        <w:spacing w:before="100" w:beforeAutospacing="1" w:after="100" w:afterAutospacing="1" w:line="240" w:lineRule="auto"/>
        <w:ind w:left="567" w:hanging="567"/>
        <w:jc w:val="both"/>
        <w:rPr>
          <w:rFonts w:ascii="Arial" w:eastAsia="Times New Roman" w:hAnsi="Arial" w:cs="Times New Roman"/>
          <w:b/>
          <w:bCs/>
          <w:color w:val="00AF41"/>
          <w:sz w:val="36"/>
        </w:rPr>
      </w:pPr>
      <w:bookmarkStart w:id="7" w:name="_Toc71645608"/>
      <w:r w:rsidRPr="00AB6B30">
        <w:rPr>
          <w:rFonts w:ascii="Arial" w:eastAsia="Times New Roman" w:hAnsi="Arial" w:cs="Times New Roman"/>
          <w:b/>
          <w:bCs/>
          <w:color w:val="00AF41"/>
          <w:sz w:val="36"/>
        </w:rPr>
        <w:t>Procurement and Contracting Strategy</w:t>
      </w:r>
      <w:bookmarkEnd w:id="7"/>
    </w:p>
    <w:p w14:paraId="2E282A68" w14:textId="5FD1CB77" w:rsidR="007D325D" w:rsidRDefault="007D325D" w:rsidP="002A1ACD">
      <w:pPr>
        <w:spacing w:before="100" w:beforeAutospacing="1" w:after="100" w:afterAutospacing="1" w:line="240" w:lineRule="auto"/>
        <w:jc w:val="both"/>
        <w:rPr>
          <w:rFonts w:eastAsia="Cambria" w:cstheme="minorHAnsi"/>
        </w:rPr>
      </w:pPr>
      <w:r>
        <w:rPr>
          <w:rFonts w:eastAsia="Cambria" w:cstheme="minorHAnsi"/>
        </w:rPr>
        <w:t xml:space="preserve">It is proposed to advertise this opportunity through the publication of a contract notice in the </w:t>
      </w:r>
      <w:r w:rsidR="00C52ED6">
        <w:rPr>
          <w:rFonts w:eastAsia="Cambria" w:cstheme="minorHAnsi"/>
        </w:rPr>
        <w:t>Find a Tender</w:t>
      </w:r>
      <w:r w:rsidR="00BF650D">
        <w:rPr>
          <w:rFonts w:eastAsia="Cambria" w:cstheme="minorHAnsi"/>
        </w:rPr>
        <w:t xml:space="preserve"> (FTS) (the replacement for OJEU)</w:t>
      </w:r>
      <w:r>
        <w:rPr>
          <w:rFonts w:eastAsia="Cambria" w:cstheme="minorHAnsi"/>
        </w:rPr>
        <w:t xml:space="preserve">.  </w:t>
      </w:r>
      <w:r w:rsidR="00BF650D">
        <w:rPr>
          <w:rFonts w:eastAsia="Cambria" w:cstheme="minorHAnsi"/>
        </w:rPr>
        <w:t>This procurement will be done under a restricted procedure</w:t>
      </w:r>
    </w:p>
    <w:p w14:paraId="35F9083F" w14:textId="352FB8F6" w:rsidR="002A1ACD" w:rsidRDefault="002A1ACD" w:rsidP="002A1ACD">
      <w:pPr>
        <w:spacing w:before="100" w:beforeAutospacing="1" w:after="100" w:afterAutospacing="1" w:line="240" w:lineRule="auto"/>
        <w:jc w:val="both"/>
        <w:rPr>
          <w:rFonts w:eastAsia="Cambria" w:cstheme="minorHAnsi"/>
        </w:rPr>
      </w:pPr>
      <w:r w:rsidRPr="00177CF8">
        <w:rPr>
          <w:rFonts w:eastAsia="Cambria" w:cstheme="minorHAnsi"/>
        </w:rPr>
        <w:t xml:space="preserve">The likely contract vehicle will be the NEC 4 </w:t>
      </w:r>
      <w:r w:rsidR="007D325D">
        <w:rPr>
          <w:rFonts w:eastAsia="Cambria" w:cstheme="minorHAnsi"/>
        </w:rPr>
        <w:t>Engineering and Construction Contract</w:t>
      </w:r>
      <w:r w:rsidRPr="00177CF8">
        <w:rPr>
          <w:rFonts w:eastAsia="Cambria" w:cstheme="minorHAnsi"/>
        </w:rPr>
        <w:t xml:space="preserve"> Option</w:t>
      </w:r>
      <w:r w:rsidR="007D325D">
        <w:rPr>
          <w:rFonts w:eastAsia="Cambria" w:cstheme="minorHAnsi"/>
        </w:rPr>
        <w:t xml:space="preserve"> A</w:t>
      </w:r>
      <w:r w:rsidR="00625F18">
        <w:rPr>
          <w:rFonts w:eastAsia="Cambria" w:cstheme="minorHAnsi"/>
        </w:rPr>
        <w:t xml:space="preserve"> and NEC Professional Services Contract</w:t>
      </w:r>
      <w:r w:rsidR="00EA5E71">
        <w:rPr>
          <w:rFonts w:eastAsia="Cambria" w:cstheme="minorHAnsi"/>
        </w:rPr>
        <w:t>.</w:t>
      </w:r>
    </w:p>
    <w:p w14:paraId="47686749" w14:textId="60AA4E86" w:rsidR="00300F11" w:rsidRPr="00300F11" w:rsidRDefault="00300F11" w:rsidP="00300F11">
      <w:pPr>
        <w:spacing w:before="100" w:beforeAutospacing="1" w:after="100" w:afterAutospacing="1" w:line="240" w:lineRule="auto"/>
        <w:jc w:val="both"/>
        <w:rPr>
          <w:rFonts w:eastAsia="Cambria" w:cstheme="minorHAnsi"/>
        </w:rPr>
      </w:pPr>
      <w:r w:rsidRPr="00300F11">
        <w:rPr>
          <w:rFonts w:eastAsia="Cambria" w:cstheme="minorHAnsi"/>
        </w:rPr>
        <w:t xml:space="preserve">A formal compliant PCR 2015 </w:t>
      </w:r>
      <w:r>
        <w:rPr>
          <w:rFonts w:eastAsia="Cambria" w:cstheme="minorHAnsi"/>
        </w:rPr>
        <w:t xml:space="preserve"> </w:t>
      </w:r>
      <w:r w:rsidRPr="00300F11">
        <w:rPr>
          <w:rFonts w:eastAsia="Cambria" w:cstheme="minorHAnsi"/>
        </w:rPr>
        <w:t>‘</w:t>
      </w:r>
      <w:r>
        <w:rPr>
          <w:rFonts w:eastAsia="Cambria" w:cstheme="minorHAnsi"/>
        </w:rPr>
        <w:t>Restricted</w:t>
      </w:r>
      <w:r w:rsidR="008B65A8">
        <w:rPr>
          <w:rFonts w:eastAsia="Cambria" w:cstheme="minorHAnsi"/>
        </w:rPr>
        <w:t xml:space="preserve"> procedure</w:t>
      </w:r>
      <w:r w:rsidR="00BF650D">
        <w:rPr>
          <w:rFonts w:eastAsia="Cambria" w:cstheme="minorHAnsi"/>
        </w:rPr>
        <w:t>’</w:t>
      </w:r>
      <w:r>
        <w:rPr>
          <w:rFonts w:eastAsia="Cambria" w:cstheme="minorHAnsi"/>
        </w:rPr>
        <w:t xml:space="preserve"> </w:t>
      </w:r>
      <w:r w:rsidRPr="00300F11">
        <w:rPr>
          <w:rFonts w:eastAsia="Cambria" w:cstheme="minorHAnsi"/>
        </w:rPr>
        <w:t xml:space="preserve">tender process </w:t>
      </w:r>
      <w:r w:rsidR="008B65A8">
        <w:rPr>
          <w:rFonts w:eastAsia="Cambria" w:cstheme="minorHAnsi"/>
        </w:rPr>
        <w:t>is</w:t>
      </w:r>
      <w:r w:rsidRPr="00300F11">
        <w:rPr>
          <w:rFonts w:eastAsia="Cambria" w:cstheme="minorHAnsi"/>
        </w:rPr>
        <w:t xml:space="preserve"> being </w:t>
      </w:r>
      <w:r w:rsidR="008B65A8">
        <w:rPr>
          <w:rFonts w:eastAsia="Cambria" w:cstheme="minorHAnsi"/>
        </w:rPr>
        <w:t>considered</w:t>
      </w:r>
      <w:r w:rsidRPr="00300F11">
        <w:rPr>
          <w:rFonts w:eastAsia="Cambria" w:cstheme="minorHAnsi"/>
        </w:rPr>
        <w:t xml:space="preserve"> as the preferred tender procedure, with a maximum of </w:t>
      </w:r>
      <w:r w:rsidR="008B65A8">
        <w:rPr>
          <w:rFonts w:eastAsia="Cambria" w:cstheme="minorHAnsi"/>
        </w:rPr>
        <w:t>4</w:t>
      </w:r>
      <w:r w:rsidRPr="00300F11">
        <w:rPr>
          <w:rFonts w:eastAsia="Cambria" w:cstheme="minorHAnsi"/>
        </w:rPr>
        <w:t xml:space="preserve"> suppliers</w:t>
      </w:r>
      <w:r w:rsidR="008B65A8">
        <w:rPr>
          <w:rFonts w:eastAsia="Cambria" w:cstheme="minorHAnsi"/>
        </w:rPr>
        <w:t xml:space="preserve"> per lot</w:t>
      </w:r>
      <w:r w:rsidR="00C76640">
        <w:rPr>
          <w:rFonts w:eastAsia="Cambria" w:cstheme="minorHAnsi"/>
        </w:rPr>
        <w:t xml:space="preserve"> (</w:t>
      </w:r>
      <w:r w:rsidR="00EC4D2C">
        <w:rPr>
          <w:rFonts w:eastAsia="Cambria" w:cstheme="minorHAnsi"/>
        </w:rPr>
        <w:t>with each lot containing further sub-lots within them based on</w:t>
      </w:r>
      <w:r w:rsidR="00C76640">
        <w:rPr>
          <w:rFonts w:eastAsia="Cambria" w:cstheme="minorHAnsi"/>
        </w:rPr>
        <w:t xml:space="preserve"> spend thresholds)</w:t>
      </w:r>
      <w:r w:rsidRPr="00300F11">
        <w:rPr>
          <w:rFonts w:eastAsia="Cambria" w:cstheme="minorHAnsi"/>
        </w:rPr>
        <w:t xml:space="preserve"> following pre-qualification, taken through to the Invitation to Tender stage.  Evaluation criteria will be balanced to ensure the most economically advantageous tender is chosen, with technical aspects attracting higher weighting than price. </w:t>
      </w:r>
    </w:p>
    <w:p w14:paraId="6754EB88" w14:textId="6178E6DE" w:rsidR="00BB2BBB" w:rsidRDefault="00300F11" w:rsidP="00300F11">
      <w:pPr>
        <w:spacing w:before="100" w:beforeAutospacing="1" w:after="100" w:afterAutospacing="1" w:line="240" w:lineRule="auto"/>
        <w:jc w:val="both"/>
        <w:rPr>
          <w:rFonts w:eastAsia="Cambria" w:cstheme="minorHAnsi"/>
        </w:rPr>
      </w:pPr>
      <w:r w:rsidRPr="00300F11">
        <w:rPr>
          <w:rFonts w:eastAsia="Cambria" w:cstheme="minorHAnsi"/>
        </w:rPr>
        <w:t>The likely contract vehicle will be the NEC 4 Professional Services Contract using Options A (fixed price)</w:t>
      </w:r>
      <w:r w:rsidR="008B65A8">
        <w:rPr>
          <w:rFonts w:eastAsia="Cambria" w:cstheme="minorHAnsi"/>
        </w:rPr>
        <w:t xml:space="preserve"> or </w:t>
      </w:r>
      <w:r w:rsidRPr="00300F11">
        <w:rPr>
          <w:rFonts w:eastAsia="Cambria" w:cstheme="minorHAnsi"/>
        </w:rPr>
        <w:t>E (time-charge) fees as appropriate for the defined scope of services and supply chain, including an assessment of the balance of risk (e.g. design liabilities).</w:t>
      </w:r>
    </w:p>
    <w:p w14:paraId="51236116" w14:textId="33A0F415" w:rsidR="00584471" w:rsidRPr="00AB6B30" w:rsidRDefault="00300842" w:rsidP="00AB6B30">
      <w:pPr>
        <w:pStyle w:val="Heading2"/>
        <w:keepLines w:val="0"/>
        <w:numPr>
          <w:ilvl w:val="0"/>
          <w:numId w:val="34"/>
        </w:numPr>
        <w:tabs>
          <w:tab w:val="left" w:pos="567"/>
        </w:tabs>
        <w:spacing w:before="100" w:beforeAutospacing="1" w:after="100" w:afterAutospacing="1" w:line="240" w:lineRule="auto"/>
        <w:ind w:left="567" w:hanging="567"/>
        <w:jc w:val="both"/>
        <w:rPr>
          <w:rFonts w:ascii="Arial" w:eastAsia="Times New Roman" w:hAnsi="Arial" w:cs="Times New Roman"/>
          <w:b/>
          <w:bCs/>
          <w:color w:val="00AF41"/>
          <w:sz w:val="36"/>
        </w:rPr>
      </w:pPr>
      <w:bookmarkStart w:id="8" w:name="_Toc71645609"/>
      <w:r w:rsidRPr="00AB6B30">
        <w:rPr>
          <w:rFonts w:ascii="Arial" w:eastAsia="Times New Roman" w:hAnsi="Arial" w:cs="Times New Roman"/>
          <w:b/>
          <w:bCs/>
          <w:color w:val="00AF41"/>
          <w:sz w:val="36"/>
        </w:rPr>
        <w:t>Soft Market Testing Process</w:t>
      </w:r>
      <w:bookmarkEnd w:id="8"/>
    </w:p>
    <w:p w14:paraId="7A23EF6D" w14:textId="6F951471" w:rsidR="006C26CC" w:rsidRDefault="006C26CC" w:rsidP="002A1ACD">
      <w:pPr>
        <w:pStyle w:val="Default"/>
        <w:spacing w:before="100" w:beforeAutospacing="1" w:after="100" w:afterAutospacing="1"/>
        <w:rPr>
          <w:rFonts w:asciiTheme="minorHAnsi" w:hAnsiTheme="minorHAnsi" w:cstheme="minorHAnsi"/>
          <w:sz w:val="22"/>
          <w:szCs w:val="22"/>
        </w:rPr>
      </w:pPr>
      <w:r w:rsidRPr="006C26CC">
        <w:rPr>
          <w:rFonts w:asciiTheme="minorHAnsi" w:hAnsiTheme="minorHAnsi" w:cstheme="minorHAnsi"/>
          <w:sz w:val="22"/>
          <w:szCs w:val="22"/>
        </w:rPr>
        <w:t xml:space="preserve">A questionnaire accompanies this SMT document and includes </w:t>
      </w:r>
      <w:r w:rsidR="00014BE9" w:rsidRPr="00625F18">
        <w:rPr>
          <w:rFonts w:asciiTheme="minorHAnsi" w:hAnsiTheme="minorHAnsi" w:cstheme="minorHAnsi"/>
          <w:b/>
          <w:bCs/>
          <w:color w:val="auto"/>
          <w:sz w:val="22"/>
          <w:szCs w:val="22"/>
        </w:rPr>
        <w:t>8</w:t>
      </w:r>
      <w:r w:rsidRPr="00625F18">
        <w:rPr>
          <w:rFonts w:asciiTheme="minorHAnsi" w:hAnsiTheme="minorHAnsi" w:cstheme="minorHAnsi"/>
          <w:b/>
          <w:bCs/>
          <w:color w:val="auto"/>
          <w:sz w:val="22"/>
          <w:szCs w:val="22"/>
        </w:rPr>
        <w:t xml:space="preserve"> questions requiring responses.</w:t>
      </w:r>
      <w:r w:rsidRPr="00625F18">
        <w:rPr>
          <w:rFonts w:asciiTheme="minorHAnsi" w:hAnsiTheme="minorHAnsi" w:cstheme="minorHAnsi"/>
          <w:color w:val="auto"/>
          <w:sz w:val="22"/>
          <w:szCs w:val="22"/>
        </w:rPr>
        <w:t xml:space="preserve"> </w:t>
      </w:r>
      <w:r w:rsidRPr="006C26CC">
        <w:rPr>
          <w:rFonts w:asciiTheme="minorHAnsi" w:hAnsiTheme="minorHAnsi" w:cstheme="minorHAnsi"/>
          <w:sz w:val="22"/>
          <w:szCs w:val="22"/>
        </w:rPr>
        <w:t xml:space="preserve">Suppliers are requested to return answers in writing and </w:t>
      </w:r>
      <w:r w:rsidR="002616AA">
        <w:rPr>
          <w:rFonts w:asciiTheme="minorHAnsi" w:hAnsiTheme="minorHAnsi" w:cstheme="minorHAnsi"/>
          <w:sz w:val="22"/>
          <w:szCs w:val="22"/>
        </w:rPr>
        <w:t>may</w:t>
      </w:r>
      <w:r w:rsidRPr="006C26CC">
        <w:rPr>
          <w:rFonts w:asciiTheme="minorHAnsi" w:hAnsiTheme="minorHAnsi" w:cstheme="minorHAnsi"/>
          <w:sz w:val="22"/>
          <w:szCs w:val="22"/>
        </w:rPr>
        <w:t xml:space="preserve"> be contacted by a member of the </w:t>
      </w:r>
      <w:r w:rsidR="00014BE9">
        <w:rPr>
          <w:rFonts w:asciiTheme="minorHAnsi" w:hAnsiTheme="minorHAnsi" w:cstheme="minorHAnsi"/>
          <w:sz w:val="22"/>
          <w:szCs w:val="22"/>
        </w:rPr>
        <w:t xml:space="preserve">commercial </w:t>
      </w:r>
      <w:r w:rsidR="00014BE9" w:rsidRPr="006C26CC">
        <w:rPr>
          <w:rFonts w:asciiTheme="minorHAnsi" w:hAnsiTheme="minorHAnsi" w:cstheme="minorHAnsi"/>
          <w:sz w:val="22"/>
          <w:szCs w:val="22"/>
        </w:rPr>
        <w:t>team</w:t>
      </w:r>
      <w:r w:rsidRPr="006C26CC">
        <w:rPr>
          <w:rFonts w:asciiTheme="minorHAnsi" w:hAnsiTheme="minorHAnsi" w:cstheme="minorHAnsi"/>
          <w:sz w:val="22"/>
          <w:szCs w:val="22"/>
        </w:rPr>
        <w:t xml:space="preserve"> to discuss their responses. </w:t>
      </w:r>
    </w:p>
    <w:p w14:paraId="38CCC1F0" w14:textId="4BA0596B" w:rsidR="009B3A91" w:rsidRDefault="009B3A91" w:rsidP="002A1ACD">
      <w:pPr>
        <w:pStyle w:val="Default"/>
        <w:spacing w:before="100" w:beforeAutospacing="1" w:after="100" w:afterAutospacing="1"/>
        <w:rPr>
          <w:rFonts w:asciiTheme="minorHAnsi" w:hAnsiTheme="minorHAnsi" w:cstheme="minorHAnsi"/>
          <w:sz w:val="22"/>
          <w:szCs w:val="22"/>
        </w:rPr>
      </w:pPr>
      <w:r w:rsidRPr="00E212C4">
        <w:rPr>
          <w:rFonts w:asciiTheme="minorHAnsi" w:hAnsiTheme="minorHAnsi" w:cstheme="minorHAnsi"/>
          <w:sz w:val="22"/>
          <w:szCs w:val="22"/>
        </w:rPr>
        <w:lastRenderedPageBreak/>
        <w:t xml:space="preserve">Due to security and confidentiality issues the documentation available as part of the Soft Market Testing process is limited </w:t>
      </w:r>
      <w:r w:rsidR="008416C5">
        <w:rPr>
          <w:rFonts w:asciiTheme="minorHAnsi" w:hAnsiTheme="minorHAnsi" w:cstheme="minorHAnsi"/>
          <w:sz w:val="22"/>
          <w:szCs w:val="22"/>
        </w:rPr>
        <w:t>to</w:t>
      </w:r>
      <w:r w:rsidR="008416C5" w:rsidRPr="00E212C4">
        <w:rPr>
          <w:rFonts w:asciiTheme="minorHAnsi" w:hAnsiTheme="minorHAnsi" w:cstheme="minorHAnsi"/>
          <w:sz w:val="22"/>
          <w:szCs w:val="22"/>
        </w:rPr>
        <w:t xml:space="preserve"> </w:t>
      </w:r>
      <w:r w:rsidRPr="00E212C4">
        <w:rPr>
          <w:rFonts w:asciiTheme="minorHAnsi" w:hAnsiTheme="minorHAnsi" w:cstheme="minorHAnsi"/>
          <w:sz w:val="22"/>
          <w:szCs w:val="22"/>
        </w:rPr>
        <w:t xml:space="preserve">that provided within this document.  </w:t>
      </w:r>
    </w:p>
    <w:p w14:paraId="4FA52E1F" w14:textId="3CBA8FDF" w:rsidR="006C26CC" w:rsidRPr="006C26CC" w:rsidRDefault="006C26CC" w:rsidP="002A1ACD">
      <w:pPr>
        <w:pStyle w:val="Default"/>
        <w:spacing w:before="100" w:beforeAutospacing="1" w:after="100" w:afterAutospacing="1"/>
        <w:rPr>
          <w:rFonts w:asciiTheme="minorHAnsi" w:hAnsiTheme="minorHAnsi" w:cstheme="minorHAnsi"/>
          <w:sz w:val="22"/>
          <w:szCs w:val="22"/>
        </w:rPr>
      </w:pPr>
      <w:r w:rsidRPr="006C26CC">
        <w:rPr>
          <w:rFonts w:asciiTheme="minorHAnsi" w:hAnsiTheme="minorHAnsi" w:cstheme="minorHAnsi"/>
          <w:sz w:val="22"/>
          <w:szCs w:val="22"/>
        </w:rPr>
        <w:t>Face to face meetings may</w:t>
      </w:r>
      <w:r w:rsidR="009B3A91">
        <w:rPr>
          <w:rFonts w:asciiTheme="minorHAnsi" w:hAnsiTheme="minorHAnsi" w:cstheme="minorHAnsi"/>
          <w:sz w:val="22"/>
          <w:szCs w:val="22"/>
        </w:rPr>
        <w:t xml:space="preserve"> </w:t>
      </w:r>
      <w:r w:rsidRPr="006C26CC">
        <w:rPr>
          <w:rFonts w:asciiTheme="minorHAnsi" w:hAnsiTheme="minorHAnsi" w:cstheme="minorHAnsi"/>
          <w:sz w:val="22"/>
          <w:szCs w:val="22"/>
        </w:rPr>
        <w:t xml:space="preserve">be </w:t>
      </w:r>
      <w:r w:rsidR="00014BE9" w:rsidRPr="006C26CC">
        <w:rPr>
          <w:rFonts w:asciiTheme="minorHAnsi" w:hAnsiTheme="minorHAnsi" w:cstheme="minorHAnsi"/>
          <w:sz w:val="22"/>
          <w:szCs w:val="22"/>
        </w:rPr>
        <w:t>request</w:t>
      </w:r>
      <w:r w:rsidR="00014BE9">
        <w:rPr>
          <w:rFonts w:asciiTheme="minorHAnsi" w:hAnsiTheme="minorHAnsi" w:cstheme="minorHAnsi"/>
          <w:sz w:val="22"/>
          <w:szCs w:val="22"/>
        </w:rPr>
        <w:t>ed with</w:t>
      </w:r>
      <w:r w:rsidR="00EA5E71">
        <w:rPr>
          <w:rFonts w:asciiTheme="minorHAnsi" w:hAnsiTheme="minorHAnsi" w:cstheme="minorHAnsi"/>
          <w:sz w:val="22"/>
          <w:szCs w:val="22"/>
        </w:rPr>
        <w:t xml:space="preserve"> </w:t>
      </w:r>
      <w:r w:rsidRPr="006C26CC">
        <w:rPr>
          <w:rFonts w:asciiTheme="minorHAnsi" w:hAnsiTheme="minorHAnsi" w:cstheme="minorHAnsi"/>
          <w:sz w:val="22"/>
          <w:szCs w:val="22"/>
        </w:rPr>
        <w:t xml:space="preserve">Suppliers, but this will depend largely on the level of detail provided in the returned responses. A record of phone calls and face to face meetings </w:t>
      </w:r>
      <w:r w:rsidR="00EA5E71">
        <w:rPr>
          <w:rFonts w:asciiTheme="minorHAnsi" w:hAnsiTheme="minorHAnsi" w:cstheme="minorHAnsi"/>
          <w:sz w:val="22"/>
          <w:szCs w:val="22"/>
        </w:rPr>
        <w:t>may</w:t>
      </w:r>
      <w:r w:rsidRPr="006C26CC">
        <w:rPr>
          <w:rFonts w:asciiTheme="minorHAnsi" w:hAnsiTheme="minorHAnsi" w:cstheme="minorHAnsi"/>
          <w:sz w:val="22"/>
          <w:szCs w:val="22"/>
        </w:rPr>
        <w:t xml:space="preserve"> form part of </w:t>
      </w:r>
      <w:r w:rsidR="002616AA">
        <w:rPr>
          <w:rFonts w:asciiTheme="minorHAnsi" w:hAnsiTheme="minorHAnsi" w:cstheme="minorHAnsi"/>
          <w:sz w:val="22"/>
          <w:szCs w:val="22"/>
        </w:rPr>
        <w:t>a</w:t>
      </w:r>
      <w:r w:rsidRPr="006C26CC">
        <w:rPr>
          <w:rFonts w:asciiTheme="minorHAnsi" w:hAnsiTheme="minorHAnsi" w:cstheme="minorHAnsi"/>
          <w:sz w:val="22"/>
          <w:szCs w:val="22"/>
        </w:rPr>
        <w:t xml:space="preserve"> findings report at the end of the SMT exercise. </w:t>
      </w:r>
    </w:p>
    <w:p w14:paraId="55210CCF" w14:textId="5F7CA3F2" w:rsidR="006C26CC" w:rsidRPr="006C26CC" w:rsidRDefault="006C26CC" w:rsidP="002A1ACD">
      <w:pPr>
        <w:pStyle w:val="Default"/>
        <w:spacing w:before="100" w:beforeAutospacing="1" w:after="100" w:afterAutospacing="1"/>
        <w:rPr>
          <w:rFonts w:asciiTheme="minorHAnsi" w:hAnsiTheme="minorHAnsi" w:cstheme="minorHAnsi"/>
          <w:sz w:val="22"/>
          <w:szCs w:val="22"/>
        </w:rPr>
      </w:pPr>
      <w:r w:rsidRPr="006C26CC">
        <w:rPr>
          <w:rFonts w:asciiTheme="minorHAnsi" w:hAnsiTheme="minorHAnsi" w:cstheme="minorHAnsi"/>
          <w:sz w:val="22"/>
          <w:szCs w:val="22"/>
        </w:rPr>
        <w:t>The estimated timeline for this SMT process is as follows:</w:t>
      </w:r>
    </w:p>
    <w:p w14:paraId="2572754D" w14:textId="0CBD8B37" w:rsidR="006C26CC" w:rsidRPr="00BA1386" w:rsidRDefault="00E212C4" w:rsidP="002A1ACD">
      <w:pPr>
        <w:pStyle w:val="Default"/>
        <w:numPr>
          <w:ilvl w:val="0"/>
          <w:numId w:val="11"/>
        </w:numPr>
        <w:rPr>
          <w:rFonts w:asciiTheme="minorHAnsi" w:hAnsiTheme="minorHAnsi" w:cstheme="minorHAnsi"/>
          <w:color w:val="auto"/>
          <w:sz w:val="22"/>
          <w:szCs w:val="22"/>
        </w:rPr>
      </w:pPr>
      <w:r w:rsidRPr="00BA1386">
        <w:rPr>
          <w:rFonts w:asciiTheme="minorHAnsi" w:hAnsiTheme="minorHAnsi" w:cstheme="minorHAnsi"/>
          <w:color w:val="auto"/>
          <w:sz w:val="22"/>
          <w:szCs w:val="22"/>
        </w:rPr>
        <w:t>SMT process commenced –</w:t>
      </w:r>
      <w:r w:rsidR="00014BE9" w:rsidRPr="00BA1386">
        <w:rPr>
          <w:rFonts w:asciiTheme="minorHAnsi" w:hAnsiTheme="minorHAnsi" w:cstheme="minorHAnsi"/>
          <w:color w:val="auto"/>
          <w:sz w:val="22"/>
          <w:szCs w:val="22"/>
        </w:rPr>
        <w:t>24</w:t>
      </w:r>
      <w:r w:rsidR="00014BE9" w:rsidRPr="00BA1386">
        <w:rPr>
          <w:rFonts w:asciiTheme="minorHAnsi" w:hAnsiTheme="minorHAnsi" w:cstheme="minorHAnsi"/>
          <w:color w:val="auto"/>
          <w:sz w:val="22"/>
          <w:szCs w:val="22"/>
          <w:vertAlign w:val="superscript"/>
        </w:rPr>
        <w:t>th</w:t>
      </w:r>
      <w:r w:rsidR="00014BE9" w:rsidRPr="00BA1386">
        <w:rPr>
          <w:rFonts w:asciiTheme="minorHAnsi" w:hAnsiTheme="minorHAnsi" w:cstheme="minorHAnsi"/>
          <w:color w:val="auto"/>
          <w:sz w:val="22"/>
          <w:szCs w:val="22"/>
        </w:rPr>
        <w:t xml:space="preserve"> May</w:t>
      </w:r>
      <w:r w:rsidR="00BA1386" w:rsidRPr="00BA1386">
        <w:rPr>
          <w:rFonts w:asciiTheme="minorHAnsi" w:hAnsiTheme="minorHAnsi" w:cstheme="minorHAnsi"/>
          <w:color w:val="auto"/>
          <w:sz w:val="22"/>
          <w:szCs w:val="22"/>
        </w:rPr>
        <w:t xml:space="preserve"> </w:t>
      </w:r>
      <w:r w:rsidR="00EA79ED" w:rsidRPr="00BA1386">
        <w:rPr>
          <w:rFonts w:asciiTheme="minorHAnsi" w:hAnsiTheme="minorHAnsi" w:cstheme="minorHAnsi"/>
          <w:color w:val="auto"/>
          <w:sz w:val="22"/>
          <w:szCs w:val="22"/>
        </w:rPr>
        <w:t>202</w:t>
      </w:r>
      <w:r w:rsidR="00F93BCD">
        <w:rPr>
          <w:rFonts w:asciiTheme="minorHAnsi" w:hAnsiTheme="minorHAnsi" w:cstheme="minorHAnsi"/>
          <w:color w:val="auto"/>
          <w:sz w:val="22"/>
          <w:szCs w:val="22"/>
        </w:rPr>
        <w:t>1</w:t>
      </w:r>
    </w:p>
    <w:p w14:paraId="2F8F2745" w14:textId="5E9273E7" w:rsidR="00EA5E71" w:rsidRPr="00BA1386" w:rsidRDefault="00EB1864" w:rsidP="00C729B4">
      <w:pPr>
        <w:pStyle w:val="Default"/>
        <w:numPr>
          <w:ilvl w:val="0"/>
          <w:numId w:val="11"/>
        </w:numPr>
        <w:rPr>
          <w:rFonts w:asciiTheme="minorHAnsi" w:hAnsiTheme="minorHAnsi" w:cstheme="minorHAnsi"/>
          <w:color w:val="auto"/>
          <w:sz w:val="22"/>
          <w:szCs w:val="22"/>
        </w:rPr>
      </w:pPr>
      <w:r w:rsidRPr="00BA1386">
        <w:rPr>
          <w:rFonts w:asciiTheme="minorHAnsi" w:hAnsiTheme="minorHAnsi" w:cstheme="minorHAnsi"/>
          <w:color w:val="auto"/>
          <w:sz w:val="22"/>
          <w:szCs w:val="22"/>
        </w:rPr>
        <w:t xml:space="preserve">SMT process concludes with responses received – </w:t>
      </w:r>
      <w:r w:rsidR="002616AA" w:rsidRPr="00BA1386">
        <w:rPr>
          <w:rFonts w:asciiTheme="minorHAnsi" w:hAnsiTheme="minorHAnsi" w:cstheme="minorHAnsi"/>
          <w:color w:val="auto"/>
          <w:sz w:val="22"/>
          <w:szCs w:val="22"/>
        </w:rPr>
        <w:t xml:space="preserve">14:00 on </w:t>
      </w:r>
      <w:r w:rsidR="00014BE9" w:rsidRPr="00BA1386">
        <w:rPr>
          <w:rFonts w:asciiTheme="minorHAnsi" w:hAnsiTheme="minorHAnsi" w:cstheme="minorHAnsi"/>
          <w:color w:val="auto"/>
          <w:sz w:val="22"/>
          <w:szCs w:val="22"/>
        </w:rPr>
        <w:t>2</w:t>
      </w:r>
      <w:r w:rsidR="00D756F5" w:rsidRPr="00BA1386">
        <w:rPr>
          <w:rFonts w:asciiTheme="minorHAnsi" w:hAnsiTheme="minorHAnsi" w:cstheme="minorHAnsi"/>
          <w:color w:val="auto"/>
          <w:sz w:val="22"/>
          <w:szCs w:val="22"/>
          <w:vertAlign w:val="superscript"/>
        </w:rPr>
        <w:t>st</w:t>
      </w:r>
      <w:r w:rsidR="00D756F5" w:rsidRPr="00BA1386">
        <w:rPr>
          <w:rFonts w:asciiTheme="minorHAnsi" w:hAnsiTheme="minorHAnsi" w:cstheme="minorHAnsi"/>
          <w:color w:val="auto"/>
          <w:sz w:val="22"/>
          <w:szCs w:val="22"/>
        </w:rPr>
        <w:t xml:space="preserve"> </w:t>
      </w:r>
      <w:r w:rsidR="00014BE9" w:rsidRPr="00BA1386">
        <w:rPr>
          <w:rFonts w:asciiTheme="minorHAnsi" w:hAnsiTheme="minorHAnsi" w:cstheme="minorHAnsi"/>
          <w:color w:val="auto"/>
          <w:sz w:val="22"/>
          <w:szCs w:val="22"/>
        </w:rPr>
        <w:t>June</w:t>
      </w:r>
      <w:r w:rsidR="00EA79ED" w:rsidRPr="00BA1386">
        <w:rPr>
          <w:rFonts w:asciiTheme="minorHAnsi" w:hAnsiTheme="minorHAnsi" w:cstheme="minorHAnsi"/>
          <w:color w:val="auto"/>
          <w:sz w:val="22"/>
          <w:szCs w:val="22"/>
        </w:rPr>
        <w:t xml:space="preserve"> 202</w:t>
      </w:r>
      <w:r w:rsidR="00F93BCD">
        <w:rPr>
          <w:rFonts w:asciiTheme="minorHAnsi" w:hAnsiTheme="minorHAnsi" w:cstheme="minorHAnsi"/>
          <w:color w:val="auto"/>
          <w:sz w:val="22"/>
          <w:szCs w:val="22"/>
        </w:rPr>
        <w:t>1</w:t>
      </w:r>
    </w:p>
    <w:p w14:paraId="38B59612" w14:textId="77777777" w:rsidR="00C729B4" w:rsidRPr="00BA1386" w:rsidRDefault="00C729B4" w:rsidP="00C729B4">
      <w:pPr>
        <w:pStyle w:val="Default"/>
        <w:rPr>
          <w:rFonts w:asciiTheme="minorHAnsi" w:hAnsiTheme="minorHAnsi" w:cstheme="minorHAnsi"/>
          <w:color w:val="auto"/>
          <w:sz w:val="22"/>
          <w:szCs w:val="22"/>
        </w:rPr>
      </w:pPr>
    </w:p>
    <w:p w14:paraId="4903E5C8" w14:textId="77777777" w:rsidR="00AB3689" w:rsidRPr="00BA1386" w:rsidRDefault="00BB2BBB" w:rsidP="00C729B4">
      <w:pPr>
        <w:pStyle w:val="Default"/>
        <w:rPr>
          <w:rFonts w:asciiTheme="minorHAnsi" w:hAnsiTheme="minorHAnsi" w:cstheme="minorHAnsi"/>
          <w:color w:val="auto"/>
          <w:sz w:val="22"/>
          <w:szCs w:val="22"/>
        </w:rPr>
      </w:pPr>
      <w:r w:rsidRPr="00BA1386">
        <w:rPr>
          <w:rFonts w:asciiTheme="minorHAnsi" w:hAnsiTheme="minorHAnsi" w:cstheme="minorHAnsi"/>
          <w:color w:val="auto"/>
          <w:sz w:val="22"/>
          <w:szCs w:val="22"/>
        </w:rPr>
        <w:t xml:space="preserve">Please note that whilst this SMT is being carried out at this present time, the proposed framework will not be in place until circa Q3 2022. As such where necessary, DEFRA will be carryon engaging with contractors via other Public Sector agreements such as CCS/NHS SBS/NHS LPP etc. </w:t>
      </w:r>
      <w:r w:rsidR="00AB3689" w:rsidRPr="00BA1386">
        <w:rPr>
          <w:rFonts w:asciiTheme="minorHAnsi" w:hAnsiTheme="minorHAnsi" w:cstheme="minorHAnsi"/>
          <w:color w:val="auto"/>
          <w:sz w:val="22"/>
          <w:szCs w:val="22"/>
        </w:rPr>
        <w:t xml:space="preserve"> </w:t>
      </w:r>
    </w:p>
    <w:p w14:paraId="171299D4" w14:textId="77777777" w:rsidR="00C729B4" w:rsidRPr="00CC5231" w:rsidRDefault="00C729B4" w:rsidP="00C729B4">
      <w:pPr>
        <w:spacing w:before="100" w:beforeAutospacing="1" w:after="100" w:afterAutospacing="1" w:line="240" w:lineRule="auto"/>
        <w:rPr>
          <w:rFonts w:eastAsia="Times New Roman" w:cstheme="minorHAnsi"/>
          <w:b/>
          <w:bCs/>
          <w:lang w:eastAsia="en-GB"/>
        </w:rPr>
      </w:pPr>
      <w:r w:rsidRPr="00CC5231">
        <w:rPr>
          <w:rFonts w:eastAsia="Times New Roman" w:cstheme="minorHAnsi"/>
          <w:b/>
          <w:bCs/>
          <w:lang w:eastAsia="en-GB"/>
        </w:rPr>
        <w:t>Questionnaire</w:t>
      </w:r>
    </w:p>
    <w:p w14:paraId="3FA41117" w14:textId="77777777" w:rsidR="00C729B4" w:rsidRDefault="00C729B4" w:rsidP="00C729B4">
      <w:pPr>
        <w:spacing w:before="100" w:beforeAutospacing="1" w:after="100" w:afterAutospacing="1" w:line="240" w:lineRule="auto"/>
        <w:rPr>
          <w:rFonts w:eastAsia="Times New Roman" w:cstheme="minorHAnsi"/>
          <w:b/>
          <w:bCs/>
          <w:lang w:eastAsia="en-GB"/>
        </w:rPr>
      </w:pPr>
      <w:r>
        <w:rPr>
          <w:rFonts w:eastAsia="Times New Roman" w:cstheme="minorHAnsi"/>
          <w:b/>
          <w:bCs/>
          <w:lang w:eastAsia="en-GB"/>
        </w:rPr>
        <w:t>Please put your responses in the box below each question using no more than 200 words and please DO NOT embed any attachments.</w:t>
      </w:r>
    </w:p>
    <w:p w14:paraId="1FCF058F" w14:textId="3375443A" w:rsidR="00C729B4" w:rsidRPr="00F93BCD" w:rsidRDefault="00C729B4" w:rsidP="00C729B4">
      <w:pPr>
        <w:spacing w:before="100" w:beforeAutospacing="1" w:after="100" w:afterAutospacing="1" w:line="240" w:lineRule="auto"/>
        <w:rPr>
          <w:rFonts w:eastAsia="Times New Roman" w:cstheme="minorHAnsi"/>
          <w:b/>
          <w:bCs/>
          <w:color w:val="FF0000"/>
          <w:lang w:eastAsia="en-GB"/>
        </w:rPr>
      </w:pPr>
      <w:r>
        <w:rPr>
          <w:rFonts w:eastAsia="Times New Roman" w:cstheme="minorHAnsi"/>
          <w:b/>
          <w:bCs/>
          <w:lang w:eastAsia="en-GB"/>
        </w:rPr>
        <w:t xml:space="preserve">Completed Questionnaires should be returned </w:t>
      </w:r>
      <w:r w:rsidR="001F170A" w:rsidRPr="00BA1386">
        <w:rPr>
          <w:rFonts w:eastAsia="Times New Roman" w:cstheme="minorHAnsi"/>
          <w:b/>
          <w:bCs/>
          <w:lang w:eastAsia="en-GB"/>
        </w:rPr>
        <w:t>by</w:t>
      </w:r>
      <w:r w:rsidRPr="00BA1386">
        <w:rPr>
          <w:rFonts w:eastAsia="Times New Roman" w:cstheme="minorHAnsi"/>
          <w:b/>
          <w:bCs/>
          <w:lang w:eastAsia="en-GB"/>
        </w:rPr>
        <w:t xml:space="preserve"> close of </w:t>
      </w:r>
      <w:r w:rsidR="00BA1386" w:rsidRPr="00BA1386">
        <w:rPr>
          <w:rFonts w:eastAsia="Times New Roman" w:cstheme="minorHAnsi"/>
          <w:b/>
          <w:bCs/>
          <w:lang w:eastAsia="en-GB"/>
        </w:rPr>
        <w:t>business 2</w:t>
      </w:r>
      <w:r w:rsidR="00014BE9" w:rsidRPr="00BA1386">
        <w:rPr>
          <w:rFonts w:eastAsia="Times New Roman" w:cstheme="minorHAnsi"/>
          <w:b/>
          <w:bCs/>
          <w:vertAlign w:val="superscript"/>
          <w:lang w:eastAsia="en-GB"/>
        </w:rPr>
        <w:t>nd</w:t>
      </w:r>
      <w:r w:rsidR="00014BE9" w:rsidRPr="00BA1386">
        <w:rPr>
          <w:rFonts w:eastAsia="Times New Roman" w:cstheme="minorHAnsi"/>
          <w:b/>
          <w:bCs/>
          <w:lang w:eastAsia="en-GB"/>
        </w:rPr>
        <w:t xml:space="preserve"> June</w:t>
      </w:r>
      <w:r w:rsidRPr="00BA1386">
        <w:rPr>
          <w:rFonts w:eastAsia="Times New Roman" w:cstheme="minorHAnsi"/>
          <w:b/>
          <w:bCs/>
          <w:lang w:eastAsia="en-GB"/>
        </w:rPr>
        <w:t xml:space="preserve"> 2</w:t>
      </w:r>
      <w:r w:rsidR="00014BE9" w:rsidRPr="00BA1386">
        <w:rPr>
          <w:rFonts w:eastAsia="Times New Roman" w:cstheme="minorHAnsi"/>
          <w:b/>
          <w:bCs/>
          <w:lang w:eastAsia="en-GB"/>
        </w:rPr>
        <w:t>02</w:t>
      </w:r>
      <w:r w:rsidRPr="00BA1386">
        <w:rPr>
          <w:rFonts w:eastAsia="Times New Roman" w:cstheme="minorHAnsi"/>
          <w:b/>
          <w:bCs/>
          <w:lang w:eastAsia="en-GB"/>
        </w:rPr>
        <w:t>1.</w:t>
      </w:r>
    </w:p>
    <w:tbl>
      <w:tblPr>
        <w:tblStyle w:val="TableGrid"/>
        <w:tblW w:w="0" w:type="auto"/>
        <w:tblLook w:val="04A0" w:firstRow="1" w:lastRow="0" w:firstColumn="1" w:lastColumn="0" w:noHBand="0" w:noVBand="1"/>
      </w:tblPr>
      <w:tblGrid>
        <w:gridCol w:w="9016"/>
      </w:tblGrid>
      <w:tr w:rsidR="00C729B4" w:rsidRPr="003C645E" w14:paraId="13996648" w14:textId="77777777" w:rsidTr="00C9006F">
        <w:trPr>
          <w:trHeight w:val="331"/>
        </w:trPr>
        <w:tc>
          <w:tcPr>
            <w:tcW w:w="9016" w:type="dxa"/>
          </w:tcPr>
          <w:p w14:paraId="6414F8CB" w14:textId="77777777" w:rsidR="00C729B4" w:rsidRPr="003C645E" w:rsidRDefault="00C729B4" w:rsidP="00C9006F">
            <w:pPr>
              <w:spacing w:before="100" w:beforeAutospacing="1" w:after="100" w:afterAutospacing="1"/>
              <w:rPr>
                <w:rFonts w:eastAsia="Times New Roman" w:cstheme="minorHAnsi"/>
                <w:bCs/>
                <w:lang w:eastAsia="en-GB"/>
              </w:rPr>
            </w:pPr>
            <w:r w:rsidRPr="003C645E">
              <w:rPr>
                <w:rFonts w:eastAsia="Times New Roman" w:cstheme="minorHAnsi"/>
                <w:bCs/>
                <w:lang w:eastAsia="en-GB"/>
              </w:rPr>
              <w:t>Company Name:</w:t>
            </w:r>
          </w:p>
        </w:tc>
      </w:tr>
      <w:tr w:rsidR="00C729B4" w:rsidRPr="003C645E" w14:paraId="2C28C0F7" w14:textId="77777777" w:rsidTr="00C9006F">
        <w:tc>
          <w:tcPr>
            <w:tcW w:w="9016" w:type="dxa"/>
          </w:tcPr>
          <w:p w14:paraId="7EF58629" w14:textId="77777777" w:rsidR="00C729B4" w:rsidRPr="003C645E" w:rsidRDefault="00C729B4" w:rsidP="00C9006F">
            <w:pPr>
              <w:spacing w:before="100" w:beforeAutospacing="1" w:after="100" w:afterAutospacing="1"/>
              <w:rPr>
                <w:rFonts w:eastAsia="Times New Roman" w:cstheme="minorHAnsi"/>
                <w:bCs/>
                <w:lang w:eastAsia="en-GB"/>
              </w:rPr>
            </w:pPr>
            <w:r>
              <w:rPr>
                <w:rFonts w:eastAsia="Times New Roman" w:cstheme="minorHAnsi"/>
                <w:bCs/>
                <w:lang w:eastAsia="en-GB"/>
              </w:rPr>
              <w:t>Location</w:t>
            </w:r>
            <w:r w:rsidRPr="003C645E">
              <w:rPr>
                <w:rFonts w:eastAsia="Times New Roman" w:cstheme="minorHAnsi"/>
                <w:bCs/>
                <w:lang w:eastAsia="en-GB"/>
              </w:rPr>
              <w:t>:</w:t>
            </w:r>
          </w:p>
        </w:tc>
      </w:tr>
      <w:tr w:rsidR="00C729B4" w:rsidRPr="003C645E" w14:paraId="63D586D5" w14:textId="77777777" w:rsidTr="00C9006F">
        <w:tc>
          <w:tcPr>
            <w:tcW w:w="9016" w:type="dxa"/>
          </w:tcPr>
          <w:p w14:paraId="327F9720" w14:textId="77777777" w:rsidR="00C729B4" w:rsidRPr="003C645E" w:rsidRDefault="00C729B4" w:rsidP="00C9006F">
            <w:pPr>
              <w:spacing w:before="100" w:beforeAutospacing="1" w:after="100" w:afterAutospacing="1"/>
              <w:rPr>
                <w:rFonts w:eastAsia="Times New Roman" w:cstheme="minorHAnsi"/>
                <w:bCs/>
                <w:lang w:eastAsia="en-GB"/>
              </w:rPr>
            </w:pPr>
            <w:r w:rsidRPr="003C645E">
              <w:rPr>
                <w:rFonts w:eastAsia="Times New Roman" w:cstheme="minorHAnsi"/>
                <w:bCs/>
                <w:lang w:eastAsia="en-GB"/>
              </w:rPr>
              <w:t>Contact name:</w:t>
            </w:r>
          </w:p>
        </w:tc>
      </w:tr>
      <w:tr w:rsidR="00C729B4" w:rsidRPr="003C645E" w14:paraId="21786E04" w14:textId="77777777" w:rsidTr="00C9006F">
        <w:tc>
          <w:tcPr>
            <w:tcW w:w="9016" w:type="dxa"/>
          </w:tcPr>
          <w:p w14:paraId="11A27BEA" w14:textId="77777777" w:rsidR="00C729B4" w:rsidRPr="003C645E" w:rsidRDefault="00C729B4" w:rsidP="00C9006F">
            <w:pPr>
              <w:spacing w:before="100" w:beforeAutospacing="1" w:after="100" w:afterAutospacing="1"/>
              <w:rPr>
                <w:rFonts w:eastAsia="Times New Roman" w:cstheme="minorHAnsi"/>
                <w:bCs/>
                <w:lang w:eastAsia="en-GB"/>
              </w:rPr>
            </w:pPr>
            <w:r w:rsidRPr="003C645E">
              <w:rPr>
                <w:rFonts w:eastAsia="Times New Roman" w:cstheme="minorHAnsi"/>
                <w:bCs/>
                <w:lang w:eastAsia="en-GB"/>
              </w:rPr>
              <w:t>Contact email:</w:t>
            </w:r>
          </w:p>
        </w:tc>
      </w:tr>
      <w:tr w:rsidR="00C729B4" w:rsidRPr="003C645E" w14:paraId="2E199337" w14:textId="77777777" w:rsidTr="00C9006F">
        <w:trPr>
          <w:trHeight w:val="70"/>
        </w:trPr>
        <w:tc>
          <w:tcPr>
            <w:tcW w:w="9016" w:type="dxa"/>
            <w:tcBorders>
              <w:bottom w:val="single" w:sz="4" w:space="0" w:color="auto"/>
            </w:tcBorders>
          </w:tcPr>
          <w:p w14:paraId="24215729" w14:textId="77777777" w:rsidR="00C729B4" w:rsidRPr="003C645E" w:rsidRDefault="00C729B4" w:rsidP="00C9006F">
            <w:pPr>
              <w:spacing w:before="100" w:beforeAutospacing="1" w:after="100" w:afterAutospacing="1"/>
              <w:rPr>
                <w:rFonts w:eastAsia="Times New Roman" w:cstheme="minorHAnsi"/>
                <w:bCs/>
                <w:lang w:eastAsia="en-GB"/>
              </w:rPr>
            </w:pPr>
            <w:r w:rsidRPr="003C645E">
              <w:rPr>
                <w:rFonts w:eastAsia="Times New Roman" w:cstheme="minorHAnsi"/>
                <w:bCs/>
                <w:lang w:eastAsia="en-GB"/>
              </w:rPr>
              <w:t>Contact Telephone Number:</w:t>
            </w:r>
          </w:p>
        </w:tc>
      </w:tr>
    </w:tbl>
    <w:p w14:paraId="26317E39" w14:textId="77777777" w:rsidR="00C729B4" w:rsidRPr="00CC5231" w:rsidRDefault="00C729B4" w:rsidP="00C729B4">
      <w:pPr>
        <w:spacing w:before="100" w:beforeAutospacing="1" w:after="100" w:afterAutospacing="1" w:line="240" w:lineRule="auto"/>
        <w:rPr>
          <w:rFonts w:eastAsia="Times New Roman" w:cstheme="minorHAnsi"/>
          <w:lang w:eastAsia="en-GB"/>
        </w:rPr>
      </w:pPr>
      <w:r w:rsidRPr="00CC5231">
        <w:rPr>
          <w:rFonts w:eastAsia="Times New Roman" w:cstheme="minorHAnsi"/>
          <w:b/>
          <w:bCs/>
          <w:lang w:eastAsia="en-GB"/>
        </w:rPr>
        <w:lastRenderedPageBreak/>
        <w:t>Q1;</w:t>
      </w:r>
      <w:r w:rsidRPr="00CC5231">
        <w:rPr>
          <w:rFonts w:eastAsia="Times New Roman" w:cstheme="minorHAnsi"/>
          <w:lang w:eastAsia="en-GB"/>
        </w:rPr>
        <w:t xml:space="preserve"> Are there any aspects concerning this project that would prevent your organisation from submitting </w:t>
      </w:r>
      <w:r>
        <w:rPr>
          <w:rFonts w:eastAsia="Times New Roman" w:cstheme="minorHAnsi"/>
          <w:lang w:eastAsia="en-GB"/>
        </w:rPr>
        <w:t xml:space="preserve">a </w:t>
      </w:r>
      <w:r w:rsidRPr="00CC5231">
        <w:rPr>
          <w:rFonts w:eastAsia="Times New Roman" w:cstheme="minorHAnsi"/>
          <w:lang w:eastAsia="en-GB"/>
        </w:rPr>
        <w:t>bid?</w:t>
      </w:r>
    </w:p>
    <w:p w14:paraId="53C410FF" w14:textId="77777777" w:rsidR="00C729B4" w:rsidRDefault="00C729B4" w:rsidP="00C729B4">
      <w:pPr>
        <w:spacing w:before="100" w:beforeAutospacing="1" w:after="100" w:afterAutospacing="1" w:line="240" w:lineRule="auto"/>
        <w:rPr>
          <w:rFonts w:eastAsia="Times New Roman" w:cstheme="minorHAnsi"/>
          <w:lang w:eastAsia="en-GB"/>
        </w:rPr>
      </w:pPr>
      <w:r w:rsidRPr="00CC5231">
        <w:rPr>
          <w:rFonts w:eastAsia="Times New Roman" w:cstheme="minorHAnsi"/>
          <w:lang w:eastAsia="en-GB"/>
        </w:rPr>
        <w:t>This question is particularly directed toward potential concern over involvement in facilities that may involve animal testing.  Whilst we reiterate that the animal testing undertaken as part of the work at APHA is solely focussed on the health and wellbeing of animal</w:t>
      </w:r>
      <w:r>
        <w:rPr>
          <w:rFonts w:eastAsia="Times New Roman" w:cstheme="minorHAnsi"/>
          <w:lang w:eastAsia="en-GB"/>
        </w:rPr>
        <w:t>s</w:t>
      </w:r>
      <w:r w:rsidRPr="00CC5231">
        <w:rPr>
          <w:rFonts w:eastAsia="Times New Roman" w:cstheme="minorHAnsi"/>
          <w:lang w:eastAsia="en-GB"/>
        </w:rPr>
        <w:t xml:space="preserve"> within the context of commercial farming we do understand that certain parties may be reluctant to engage and support such studies.</w:t>
      </w:r>
    </w:p>
    <w:p w14:paraId="23CCDAA2" w14:textId="77777777" w:rsidR="00C729B4" w:rsidRDefault="00C729B4" w:rsidP="00C729B4">
      <w:pPr>
        <w:spacing w:before="100" w:beforeAutospacing="1" w:after="100" w:afterAutospacing="1" w:line="240" w:lineRule="auto"/>
        <w:rPr>
          <w:rFonts w:eastAsia="Times New Roman" w:cstheme="minorHAnsi"/>
          <w:lang w:eastAsia="en-GB"/>
        </w:rPr>
      </w:pPr>
      <w:r w:rsidRPr="00FC6E50">
        <w:rPr>
          <w:rFonts w:eastAsia="Times New Roman" w:cstheme="minorHAnsi"/>
          <w:noProof/>
          <w:lang w:eastAsia="en-GB"/>
        </w:rPr>
        <mc:AlternateContent>
          <mc:Choice Requires="wps">
            <w:drawing>
              <wp:anchor distT="45720" distB="45720" distL="114300" distR="114300" simplePos="0" relativeHeight="251659264" behindDoc="0" locked="0" layoutInCell="1" allowOverlap="1" wp14:anchorId="04EC4415" wp14:editId="76FC9B30">
                <wp:simplePos x="0" y="0"/>
                <wp:positionH relativeFrom="margin">
                  <wp:posOffset>-2540</wp:posOffset>
                </wp:positionH>
                <wp:positionV relativeFrom="paragraph">
                  <wp:posOffset>525780</wp:posOffset>
                </wp:positionV>
                <wp:extent cx="568642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rgbClr val="FFFFFF"/>
                        </a:solidFill>
                        <a:ln w="9525">
                          <a:solidFill>
                            <a:srgbClr val="000000"/>
                          </a:solidFill>
                          <a:miter lim="800000"/>
                          <a:headEnd/>
                          <a:tailEnd/>
                        </a:ln>
                      </wps:spPr>
                      <wps:txbx>
                        <w:txbxContent>
                          <w:p w14:paraId="32878393" w14:textId="77777777" w:rsidR="00C729B4" w:rsidRDefault="00C729B4" w:rsidP="00C729B4"/>
                          <w:p w14:paraId="13CF685C" w14:textId="77777777" w:rsidR="00C729B4" w:rsidRDefault="00C729B4" w:rsidP="00C729B4"/>
                          <w:p w14:paraId="16E34F9D" w14:textId="77777777" w:rsidR="00C729B4" w:rsidRDefault="00C729B4" w:rsidP="00C729B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4EC4415">
                <v:stroke joinstyle="miter"/>
                <v:path gradientshapeok="t" o:connecttype="rect"/>
              </v:shapetype>
              <v:shape id="Text Box 2" style="position:absolute;margin-left:-.2pt;margin-top:41.4pt;width:447.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">
                <v:textbox style="mso-fit-shape-to-text:t">
                  <w:txbxContent>
                    <w:p w:rsidR="00C729B4" w:rsidP="00C729B4" w:rsidRDefault="00C729B4" w14:paraId="32878393" w14:textId="77777777"/>
                    <w:p w:rsidR="00C729B4" w:rsidP="00C729B4" w:rsidRDefault="00C729B4" w14:paraId="13CF685C" w14:textId="77777777"/>
                    <w:p w:rsidR="00C729B4" w:rsidP="00C729B4" w:rsidRDefault="00C729B4" w14:paraId="16E34F9D" w14:textId="77777777"/>
                  </w:txbxContent>
                </v:textbox>
                <w10:wrap type="square" anchorx="margin"/>
              </v:shape>
            </w:pict>
          </mc:Fallback>
        </mc:AlternateContent>
      </w:r>
      <w:r w:rsidRPr="00CC5231">
        <w:rPr>
          <w:rFonts w:eastAsia="Times New Roman" w:cstheme="minorHAnsi"/>
          <w:lang w:eastAsia="en-GB"/>
        </w:rPr>
        <w:t>Please consider and provide within your response measures or further information that you would consider to be pertinent to your response or that may change your response.</w:t>
      </w:r>
    </w:p>
    <w:p w14:paraId="1EEC8290" w14:textId="1D2896A7" w:rsidR="00C729B4" w:rsidRDefault="00C729B4">
      <w:pPr>
        <w:rPr>
          <w:rFonts w:cs="Times New Roman"/>
          <w:szCs w:val="20"/>
        </w:rPr>
      </w:pPr>
    </w:p>
    <w:p w14:paraId="6A094499" w14:textId="7E5991DA" w:rsidR="00227EBE" w:rsidRPr="00625F18" w:rsidRDefault="00227EBE" w:rsidP="00227EBE">
      <w:pPr>
        <w:spacing w:before="100" w:beforeAutospacing="1" w:after="100" w:afterAutospacing="1" w:line="240" w:lineRule="auto"/>
      </w:pPr>
      <w:r w:rsidRPr="00FC6E50">
        <w:rPr>
          <w:rFonts w:eastAsia="Times New Roman" w:cstheme="minorHAnsi"/>
          <w:noProof/>
          <w:lang w:eastAsia="en-GB"/>
        </w:rPr>
        <mc:AlternateContent>
          <mc:Choice Requires="wps">
            <w:drawing>
              <wp:anchor distT="45720" distB="45720" distL="114300" distR="114300" simplePos="0" relativeHeight="251661312" behindDoc="0" locked="0" layoutInCell="1" allowOverlap="1" wp14:anchorId="59667B5F" wp14:editId="6D0B7F6A">
                <wp:simplePos x="0" y="0"/>
                <wp:positionH relativeFrom="margin">
                  <wp:align>left</wp:align>
                </wp:positionH>
                <wp:positionV relativeFrom="paragraph">
                  <wp:posOffset>906145</wp:posOffset>
                </wp:positionV>
                <wp:extent cx="5686425" cy="1404620"/>
                <wp:effectExtent l="0" t="0" r="28575"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rgbClr val="FFFFFF"/>
                        </a:solidFill>
                        <a:ln w="9525">
                          <a:solidFill>
                            <a:srgbClr val="000000"/>
                          </a:solidFill>
                          <a:miter lim="800000"/>
                          <a:headEnd/>
                          <a:tailEnd/>
                        </a:ln>
                      </wps:spPr>
                      <wps:txbx>
                        <w:txbxContent>
                          <w:p w14:paraId="00998C0F" w14:textId="77777777" w:rsidR="00227EBE" w:rsidRDefault="00227EBE" w:rsidP="00227EBE"/>
                          <w:p w14:paraId="1D9ED333" w14:textId="77777777" w:rsidR="00227EBE" w:rsidRDefault="00227EBE" w:rsidP="00227EBE"/>
                          <w:p w14:paraId="71190465" w14:textId="77777777" w:rsidR="00227EBE" w:rsidRDefault="00227EBE" w:rsidP="00227EB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0;margin-top:71.35pt;width:447.7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" w14:anchorId="59667B5F">
                <v:textbox style="mso-fit-shape-to-text:t">
                  <w:txbxContent>
                    <w:p w:rsidR="00227EBE" w:rsidP="00227EBE" w:rsidRDefault="00227EBE" w14:paraId="00998C0F" w14:textId="77777777"/>
                    <w:p w:rsidR="00227EBE" w:rsidP="00227EBE" w:rsidRDefault="00227EBE" w14:paraId="1D9ED333" w14:textId="77777777"/>
                    <w:p w:rsidR="00227EBE" w:rsidP="00227EBE" w:rsidRDefault="00227EBE" w14:paraId="71190465" w14:textId="77777777"/>
                  </w:txbxContent>
                </v:textbox>
                <w10:wrap type="square" anchorx="margin"/>
              </v:shape>
            </w:pict>
          </mc:Fallback>
        </mc:AlternateContent>
      </w:r>
      <w:r w:rsidR="00C729B4" w:rsidRPr="00CC5231">
        <w:rPr>
          <w:rFonts w:eastAsia="Times New Roman" w:cstheme="minorHAnsi"/>
          <w:b/>
          <w:bCs/>
          <w:lang w:eastAsia="en-GB"/>
        </w:rPr>
        <w:t>Q</w:t>
      </w:r>
      <w:r w:rsidR="00C729B4">
        <w:rPr>
          <w:rFonts w:eastAsia="Times New Roman" w:cstheme="minorHAnsi"/>
          <w:b/>
          <w:bCs/>
          <w:lang w:eastAsia="en-GB"/>
        </w:rPr>
        <w:t>2</w:t>
      </w:r>
      <w:r w:rsidR="00C729B4" w:rsidRPr="00CC5231">
        <w:rPr>
          <w:rFonts w:eastAsia="Times New Roman" w:cstheme="minorHAnsi"/>
          <w:b/>
          <w:bCs/>
          <w:lang w:eastAsia="en-GB"/>
        </w:rPr>
        <w:t>;</w:t>
      </w:r>
      <w:r w:rsidR="00C729B4" w:rsidRPr="00CC5231">
        <w:rPr>
          <w:rFonts w:eastAsia="Times New Roman" w:cstheme="minorHAnsi"/>
          <w:lang w:eastAsia="en-GB"/>
        </w:rPr>
        <w:t xml:space="preserve"> </w:t>
      </w:r>
      <w:r w:rsidRPr="00F478D4">
        <w:t xml:space="preserve">Following pre-qualification, the current intention is to down select to </w:t>
      </w:r>
      <w:r w:rsidR="00014BE9">
        <w:rPr>
          <w:rFonts w:eastAsia="Cambria" w:cstheme="minorHAnsi"/>
        </w:rPr>
        <w:t>4</w:t>
      </w:r>
      <w:r w:rsidR="00014BE9" w:rsidRPr="00300F11">
        <w:rPr>
          <w:rFonts w:eastAsia="Cambria" w:cstheme="minorHAnsi"/>
        </w:rPr>
        <w:t xml:space="preserve"> suppliers</w:t>
      </w:r>
      <w:r w:rsidR="00014BE9">
        <w:rPr>
          <w:rFonts w:eastAsia="Cambria" w:cstheme="minorHAnsi"/>
        </w:rPr>
        <w:t xml:space="preserve"> per lot (with each lot containing further sub-lots within them based on spend thresholds)</w:t>
      </w:r>
      <w:r w:rsidRPr="00F478D4">
        <w:t xml:space="preserve"> who will be invited to submit a tender.  Do you think this is an appropriate number to be invited to tender?  If not, why not and what would be your proposed number?</w:t>
      </w:r>
    </w:p>
    <w:p w14:paraId="54AB3FAD" w14:textId="0B1E6D41" w:rsidR="00EB6683" w:rsidRDefault="00227EBE" w:rsidP="00227EBE">
      <w:pPr>
        <w:spacing w:before="100" w:beforeAutospacing="1" w:after="100" w:afterAutospacing="1" w:line="240" w:lineRule="auto"/>
      </w:pPr>
      <w:r w:rsidRPr="00CC5231">
        <w:rPr>
          <w:rFonts w:eastAsia="Times New Roman" w:cstheme="minorHAnsi"/>
          <w:b/>
          <w:bCs/>
          <w:lang w:eastAsia="en-GB"/>
        </w:rPr>
        <w:lastRenderedPageBreak/>
        <w:t>Q</w:t>
      </w:r>
      <w:r>
        <w:rPr>
          <w:rFonts w:eastAsia="Times New Roman" w:cstheme="minorHAnsi"/>
          <w:b/>
          <w:bCs/>
          <w:lang w:eastAsia="en-GB"/>
        </w:rPr>
        <w:t>3</w:t>
      </w:r>
      <w:r w:rsidRPr="00CC5231">
        <w:rPr>
          <w:rFonts w:eastAsia="Times New Roman" w:cstheme="minorHAnsi"/>
          <w:b/>
          <w:bCs/>
          <w:lang w:eastAsia="en-GB"/>
        </w:rPr>
        <w:t>;</w:t>
      </w:r>
      <w:r w:rsidRPr="00CC5231">
        <w:rPr>
          <w:rFonts w:eastAsia="Times New Roman" w:cstheme="minorHAnsi"/>
          <w:lang w:eastAsia="en-GB"/>
        </w:rPr>
        <w:t xml:space="preserve"> </w:t>
      </w:r>
      <w:r w:rsidR="00DB1C3F">
        <w:rPr>
          <w:rFonts w:eastAsia="Times New Roman" w:cstheme="minorHAnsi"/>
          <w:lang w:eastAsia="en-GB"/>
        </w:rPr>
        <w:t>If you have expressed an interest in this tender, p</w:t>
      </w:r>
      <w:r>
        <w:t>lease could you indicate which Lots you would be interested in tendering for.</w:t>
      </w:r>
      <w:r w:rsidR="00DB1C3F">
        <w:t xml:space="preserve"> </w:t>
      </w:r>
      <w:r w:rsidR="00934FC2">
        <w:t xml:space="preserve"> Please ensure to state which regional lab you may be interested in within the remarks section for each Lot</w:t>
      </w:r>
      <w:r w:rsidR="00254540">
        <w:t xml:space="preserve"> (e.g. Carmarthen)</w:t>
      </w:r>
      <w:r w:rsidR="00934FC2">
        <w:t xml:space="preserve">. </w:t>
      </w:r>
    </w:p>
    <w:tbl>
      <w:tblPr>
        <w:tblStyle w:val="TableGrid"/>
        <w:tblpPr w:leftFromText="180" w:rightFromText="180" w:vertAnchor="text" w:horzAnchor="margin" w:tblpY="-1316"/>
        <w:tblW w:w="11052" w:type="dxa"/>
        <w:tblLook w:val="04A0" w:firstRow="1" w:lastRow="0" w:firstColumn="1" w:lastColumn="0" w:noHBand="0" w:noVBand="1"/>
      </w:tblPr>
      <w:tblGrid>
        <w:gridCol w:w="3005"/>
        <w:gridCol w:w="621"/>
        <w:gridCol w:w="622"/>
        <w:gridCol w:w="638"/>
        <w:gridCol w:w="638"/>
        <w:gridCol w:w="5528"/>
      </w:tblGrid>
      <w:tr w:rsidR="00934FC2" w14:paraId="7FC4B54E" w14:textId="77777777" w:rsidTr="309B7E94">
        <w:trPr>
          <w:trHeight w:val="495"/>
        </w:trPr>
        <w:tc>
          <w:tcPr>
            <w:tcW w:w="3005" w:type="dxa"/>
            <w:vMerge w:val="restart"/>
          </w:tcPr>
          <w:p w14:paraId="6C20A39E" w14:textId="70A6DE3B" w:rsidR="00934FC2" w:rsidRPr="0020709E" w:rsidRDefault="00AD1BBA" w:rsidP="0005661E">
            <w:pPr>
              <w:spacing w:before="480" w:after="100" w:afterAutospacing="1"/>
              <w:rPr>
                <w:rFonts w:eastAsia="Times New Roman" w:cstheme="minorHAnsi"/>
                <w:b/>
                <w:bCs/>
                <w:lang w:eastAsia="en-GB"/>
              </w:rPr>
            </w:pPr>
            <w:r>
              <w:rPr>
                <w:rFonts w:eastAsia="Times New Roman" w:cstheme="minorHAnsi"/>
                <w:b/>
                <w:bCs/>
                <w:lang w:eastAsia="en-GB"/>
              </w:rPr>
              <w:lastRenderedPageBreak/>
              <w:t>Lot</w:t>
            </w:r>
          </w:p>
        </w:tc>
        <w:tc>
          <w:tcPr>
            <w:tcW w:w="1243" w:type="dxa"/>
            <w:gridSpan w:val="2"/>
          </w:tcPr>
          <w:p w14:paraId="3B31C462" w14:textId="2C173E7A" w:rsidR="00934FC2" w:rsidRPr="0020709E" w:rsidRDefault="00934FC2" w:rsidP="0005661E">
            <w:pPr>
              <w:spacing w:before="480" w:after="100" w:afterAutospacing="1"/>
              <w:jc w:val="center"/>
              <w:rPr>
                <w:rFonts w:eastAsia="Times New Roman" w:cstheme="minorHAnsi"/>
                <w:b/>
                <w:bCs/>
                <w:lang w:eastAsia="en-GB"/>
              </w:rPr>
            </w:pPr>
            <w:r>
              <w:rPr>
                <w:rFonts w:eastAsia="Times New Roman" w:cstheme="minorHAnsi"/>
                <w:b/>
                <w:bCs/>
                <w:lang w:eastAsia="en-GB"/>
              </w:rPr>
              <w:t>Weybridge</w:t>
            </w:r>
          </w:p>
        </w:tc>
        <w:tc>
          <w:tcPr>
            <w:tcW w:w="1276" w:type="dxa"/>
            <w:gridSpan w:val="2"/>
          </w:tcPr>
          <w:p w14:paraId="7F47B14C" w14:textId="5374F826" w:rsidR="00934FC2" w:rsidRPr="0020709E" w:rsidRDefault="00934FC2" w:rsidP="0005661E">
            <w:pPr>
              <w:spacing w:before="480" w:after="100" w:afterAutospacing="1"/>
              <w:jc w:val="center"/>
              <w:rPr>
                <w:rFonts w:eastAsia="Times New Roman" w:cstheme="minorHAnsi"/>
                <w:b/>
                <w:bCs/>
                <w:lang w:eastAsia="en-GB"/>
              </w:rPr>
            </w:pPr>
            <w:r>
              <w:rPr>
                <w:rFonts w:eastAsia="Times New Roman" w:cstheme="minorHAnsi"/>
                <w:b/>
                <w:bCs/>
                <w:lang w:eastAsia="en-GB"/>
              </w:rPr>
              <w:t>Regional</w:t>
            </w:r>
          </w:p>
        </w:tc>
        <w:tc>
          <w:tcPr>
            <w:tcW w:w="5528" w:type="dxa"/>
            <w:vMerge w:val="restart"/>
          </w:tcPr>
          <w:p w14:paraId="7C69BEAC" w14:textId="77777777" w:rsidR="00934FC2" w:rsidRPr="0020709E" w:rsidRDefault="00934FC2" w:rsidP="0005661E">
            <w:pPr>
              <w:spacing w:before="480" w:after="100" w:afterAutospacing="1"/>
              <w:rPr>
                <w:rFonts w:eastAsia="Times New Roman" w:cstheme="minorHAnsi"/>
                <w:b/>
                <w:bCs/>
                <w:lang w:eastAsia="en-GB"/>
              </w:rPr>
            </w:pPr>
            <w:r w:rsidRPr="0020709E">
              <w:rPr>
                <w:rFonts w:eastAsia="Times New Roman" w:cstheme="minorHAnsi"/>
                <w:b/>
                <w:bCs/>
                <w:lang w:eastAsia="en-GB"/>
              </w:rPr>
              <w:t xml:space="preserve">         Remarks</w:t>
            </w:r>
          </w:p>
        </w:tc>
      </w:tr>
      <w:tr w:rsidR="00934FC2" w14:paraId="54B9D4C4" w14:textId="77777777" w:rsidTr="309B7E94">
        <w:trPr>
          <w:trHeight w:val="495"/>
        </w:trPr>
        <w:tc>
          <w:tcPr>
            <w:tcW w:w="3005" w:type="dxa"/>
            <w:vMerge/>
          </w:tcPr>
          <w:p w14:paraId="15916036" w14:textId="77777777" w:rsidR="00934FC2" w:rsidRPr="0020709E" w:rsidRDefault="00934FC2" w:rsidP="0005661E">
            <w:pPr>
              <w:spacing w:before="480" w:after="100" w:afterAutospacing="1"/>
              <w:rPr>
                <w:rFonts w:eastAsia="Times New Roman" w:cstheme="minorHAnsi"/>
                <w:b/>
                <w:bCs/>
                <w:lang w:eastAsia="en-GB"/>
              </w:rPr>
            </w:pPr>
          </w:p>
        </w:tc>
        <w:tc>
          <w:tcPr>
            <w:tcW w:w="621" w:type="dxa"/>
          </w:tcPr>
          <w:p w14:paraId="18CC809C" w14:textId="19150D6D" w:rsidR="00934FC2" w:rsidRDefault="00934FC2" w:rsidP="0005661E">
            <w:pPr>
              <w:spacing w:before="480" w:after="100" w:afterAutospacing="1"/>
              <w:jc w:val="center"/>
              <w:rPr>
                <w:rFonts w:eastAsia="Times New Roman" w:cstheme="minorHAnsi"/>
                <w:b/>
                <w:bCs/>
                <w:lang w:eastAsia="en-GB"/>
              </w:rPr>
            </w:pPr>
            <w:r>
              <w:rPr>
                <w:rFonts w:eastAsia="Times New Roman" w:cstheme="minorHAnsi"/>
                <w:b/>
                <w:bCs/>
                <w:lang w:eastAsia="en-GB"/>
              </w:rPr>
              <w:t>Yes</w:t>
            </w:r>
          </w:p>
        </w:tc>
        <w:tc>
          <w:tcPr>
            <w:tcW w:w="622" w:type="dxa"/>
          </w:tcPr>
          <w:p w14:paraId="0524ABB2" w14:textId="373C9498" w:rsidR="00934FC2" w:rsidRDefault="00934FC2" w:rsidP="0005661E">
            <w:pPr>
              <w:spacing w:before="480" w:after="100" w:afterAutospacing="1"/>
              <w:jc w:val="center"/>
              <w:rPr>
                <w:rFonts w:eastAsia="Times New Roman" w:cstheme="minorHAnsi"/>
                <w:b/>
                <w:bCs/>
                <w:lang w:eastAsia="en-GB"/>
              </w:rPr>
            </w:pPr>
            <w:r>
              <w:rPr>
                <w:rFonts w:eastAsia="Times New Roman" w:cstheme="minorHAnsi"/>
                <w:b/>
                <w:bCs/>
                <w:lang w:eastAsia="en-GB"/>
              </w:rPr>
              <w:t>No</w:t>
            </w:r>
          </w:p>
        </w:tc>
        <w:tc>
          <w:tcPr>
            <w:tcW w:w="638" w:type="dxa"/>
          </w:tcPr>
          <w:p w14:paraId="0DB52CB5" w14:textId="4A8C8EF9" w:rsidR="00934FC2" w:rsidRDefault="00934FC2" w:rsidP="0005661E">
            <w:pPr>
              <w:spacing w:before="480" w:after="100" w:afterAutospacing="1"/>
              <w:jc w:val="center"/>
              <w:rPr>
                <w:rFonts w:eastAsia="Times New Roman" w:cstheme="minorHAnsi"/>
                <w:b/>
                <w:bCs/>
                <w:lang w:eastAsia="en-GB"/>
              </w:rPr>
            </w:pPr>
            <w:r>
              <w:rPr>
                <w:rFonts w:eastAsia="Times New Roman" w:cstheme="minorHAnsi"/>
                <w:b/>
                <w:bCs/>
                <w:lang w:eastAsia="en-GB"/>
              </w:rPr>
              <w:t>Yes</w:t>
            </w:r>
          </w:p>
        </w:tc>
        <w:tc>
          <w:tcPr>
            <w:tcW w:w="638" w:type="dxa"/>
          </w:tcPr>
          <w:p w14:paraId="6ADB885B" w14:textId="2CCAA047" w:rsidR="00934FC2" w:rsidRDefault="00934FC2" w:rsidP="0005661E">
            <w:pPr>
              <w:spacing w:before="480" w:after="100" w:afterAutospacing="1"/>
              <w:jc w:val="center"/>
              <w:rPr>
                <w:rFonts w:eastAsia="Times New Roman" w:cstheme="minorHAnsi"/>
                <w:b/>
                <w:bCs/>
                <w:lang w:eastAsia="en-GB"/>
              </w:rPr>
            </w:pPr>
            <w:r>
              <w:rPr>
                <w:rFonts w:eastAsia="Times New Roman" w:cstheme="minorHAnsi"/>
                <w:b/>
                <w:bCs/>
                <w:lang w:eastAsia="en-GB"/>
              </w:rPr>
              <w:t>No</w:t>
            </w:r>
          </w:p>
        </w:tc>
        <w:tc>
          <w:tcPr>
            <w:tcW w:w="5528" w:type="dxa"/>
            <w:vMerge/>
          </w:tcPr>
          <w:p w14:paraId="030AE9D9" w14:textId="77777777" w:rsidR="00934FC2" w:rsidRPr="0020709E" w:rsidRDefault="00934FC2" w:rsidP="0005661E">
            <w:pPr>
              <w:spacing w:before="480" w:after="100" w:afterAutospacing="1"/>
              <w:rPr>
                <w:rFonts w:eastAsia="Times New Roman" w:cstheme="minorHAnsi"/>
                <w:b/>
                <w:bCs/>
                <w:lang w:eastAsia="en-GB"/>
              </w:rPr>
            </w:pPr>
          </w:p>
        </w:tc>
      </w:tr>
      <w:tr w:rsidR="00EB6683" w14:paraId="4EE5F4C9" w14:textId="77777777" w:rsidTr="309B7E94">
        <w:trPr>
          <w:trHeight w:val="1169"/>
        </w:trPr>
        <w:tc>
          <w:tcPr>
            <w:tcW w:w="3005" w:type="dxa"/>
          </w:tcPr>
          <w:p w14:paraId="73464588" w14:textId="3E5731B1" w:rsidR="00EB6683" w:rsidRPr="00AD1BBA" w:rsidRDefault="00EB6683" w:rsidP="0005661E">
            <w:pPr>
              <w:spacing w:before="480" w:after="100" w:afterAutospacing="1"/>
              <w:rPr>
                <w:rFonts w:eastAsia="Times New Roman" w:cstheme="minorHAnsi"/>
                <w:lang w:eastAsia="en-GB"/>
              </w:rPr>
            </w:pPr>
            <w:r w:rsidRPr="00AD1BBA">
              <w:rPr>
                <w:rFonts w:eastAsia="Times New Roman" w:cstheme="minorHAnsi"/>
                <w:lang w:eastAsia="en-GB"/>
              </w:rPr>
              <w:t xml:space="preserve">Lot One – </w:t>
            </w:r>
            <w:r w:rsidR="00934FC2" w:rsidRPr="00AD1BBA">
              <w:rPr>
                <w:rFonts w:eastAsia="Times New Roman" w:cstheme="minorHAnsi"/>
                <w:lang w:eastAsia="en-GB"/>
              </w:rPr>
              <w:t>Works in Containment Facilities</w:t>
            </w:r>
          </w:p>
        </w:tc>
        <w:tc>
          <w:tcPr>
            <w:tcW w:w="1243" w:type="dxa"/>
            <w:gridSpan w:val="2"/>
          </w:tcPr>
          <w:p w14:paraId="69E6795A" w14:textId="77777777" w:rsidR="00EB6683" w:rsidRDefault="00EB6683" w:rsidP="0005661E">
            <w:pPr>
              <w:spacing w:before="480" w:after="100" w:afterAutospacing="1"/>
              <w:rPr>
                <w:rFonts w:eastAsia="Times New Roman" w:cstheme="minorHAnsi"/>
                <w:lang w:eastAsia="en-GB"/>
              </w:rPr>
            </w:pPr>
          </w:p>
        </w:tc>
        <w:tc>
          <w:tcPr>
            <w:tcW w:w="1276" w:type="dxa"/>
            <w:gridSpan w:val="2"/>
          </w:tcPr>
          <w:p w14:paraId="49CA50C7" w14:textId="77777777" w:rsidR="00EB6683" w:rsidRDefault="00EB6683" w:rsidP="0005661E">
            <w:pPr>
              <w:spacing w:before="480" w:after="100" w:afterAutospacing="1"/>
              <w:rPr>
                <w:rFonts w:eastAsia="Times New Roman" w:cstheme="minorHAnsi"/>
                <w:lang w:eastAsia="en-GB"/>
              </w:rPr>
            </w:pPr>
          </w:p>
        </w:tc>
        <w:tc>
          <w:tcPr>
            <w:tcW w:w="5528" w:type="dxa"/>
          </w:tcPr>
          <w:p w14:paraId="7189CF63" w14:textId="77777777" w:rsidR="00EB6683" w:rsidRDefault="00EB6683" w:rsidP="0005661E">
            <w:pPr>
              <w:spacing w:before="480" w:after="100" w:afterAutospacing="1"/>
              <w:rPr>
                <w:rFonts w:eastAsia="Times New Roman" w:cstheme="minorHAnsi"/>
                <w:lang w:eastAsia="en-GB"/>
              </w:rPr>
            </w:pPr>
          </w:p>
        </w:tc>
      </w:tr>
      <w:tr w:rsidR="00EB6683" w14:paraId="516DF657" w14:textId="77777777" w:rsidTr="309B7E94">
        <w:trPr>
          <w:trHeight w:val="1398"/>
        </w:trPr>
        <w:tc>
          <w:tcPr>
            <w:tcW w:w="3005" w:type="dxa"/>
          </w:tcPr>
          <w:p w14:paraId="207DDC40" w14:textId="33CEF1F6" w:rsidR="00EB6683" w:rsidRPr="00AD1BBA" w:rsidRDefault="00EB6683" w:rsidP="0005661E">
            <w:pPr>
              <w:spacing w:before="480" w:after="100" w:afterAutospacing="1"/>
              <w:rPr>
                <w:rFonts w:eastAsia="Times New Roman" w:cstheme="minorHAnsi"/>
                <w:lang w:eastAsia="en-GB"/>
              </w:rPr>
            </w:pPr>
            <w:r w:rsidRPr="00AD1BBA">
              <w:rPr>
                <w:rFonts w:eastAsia="Times New Roman" w:cstheme="minorHAnsi"/>
                <w:lang w:eastAsia="en-GB"/>
              </w:rPr>
              <w:t xml:space="preserve">Lot Two – </w:t>
            </w:r>
            <w:r w:rsidR="00934FC2" w:rsidRPr="00AD1BBA">
              <w:rPr>
                <w:rFonts w:eastAsia="Times New Roman" w:cstheme="minorHAnsi"/>
                <w:lang w:eastAsia="en-GB"/>
              </w:rPr>
              <w:t>General Accommodation &amp; Infrastructure</w:t>
            </w:r>
            <w:r w:rsidRPr="00AD1BBA">
              <w:rPr>
                <w:rFonts w:eastAsia="Times New Roman" w:cstheme="minorHAnsi"/>
                <w:lang w:eastAsia="en-GB"/>
              </w:rPr>
              <w:t xml:space="preserve">    </w:t>
            </w:r>
          </w:p>
        </w:tc>
        <w:tc>
          <w:tcPr>
            <w:tcW w:w="1243" w:type="dxa"/>
            <w:gridSpan w:val="2"/>
          </w:tcPr>
          <w:p w14:paraId="1777342E" w14:textId="77777777" w:rsidR="00EB6683" w:rsidRDefault="00EB6683" w:rsidP="0005661E">
            <w:pPr>
              <w:spacing w:before="480" w:after="100" w:afterAutospacing="1"/>
              <w:rPr>
                <w:rFonts w:eastAsia="Times New Roman" w:cstheme="minorHAnsi"/>
                <w:lang w:eastAsia="en-GB"/>
              </w:rPr>
            </w:pPr>
          </w:p>
        </w:tc>
        <w:tc>
          <w:tcPr>
            <w:tcW w:w="1276" w:type="dxa"/>
            <w:gridSpan w:val="2"/>
          </w:tcPr>
          <w:p w14:paraId="531993A3" w14:textId="77777777" w:rsidR="00EB6683" w:rsidRDefault="00EB6683" w:rsidP="0005661E">
            <w:pPr>
              <w:spacing w:before="480" w:after="100" w:afterAutospacing="1"/>
              <w:rPr>
                <w:rFonts w:eastAsia="Times New Roman" w:cstheme="minorHAnsi"/>
                <w:lang w:eastAsia="en-GB"/>
              </w:rPr>
            </w:pPr>
          </w:p>
        </w:tc>
        <w:tc>
          <w:tcPr>
            <w:tcW w:w="5528" w:type="dxa"/>
          </w:tcPr>
          <w:p w14:paraId="1741C6A2" w14:textId="77777777" w:rsidR="00EB6683" w:rsidRDefault="00EB6683" w:rsidP="0005661E">
            <w:pPr>
              <w:spacing w:before="480" w:after="100" w:afterAutospacing="1"/>
              <w:rPr>
                <w:rFonts w:eastAsia="Times New Roman" w:cstheme="minorHAnsi"/>
                <w:lang w:eastAsia="en-GB"/>
              </w:rPr>
            </w:pPr>
          </w:p>
        </w:tc>
      </w:tr>
      <w:tr w:rsidR="00EB6683" w14:paraId="57B828DC" w14:textId="77777777" w:rsidTr="309B7E94">
        <w:tc>
          <w:tcPr>
            <w:tcW w:w="3005" w:type="dxa"/>
          </w:tcPr>
          <w:p w14:paraId="03A2B2C4" w14:textId="7D049225" w:rsidR="00EB6683" w:rsidRPr="00AD1BBA" w:rsidRDefault="00EB6683" w:rsidP="0005661E">
            <w:pPr>
              <w:spacing w:before="480" w:after="100" w:afterAutospacing="1"/>
              <w:rPr>
                <w:rFonts w:eastAsia="Times New Roman" w:cstheme="minorHAnsi"/>
                <w:lang w:eastAsia="en-GB"/>
              </w:rPr>
            </w:pPr>
            <w:r w:rsidRPr="00AD1BBA">
              <w:rPr>
                <w:rFonts w:eastAsia="Times New Roman" w:cstheme="minorHAnsi"/>
                <w:lang w:eastAsia="en-GB"/>
              </w:rPr>
              <w:t>Lot 3</w:t>
            </w:r>
            <w:r w:rsidR="00934FC2" w:rsidRPr="00AD1BBA">
              <w:rPr>
                <w:rFonts w:eastAsia="Times New Roman" w:cstheme="minorHAnsi"/>
                <w:lang w:eastAsia="en-GB"/>
              </w:rPr>
              <w:t xml:space="preserve"> - Security</w:t>
            </w:r>
          </w:p>
        </w:tc>
        <w:tc>
          <w:tcPr>
            <w:tcW w:w="1243" w:type="dxa"/>
            <w:gridSpan w:val="2"/>
          </w:tcPr>
          <w:p w14:paraId="13B0C1C7" w14:textId="77777777" w:rsidR="00EB6683" w:rsidRDefault="00EB6683" w:rsidP="0005661E">
            <w:pPr>
              <w:spacing w:before="480" w:after="100" w:afterAutospacing="1"/>
              <w:rPr>
                <w:rFonts w:eastAsia="Times New Roman" w:cstheme="minorHAnsi"/>
                <w:lang w:eastAsia="en-GB"/>
              </w:rPr>
            </w:pPr>
          </w:p>
        </w:tc>
        <w:tc>
          <w:tcPr>
            <w:tcW w:w="1276" w:type="dxa"/>
            <w:gridSpan w:val="2"/>
          </w:tcPr>
          <w:p w14:paraId="7F06A816" w14:textId="77777777" w:rsidR="00EB6683" w:rsidRDefault="00EB6683" w:rsidP="0005661E">
            <w:pPr>
              <w:spacing w:before="480" w:after="100" w:afterAutospacing="1"/>
              <w:rPr>
                <w:rFonts w:eastAsia="Times New Roman" w:cstheme="minorHAnsi"/>
                <w:lang w:eastAsia="en-GB"/>
              </w:rPr>
            </w:pPr>
          </w:p>
        </w:tc>
        <w:tc>
          <w:tcPr>
            <w:tcW w:w="5528" w:type="dxa"/>
          </w:tcPr>
          <w:p w14:paraId="3D6B480E" w14:textId="77777777" w:rsidR="00EB6683" w:rsidRDefault="00EB6683" w:rsidP="0005661E">
            <w:pPr>
              <w:spacing w:before="480" w:after="100" w:afterAutospacing="1"/>
              <w:rPr>
                <w:rFonts w:eastAsia="Times New Roman" w:cstheme="minorHAnsi"/>
                <w:lang w:eastAsia="en-GB"/>
              </w:rPr>
            </w:pPr>
          </w:p>
        </w:tc>
      </w:tr>
      <w:tr w:rsidR="00EB6683" w14:paraId="1022E3BB" w14:textId="77777777" w:rsidTr="309B7E94">
        <w:trPr>
          <w:trHeight w:val="806"/>
        </w:trPr>
        <w:tc>
          <w:tcPr>
            <w:tcW w:w="3005" w:type="dxa"/>
          </w:tcPr>
          <w:p w14:paraId="3F863048" w14:textId="4BE69373" w:rsidR="00EB6683" w:rsidRPr="00AD1BBA" w:rsidRDefault="00EB6683" w:rsidP="0005661E">
            <w:pPr>
              <w:spacing w:before="480" w:after="100" w:afterAutospacing="1"/>
              <w:rPr>
                <w:rFonts w:eastAsia="Times New Roman" w:cstheme="minorHAnsi"/>
                <w:lang w:eastAsia="en-GB"/>
              </w:rPr>
            </w:pPr>
            <w:r w:rsidRPr="00AD1BBA">
              <w:rPr>
                <w:rFonts w:eastAsia="Times New Roman" w:cstheme="minorHAnsi"/>
                <w:lang w:eastAsia="en-GB"/>
              </w:rPr>
              <w:t xml:space="preserve">Lot 4 – </w:t>
            </w:r>
            <w:r w:rsidR="00934FC2" w:rsidRPr="00AD1BBA">
              <w:rPr>
                <w:rFonts w:eastAsia="Times New Roman" w:cstheme="minorHAnsi"/>
                <w:lang w:eastAsia="en-GB"/>
              </w:rPr>
              <w:t>Liquid Waste Inactivation</w:t>
            </w:r>
          </w:p>
        </w:tc>
        <w:tc>
          <w:tcPr>
            <w:tcW w:w="1243" w:type="dxa"/>
            <w:gridSpan w:val="2"/>
          </w:tcPr>
          <w:p w14:paraId="19F71293" w14:textId="77777777" w:rsidR="00EB6683" w:rsidRDefault="00EB6683" w:rsidP="0005661E">
            <w:pPr>
              <w:spacing w:before="480" w:after="100" w:afterAutospacing="1"/>
              <w:rPr>
                <w:rFonts w:eastAsia="Times New Roman" w:cstheme="minorHAnsi"/>
                <w:lang w:eastAsia="en-GB"/>
              </w:rPr>
            </w:pPr>
          </w:p>
        </w:tc>
        <w:tc>
          <w:tcPr>
            <w:tcW w:w="1276" w:type="dxa"/>
            <w:gridSpan w:val="2"/>
          </w:tcPr>
          <w:p w14:paraId="369051C4" w14:textId="77777777" w:rsidR="00EB6683" w:rsidRDefault="00EB6683" w:rsidP="0005661E">
            <w:pPr>
              <w:spacing w:before="480" w:after="100" w:afterAutospacing="1"/>
              <w:rPr>
                <w:rFonts w:eastAsia="Times New Roman" w:cstheme="minorHAnsi"/>
                <w:lang w:eastAsia="en-GB"/>
              </w:rPr>
            </w:pPr>
          </w:p>
        </w:tc>
        <w:tc>
          <w:tcPr>
            <w:tcW w:w="5528" w:type="dxa"/>
          </w:tcPr>
          <w:p w14:paraId="599DA72A" w14:textId="77777777" w:rsidR="00EB6683" w:rsidRDefault="00EB6683" w:rsidP="0005661E">
            <w:pPr>
              <w:spacing w:before="480" w:after="100" w:afterAutospacing="1"/>
              <w:rPr>
                <w:rFonts w:eastAsia="Times New Roman" w:cstheme="minorHAnsi"/>
                <w:lang w:eastAsia="en-GB"/>
              </w:rPr>
            </w:pPr>
          </w:p>
        </w:tc>
      </w:tr>
      <w:tr w:rsidR="00EB6683" w14:paraId="410F71A3" w14:textId="77777777" w:rsidTr="309B7E94">
        <w:tc>
          <w:tcPr>
            <w:tcW w:w="3005" w:type="dxa"/>
          </w:tcPr>
          <w:p w14:paraId="25873EDF" w14:textId="65205E94" w:rsidR="00EB6683" w:rsidRPr="00AD1BBA" w:rsidRDefault="00EB6683" w:rsidP="0005661E">
            <w:pPr>
              <w:spacing w:before="480" w:after="100" w:afterAutospacing="1"/>
              <w:rPr>
                <w:rFonts w:eastAsia="Times New Roman" w:cstheme="minorHAnsi"/>
                <w:lang w:eastAsia="en-GB"/>
              </w:rPr>
            </w:pPr>
            <w:r w:rsidRPr="00AD1BBA">
              <w:rPr>
                <w:rFonts w:eastAsia="Times New Roman" w:cstheme="minorHAnsi"/>
                <w:lang w:eastAsia="en-GB"/>
              </w:rPr>
              <w:t xml:space="preserve">Lot </w:t>
            </w:r>
            <w:r w:rsidR="00934FC2" w:rsidRPr="00AD1BBA">
              <w:rPr>
                <w:rFonts w:eastAsia="Times New Roman" w:cstheme="minorHAnsi"/>
                <w:lang w:eastAsia="en-GB"/>
              </w:rPr>
              <w:t>5</w:t>
            </w:r>
            <w:r w:rsidRPr="00AD1BBA">
              <w:rPr>
                <w:rFonts w:eastAsia="Times New Roman" w:cstheme="minorHAnsi"/>
                <w:lang w:eastAsia="en-GB"/>
              </w:rPr>
              <w:t xml:space="preserve"> – </w:t>
            </w:r>
            <w:r w:rsidR="00934FC2" w:rsidRPr="00AD1BBA">
              <w:rPr>
                <w:rFonts w:eastAsia="Times New Roman" w:cstheme="minorHAnsi"/>
                <w:lang w:eastAsia="en-GB"/>
              </w:rPr>
              <w:t>Multi-Discipline Design Services</w:t>
            </w:r>
          </w:p>
        </w:tc>
        <w:tc>
          <w:tcPr>
            <w:tcW w:w="1243" w:type="dxa"/>
            <w:gridSpan w:val="2"/>
          </w:tcPr>
          <w:p w14:paraId="5083C4DB" w14:textId="77777777" w:rsidR="00EB6683" w:rsidRDefault="00EB6683" w:rsidP="0005661E">
            <w:pPr>
              <w:spacing w:before="480" w:after="100" w:afterAutospacing="1"/>
              <w:rPr>
                <w:rFonts w:eastAsia="Times New Roman" w:cstheme="minorHAnsi"/>
                <w:lang w:eastAsia="en-GB"/>
              </w:rPr>
            </w:pPr>
          </w:p>
        </w:tc>
        <w:tc>
          <w:tcPr>
            <w:tcW w:w="1276" w:type="dxa"/>
            <w:gridSpan w:val="2"/>
          </w:tcPr>
          <w:p w14:paraId="6A23E936" w14:textId="77777777" w:rsidR="00EB6683" w:rsidRDefault="00EB6683" w:rsidP="0005661E">
            <w:pPr>
              <w:spacing w:before="480" w:after="100" w:afterAutospacing="1"/>
              <w:rPr>
                <w:rFonts w:eastAsia="Times New Roman" w:cstheme="minorHAnsi"/>
                <w:lang w:eastAsia="en-GB"/>
              </w:rPr>
            </w:pPr>
          </w:p>
        </w:tc>
        <w:tc>
          <w:tcPr>
            <w:tcW w:w="5528" w:type="dxa"/>
          </w:tcPr>
          <w:p w14:paraId="7EB6ACC8" w14:textId="77777777" w:rsidR="00EB6683" w:rsidRDefault="00EB6683" w:rsidP="0005661E">
            <w:pPr>
              <w:spacing w:before="480" w:after="100" w:afterAutospacing="1"/>
              <w:rPr>
                <w:rFonts w:eastAsia="Times New Roman" w:cstheme="minorHAnsi"/>
                <w:lang w:eastAsia="en-GB"/>
              </w:rPr>
            </w:pPr>
          </w:p>
        </w:tc>
      </w:tr>
      <w:tr w:rsidR="309B7E94" w14:paraId="1DD11A37" w14:textId="77777777" w:rsidTr="309B7E94">
        <w:tc>
          <w:tcPr>
            <w:tcW w:w="3005" w:type="dxa"/>
          </w:tcPr>
          <w:p w14:paraId="4E5B21C0" w14:textId="6AC1DAC3" w:rsidR="6C123AD2" w:rsidRDefault="6C123AD2" w:rsidP="309B7E94">
            <w:pPr>
              <w:rPr>
                <w:rFonts w:eastAsia="Times New Roman"/>
                <w:lang w:eastAsia="en-GB"/>
              </w:rPr>
            </w:pPr>
            <w:r w:rsidRPr="309B7E94">
              <w:rPr>
                <w:rFonts w:eastAsia="Times New Roman"/>
                <w:lang w:eastAsia="en-GB"/>
              </w:rPr>
              <w:t xml:space="preserve">Lot 6 – Professional Services </w:t>
            </w:r>
          </w:p>
          <w:p w14:paraId="7BE19A48" w14:textId="14950243" w:rsidR="309B7E94" w:rsidRDefault="309B7E94" w:rsidP="309B7E94">
            <w:pPr>
              <w:rPr>
                <w:rFonts w:eastAsia="Times New Roman"/>
                <w:lang w:eastAsia="en-GB"/>
              </w:rPr>
            </w:pPr>
          </w:p>
        </w:tc>
        <w:tc>
          <w:tcPr>
            <w:tcW w:w="1243" w:type="dxa"/>
            <w:gridSpan w:val="2"/>
          </w:tcPr>
          <w:p w14:paraId="3A43A486" w14:textId="797C6A0D" w:rsidR="309B7E94" w:rsidRDefault="309B7E94" w:rsidP="309B7E94">
            <w:pPr>
              <w:rPr>
                <w:rFonts w:eastAsia="Times New Roman"/>
                <w:lang w:eastAsia="en-GB"/>
              </w:rPr>
            </w:pPr>
          </w:p>
        </w:tc>
        <w:tc>
          <w:tcPr>
            <w:tcW w:w="1276" w:type="dxa"/>
            <w:gridSpan w:val="2"/>
          </w:tcPr>
          <w:p w14:paraId="2546B928" w14:textId="095ACCC8" w:rsidR="309B7E94" w:rsidRDefault="309B7E94" w:rsidP="309B7E94">
            <w:pPr>
              <w:rPr>
                <w:rFonts w:eastAsia="Times New Roman"/>
                <w:lang w:eastAsia="en-GB"/>
              </w:rPr>
            </w:pPr>
          </w:p>
        </w:tc>
        <w:tc>
          <w:tcPr>
            <w:tcW w:w="5528" w:type="dxa"/>
          </w:tcPr>
          <w:p w14:paraId="337DFC9F" w14:textId="381F57FE" w:rsidR="309B7E94" w:rsidRDefault="309B7E94" w:rsidP="309B7E94">
            <w:pPr>
              <w:rPr>
                <w:rFonts w:eastAsia="Times New Roman"/>
                <w:lang w:eastAsia="en-GB"/>
              </w:rPr>
            </w:pPr>
          </w:p>
        </w:tc>
      </w:tr>
    </w:tbl>
    <w:p w14:paraId="7EF563B1" w14:textId="77777777" w:rsidR="00EB6683" w:rsidRDefault="00EB6683" w:rsidP="00227EBE">
      <w:pPr>
        <w:spacing w:before="100" w:beforeAutospacing="1" w:after="100" w:afterAutospacing="1" w:line="240" w:lineRule="auto"/>
      </w:pPr>
    </w:p>
    <w:p w14:paraId="629C4F7E" w14:textId="51EE8426" w:rsidR="001F170A" w:rsidRPr="00AD1BBA" w:rsidRDefault="001F170A" w:rsidP="00EB6683">
      <w:pPr>
        <w:spacing w:before="480" w:after="100" w:afterAutospacing="1" w:line="240" w:lineRule="auto"/>
        <w:rPr>
          <w:rFonts w:ascii="Calibri" w:hAnsi="Calibri" w:cs="Calibri"/>
          <w:color w:val="000000"/>
        </w:rPr>
      </w:pPr>
      <w:r w:rsidRPr="00FC6E50">
        <w:rPr>
          <w:rFonts w:eastAsia="Times New Roman" w:cstheme="minorHAnsi"/>
          <w:noProof/>
          <w:lang w:eastAsia="en-GB"/>
        </w:rPr>
        <w:lastRenderedPageBreak/>
        <mc:AlternateContent>
          <mc:Choice Requires="wps">
            <w:drawing>
              <wp:anchor distT="45720" distB="45720" distL="114300" distR="114300" simplePos="0" relativeHeight="251665408" behindDoc="0" locked="0" layoutInCell="1" allowOverlap="1" wp14:anchorId="11DEB038" wp14:editId="271B1203">
                <wp:simplePos x="0" y="0"/>
                <wp:positionH relativeFrom="margin">
                  <wp:align>left</wp:align>
                </wp:positionH>
                <wp:positionV relativeFrom="paragraph">
                  <wp:posOffset>357505</wp:posOffset>
                </wp:positionV>
                <wp:extent cx="5686425" cy="1404620"/>
                <wp:effectExtent l="0" t="0" r="28575" b="146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rgbClr val="FFFFFF"/>
                        </a:solidFill>
                        <a:ln w="9525">
                          <a:solidFill>
                            <a:srgbClr val="000000"/>
                          </a:solidFill>
                          <a:miter lim="800000"/>
                          <a:headEnd/>
                          <a:tailEnd/>
                        </a:ln>
                      </wps:spPr>
                      <wps:txbx>
                        <w:txbxContent>
                          <w:p w14:paraId="21A27535" w14:textId="77777777" w:rsidR="001F170A" w:rsidRDefault="001F170A" w:rsidP="001F170A"/>
                          <w:p w14:paraId="70774353" w14:textId="77777777" w:rsidR="001F170A" w:rsidRDefault="001F170A" w:rsidP="001F170A"/>
                          <w:p w14:paraId="2A5EB586" w14:textId="77777777" w:rsidR="001F170A" w:rsidRDefault="001F170A" w:rsidP="001F170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Text Box 4" style="position:absolute;margin-left:0;margin-top:28.15pt;width:447.7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" w14:anchorId="11DEB038">
                <v:textbox style="mso-fit-shape-to-text:t">
                  <w:txbxContent>
                    <w:p w:rsidR="001F170A" w:rsidP="001F170A" w:rsidRDefault="001F170A" w14:paraId="21A27535" w14:textId="77777777"/>
                    <w:p w:rsidR="001F170A" w:rsidP="001F170A" w:rsidRDefault="001F170A" w14:paraId="70774353" w14:textId="77777777"/>
                    <w:p w:rsidR="001F170A" w:rsidP="001F170A" w:rsidRDefault="001F170A" w14:paraId="2A5EB586" w14:textId="77777777"/>
                  </w:txbxContent>
                </v:textbox>
                <w10:wrap type="square" anchorx="margin"/>
              </v:shape>
            </w:pict>
          </mc:Fallback>
        </mc:AlternateContent>
      </w:r>
      <w:r w:rsidRPr="00732B15">
        <w:rPr>
          <w:rFonts w:ascii="Calibri" w:hAnsi="Calibri" w:cs="Calibri"/>
          <w:b/>
          <w:color w:val="000000"/>
        </w:rPr>
        <w:t>Q</w:t>
      </w:r>
      <w:r>
        <w:rPr>
          <w:rFonts w:ascii="Calibri" w:hAnsi="Calibri" w:cs="Calibri"/>
          <w:b/>
          <w:color w:val="000000"/>
        </w:rPr>
        <w:t>4</w:t>
      </w:r>
      <w:r w:rsidRPr="00732B15">
        <w:rPr>
          <w:rFonts w:ascii="Calibri" w:hAnsi="Calibri" w:cs="Calibri"/>
          <w:b/>
          <w:color w:val="000000"/>
        </w:rPr>
        <w:t>;</w:t>
      </w:r>
      <w:r>
        <w:rPr>
          <w:rFonts w:ascii="Calibri" w:hAnsi="Calibri" w:cs="Calibri"/>
          <w:color w:val="000000"/>
        </w:rPr>
        <w:t xml:space="preserve"> What are your views and experience regarding </w:t>
      </w:r>
      <w:r w:rsidRPr="00C872B8">
        <w:rPr>
          <w:rFonts w:ascii="Calibri" w:hAnsi="Calibri" w:cs="Calibri"/>
        </w:rPr>
        <w:t>the p</w:t>
      </w:r>
      <w:r>
        <w:rPr>
          <w:rFonts w:ascii="Calibri" w:hAnsi="Calibri" w:cs="Calibri"/>
          <w:color w:val="000000"/>
        </w:rPr>
        <w:t xml:space="preserve">roposed use of an NEC4 contracts?  </w:t>
      </w:r>
    </w:p>
    <w:p w14:paraId="23C948E7" w14:textId="5793467F" w:rsidR="00EB6683" w:rsidRDefault="00EB6683" w:rsidP="00EB6683">
      <w:pPr>
        <w:spacing w:before="480" w:after="100" w:afterAutospacing="1" w:line="240" w:lineRule="auto"/>
        <w:rPr>
          <w:rFonts w:ascii="Calibri" w:hAnsi="Calibri" w:cs="Calibri"/>
          <w:color w:val="000000"/>
        </w:rPr>
      </w:pPr>
      <w:r w:rsidRPr="00732B15">
        <w:rPr>
          <w:rFonts w:ascii="Calibri" w:hAnsi="Calibri" w:cs="Calibri"/>
          <w:b/>
          <w:color w:val="000000"/>
        </w:rPr>
        <w:t>Q</w:t>
      </w:r>
      <w:r w:rsidR="00BC321B">
        <w:rPr>
          <w:rFonts w:ascii="Calibri" w:hAnsi="Calibri" w:cs="Calibri"/>
          <w:b/>
          <w:color w:val="000000"/>
        </w:rPr>
        <w:t>5</w:t>
      </w:r>
      <w:r w:rsidR="00BC321B" w:rsidRPr="00732B15">
        <w:rPr>
          <w:rFonts w:ascii="Calibri" w:hAnsi="Calibri" w:cs="Calibri"/>
          <w:b/>
          <w:color w:val="000000"/>
        </w:rPr>
        <w:t>;</w:t>
      </w:r>
      <w:r w:rsidR="00BC321B">
        <w:rPr>
          <w:rFonts w:ascii="Calibri" w:hAnsi="Calibri" w:cs="Calibri"/>
          <w:b/>
          <w:color w:val="000000"/>
        </w:rPr>
        <w:t xml:space="preserve"> </w:t>
      </w:r>
      <w:r w:rsidR="00BC321B">
        <w:rPr>
          <w:rFonts w:ascii="Calibri" w:hAnsi="Calibri" w:cs="Calibri"/>
          <w:color w:val="000000"/>
        </w:rPr>
        <w:t>What are your views with regards to these possible project procurement routes which could be used within the framework?</w:t>
      </w:r>
    </w:p>
    <w:tbl>
      <w:tblPr>
        <w:tblStyle w:val="TableGrid"/>
        <w:tblpPr w:leftFromText="180" w:rightFromText="180" w:vertAnchor="text" w:horzAnchor="margin" w:tblpY="676"/>
        <w:tblW w:w="13603" w:type="dxa"/>
        <w:tblLook w:val="04A0" w:firstRow="1" w:lastRow="0" w:firstColumn="1" w:lastColumn="0" w:noHBand="0" w:noVBand="1"/>
      </w:tblPr>
      <w:tblGrid>
        <w:gridCol w:w="5665"/>
        <w:gridCol w:w="993"/>
        <w:gridCol w:w="1134"/>
        <w:gridCol w:w="5811"/>
      </w:tblGrid>
      <w:tr w:rsidR="00BC321B" w14:paraId="5687BF25" w14:textId="77777777" w:rsidTr="00BC321B">
        <w:trPr>
          <w:trHeight w:val="412"/>
        </w:trPr>
        <w:tc>
          <w:tcPr>
            <w:tcW w:w="5665" w:type="dxa"/>
          </w:tcPr>
          <w:p w14:paraId="06EAF7C0" w14:textId="77777777" w:rsidR="00BC321B" w:rsidRPr="00BC321B" w:rsidRDefault="00BC321B" w:rsidP="00BC321B">
            <w:pPr>
              <w:spacing w:before="480" w:after="100" w:afterAutospacing="1"/>
              <w:rPr>
                <w:rFonts w:eastAsia="Times New Roman" w:cstheme="minorHAnsi"/>
                <w:b/>
                <w:bCs/>
                <w:sz w:val="28"/>
                <w:szCs w:val="28"/>
                <w:lang w:eastAsia="en-GB"/>
              </w:rPr>
            </w:pPr>
            <w:r w:rsidRPr="00BC321B">
              <w:rPr>
                <w:rFonts w:eastAsia="Times New Roman" w:cstheme="minorHAnsi"/>
                <w:b/>
                <w:bCs/>
                <w:sz w:val="28"/>
                <w:szCs w:val="28"/>
                <w:lang w:eastAsia="en-GB"/>
              </w:rPr>
              <w:t>Project Procurement Route</w:t>
            </w:r>
          </w:p>
        </w:tc>
        <w:tc>
          <w:tcPr>
            <w:tcW w:w="993" w:type="dxa"/>
          </w:tcPr>
          <w:p w14:paraId="7F2F27DC" w14:textId="77777777" w:rsidR="00BC321B" w:rsidRPr="00BC321B" w:rsidRDefault="00BC321B" w:rsidP="00BC321B">
            <w:pPr>
              <w:spacing w:before="480" w:after="100" w:afterAutospacing="1"/>
              <w:rPr>
                <w:rFonts w:eastAsia="Times New Roman" w:cstheme="minorHAnsi"/>
                <w:b/>
                <w:bCs/>
                <w:sz w:val="28"/>
                <w:szCs w:val="28"/>
                <w:lang w:eastAsia="en-GB"/>
              </w:rPr>
            </w:pPr>
            <w:r w:rsidRPr="00BC321B">
              <w:rPr>
                <w:rFonts w:eastAsia="Times New Roman" w:cstheme="minorHAnsi"/>
                <w:b/>
                <w:bCs/>
                <w:sz w:val="28"/>
                <w:szCs w:val="28"/>
                <w:lang w:eastAsia="en-GB"/>
              </w:rPr>
              <w:t>Yes</w:t>
            </w:r>
          </w:p>
        </w:tc>
        <w:tc>
          <w:tcPr>
            <w:tcW w:w="1134" w:type="dxa"/>
          </w:tcPr>
          <w:p w14:paraId="4F191C15" w14:textId="77777777" w:rsidR="00BC321B" w:rsidRPr="00BC321B" w:rsidRDefault="00BC321B" w:rsidP="00BC321B">
            <w:pPr>
              <w:spacing w:before="480" w:after="100" w:afterAutospacing="1"/>
              <w:rPr>
                <w:rFonts w:eastAsia="Times New Roman" w:cstheme="minorHAnsi"/>
                <w:b/>
                <w:bCs/>
                <w:sz w:val="28"/>
                <w:szCs w:val="28"/>
                <w:lang w:eastAsia="en-GB"/>
              </w:rPr>
            </w:pPr>
            <w:r w:rsidRPr="00BC321B">
              <w:rPr>
                <w:rFonts w:eastAsia="Times New Roman" w:cstheme="minorHAnsi"/>
                <w:b/>
                <w:bCs/>
                <w:sz w:val="28"/>
                <w:szCs w:val="28"/>
                <w:lang w:eastAsia="en-GB"/>
              </w:rPr>
              <w:t>No</w:t>
            </w:r>
          </w:p>
        </w:tc>
        <w:tc>
          <w:tcPr>
            <w:tcW w:w="5811" w:type="dxa"/>
          </w:tcPr>
          <w:p w14:paraId="11572088" w14:textId="77777777" w:rsidR="00BC321B" w:rsidRPr="00BC321B" w:rsidRDefault="00BC321B" w:rsidP="00BC321B">
            <w:pPr>
              <w:spacing w:before="480" w:after="100" w:afterAutospacing="1"/>
              <w:rPr>
                <w:rFonts w:eastAsia="Times New Roman" w:cstheme="minorHAnsi"/>
                <w:b/>
                <w:bCs/>
                <w:sz w:val="28"/>
                <w:szCs w:val="28"/>
                <w:lang w:eastAsia="en-GB"/>
              </w:rPr>
            </w:pPr>
            <w:r w:rsidRPr="00BC321B">
              <w:rPr>
                <w:rFonts w:eastAsia="Times New Roman" w:cstheme="minorHAnsi"/>
                <w:b/>
                <w:bCs/>
                <w:sz w:val="28"/>
                <w:szCs w:val="28"/>
                <w:lang w:eastAsia="en-GB"/>
              </w:rPr>
              <w:t>Comments</w:t>
            </w:r>
          </w:p>
        </w:tc>
      </w:tr>
      <w:tr w:rsidR="00BC321B" w14:paraId="342A306A" w14:textId="77777777" w:rsidTr="00BC321B">
        <w:trPr>
          <w:trHeight w:val="692"/>
        </w:trPr>
        <w:tc>
          <w:tcPr>
            <w:tcW w:w="5665" w:type="dxa"/>
          </w:tcPr>
          <w:p w14:paraId="30BCE20F" w14:textId="77777777" w:rsidR="00BC321B" w:rsidRPr="00BC321B" w:rsidRDefault="00BC321B" w:rsidP="00BC321B">
            <w:pPr>
              <w:spacing w:before="480" w:after="100" w:afterAutospacing="1"/>
              <w:rPr>
                <w:rFonts w:eastAsia="Times New Roman" w:cstheme="minorHAnsi"/>
                <w:lang w:eastAsia="en-GB"/>
              </w:rPr>
            </w:pPr>
            <w:r w:rsidRPr="00BC321B">
              <w:rPr>
                <w:rFonts w:eastAsia="Times New Roman" w:cstheme="minorHAnsi"/>
                <w:lang w:eastAsia="en-GB"/>
              </w:rPr>
              <w:t>Traditional Route (based on RIBA Stage 3 to 4+)</w:t>
            </w:r>
          </w:p>
        </w:tc>
        <w:tc>
          <w:tcPr>
            <w:tcW w:w="993" w:type="dxa"/>
          </w:tcPr>
          <w:p w14:paraId="59391757" w14:textId="77777777" w:rsidR="00BC321B" w:rsidRDefault="00BC321B" w:rsidP="00BC321B">
            <w:pPr>
              <w:spacing w:before="480" w:after="100" w:afterAutospacing="1"/>
              <w:rPr>
                <w:rFonts w:eastAsia="Times New Roman" w:cstheme="minorHAnsi"/>
                <w:lang w:eastAsia="en-GB"/>
              </w:rPr>
            </w:pPr>
          </w:p>
        </w:tc>
        <w:tc>
          <w:tcPr>
            <w:tcW w:w="1134" w:type="dxa"/>
          </w:tcPr>
          <w:p w14:paraId="7E413FCA" w14:textId="77777777" w:rsidR="00BC321B" w:rsidRDefault="00BC321B" w:rsidP="00BC321B">
            <w:pPr>
              <w:spacing w:before="480" w:after="100" w:afterAutospacing="1"/>
              <w:rPr>
                <w:rFonts w:eastAsia="Times New Roman" w:cstheme="minorHAnsi"/>
                <w:lang w:eastAsia="en-GB"/>
              </w:rPr>
            </w:pPr>
          </w:p>
        </w:tc>
        <w:tc>
          <w:tcPr>
            <w:tcW w:w="5811" w:type="dxa"/>
          </w:tcPr>
          <w:p w14:paraId="28392AC3" w14:textId="77777777" w:rsidR="00BC321B" w:rsidRDefault="00BC321B" w:rsidP="00BC321B">
            <w:pPr>
              <w:spacing w:before="480" w:after="100" w:afterAutospacing="1"/>
              <w:rPr>
                <w:rFonts w:eastAsia="Times New Roman" w:cstheme="minorHAnsi"/>
                <w:lang w:eastAsia="en-GB"/>
              </w:rPr>
            </w:pPr>
          </w:p>
        </w:tc>
      </w:tr>
      <w:tr w:rsidR="00BC321B" w14:paraId="19A9A360" w14:textId="77777777" w:rsidTr="00BC321B">
        <w:trPr>
          <w:trHeight w:val="692"/>
        </w:trPr>
        <w:tc>
          <w:tcPr>
            <w:tcW w:w="5665" w:type="dxa"/>
          </w:tcPr>
          <w:p w14:paraId="5190277A" w14:textId="77777777" w:rsidR="00BC321B" w:rsidRPr="00BC321B" w:rsidRDefault="00BC321B" w:rsidP="00BC321B">
            <w:pPr>
              <w:spacing w:before="480" w:after="100" w:afterAutospacing="1"/>
              <w:rPr>
                <w:rFonts w:eastAsia="Times New Roman" w:cstheme="minorHAnsi"/>
                <w:lang w:eastAsia="en-GB"/>
              </w:rPr>
            </w:pPr>
            <w:r w:rsidRPr="00BC321B">
              <w:rPr>
                <w:rFonts w:eastAsia="Times New Roman" w:cstheme="minorHAnsi"/>
                <w:lang w:eastAsia="en-GB"/>
              </w:rPr>
              <w:t>Single Stage Design and Build (Based on RIBA Stage 3 &amp; 4)</w:t>
            </w:r>
          </w:p>
        </w:tc>
        <w:tc>
          <w:tcPr>
            <w:tcW w:w="993" w:type="dxa"/>
          </w:tcPr>
          <w:p w14:paraId="22474C6A" w14:textId="77777777" w:rsidR="00BC321B" w:rsidRDefault="00BC321B" w:rsidP="00BC321B">
            <w:pPr>
              <w:spacing w:before="480" w:after="100" w:afterAutospacing="1"/>
              <w:rPr>
                <w:rFonts w:eastAsia="Times New Roman" w:cstheme="minorHAnsi"/>
                <w:lang w:eastAsia="en-GB"/>
              </w:rPr>
            </w:pPr>
          </w:p>
        </w:tc>
        <w:tc>
          <w:tcPr>
            <w:tcW w:w="1134" w:type="dxa"/>
          </w:tcPr>
          <w:p w14:paraId="244B30DD" w14:textId="77777777" w:rsidR="00BC321B" w:rsidRDefault="00BC321B" w:rsidP="00BC321B">
            <w:pPr>
              <w:spacing w:before="480" w:after="100" w:afterAutospacing="1"/>
              <w:rPr>
                <w:rFonts w:eastAsia="Times New Roman" w:cstheme="minorHAnsi"/>
                <w:lang w:eastAsia="en-GB"/>
              </w:rPr>
            </w:pPr>
          </w:p>
        </w:tc>
        <w:tc>
          <w:tcPr>
            <w:tcW w:w="5811" w:type="dxa"/>
          </w:tcPr>
          <w:p w14:paraId="739E4428" w14:textId="77777777" w:rsidR="00BC321B" w:rsidRDefault="00BC321B" w:rsidP="00BC321B">
            <w:pPr>
              <w:spacing w:before="480" w:after="100" w:afterAutospacing="1"/>
              <w:rPr>
                <w:rFonts w:eastAsia="Times New Roman" w:cstheme="minorHAnsi"/>
                <w:lang w:eastAsia="en-GB"/>
              </w:rPr>
            </w:pPr>
          </w:p>
        </w:tc>
      </w:tr>
      <w:tr w:rsidR="00BC321B" w14:paraId="09E177D8" w14:textId="77777777" w:rsidTr="00BC321B">
        <w:trPr>
          <w:trHeight w:val="692"/>
        </w:trPr>
        <w:tc>
          <w:tcPr>
            <w:tcW w:w="5665" w:type="dxa"/>
          </w:tcPr>
          <w:p w14:paraId="1BED62A2" w14:textId="77777777" w:rsidR="00BC321B" w:rsidRPr="00BC321B" w:rsidRDefault="00BC321B" w:rsidP="00BC321B">
            <w:pPr>
              <w:spacing w:before="480" w:after="100" w:afterAutospacing="1"/>
              <w:rPr>
                <w:rFonts w:eastAsia="Times New Roman" w:cstheme="minorHAnsi"/>
                <w:lang w:eastAsia="en-GB"/>
              </w:rPr>
            </w:pPr>
            <w:r w:rsidRPr="00BC321B">
              <w:rPr>
                <w:rFonts w:eastAsia="Times New Roman" w:cstheme="minorHAnsi"/>
                <w:lang w:eastAsia="en-GB"/>
              </w:rPr>
              <w:t>Two Stage Traditional Route (based on RIBA Stage 2)</w:t>
            </w:r>
          </w:p>
        </w:tc>
        <w:tc>
          <w:tcPr>
            <w:tcW w:w="993" w:type="dxa"/>
          </w:tcPr>
          <w:p w14:paraId="7CEDA2A3" w14:textId="77777777" w:rsidR="00BC321B" w:rsidRDefault="00BC321B" w:rsidP="00BC321B">
            <w:pPr>
              <w:spacing w:before="480" w:after="100" w:afterAutospacing="1"/>
              <w:rPr>
                <w:rFonts w:eastAsia="Times New Roman" w:cstheme="minorHAnsi"/>
                <w:lang w:eastAsia="en-GB"/>
              </w:rPr>
            </w:pPr>
          </w:p>
        </w:tc>
        <w:tc>
          <w:tcPr>
            <w:tcW w:w="1134" w:type="dxa"/>
          </w:tcPr>
          <w:p w14:paraId="4385337D" w14:textId="77777777" w:rsidR="00BC321B" w:rsidRDefault="00BC321B" w:rsidP="00BC321B">
            <w:pPr>
              <w:spacing w:before="480" w:after="100" w:afterAutospacing="1"/>
              <w:rPr>
                <w:rFonts w:eastAsia="Times New Roman" w:cstheme="minorHAnsi"/>
                <w:lang w:eastAsia="en-GB"/>
              </w:rPr>
            </w:pPr>
          </w:p>
        </w:tc>
        <w:tc>
          <w:tcPr>
            <w:tcW w:w="5811" w:type="dxa"/>
          </w:tcPr>
          <w:p w14:paraId="68150804" w14:textId="77777777" w:rsidR="00BC321B" w:rsidRDefault="00BC321B" w:rsidP="00BC321B">
            <w:pPr>
              <w:spacing w:before="480" w:after="100" w:afterAutospacing="1"/>
              <w:rPr>
                <w:rFonts w:eastAsia="Times New Roman" w:cstheme="minorHAnsi"/>
                <w:lang w:eastAsia="en-GB"/>
              </w:rPr>
            </w:pPr>
          </w:p>
        </w:tc>
      </w:tr>
      <w:tr w:rsidR="00BC321B" w14:paraId="5A3420CA" w14:textId="77777777" w:rsidTr="00BC321B">
        <w:trPr>
          <w:trHeight w:val="692"/>
        </w:trPr>
        <w:tc>
          <w:tcPr>
            <w:tcW w:w="5665" w:type="dxa"/>
          </w:tcPr>
          <w:p w14:paraId="29BF4CA5" w14:textId="77777777" w:rsidR="00BC321B" w:rsidRPr="00BC321B" w:rsidRDefault="00BC321B" w:rsidP="00BC321B">
            <w:pPr>
              <w:spacing w:before="480" w:after="100" w:afterAutospacing="1"/>
              <w:rPr>
                <w:rFonts w:eastAsia="Times New Roman" w:cstheme="minorHAnsi"/>
                <w:lang w:eastAsia="en-GB"/>
              </w:rPr>
            </w:pPr>
            <w:r w:rsidRPr="00BC321B">
              <w:rPr>
                <w:rFonts w:eastAsia="Times New Roman" w:cstheme="minorHAnsi"/>
                <w:lang w:eastAsia="en-GB"/>
              </w:rPr>
              <w:t>Two-Stage Design and Build (Based on RIBA Stage 2)</w:t>
            </w:r>
          </w:p>
        </w:tc>
        <w:tc>
          <w:tcPr>
            <w:tcW w:w="993" w:type="dxa"/>
          </w:tcPr>
          <w:p w14:paraId="2AEC321B" w14:textId="77777777" w:rsidR="00BC321B" w:rsidRDefault="00BC321B" w:rsidP="00BC321B">
            <w:pPr>
              <w:spacing w:before="480" w:after="100" w:afterAutospacing="1"/>
              <w:rPr>
                <w:rFonts w:eastAsia="Times New Roman" w:cstheme="minorHAnsi"/>
                <w:lang w:eastAsia="en-GB"/>
              </w:rPr>
            </w:pPr>
          </w:p>
        </w:tc>
        <w:tc>
          <w:tcPr>
            <w:tcW w:w="1134" w:type="dxa"/>
          </w:tcPr>
          <w:p w14:paraId="424AF952" w14:textId="77777777" w:rsidR="00BC321B" w:rsidRDefault="00BC321B" w:rsidP="00BC321B">
            <w:pPr>
              <w:spacing w:before="480" w:after="100" w:afterAutospacing="1"/>
              <w:rPr>
                <w:rFonts w:eastAsia="Times New Roman" w:cstheme="minorHAnsi"/>
                <w:lang w:eastAsia="en-GB"/>
              </w:rPr>
            </w:pPr>
          </w:p>
        </w:tc>
        <w:tc>
          <w:tcPr>
            <w:tcW w:w="5811" w:type="dxa"/>
          </w:tcPr>
          <w:p w14:paraId="514B8B84" w14:textId="77777777" w:rsidR="00BC321B" w:rsidRDefault="00BC321B" w:rsidP="00BC321B">
            <w:pPr>
              <w:spacing w:before="480" w:after="100" w:afterAutospacing="1"/>
              <w:rPr>
                <w:rFonts w:eastAsia="Times New Roman" w:cstheme="minorHAnsi"/>
                <w:lang w:eastAsia="en-GB"/>
              </w:rPr>
            </w:pPr>
          </w:p>
        </w:tc>
      </w:tr>
      <w:tr w:rsidR="00BC321B" w14:paraId="7CAD64EF" w14:textId="77777777" w:rsidTr="00BC321B">
        <w:trPr>
          <w:trHeight w:val="408"/>
        </w:trPr>
        <w:tc>
          <w:tcPr>
            <w:tcW w:w="5665" w:type="dxa"/>
          </w:tcPr>
          <w:p w14:paraId="1CDADD6C" w14:textId="77777777" w:rsidR="00BC321B" w:rsidRPr="00BC321B" w:rsidRDefault="00BC321B" w:rsidP="00BC321B">
            <w:pPr>
              <w:spacing w:before="480" w:after="100" w:afterAutospacing="1"/>
              <w:rPr>
                <w:rFonts w:eastAsia="Times New Roman" w:cstheme="minorHAnsi"/>
                <w:lang w:eastAsia="en-GB"/>
              </w:rPr>
            </w:pPr>
            <w:r w:rsidRPr="00BC321B">
              <w:rPr>
                <w:rFonts w:eastAsia="Times New Roman" w:cstheme="minorHAnsi"/>
                <w:lang w:eastAsia="en-GB"/>
              </w:rPr>
              <w:lastRenderedPageBreak/>
              <w:t>EPCMV (Based on URS or RIBA Stage 2) (turnkey)</w:t>
            </w:r>
          </w:p>
        </w:tc>
        <w:tc>
          <w:tcPr>
            <w:tcW w:w="993" w:type="dxa"/>
          </w:tcPr>
          <w:p w14:paraId="136D2B43" w14:textId="77777777" w:rsidR="00BC321B" w:rsidRDefault="00BC321B" w:rsidP="00BC321B">
            <w:pPr>
              <w:spacing w:before="480" w:after="100" w:afterAutospacing="1"/>
              <w:rPr>
                <w:rFonts w:eastAsia="Times New Roman" w:cstheme="minorHAnsi"/>
                <w:lang w:eastAsia="en-GB"/>
              </w:rPr>
            </w:pPr>
          </w:p>
        </w:tc>
        <w:tc>
          <w:tcPr>
            <w:tcW w:w="1134" w:type="dxa"/>
          </w:tcPr>
          <w:p w14:paraId="5E217790" w14:textId="77777777" w:rsidR="00BC321B" w:rsidRDefault="00BC321B" w:rsidP="00BC321B">
            <w:pPr>
              <w:spacing w:before="480" w:after="100" w:afterAutospacing="1"/>
              <w:rPr>
                <w:rFonts w:eastAsia="Times New Roman" w:cstheme="minorHAnsi"/>
                <w:lang w:eastAsia="en-GB"/>
              </w:rPr>
            </w:pPr>
          </w:p>
        </w:tc>
        <w:tc>
          <w:tcPr>
            <w:tcW w:w="5811" w:type="dxa"/>
          </w:tcPr>
          <w:p w14:paraId="44F4C16E" w14:textId="77777777" w:rsidR="00BC321B" w:rsidRDefault="00BC321B" w:rsidP="00BC321B">
            <w:pPr>
              <w:spacing w:before="480" w:after="100" w:afterAutospacing="1"/>
              <w:rPr>
                <w:rFonts w:eastAsia="Times New Roman" w:cstheme="minorHAnsi"/>
                <w:lang w:eastAsia="en-GB"/>
              </w:rPr>
            </w:pPr>
          </w:p>
        </w:tc>
      </w:tr>
    </w:tbl>
    <w:p w14:paraId="48350100" w14:textId="77777777" w:rsidR="005F40C1" w:rsidRDefault="005F40C1" w:rsidP="005F40C1">
      <w:pPr>
        <w:spacing w:before="480" w:after="100" w:afterAutospacing="1" w:line="240" w:lineRule="auto"/>
        <w:rPr>
          <w:rFonts w:eastAsia="Times New Roman" w:cstheme="minorHAnsi"/>
          <w:lang w:eastAsia="en-GB"/>
        </w:rPr>
      </w:pPr>
    </w:p>
    <w:p w14:paraId="41AD094D" w14:textId="64813662" w:rsidR="005F40C1" w:rsidRPr="000159DA" w:rsidRDefault="005F40C1" w:rsidP="005F40C1">
      <w:pPr>
        <w:spacing w:before="480" w:after="100" w:afterAutospacing="1" w:line="240" w:lineRule="auto"/>
        <w:rPr>
          <w:rFonts w:eastAsia="Times New Roman" w:cstheme="minorHAnsi"/>
          <w:lang w:eastAsia="en-GB"/>
        </w:rPr>
      </w:pPr>
      <w:r w:rsidRPr="005F40C1">
        <w:rPr>
          <w:rFonts w:eastAsia="Times New Roman" w:cstheme="minorHAnsi"/>
          <w:b/>
          <w:bCs/>
          <w:noProof/>
          <w:lang w:eastAsia="en-GB"/>
        </w:rPr>
        <mc:AlternateContent>
          <mc:Choice Requires="wps">
            <w:drawing>
              <wp:anchor distT="45720" distB="45720" distL="114300" distR="114300" simplePos="0" relativeHeight="251667456" behindDoc="0" locked="0" layoutInCell="1" allowOverlap="1" wp14:anchorId="162D286A" wp14:editId="2684D7EE">
                <wp:simplePos x="0" y="0"/>
                <wp:positionH relativeFrom="margin">
                  <wp:align>left</wp:align>
                </wp:positionH>
                <wp:positionV relativeFrom="paragraph">
                  <wp:posOffset>929640</wp:posOffset>
                </wp:positionV>
                <wp:extent cx="5686425" cy="1404620"/>
                <wp:effectExtent l="0" t="0" r="28575" b="146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rgbClr val="FFFFFF"/>
                        </a:solidFill>
                        <a:ln w="9525">
                          <a:solidFill>
                            <a:srgbClr val="000000"/>
                          </a:solidFill>
                          <a:miter lim="800000"/>
                          <a:headEnd/>
                          <a:tailEnd/>
                        </a:ln>
                      </wps:spPr>
                      <wps:txbx>
                        <w:txbxContent>
                          <w:p w14:paraId="766610A6" w14:textId="77777777" w:rsidR="005F40C1" w:rsidRDefault="005F40C1" w:rsidP="005F40C1"/>
                          <w:p w14:paraId="4499A47B" w14:textId="77777777" w:rsidR="005F40C1" w:rsidRDefault="005F40C1" w:rsidP="005F40C1"/>
                          <w:p w14:paraId="5547E1C4" w14:textId="77777777" w:rsidR="005F40C1" w:rsidRDefault="005F40C1" w:rsidP="005F40C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Text Box 5" style="position:absolute;margin-left:0;margin-top:73.2pt;width:447.7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" w14:anchorId="162D286A">
                <v:textbox style="mso-fit-shape-to-text:t">
                  <w:txbxContent>
                    <w:p w:rsidR="005F40C1" w:rsidP="005F40C1" w:rsidRDefault="005F40C1" w14:paraId="766610A6" w14:textId="77777777"/>
                    <w:p w:rsidR="005F40C1" w:rsidP="005F40C1" w:rsidRDefault="005F40C1" w14:paraId="4499A47B" w14:textId="77777777"/>
                    <w:p w:rsidR="005F40C1" w:rsidP="005F40C1" w:rsidRDefault="005F40C1" w14:paraId="5547E1C4" w14:textId="77777777"/>
                  </w:txbxContent>
                </v:textbox>
                <w10:wrap type="square" anchorx="margin"/>
              </v:shape>
            </w:pict>
          </mc:Fallback>
        </mc:AlternateContent>
      </w:r>
      <w:r w:rsidRPr="005F40C1">
        <w:rPr>
          <w:rFonts w:eastAsia="Times New Roman" w:cstheme="minorHAnsi"/>
          <w:b/>
          <w:bCs/>
          <w:lang w:eastAsia="en-GB"/>
        </w:rPr>
        <w:t>Q6:</w:t>
      </w:r>
      <w:r>
        <w:rPr>
          <w:rFonts w:eastAsia="Times New Roman" w:cstheme="minorHAnsi"/>
          <w:lang w:eastAsia="en-GB"/>
        </w:rPr>
        <w:t xml:space="preserve"> Are you on a Public Sector framework agreement such as CCS/NHS SBS/NHS LPP If Yes, which one(s)</w:t>
      </w:r>
    </w:p>
    <w:p w14:paraId="644C6A69" w14:textId="1102F158" w:rsidR="00B95CB5" w:rsidRDefault="00B95CB5" w:rsidP="00B95CB5">
      <w:pPr>
        <w:spacing w:before="480" w:after="100" w:afterAutospacing="1" w:line="240" w:lineRule="auto"/>
        <w:rPr>
          <w:rFonts w:eastAsia="Times New Roman" w:cstheme="minorHAnsi"/>
          <w:lang w:eastAsia="en-GB"/>
        </w:rPr>
      </w:pPr>
    </w:p>
    <w:p w14:paraId="1A824C07" w14:textId="77777777" w:rsidR="00014BE9" w:rsidRDefault="00014BE9" w:rsidP="00014BE9">
      <w:pPr>
        <w:spacing w:before="480" w:after="100" w:afterAutospacing="1" w:line="240" w:lineRule="auto"/>
        <w:rPr>
          <w:rFonts w:eastAsia="Times New Roman" w:cstheme="minorHAnsi"/>
          <w:lang w:eastAsia="en-GB"/>
        </w:rPr>
      </w:pPr>
      <w:r w:rsidRPr="00BB2BBB">
        <w:rPr>
          <w:rFonts w:eastAsia="Times New Roman" w:cstheme="minorHAnsi"/>
          <w:b/>
          <w:bCs/>
          <w:noProof/>
          <w:lang w:eastAsia="en-GB"/>
        </w:rPr>
        <mc:AlternateContent>
          <mc:Choice Requires="wps">
            <w:drawing>
              <wp:anchor distT="45720" distB="45720" distL="114300" distR="114300" simplePos="0" relativeHeight="251671552" behindDoc="0" locked="0" layoutInCell="1" allowOverlap="1" wp14:anchorId="13AB5979" wp14:editId="2F9441E3">
                <wp:simplePos x="0" y="0"/>
                <wp:positionH relativeFrom="margin">
                  <wp:posOffset>-20955</wp:posOffset>
                </wp:positionH>
                <wp:positionV relativeFrom="paragraph">
                  <wp:posOffset>577215</wp:posOffset>
                </wp:positionV>
                <wp:extent cx="5686425" cy="1404620"/>
                <wp:effectExtent l="0" t="0" r="28575" b="146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rgbClr val="FFFFFF"/>
                        </a:solidFill>
                        <a:ln w="9525">
                          <a:solidFill>
                            <a:srgbClr val="000000"/>
                          </a:solidFill>
                          <a:miter lim="800000"/>
                          <a:headEnd/>
                          <a:tailEnd/>
                        </a:ln>
                      </wps:spPr>
                      <wps:txbx>
                        <w:txbxContent>
                          <w:p w14:paraId="2256ACDF" w14:textId="77777777" w:rsidR="00014BE9" w:rsidRDefault="00014BE9" w:rsidP="00014BE9"/>
                          <w:p w14:paraId="7232ADBE" w14:textId="77777777" w:rsidR="00014BE9" w:rsidRDefault="00014BE9" w:rsidP="00014BE9"/>
                          <w:p w14:paraId="1D403DD9" w14:textId="77777777" w:rsidR="00014BE9" w:rsidRDefault="00014BE9" w:rsidP="00014B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Text Box 1" style="position:absolute;margin-left:-1.65pt;margin-top:45.45pt;width:447.7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" w14:anchorId="13AB5979">
                <v:textbox style="mso-fit-shape-to-text:t">
                  <w:txbxContent>
                    <w:p w:rsidR="00014BE9" w:rsidP="00014BE9" w:rsidRDefault="00014BE9" w14:paraId="2256ACDF" w14:textId="77777777"/>
                    <w:p w:rsidR="00014BE9" w:rsidP="00014BE9" w:rsidRDefault="00014BE9" w14:paraId="7232ADBE" w14:textId="77777777"/>
                    <w:p w:rsidR="00014BE9" w:rsidP="00014BE9" w:rsidRDefault="00014BE9" w14:paraId="1D403DD9" w14:textId="77777777"/>
                  </w:txbxContent>
                </v:textbox>
                <w10:wrap type="square" anchorx="margin"/>
              </v:shape>
            </w:pict>
          </mc:Fallback>
        </mc:AlternateContent>
      </w:r>
      <w:r w:rsidRPr="00BB2BBB">
        <w:rPr>
          <w:rFonts w:eastAsia="Times New Roman" w:cstheme="minorHAnsi"/>
          <w:b/>
          <w:bCs/>
          <w:lang w:eastAsia="en-GB"/>
        </w:rPr>
        <w:t>Q7:</w:t>
      </w:r>
      <w:r>
        <w:rPr>
          <w:rFonts w:eastAsia="Times New Roman" w:cstheme="minorHAnsi"/>
          <w:lang w:eastAsia="en-GB"/>
        </w:rPr>
        <w:t xml:space="preserve"> Please raise any further questions / clarifications that you consider relevant to this SMT exercise</w:t>
      </w:r>
      <w:r>
        <w:rPr>
          <w:rFonts w:eastAsia="Times New Roman" w:cstheme="minorHAnsi"/>
          <w:lang w:eastAsia="en-GB"/>
        </w:rPr>
        <w:tab/>
      </w:r>
    </w:p>
    <w:p w14:paraId="38F1765D" w14:textId="77777777" w:rsidR="00014BE9" w:rsidRDefault="00014BE9" w:rsidP="00B95CB5">
      <w:pPr>
        <w:spacing w:before="480" w:after="100" w:afterAutospacing="1" w:line="240" w:lineRule="auto"/>
        <w:rPr>
          <w:rFonts w:eastAsia="Times New Roman" w:cstheme="minorHAnsi"/>
          <w:lang w:eastAsia="en-GB"/>
        </w:rPr>
      </w:pPr>
    </w:p>
    <w:p w14:paraId="7AAD5D79" w14:textId="282CE0BA" w:rsidR="00B95CB5" w:rsidRDefault="00B95CB5" w:rsidP="00B95CB5">
      <w:pPr>
        <w:spacing w:before="480" w:after="100" w:afterAutospacing="1" w:line="240" w:lineRule="auto"/>
        <w:rPr>
          <w:rFonts w:eastAsia="Times New Roman" w:cstheme="minorHAnsi"/>
          <w:lang w:eastAsia="en-GB"/>
        </w:rPr>
      </w:pPr>
      <w:r w:rsidRPr="00BB2BBB">
        <w:rPr>
          <w:rFonts w:eastAsia="Times New Roman" w:cstheme="minorHAnsi"/>
          <w:b/>
          <w:bCs/>
          <w:noProof/>
          <w:lang w:eastAsia="en-GB"/>
        </w:rPr>
        <mc:AlternateContent>
          <mc:Choice Requires="wps">
            <w:drawing>
              <wp:anchor distT="45720" distB="45720" distL="114300" distR="114300" simplePos="0" relativeHeight="251669504" behindDoc="0" locked="0" layoutInCell="1" allowOverlap="1" wp14:anchorId="7F139D59" wp14:editId="5BEB5506">
                <wp:simplePos x="0" y="0"/>
                <wp:positionH relativeFrom="margin">
                  <wp:posOffset>-20955</wp:posOffset>
                </wp:positionH>
                <wp:positionV relativeFrom="paragraph">
                  <wp:posOffset>729615</wp:posOffset>
                </wp:positionV>
                <wp:extent cx="5686425" cy="1404620"/>
                <wp:effectExtent l="0" t="0" r="28575" b="1460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rgbClr val="FFFFFF"/>
                        </a:solidFill>
                        <a:ln w="9525">
                          <a:solidFill>
                            <a:srgbClr val="000000"/>
                          </a:solidFill>
                          <a:miter lim="800000"/>
                          <a:headEnd/>
                          <a:tailEnd/>
                        </a:ln>
                      </wps:spPr>
                      <wps:txbx>
                        <w:txbxContent>
                          <w:p w14:paraId="67E7F08D" w14:textId="77777777" w:rsidR="00B95CB5" w:rsidRDefault="00B95CB5" w:rsidP="00B95CB5"/>
                          <w:p w14:paraId="48044C54" w14:textId="77777777" w:rsidR="00B95CB5" w:rsidRDefault="00B95CB5" w:rsidP="00B95CB5"/>
                          <w:p w14:paraId="67F11D10" w14:textId="77777777" w:rsidR="00B95CB5" w:rsidRDefault="00B95CB5" w:rsidP="00B95CB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Text Box 6" style="position:absolute;margin-left:-1.65pt;margin-top:57.45pt;width:447.7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" w14:anchorId="7F139D59">
                <v:textbox style="mso-fit-shape-to-text:t">
                  <w:txbxContent>
                    <w:p w:rsidR="00B95CB5" w:rsidP="00B95CB5" w:rsidRDefault="00B95CB5" w14:paraId="67E7F08D" w14:textId="77777777"/>
                    <w:p w:rsidR="00B95CB5" w:rsidP="00B95CB5" w:rsidRDefault="00B95CB5" w14:paraId="48044C54" w14:textId="77777777"/>
                    <w:p w:rsidR="00B95CB5" w:rsidP="00B95CB5" w:rsidRDefault="00B95CB5" w14:paraId="67F11D10" w14:textId="77777777"/>
                  </w:txbxContent>
                </v:textbox>
                <w10:wrap type="square" anchorx="margin"/>
              </v:shape>
            </w:pict>
          </mc:Fallback>
        </mc:AlternateContent>
      </w:r>
      <w:r w:rsidRPr="00BB2BBB">
        <w:rPr>
          <w:rFonts w:eastAsia="Times New Roman" w:cstheme="minorHAnsi"/>
          <w:b/>
          <w:bCs/>
          <w:lang w:eastAsia="en-GB"/>
        </w:rPr>
        <w:t>Q</w:t>
      </w:r>
      <w:r w:rsidR="00014BE9">
        <w:rPr>
          <w:rFonts w:eastAsia="Times New Roman" w:cstheme="minorHAnsi"/>
          <w:b/>
          <w:bCs/>
          <w:lang w:eastAsia="en-GB"/>
        </w:rPr>
        <w:t>8</w:t>
      </w:r>
      <w:r w:rsidRPr="00BB2BBB">
        <w:rPr>
          <w:rFonts w:eastAsia="Times New Roman" w:cstheme="minorHAnsi"/>
          <w:b/>
          <w:bCs/>
          <w:lang w:eastAsia="en-GB"/>
        </w:rPr>
        <w:t>:</w:t>
      </w:r>
      <w:r>
        <w:rPr>
          <w:rFonts w:eastAsia="Times New Roman" w:cstheme="minorHAnsi"/>
          <w:lang w:eastAsia="en-GB"/>
        </w:rPr>
        <w:t xml:space="preserve"> Please </w:t>
      </w:r>
      <w:r w:rsidR="00014BE9">
        <w:rPr>
          <w:rFonts w:eastAsia="Times New Roman" w:cstheme="minorHAnsi"/>
          <w:lang w:eastAsia="en-GB"/>
        </w:rPr>
        <w:t xml:space="preserve">suggest 3 SMART Key Performance Indicators which you feel may be useful in managing performance under this framework </w:t>
      </w:r>
      <w:r w:rsidR="004637C6">
        <w:rPr>
          <w:rFonts w:eastAsia="Times New Roman" w:cstheme="minorHAnsi"/>
          <w:lang w:eastAsia="en-GB"/>
        </w:rPr>
        <w:t>and how they could be incentivised.</w:t>
      </w:r>
      <w:r>
        <w:rPr>
          <w:rFonts w:eastAsia="Times New Roman" w:cstheme="minorHAnsi"/>
          <w:lang w:eastAsia="en-GB"/>
        </w:rPr>
        <w:tab/>
      </w:r>
    </w:p>
    <w:sectPr w:rsidR="00B95CB5" w:rsidSect="00C729B4">
      <w:pgSz w:w="16838" w:h="11906" w:orient="landscape"/>
      <w:pgMar w:top="2410" w:right="62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E7B6C" w14:textId="77777777" w:rsidR="000240F8" w:rsidRDefault="000240F8" w:rsidP="00E30AAE">
      <w:pPr>
        <w:spacing w:after="0" w:line="240" w:lineRule="auto"/>
      </w:pPr>
      <w:r>
        <w:separator/>
      </w:r>
    </w:p>
  </w:endnote>
  <w:endnote w:type="continuationSeparator" w:id="0">
    <w:p w14:paraId="1A87D152" w14:textId="77777777" w:rsidR="000240F8" w:rsidRDefault="000240F8" w:rsidP="00E30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480B6" w14:textId="77777777" w:rsidR="000240F8" w:rsidRDefault="000240F8" w:rsidP="00E30AAE">
      <w:pPr>
        <w:spacing w:after="0" w:line="240" w:lineRule="auto"/>
      </w:pPr>
      <w:r>
        <w:separator/>
      </w:r>
    </w:p>
  </w:footnote>
  <w:footnote w:type="continuationSeparator" w:id="0">
    <w:p w14:paraId="1B24781C" w14:textId="77777777" w:rsidR="000240F8" w:rsidRDefault="000240F8" w:rsidP="00E30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664" w:hanging="360"/>
      </w:pPr>
      <w:rPr>
        <w:rFonts w:ascii="Symbol" w:hAnsi="Symbol" w:cs="Symbol"/>
        <w:b w:val="0"/>
        <w:bCs w:val="0"/>
        <w:w w:val="100"/>
        <w:sz w:val="24"/>
        <w:szCs w:val="24"/>
      </w:rPr>
    </w:lvl>
    <w:lvl w:ilvl="1">
      <w:numFmt w:val="bullet"/>
      <w:lvlText w:val="•"/>
      <w:lvlJc w:val="left"/>
      <w:pPr>
        <w:ind w:left="1448" w:hanging="360"/>
      </w:pPr>
    </w:lvl>
    <w:lvl w:ilvl="2">
      <w:numFmt w:val="bullet"/>
      <w:lvlText w:val="•"/>
      <w:lvlJc w:val="left"/>
      <w:pPr>
        <w:ind w:left="2237" w:hanging="360"/>
      </w:pPr>
    </w:lvl>
    <w:lvl w:ilvl="3">
      <w:numFmt w:val="bullet"/>
      <w:lvlText w:val="•"/>
      <w:lvlJc w:val="left"/>
      <w:pPr>
        <w:ind w:left="3025" w:hanging="360"/>
      </w:pPr>
    </w:lvl>
    <w:lvl w:ilvl="4">
      <w:numFmt w:val="bullet"/>
      <w:lvlText w:val="•"/>
      <w:lvlJc w:val="left"/>
      <w:pPr>
        <w:ind w:left="3814" w:hanging="360"/>
      </w:pPr>
    </w:lvl>
    <w:lvl w:ilvl="5">
      <w:numFmt w:val="bullet"/>
      <w:lvlText w:val="•"/>
      <w:lvlJc w:val="left"/>
      <w:pPr>
        <w:ind w:left="4603" w:hanging="360"/>
      </w:pPr>
    </w:lvl>
    <w:lvl w:ilvl="6">
      <w:numFmt w:val="bullet"/>
      <w:lvlText w:val="•"/>
      <w:lvlJc w:val="left"/>
      <w:pPr>
        <w:ind w:left="5391" w:hanging="360"/>
      </w:pPr>
    </w:lvl>
    <w:lvl w:ilvl="7">
      <w:numFmt w:val="bullet"/>
      <w:lvlText w:val="•"/>
      <w:lvlJc w:val="left"/>
      <w:pPr>
        <w:ind w:left="6180" w:hanging="360"/>
      </w:pPr>
    </w:lvl>
    <w:lvl w:ilvl="8">
      <w:numFmt w:val="bullet"/>
      <w:lvlText w:val="•"/>
      <w:lvlJc w:val="left"/>
      <w:pPr>
        <w:ind w:left="6969" w:hanging="360"/>
      </w:pPr>
    </w:lvl>
  </w:abstractNum>
  <w:abstractNum w:abstractNumId="1" w15:restartNumberingAfterBreak="0">
    <w:nsid w:val="0BD631FD"/>
    <w:multiLevelType w:val="hybridMultilevel"/>
    <w:tmpl w:val="D00E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D1933"/>
    <w:multiLevelType w:val="hybridMultilevel"/>
    <w:tmpl w:val="CF64D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A24E3"/>
    <w:multiLevelType w:val="multilevel"/>
    <w:tmpl w:val="B0AEB4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413BE"/>
    <w:multiLevelType w:val="hybridMultilevel"/>
    <w:tmpl w:val="24FA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77958"/>
    <w:multiLevelType w:val="hybridMultilevel"/>
    <w:tmpl w:val="FDD0D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1053E5"/>
    <w:multiLevelType w:val="hybridMultilevel"/>
    <w:tmpl w:val="7A244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3D5D16"/>
    <w:multiLevelType w:val="hybridMultilevel"/>
    <w:tmpl w:val="6EB6B7E6"/>
    <w:lvl w:ilvl="0" w:tplc="0BA4EC8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8F90B6B"/>
    <w:multiLevelType w:val="hybridMultilevel"/>
    <w:tmpl w:val="03BA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C1ED5"/>
    <w:multiLevelType w:val="hybridMultilevel"/>
    <w:tmpl w:val="FC808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F7E8D"/>
    <w:multiLevelType w:val="hybridMultilevel"/>
    <w:tmpl w:val="C882A5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713EA0"/>
    <w:multiLevelType w:val="hybridMultilevel"/>
    <w:tmpl w:val="88B4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96D80"/>
    <w:multiLevelType w:val="hybridMultilevel"/>
    <w:tmpl w:val="19A6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E0FE6"/>
    <w:multiLevelType w:val="hybridMultilevel"/>
    <w:tmpl w:val="AD1E05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6365BC"/>
    <w:multiLevelType w:val="hybridMultilevel"/>
    <w:tmpl w:val="5490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6345A"/>
    <w:multiLevelType w:val="multilevel"/>
    <w:tmpl w:val="C158CC36"/>
    <w:lvl w:ilvl="0">
      <w:start w:val="1"/>
      <w:numFmt w:val="decimal"/>
      <w:pStyle w:val="NumH1"/>
      <w:lvlText w:val="%1"/>
      <w:lvlJc w:val="left"/>
      <w:pPr>
        <w:ind w:left="0" w:hanging="851"/>
      </w:pPr>
      <w:rPr>
        <w:rFonts w:hint="default"/>
      </w:rPr>
    </w:lvl>
    <w:lvl w:ilvl="1">
      <w:start w:val="1"/>
      <w:numFmt w:val="decimal"/>
      <w:pStyle w:val="NumH2"/>
      <w:lvlText w:val="%1.%2"/>
      <w:lvlJc w:val="left"/>
      <w:pPr>
        <w:ind w:left="0" w:hanging="851"/>
      </w:pPr>
      <w:rPr>
        <w:rFonts w:hint="default"/>
        <w:b/>
        <w:bCs w:val="0"/>
        <w:i w:val="0"/>
        <w:iCs w:val="0"/>
        <w:caps w:val="0"/>
        <w:smallCaps w:val="0"/>
        <w:strike w:val="0"/>
        <w:dstrike w:val="0"/>
        <w:outline w:val="0"/>
        <w:shadow w:val="0"/>
        <w:emboss w:val="0"/>
        <w:imprint w:val="0"/>
        <w:noProof w:val="0"/>
        <w:vanish w:val="0"/>
        <w:color w:val="00B05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odyText"/>
      <w:lvlText w:val="%1.%2.%3."/>
      <w:lvlJc w:val="left"/>
      <w:pPr>
        <w:tabs>
          <w:tab w:val="num" w:pos="0"/>
        </w:tabs>
        <w:ind w:left="0" w:hanging="850"/>
      </w:pPr>
      <w:rPr>
        <w:rFonts w:hint="default"/>
        <w:b/>
        <w:color w:val="00B050"/>
      </w:rPr>
    </w:lvl>
    <w:lvl w:ilvl="3">
      <w:start w:val="1"/>
      <w:numFmt w:val="decimal"/>
      <w:lvlText w:val="%1.%2.%3.%4"/>
      <w:lvlJc w:val="left"/>
      <w:pPr>
        <w:ind w:left="0" w:hanging="851"/>
      </w:pPr>
      <w:rPr>
        <w:rFonts w:ascii="Arial" w:hAnsi="Arial" w:hint="default"/>
        <w:color w:val="00B050"/>
      </w:rPr>
    </w:lvl>
    <w:lvl w:ilvl="4">
      <w:start w:val="1"/>
      <w:numFmt w:val="decimal"/>
      <w:lvlText w:val="%1.%2.%3.%4.%5"/>
      <w:lvlJc w:val="left"/>
      <w:pPr>
        <w:ind w:left="0" w:hanging="851"/>
      </w:pPr>
      <w:rPr>
        <w:rFonts w:ascii="Arial" w:hAnsi="Arial" w:hint="default"/>
        <w:color w:val="00B050"/>
      </w:rPr>
    </w:lvl>
    <w:lvl w:ilvl="5">
      <w:start w:val="1"/>
      <w:numFmt w:val="decimal"/>
      <w:lvlText w:val="%1.%2.%3.%4.%5.%6"/>
      <w:lvlJc w:val="left"/>
      <w:pPr>
        <w:ind w:left="0" w:hanging="851"/>
      </w:pPr>
      <w:rPr>
        <w:rFonts w:hint="default"/>
      </w:rPr>
    </w:lvl>
    <w:lvl w:ilvl="6">
      <w:start w:val="1"/>
      <w:numFmt w:val="decimal"/>
      <w:lvlText w:val="%1.%2.%3.%4.%5.%6.%7"/>
      <w:lvlJc w:val="left"/>
      <w:pPr>
        <w:ind w:left="0" w:hanging="851"/>
      </w:pPr>
      <w:rPr>
        <w:rFonts w:hint="default"/>
      </w:rPr>
    </w:lvl>
    <w:lvl w:ilvl="7">
      <w:start w:val="1"/>
      <w:numFmt w:val="decimal"/>
      <w:lvlText w:val="%1.%2.%3.%4.%5.%6.%7.%8"/>
      <w:lvlJc w:val="left"/>
      <w:pPr>
        <w:ind w:left="0" w:hanging="851"/>
      </w:pPr>
      <w:rPr>
        <w:rFonts w:hint="default"/>
      </w:rPr>
    </w:lvl>
    <w:lvl w:ilvl="8">
      <w:start w:val="1"/>
      <w:numFmt w:val="decimal"/>
      <w:lvlText w:val="%1.%2.%3.%4.%5.%6.%7.%8.%9"/>
      <w:lvlJc w:val="left"/>
      <w:pPr>
        <w:ind w:left="0" w:hanging="851"/>
      </w:pPr>
      <w:rPr>
        <w:rFonts w:hint="default"/>
      </w:rPr>
    </w:lvl>
  </w:abstractNum>
  <w:abstractNum w:abstractNumId="16" w15:restartNumberingAfterBreak="0">
    <w:nsid w:val="399702C9"/>
    <w:multiLevelType w:val="hybridMultilevel"/>
    <w:tmpl w:val="D4124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4410EF"/>
    <w:multiLevelType w:val="hybridMultilevel"/>
    <w:tmpl w:val="0EF63E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A0C3B"/>
    <w:multiLevelType w:val="hybridMultilevel"/>
    <w:tmpl w:val="A702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70F39"/>
    <w:multiLevelType w:val="hybridMultilevel"/>
    <w:tmpl w:val="54CEDC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84B19C2"/>
    <w:multiLevelType w:val="hybridMultilevel"/>
    <w:tmpl w:val="A794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06736"/>
    <w:multiLevelType w:val="multilevel"/>
    <w:tmpl w:val="C3D0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BE755F"/>
    <w:multiLevelType w:val="hybridMultilevel"/>
    <w:tmpl w:val="3048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E71207"/>
    <w:multiLevelType w:val="hybridMultilevel"/>
    <w:tmpl w:val="9928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B26CB0"/>
    <w:multiLevelType w:val="hybridMultilevel"/>
    <w:tmpl w:val="B226F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34446D"/>
    <w:multiLevelType w:val="hybridMultilevel"/>
    <w:tmpl w:val="AD5C3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A554AC"/>
    <w:multiLevelType w:val="hybridMultilevel"/>
    <w:tmpl w:val="D7FC7F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D466B3"/>
    <w:multiLevelType w:val="hybridMultilevel"/>
    <w:tmpl w:val="37867286"/>
    <w:lvl w:ilvl="0" w:tplc="D8EA2A7E">
      <w:start w:val="1"/>
      <w:numFmt w:val="bullet"/>
      <w:pStyle w:val="Style4"/>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020089"/>
    <w:multiLevelType w:val="hybridMultilevel"/>
    <w:tmpl w:val="A38E00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C21248"/>
    <w:multiLevelType w:val="hybridMultilevel"/>
    <w:tmpl w:val="FFCA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56A5D"/>
    <w:multiLevelType w:val="hybridMultilevel"/>
    <w:tmpl w:val="ACDC1ECE"/>
    <w:lvl w:ilvl="0" w:tplc="BA1AF7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363298"/>
    <w:multiLevelType w:val="hybridMultilevel"/>
    <w:tmpl w:val="A3A6BD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137ADB"/>
    <w:multiLevelType w:val="hybridMultilevel"/>
    <w:tmpl w:val="8CECA2D8"/>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A10893"/>
    <w:multiLevelType w:val="hybridMultilevel"/>
    <w:tmpl w:val="99CCB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F07CA6"/>
    <w:multiLevelType w:val="hybridMultilevel"/>
    <w:tmpl w:val="965A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14920"/>
    <w:multiLevelType w:val="hybridMultilevel"/>
    <w:tmpl w:val="39D6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3B5946"/>
    <w:multiLevelType w:val="hybridMultilevel"/>
    <w:tmpl w:val="3B92C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9"/>
  </w:num>
  <w:num w:numId="4">
    <w:abstractNumId w:val="9"/>
  </w:num>
  <w:num w:numId="5">
    <w:abstractNumId w:val="19"/>
  </w:num>
  <w:num w:numId="6">
    <w:abstractNumId w:val="22"/>
  </w:num>
  <w:num w:numId="7">
    <w:abstractNumId w:val="12"/>
  </w:num>
  <w:num w:numId="8">
    <w:abstractNumId w:val="24"/>
  </w:num>
  <w:num w:numId="9">
    <w:abstractNumId w:val="18"/>
  </w:num>
  <w:num w:numId="10">
    <w:abstractNumId w:val="33"/>
  </w:num>
  <w:num w:numId="11">
    <w:abstractNumId w:val="8"/>
  </w:num>
  <w:num w:numId="12">
    <w:abstractNumId w:val="15"/>
  </w:num>
  <w:num w:numId="13">
    <w:abstractNumId w:val="27"/>
  </w:num>
  <w:num w:numId="14">
    <w:abstractNumId w:val="0"/>
  </w:num>
  <w:num w:numId="15">
    <w:abstractNumId w:val="1"/>
  </w:num>
  <w:num w:numId="16">
    <w:abstractNumId w:val="14"/>
  </w:num>
  <w:num w:numId="17">
    <w:abstractNumId w:val="25"/>
  </w:num>
  <w:num w:numId="18">
    <w:abstractNumId w:val="35"/>
  </w:num>
  <w:num w:numId="19">
    <w:abstractNumId w:val="30"/>
  </w:num>
  <w:num w:numId="20">
    <w:abstractNumId w:val="5"/>
  </w:num>
  <w:num w:numId="21">
    <w:abstractNumId w:val="23"/>
  </w:num>
  <w:num w:numId="22">
    <w:abstractNumId w:val="34"/>
  </w:num>
  <w:num w:numId="23">
    <w:abstractNumId w:val="36"/>
  </w:num>
  <w:num w:numId="24">
    <w:abstractNumId w:val="2"/>
  </w:num>
  <w:num w:numId="25">
    <w:abstractNumId w:val="3"/>
    <w:lvlOverride w:ilvl="0">
      <w:startOverride w:val="1"/>
    </w:lvlOverride>
  </w:num>
  <w:num w:numId="26">
    <w:abstractNumId w:val="3"/>
    <w:lvlOverride w:ilvl="0"/>
    <w:lvlOverride w:ilvl="1">
      <w:startOverride w:val="1"/>
    </w:lvlOverride>
  </w:num>
  <w:num w:numId="27">
    <w:abstractNumId w:val="21"/>
  </w:num>
  <w:num w:numId="28">
    <w:abstractNumId w:val="7"/>
  </w:num>
  <w:num w:numId="29">
    <w:abstractNumId w:val="26"/>
  </w:num>
  <w:num w:numId="30">
    <w:abstractNumId w:val="10"/>
  </w:num>
  <w:num w:numId="31">
    <w:abstractNumId w:val="20"/>
  </w:num>
  <w:num w:numId="32">
    <w:abstractNumId w:val="6"/>
  </w:num>
  <w:num w:numId="33">
    <w:abstractNumId w:val="16"/>
  </w:num>
  <w:num w:numId="34">
    <w:abstractNumId w:val="32"/>
  </w:num>
  <w:num w:numId="35">
    <w:abstractNumId w:val="17"/>
  </w:num>
  <w:num w:numId="36">
    <w:abstractNumId w:val="13"/>
  </w:num>
  <w:num w:numId="37">
    <w:abstractNumId w:val="31"/>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592"/>
    <w:rsid w:val="0000433D"/>
    <w:rsid w:val="00014BE9"/>
    <w:rsid w:val="000169BF"/>
    <w:rsid w:val="000240F8"/>
    <w:rsid w:val="00040EA0"/>
    <w:rsid w:val="0005661E"/>
    <w:rsid w:val="000700EA"/>
    <w:rsid w:val="00075164"/>
    <w:rsid w:val="000B1A1D"/>
    <w:rsid w:val="000B39B6"/>
    <w:rsid w:val="000D2AF7"/>
    <w:rsid w:val="00102EA3"/>
    <w:rsid w:val="00105A9E"/>
    <w:rsid w:val="00177CF8"/>
    <w:rsid w:val="00193CBF"/>
    <w:rsid w:val="0019721D"/>
    <w:rsid w:val="001D4459"/>
    <w:rsid w:val="001F170A"/>
    <w:rsid w:val="001F3085"/>
    <w:rsid w:val="002163C6"/>
    <w:rsid w:val="00227EBE"/>
    <w:rsid w:val="00254540"/>
    <w:rsid w:val="002616AA"/>
    <w:rsid w:val="00261CD7"/>
    <w:rsid w:val="00291054"/>
    <w:rsid w:val="00292238"/>
    <w:rsid w:val="00293141"/>
    <w:rsid w:val="002A1ACD"/>
    <w:rsid w:val="002C042F"/>
    <w:rsid w:val="002C6719"/>
    <w:rsid w:val="002D270D"/>
    <w:rsid w:val="00300842"/>
    <w:rsid w:val="00300F11"/>
    <w:rsid w:val="00314F75"/>
    <w:rsid w:val="00346CBA"/>
    <w:rsid w:val="003967A0"/>
    <w:rsid w:val="00397068"/>
    <w:rsid w:val="003A14C8"/>
    <w:rsid w:val="003B029D"/>
    <w:rsid w:val="003E0E4E"/>
    <w:rsid w:val="003E133F"/>
    <w:rsid w:val="003E38ED"/>
    <w:rsid w:val="00414B70"/>
    <w:rsid w:val="004247AD"/>
    <w:rsid w:val="00432BBC"/>
    <w:rsid w:val="004626D4"/>
    <w:rsid w:val="004637C6"/>
    <w:rsid w:val="004638E9"/>
    <w:rsid w:val="00464E2D"/>
    <w:rsid w:val="0046700B"/>
    <w:rsid w:val="0048073D"/>
    <w:rsid w:val="00480EB1"/>
    <w:rsid w:val="00495D63"/>
    <w:rsid w:val="004B6CCA"/>
    <w:rsid w:val="004E03DE"/>
    <w:rsid w:val="004E0A60"/>
    <w:rsid w:val="00510BF9"/>
    <w:rsid w:val="00546668"/>
    <w:rsid w:val="005751E9"/>
    <w:rsid w:val="0057624F"/>
    <w:rsid w:val="00580B22"/>
    <w:rsid w:val="00583434"/>
    <w:rsid w:val="00584471"/>
    <w:rsid w:val="005A1771"/>
    <w:rsid w:val="005B78E8"/>
    <w:rsid w:val="005C7EB0"/>
    <w:rsid w:val="005F4081"/>
    <w:rsid w:val="005F40C1"/>
    <w:rsid w:val="00625F18"/>
    <w:rsid w:val="006354B3"/>
    <w:rsid w:val="006410CC"/>
    <w:rsid w:val="0064636D"/>
    <w:rsid w:val="00674A0C"/>
    <w:rsid w:val="00696DE1"/>
    <w:rsid w:val="006C26CC"/>
    <w:rsid w:val="006C59B0"/>
    <w:rsid w:val="00710C94"/>
    <w:rsid w:val="00717F3D"/>
    <w:rsid w:val="0072061D"/>
    <w:rsid w:val="007239BF"/>
    <w:rsid w:val="00731889"/>
    <w:rsid w:val="00732B15"/>
    <w:rsid w:val="007420AE"/>
    <w:rsid w:val="0076645D"/>
    <w:rsid w:val="007739D8"/>
    <w:rsid w:val="00777038"/>
    <w:rsid w:val="00797744"/>
    <w:rsid w:val="007A077E"/>
    <w:rsid w:val="007D325D"/>
    <w:rsid w:val="007D3477"/>
    <w:rsid w:val="007D5FF5"/>
    <w:rsid w:val="007F5D1E"/>
    <w:rsid w:val="007F5E3E"/>
    <w:rsid w:val="008007DF"/>
    <w:rsid w:val="008030D8"/>
    <w:rsid w:val="0080422E"/>
    <w:rsid w:val="0081321B"/>
    <w:rsid w:val="00834257"/>
    <w:rsid w:val="008416C5"/>
    <w:rsid w:val="0085255C"/>
    <w:rsid w:val="008813A2"/>
    <w:rsid w:val="00890592"/>
    <w:rsid w:val="008A093C"/>
    <w:rsid w:val="008B65A8"/>
    <w:rsid w:val="008E3722"/>
    <w:rsid w:val="00914355"/>
    <w:rsid w:val="009336BA"/>
    <w:rsid w:val="00934FC2"/>
    <w:rsid w:val="00945E2A"/>
    <w:rsid w:val="00952C91"/>
    <w:rsid w:val="00971186"/>
    <w:rsid w:val="009763F5"/>
    <w:rsid w:val="0098102B"/>
    <w:rsid w:val="00990E9C"/>
    <w:rsid w:val="009969AF"/>
    <w:rsid w:val="009B21DF"/>
    <w:rsid w:val="009B3A91"/>
    <w:rsid w:val="009F2316"/>
    <w:rsid w:val="00A0484E"/>
    <w:rsid w:val="00A24087"/>
    <w:rsid w:val="00A25946"/>
    <w:rsid w:val="00A41084"/>
    <w:rsid w:val="00A43086"/>
    <w:rsid w:val="00A52A65"/>
    <w:rsid w:val="00A84F75"/>
    <w:rsid w:val="00A9144F"/>
    <w:rsid w:val="00AB2165"/>
    <w:rsid w:val="00AB3689"/>
    <w:rsid w:val="00AB6B30"/>
    <w:rsid w:val="00AC342C"/>
    <w:rsid w:val="00AC3A0C"/>
    <w:rsid w:val="00AD1BBA"/>
    <w:rsid w:val="00B22655"/>
    <w:rsid w:val="00B2327F"/>
    <w:rsid w:val="00B76ADF"/>
    <w:rsid w:val="00B95CB5"/>
    <w:rsid w:val="00BA1386"/>
    <w:rsid w:val="00BB2BBB"/>
    <w:rsid w:val="00BB7F04"/>
    <w:rsid w:val="00BC12FB"/>
    <w:rsid w:val="00BC321B"/>
    <w:rsid w:val="00BC7FD1"/>
    <w:rsid w:val="00BF200E"/>
    <w:rsid w:val="00BF650D"/>
    <w:rsid w:val="00C21EF4"/>
    <w:rsid w:val="00C229EB"/>
    <w:rsid w:val="00C35260"/>
    <w:rsid w:val="00C519FE"/>
    <w:rsid w:val="00C52ED6"/>
    <w:rsid w:val="00C61765"/>
    <w:rsid w:val="00C619FF"/>
    <w:rsid w:val="00C729B4"/>
    <w:rsid w:val="00C76640"/>
    <w:rsid w:val="00C80C59"/>
    <w:rsid w:val="00C91177"/>
    <w:rsid w:val="00C952DB"/>
    <w:rsid w:val="00C9614B"/>
    <w:rsid w:val="00CB1470"/>
    <w:rsid w:val="00CB52C9"/>
    <w:rsid w:val="00CC3BC3"/>
    <w:rsid w:val="00CC5231"/>
    <w:rsid w:val="00CD189F"/>
    <w:rsid w:val="00CE6136"/>
    <w:rsid w:val="00CF0E2A"/>
    <w:rsid w:val="00D1635A"/>
    <w:rsid w:val="00D40122"/>
    <w:rsid w:val="00D54D4C"/>
    <w:rsid w:val="00D6151F"/>
    <w:rsid w:val="00D745DC"/>
    <w:rsid w:val="00D756F5"/>
    <w:rsid w:val="00D90395"/>
    <w:rsid w:val="00D943D0"/>
    <w:rsid w:val="00DA04B5"/>
    <w:rsid w:val="00DB1C3F"/>
    <w:rsid w:val="00DC12E3"/>
    <w:rsid w:val="00DD5259"/>
    <w:rsid w:val="00DD7231"/>
    <w:rsid w:val="00E026F9"/>
    <w:rsid w:val="00E212C4"/>
    <w:rsid w:val="00E268B9"/>
    <w:rsid w:val="00E30AAE"/>
    <w:rsid w:val="00E6078D"/>
    <w:rsid w:val="00E71F84"/>
    <w:rsid w:val="00E7747F"/>
    <w:rsid w:val="00E868F4"/>
    <w:rsid w:val="00E91197"/>
    <w:rsid w:val="00E96E49"/>
    <w:rsid w:val="00EA5E71"/>
    <w:rsid w:val="00EA79ED"/>
    <w:rsid w:val="00EA79F7"/>
    <w:rsid w:val="00EB1864"/>
    <w:rsid w:val="00EB6683"/>
    <w:rsid w:val="00EC0769"/>
    <w:rsid w:val="00EC4D2C"/>
    <w:rsid w:val="00EF41C6"/>
    <w:rsid w:val="00EF5562"/>
    <w:rsid w:val="00F11EC6"/>
    <w:rsid w:val="00F17562"/>
    <w:rsid w:val="00F4310A"/>
    <w:rsid w:val="00F67597"/>
    <w:rsid w:val="00F83C83"/>
    <w:rsid w:val="00F93BCD"/>
    <w:rsid w:val="00F9602E"/>
    <w:rsid w:val="00FB027F"/>
    <w:rsid w:val="00FC6E50"/>
    <w:rsid w:val="00FE3845"/>
    <w:rsid w:val="00FE7197"/>
    <w:rsid w:val="01125B7B"/>
    <w:rsid w:val="2D63DDD2"/>
    <w:rsid w:val="309B7E94"/>
    <w:rsid w:val="6C123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F94F80"/>
  <w15:chartTrackingRefBased/>
  <w15:docId w15:val="{44BCB31D-5329-49DC-A12D-FEB3FFD0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A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30A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1DF"/>
    <w:rPr>
      <w:rFonts w:ascii="Segoe UI" w:hAnsi="Segoe UI" w:cs="Segoe UI"/>
      <w:sz w:val="18"/>
      <w:szCs w:val="18"/>
    </w:rPr>
  </w:style>
  <w:style w:type="paragraph" w:styleId="ListParagraph">
    <w:name w:val="List Paragraph"/>
    <w:basedOn w:val="Normal"/>
    <w:uiPriority w:val="34"/>
    <w:qFormat/>
    <w:rsid w:val="00E7747F"/>
    <w:pPr>
      <w:ind w:left="720"/>
      <w:contextualSpacing/>
    </w:pPr>
  </w:style>
  <w:style w:type="character" w:styleId="Hyperlink">
    <w:name w:val="Hyperlink"/>
    <w:aliases w:val="~HyperLink"/>
    <w:basedOn w:val="DefaultParagraphFont"/>
    <w:uiPriority w:val="99"/>
    <w:unhideWhenUsed/>
    <w:rsid w:val="00E30AAE"/>
    <w:rPr>
      <w:rFonts w:ascii="Times New Roman" w:hAnsi="Times New Roman" w:cs="Times New Roman" w:hint="default"/>
      <w:color w:val="000000"/>
      <w:u w:val="single"/>
    </w:rPr>
  </w:style>
  <w:style w:type="paragraph" w:styleId="FootnoteText">
    <w:name w:val="footnote text"/>
    <w:aliases w:val="~FootnoteText"/>
    <w:basedOn w:val="Normal"/>
    <w:link w:val="FootnoteTextChar"/>
    <w:uiPriority w:val="99"/>
    <w:rsid w:val="00E30AAE"/>
    <w:pPr>
      <w:spacing w:after="0" w:line="240" w:lineRule="auto"/>
    </w:pPr>
    <w:rPr>
      <w:rFonts w:ascii="Arial" w:eastAsia="Times New Roman" w:hAnsi="Arial" w:cs="Times New Roman"/>
      <w:sz w:val="20"/>
      <w:szCs w:val="20"/>
      <w:lang w:eastAsia="en-GB"/>
    </w:rPr>
  </w:style>
  <w:style w:type="character" w:customStyle="1" w:styleId="FootnoteTextChar">
    <w:name w:val="Footnote Text Char"/>
    <w:aliases w:val="~FootnoteText Char"/>
    <w:basedOn w:val="DefaultParagraphFont"/>
    <w:link w:val="FootnoteText"/>
    <w:uiPriority w:val="99"/>
    <w:rsid w:val="00E30AAE"/>
    <w:rPr>
      <w:rFonts w:ascii="Arial" w:eastAsia="Times New Roman" w:hAnsi="Arial" w:cs="Times New Roman"/>
      <w:sz w:val="20"/>
      <w:szCs w:val="20"/>
      <w:lang w:eastAsia="en-GB"/>
    </w:rPr>
  </w:style>
  <w:style w:type="character" w:styleId="FootnoteReference">
    <w:name w:val="footnote reference"/>
    <w:aliases w:val="~FootnoteRef"/>
    <w:uiPriority w:val="99"/>
    <w:rsid w:val="00E30AAE"/>
    <w:rPr>
      <w:vertAlign w:val="superscript"/>
    </w:rPr>
  </w:style>
  <w:style w:type="table" w:customStyle="1" w:styleId="TableGrid7">
    <w:name w:val="Table Grid7"/>
    <w:basedOn w:val="TableNormal"/>
    <w:next w:val="TableGrid"/>
    <w:uiPriority w:val="59"/>
    <w:rsid w:val="00E30AAE"/>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0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21">
    <w:name w:val="Grid Table 4 - Accent 521"/>
    <w:basedOn w:val="TableNormal"/>
    <w:uiPriority w:val="49"/>
    <w:rsid w:val="00E30AAE"/>
    <w:pPr>
      <w:spacing w:after="0" w:line="240" w:lineRule="auto"/>
    </w:pPr>
    <w:rPr>
      <w:rFonts w:ascii="Arial" w:eastAsia="Cambria" w:hAnsi="Arial"/>
      <w:sz w:val="18"/>
    </w:rPr>
    <w:tblPr>
      <w:tblStyleRowBandSize w:val="1"/>
      <w:tblStyleColBandSize w:val="1"/>
      <w:tblBorders>
        <w:top w:val="single" w:sz="4" w:space="0" w:color="00AF41"/>
        <w:left w:val="single" w:sz="4" w:space="0" w:color="00AF41"/>
        <w:bottom w:val="single" w:sz="4" w:space="0" w:color="00AF41"/>
        <w:right w:val="single" w:sz="4" w:space="0" w:color="00AF41"/>
        <w:insideH w:val="single" w:sz="4" w:space="0" w:color="00AF41"/>
        <w:insideV w:val="single" w:sz="4" w:space="0" w:color="00AF41"/>
      </w:tblBorders>
    </w:tblPr>
    <w:tblStylePr w:type="firstRow">
      <w:rPr>
        <w:b/>
        <w:bCs/>
        <w:color w:val="FFFFFF"/>
      </w:rPr>
      <w:tblPr/>
      <w:tcPr>
        <w:tcBorders>
          <w:top w:val="nil"/>
          <w:left w:val="nil"/>
          <w:bottom w:val="nil"/>
          <w:right w:val="nil"/>
          <w:insideH w:val="nil"/>
          <w:insideV w:val="nil"/>
        </w:tcBorders>
        <w:shd w:val="clear" w:color="auto" w:fill="00AF41"/>
      </w:tcPr>
    </w:tblStylePr>
    <w:tblStylePr w:type="lastRow">
      <w:rPr>
        <w:b/>
        <w:bCs/>
      </w:rPr>
      <w:tblPr/>
      <w:tcPr>
        <w:tcBorders>
          <w:top w:val="double" w:sz="4" w:space="0" w:color="F59A00"/>
        </w:tcBorders>
      </w:tcPr>
    </w:tblStylePr>
    <w:tblStylePr w:type="firstCol">
      <w:rPr>
        <w:b/>
        <w:bCs/>
      </w:rPr>
    </w:tblStylePr>
    <w:tblStylePr w:type="lastCol">
      <w:rPr>
        <w:b/>
        <w:bCs/>
      </w:rPr>
    </w:tblStylePr>
    <w:tblStylePr w:type="band1Vert">
      <w:tblPr/>
      <w:tcPr>
        <w:shd w:val="clear" w:color="auto" w:fill="FFEBCA"/>
      </w:tcPr>
    </w:tblStylePr>
    <w:tblStylePr w:type="band1Horz">
      <w:tblPr/>
      <w:tcPr>
        <w:shd w:val="clear" w:color="auto" w:fill="FFEBCA"/>
      </w:tcPr>
    </w:tblStylePr>
  </w:style>
  <w:style w:type="table" w:customStyle="1" w:styleId="GridTable4-Accent5211">
    <w:name w:val="Grid Table 4 - Accent 5211"/>
    <w:basedOn w:val="TableNormal"/>
    <w:uiPriority w:val="49"/>
    <w:rsid w:val="00E30AAE"/>
    <w:pPr>
      <w:spacing w:after="0" w:line="240" w:lineRule="auto"/>
    </w:pPr>
    <w:rPr>
      <w:rFonts w:ascii="Arial" w:eastAsia="Cambria" w:hAnsi="Arial"/>
      <w:sz w:val="18"/>
    </w:rPr>
    <w:tblPr>
      <w:tblStyleRowBandSize w:val="1"/>
      <w:tblStyleColBandSize w:val="1"/>
      <w:tblBorders>
        <w:top w:val="single" w:sz="4" w:space="0" w:color="00AF41"/>
        <w:left w:val="single" w:sz="4" w:space="0" w:color="00AF41"/>
        <w:bottom w:val="single" w:sz="4" w:space="0" w:color="00AF41"/>
        <w:right w:val="single" w:sz="4" w:space="0" w:color="00AF41"/>
        <w:insideH w:val="single" w:sz="4" w:space="0" w:color="00AF41"/>
        <w:insideV w:val="single" w:sz="4" w:space="0" w:color="00AF41"/>
      </w:tblBorders>
    </w:tblPr>
    <w:tblStylePr w:type="firstRow">
      <w:rPr>
        <w:b/>
        <w:bCs/>
        <w:color w:val="FFFFFF"/>
      </w:rPr>
      <w:tblPr/>
      <w:tcPr>
        <w:tcBorders>
          <w:top w:val="nil"/>
          <w:left w:val="nil"/>
          <w:bottom w:val="nil"/>
          <w:right w:val="nil"/>
          <w:insideH w:val="nil"/>
          <w:insideV w:val="nil"/>
        </w:tcBorders>
        <w:shd w:val="clear" w:color="auto" w:fill="00AF41"/>
      </w:tcPr>
    </w:tblStylePr>
    <w:tblStylePr w:type="lastRow">
      <w:rPr>
        <w:b/>
        <w:bCs/>
      </w:rPr>
      <w:tblPr/>
      <w:tcPr>
        <w:tcBorders>
          <w:top w:val="double" w:sz="4" w:space="0" w:color="F59A00"/>
        </w:tcBorders>
      </w:tcPr>
    </w:tblStylePr>
    <w:tblStylePr w:type="firstCol">
      <w:rPr>
        <w:b/>
        <w:bCs/>
      </w:rPr>
    </w:tblStylePr>
    <w:tblStylePr w:type="lastCol">
      <w:rPr>
        <w:b/>
        <w:bCs/>
      </w:rPr>
    </w:tblStylePr>
    <w:tblStylePr w:type="band1Vert">
      <w:tblPr/>
      <w:tcPr>
        <w:shd w:val="clear" w:color="auto" w:fill="FFEBCA"/>
      </w:tcPr>
    </w:tblStylePr>
    <w:tblStylePr w:type="band1Horz">
      <w:tblPr/>
      <w:tcPr>
        <w:shd w:val="clear" w:color="auto" w:fill="FFEBCA"/>
      </w:tcPr>
    </w:tblStylePr>
  </w:style>
  <w:style w:type="table" w:customStyle="1" w:styleId="GridTable4-Accent5212">
    <w:name w:val="Grid Table 4 - Accent 5212"/>
    <w:basedOn w:val="TableNormal"/>
    <w:uiPriority w:val="49"/>
    <w:rsid w:val="00E30AAE"/>
    <w:pPr>
      <w:spacing w:after="0" w:line="240" w:lineRule="auto"/>
    </w:pPr>
    <w:rPr>
      <w:rFonts w:ascii="Arial" w:eastAsia="Cambria" w:hAnsi="Arial"/>
      <w:sz w:val="18"/>
    </w:rPr>
    <w:tblPr>
      <w:tblStyleRowBandSize w:val="1"/>
      <w:tblStyleColBandSize w:val="1"/>
      <w:tblBorders>
        <w:top w:val="single" w:sz="4" w:space="0" w:color="00AF41"/>
        <w:left w:val="single" w:sz="4" w:space="0" w:color="00AF41"/>
        <w:bottom w:val="single" w:sz="4" w:space="0" w:color="00AF41"/>
        <w:right w:val="single" w:sz="4" w:space="0" w:color="00AF41"/>
        <w:insideH w:val="single" w:sz="4" w:space="0" w:color="00AF41"/>
        <w:insideV w:val="single" w:sz="4" w:space="0" w:color="00AF41"/>
      </w:tblBorders>
    </w:tblPr>
    <w:tblStylePr w:type="firstRow">
      <w:rPr>
        <w:b/>
        <w:bCs/>
        <w:color w:val="FFFFFF"/>
      </w:rPr>
      <w:tblPr/>
      <w:tcPr>
        <w:tcBorders>
          <w:top w:val="nil"/>
          <w:left w:val="nil"/>
          <w:bottom w:val="nil"/>
          <w:right w:val="nil"/>
          <w:insideH w:val="nil"/>
          <w:insideV w:val="nil"/>
        </w:tcBorders>
        <w:shd w:val="clear" w:color="auto" w:fill="00AF41"/>
      </w:tcPr>
    </w:tblStylePr>
    <w:tblStylePr w:type="lastRow">
      <w:rPr>
        <w:b/>
        <w:bCs/>
      </w:rPr>
      <w:tblPr/>
      <w:tcPr>
        <w:tcBorders>
          <w:top w:val="double" w:sz="4" w:space="0" w:color="F59A00"/>
        </w:tcBorders>
      </w:tcPr>
    </w:tblStylePr>
    <w:tblStylePr w:type="firstCol">
      <w:rPr>
        <w:b/>
        <w:bCs/>
      </w:rPr>
    </w:tblStylePr>
    <w:tblStylePr w:type="lastCol">
      <w:rPr>
        <w:b/>
        <w:bCs/>
      </w:rPr>
    </w:tblStylePr>
    <w:tblStylePr w:type="band1Vert">
      <w:tblPr/>
      <w:tcPr>
        <w:shd w:val="clear" w:color="auto" w:fill="FFEBCA"/>
      </w:tcPr>
    </w:tblStylePr>
    <w:tblStylePr w:type="band1Horz">
      <w:tblPr/>
      <w:tcPr>
        <w:shd w:val="clear" w:color="auto" w:fill="FFEBCA"/>
      </w:tcPr>
    </w:tblStylePr>
  </w:style>
  <w:style w:type="paragraph" w:customStyle="1" w:styleId="NumH1">
    <w:name w:val="Num H1"/>
    <w:basedOn w:val="Heading1"/>
    <w:next w:val="NumBodyText"/>
    <w:uiPriority w:val="4"/>
    <w:qFormat/>
    <w:rsid w:val="00E30AAE"/>
    <w:pPr>
      <w:pageBreakBefore/>
      <w:numPr>
        <w:numId w:val="12"/>
      </w:numPr>
      <w:pBdr>
        <w:bottom w:val="single" w:sz="4" w:space="1" w:color="00B050"/>
      </w:pBdr>
      <w:spacing w:after="240" w:line="240" w:lineRule="auto"/>
      <w:ind w:left="720" w:hanging="360"/>
    </w:pPr>
    <w:rPr>
      <w:rFonts w:ascii="Arial" w:hAnsi="Arial"/>
      <w:b/>
      <w:caps/>
      <w:color w:val="00B050"/>
    </w:rPr>
  </w:style>
  <w:style w:type="paragraph" w:customStyle="1" w:styleId="NumH2">
    <w:name w:val="Num H2"/>
    <w:basedOn w:val="Heading2"/>
    <w:next w:val="NumBodyText"/>
    <w:uiPriority w:val="4"/>
    <w:qFormat/>
    <w:rsid w:val="00E30AAE"/>
    <w:pPr>
      <w:numPr>
        <w:ilvl w:val="1"/>
        <w:numId w:val="12"/>
      </w:numPr>
      <w:spacing w:after="60" w:line="240" w:lineRule="auto"/>
      <w:ind w:left="1440" w:hanging="360"/>
    </w:pPr>
    <w:rPr>
      <w:rFonts w:ascii="Arial Bold" w:hAnsi="Arial Bold"/>
      <w:b/>
      <w:caps/>
      <w:color w:val="00B050"/>
      <w:sz w:val="24"/>
    </w:rPr>
  </w:style>
  <w:style w:type="paragraph" w:customStyle="1" w:styleId="NumBodyText">
    <w:name w:val="Num Body Text"/>
    <w:basedOn w:val="Normal"/>
    <w:uiPriority w:val="1"/>
    <w:qFormat/>
    <w:rsid w:val="00E30AAE"/>
    <w:pPr>
      <w:numPr>
        <w:ilvl w:val="2"/>
        <w:numId w:val="12"/>
      </w:numPr>
      <w:tabs>
        <w:tab w:val="clear" w:pos="0"/>
      </w:tabs>
      <w:spacing w:after="120" w:line="240" w:lineRule="auto"/>
      <w:ind w:left="2160" w:hanging="360"/>
    </w:pPr>
    <w:rPr>
      <w:rFonts w:ascii="Arial" w:hAnsi="Arial"/>
      <w:b/>
      <w:color w:val="00B050"/>
      <w:sz w:val="20"/>
    </w:rPr>
  </w:style>
  <w:style w:type="character" w:customStyle="1" w:styleId="Heading1Char">
    <w:name w:val="Heading 1 Char"/>
    <w:basedOn w:val="DefaultParagraphFont"/>
    <w:link w:val="Heading1"/>
    <w:uiPriority w:val="9"/>
    <w:rsid w:val="00E30A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E30AAE"/>
    <w:rPr>
      <w:rFonts w:asciiTheme="majorHAnsi" w:eastAsiaTheme="majorEastAsia" w:hAnsiTheme="majorHAnsi" w:cstheme="majorBidi"/>
      <w:color w:val="2F5496" w:themeColor="accent1" w:themeShade="BF"/>
      <w:sz w:val="26"/>
      <w:szCs w:val="26"/>
    </w:rPr>
  </w:style>
  <w:style w:type="paragraph" w:customStyle="1" w:styleId="Style4">
    <w:name w:val="Style4"/>
    <w:basedOn w:val="ListParagraph"/>
    <w:qFormat/>
    <w:rsid w:val="00E30AAE"/>
    <w:pPr>
      <w:numPr>
        <w:numId w:val="13"/>
      </w:numPr>
      <w:tabs>
        <w:tab w:val="num" w:pos="360"/>
      </w:tabs>
      <w:spacing w:after="120" w:line="240" w:lineRule="auto"/>
      <w:ind w:left="714" w:hanging="357"/>
      <w:contextualSpacing w:val="0"/>
    </w:pPr>
    <w:rPr>
      <w:rFonts w:ascii="Arial" w:hAnsi="Arial" w:cs="Times New Roman"/>
      <w:sz w:val="20"/>
      <w:lang w:eastAsia="en-GB"/>
    </w:rPr>
  </w:style>
  <w:style w:type="table" w:customStyle="1" w:styleId="TableGrid1">
    <w:name w:val="Table Grid1"/>
    <w:basedOn w:val="TableNormal"/>
    <w:next w:val="TableGrid"/>
    <w:uiPriority w:val="59"/>
    <w:rsid w:val="004247AD"/>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22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238"/>
  </w:style>
  <w:style w:type="paragraph" w:styleId="Footer">
    <w:name w:val="footer"/>
    <w:basedOn w:val="Normal"/>
    <w:link w:val="FooterChar"/>
    <w:uiPriority w:val="99"/>
    <w:unhideWhenUsed/>
    <w:rsid w:val="002922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238"/>
  </w:style>
  <w:style w:type="paragraph" w:customStyle="1" w:styleId="Default">
    <w:name w:val="Default"/>
    <w:rsid w:val="006C26C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4-Accent5213">
    <w:name w:val="Grid Table 4 - Accent 5213"/>
    <w:basedOn w:val="TableNormal"/>
    <w:uiPriority w:val="49"/>
    <w:rsid w:val="00E212C4"/>
    <w:pPr>
      <w:spacing w:after="0" w:line="240" w:lineRule="auto"/>
    </w:pPr>
    <w:rPr>
      <w:rFonts w:ascii="Arial" w:eastAsia="Cambria" w:hAnsi="Arial"/>
      <w:sz w:val="18"/>
    </w:rPr>
    <w:tblPr>
      <w:tblStyleRowBandSize w:val="1"/>
      <w:tblStyleColBandSize w:val="1"/>
      <w:tblBorders>
        <w:top w:val="single" w:sz="4" w:space="0" w:color="00AF41"/>
        <w:left w:val="single" w:sz="4" w:space="0" w:color="00AF41"/>
        <w:bottom w:val="single" w:sz="4" w:space="0" w:color="00AF41"/>
        <w:right w:val="single" w:sz="4" w:space="0" w:color="00AF41"/>
        <w:insideH w:val="single" w:sz="4" w:space="0" w:color="00AF41"/>
        <w:insideV w:val="single" w:sz="4" w:space="0" w:color="00AF41"/>
      </w:tblBorders>
    </w:tblPr>
    <w:tblStylePr w:type="firstRow">
      <w:rPr>
        <w:b/>
        <w:bCs/>
        <w:color w:val="FFFFFF"/>
      </w:rPr>
      <w:tblPr/>
      <w:tcPr>
        <w:tcBorders>
          <w:top w:val="nil"/>
          <w:left w:val="nil"/>
          <w:bottom w:val="nil"/>
          <w:right w:val="nil"/>
          <w:insideH w:val="nil"/>
          <w:insideV w:val="nil"/>
        </w:tcBorders>
        <w:shd w:val="clear" w:color="auto" w:fill="00AF41"/>
      </w:tcPr>
    </w:tblStylePr>
    <w:tblStylePr w:type="lastRow">
      <w:rPr>
        <w:b/>
        <w:bCs/>
      </w:rPr>
      <w:tblPr/>
      <w:tcPr>
        <w:tcBorders>
          <w:top w:val="double" w:sz="4" w:space="0" w:color="F59A00"/>
        </w:tcBorders>
      </w:tcPr>
    </w:tblStylePr>
    <w:tblStylePr w:type="firstCol">
      <w:rPr>
        <w:b/>
        <w:bCs/>
      </w:rPr>
    </w:tblStylePr>
    <w:tblStylePr w:type="lastCol">
      <w:rPr>
        <w:b/>
        <w:bCs/>
      </w:rPr>
    </w:tblStylePr>
    <w:tblStylePr w:type="band1Vert">
      <w:tblPr/>
      <w:tcPr>
        <w:shd w:val="clear" w:color="auto" w:fill="FFEBCA"/>
      </w:tcPr>
    </w:tblStylePr>
    <w:tblStylePr w:type="band1Horz">
      <w:tblPr/>
      <w:tcPr>
        <w:shd w:val="clear" w:color="auto" w:fill="FFEBCA"/>
      </w:tcPr>
    </w:tblStylePr>
  </w:style>
  <w:style w:type="character" w:styleId="CommentReference">
    <w:name w:val="annotation reference"/>
    <w:basedOn w:val="DefaultParagraphFont"/>
    <w:uiPriority w:val="99"/>
    <w:semiHidden/>
    <w:unhideWhenUsed/>
    <w:rsid w:val="001D4459"/>
    <w:rPr>
      <w:sz w:val="16"/>
      <w:szCs w:val="16"/>
    </w:rPr>
  </w:style>
  <w:style w:type="paragraph" w:styleId="CommentText">
    <w:name w:val="annotation text"/>
    <w:basedOn w:val="Normal"/>
    <w:link w:val="CommentTextChar"/>
    <w:uiPriority w:val="99"/>
    <w:semiHidden/>
    <w:unhideWhenUsed/>
    <w:rsid w:val="001D4459"/>
    <w:pPr>
      <w:spacing w:line="240" w:lineRule="auto"/>
    </w:pPr>
    <w:rPr>
      <w:sz w:val="20"/>
      <w:szCs w:val="20"/>
    </w:rPr>
  </w:style>
  <w:style w:type="character" w:customStyle="1" w:styleId="CommentTextChar">
    <w:name w:val="Comment Text Char"/>
    <w:basedOn w:val="DefaultParagraphFont"/>
    <w:link w:val="CommentText"/>
    <w:uiPriority w:val="99"/>
    <w:semiHidden/>
    <w:rsid w:val="001D4459"/>
    <w:rPr>
      <w:sz w:val="20"/>
      <w:szCs w:val="20"/>
    </w:rPr>
  </w:style>
  <w:style w:type="paragraph" w:styleId="CommentSubject">
    <w:name w:val="annotation subject"/>
    <w:basedOn w:val="CommentText"/>
    <w:next w:val="CommentText"/>
    <w:link w:val="CommentSubjectChar"/>
    <w:uiPriority w:val="99"/>
    <w:semiHidden/>
    <w:unhideWhenUsed/>
    <w:rsid w:val="001D4459"/>
    <w:rPr>
      <w:b/>
      <w:bCs/>
    </w:rPr>
  </w:style>
  <w:style w:type="character" w:customStyle="1" w:styleId="CommentSubjectChar">
    <w:name w:val="Comment Subject Char"/>
    <w:basedOn w:val="CommentTextChar"/>
    <w:link w:val="CommentSubject"/>
    <w:uiPriority w:val="99"/>
    <w:semiHidden/>
    <w:rsid w:val="001D4459"/>
    <w:rPr>
      <w:b/>
      <w:bCs/>
      <w:sz w:val="20"/>
      <w:szCs w:val="20"/>
    </w:rPr>
  </w:style>
  <w:style w:type="paragraph" w:customStyle="1" w:styleId="PubTitle">
    <w:name w:val="Pub Title"/>
    <w:basedOn w:val="Normal"/>
    <w:next w:val="Normal"/>
    <w:uiPriority w:val="5"/>
    <w:qFormat/>
    <w:rsid w:val="00AB6B30"/>
    <w:pPr>
      <w:spacing w:after="120" w:line="276" w:lineRule="auto"/>
    </w:pPr>
    <w:rPr>
      <w:rFonts w:ascii="Arial" w:eastAsia="Calibri" w:hAnsi="Arial" w:cs="Arial"/>
      <w:b/>
      <w:color w:val="00AF41"/>
      <w:sz w:val="44"/>
      <w:szCs w:val="44"/>
    </w:rPr>
  </w:style>
  <w:style w:type="paragraph" w:styleId="TOCHeading">
    <w:name w:val="TOC Heading"/>
    <w:basedOn w:val="Heading1"/>
    <w:next w:val="Normal"/>
    <w:uiPriority w:val="39"/>
    <w:unhideWhenUsed/>
    <w:qFormat/>
    <w:rsid w:val="00AB6B30"/>
    <w:pPr>
      <w:outlineLvl w:val="9"/>
    </w:pPr>
    <w:rPr>
      <w:lang w:val="en-US"/>
    </w:rPr>
  </w:style>
  <w:style w:type="paragraph" w:styleId="TOC2">
    <w:name w:val="toc 2"/>
    <w:basedOn w:val="Normal"/>
    <w:next w:val="Normal"/>
    <w:autoRedefine/>
    <w:uiPriority w:val="39"/>
    <w:unhideWhenUsed/>
    <w:rsid w:val="00AB6B30"/>
    <w:pPr>
      <w:spacing w:after="100" w:line="276" w:lineRule="auto"/>
      <w:ind w:left="220"/>
    </w:pPr>
    <w:rPr>
      <w:rFonts w:eastAsiaTheme="minorEastAsia"/>
      <w:lang w:eastAsia="en-GB"/>
    </w:rPr>
  </w:style>
  <w:style w:type="paragraph" w:styleId="TOC1">
    <w:name w:val="toc 1"/>
    <w:basedOn w:val="Normal"/>
    <w:next w:val="Normal"/>
    <w:autoRedefine/>
    <w:uiPriority w:val="39"/>
    <w:unhideWhenUsed/>
    <w:rsid w:val="00BA1386"/>
    <w:pPr>
      <w:spacing w:after="100"/>
    </w:pPr>
    <w:rPr>
      <w:rFonts w:eastAsiaTheme="minorEastAsia" w:cs="Times New Roman"/>
      <w:lang w:val="en-US"/>
    </w:rPr>
  </w:style>
  <w:style w:type="paragraph" w:styleId="TOC3">
    <w:name w:val="toc 3"/>
    <w:basedOn w:val="Normal"/>
    <w:next w:val="Normal"/>
    <w:autoRedefine/>
    <w:uiPriority w:val="39"/>
    <w:unhideWhenUsed/>
    <w:rsid w:val="00BA1386"/>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985375">
      <w:bodyDiv w:val="1"/>
      <w:marLeft w:val="0"/>
      <w:marRight w:val="0"/>
      <w:marTop w:val="0"/>
      <w:marBottom w:val="0"/>
      <w:divBdr>
        <w:top w:val="none" w:sz="0" w:space="0" w:color="auto"/>
        <w:left w:val="none" w:sz="0" w:space="0" w:color="auto"/>
        <w:bottom w:val="none" w:sz="0" w:space="0" w:color="auto"/>
        <w:right w:val="none" w:sz="0" w:space="0" w:color="auto"/>
      </w:divBdr>
    </w:div>
    <w:div w:id="165972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78FC00847DB24B8A73F1866429476C" ma:contentTypeVersion="12" ma:contentTypeDescription="Create a new document." ma:contentTypeScope="" ma:versionID="cfd5137ce07f2a44afa5b22a32fc3770">
  <xsd:schema xmlns:xsd="http://www.w3.org/2001/XMLSchema" xmlns:xs="http://www.w3.org/2001/XMLSchema" xmlns:p="http://schemas.microsoft.com/office/2006/metadata/properties" xmlns:ns2="40f0c7e2-e6e1-4bc6-b44f-7787b1eb1b27" xmlns:ns3="6e9034c5-c4d3-430a-9d00-615157b1ee51" targetNamespace="http://schemas.microsoft.com/office/2006/metadata/properties" ma:root="true" ma:fieldsID="6d2ab24729ffbfba5f666232aab7ed41" ns2:_="" ns3:_="">
    <xsd:import namespace="40f0c7e2-e6e1-4bc6-b44f-7787b1eb1b27"/>
    <xsd:import namespace="6e9034c5-c4d3-430a-9d00-615157b1ee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0c7e2-e6e1-4bc6-b44f-7787b1eb1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034c5-c4d3-430a-9d00-615157b1ee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B6B94-81A4-4325-B886-3685548C1549}">
  <ds:schemaRefs>
    <ds:schemaRef ds:uri="http://schemas.microsoft.com/sharepoint/v3/contenttype/forms"/>
  </ds:schemaRefs>
</ds:datastoreItem>
</file>

<file path=customXml/itemProps2.xml><?xml version="1.0" encoding="utf-8"?>
<ds:datastoreItem xmlns:ds="http://schemas.openxmlformats.org/officeDocument/2006/customXml" ds:itemID="{9DEC7DD7-84DA-470A-9F11-C3BE7DA55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0c7e2-e6e1-4bc6-b44f-7787b1eb1b27"/>
    <ds:schemaRef ds:uri="6e9034c5-c4d3-430a-9d00-615157b1e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0919C-1238-4736-A488-8B124BDAE8AD}">
  <ds:schemaRefs>
    <ds:schemaRef ds:uri="http://schemas.openxmlformats.org/officeDocument/2006/bibliography"/>
  </ds:schemaRefs>
</ds:datastoreItem>
</file>

<file path=customXml/itemProps4.xml><?xml version="1.0" encoding="utf-8"?>
<ds:datastoreItem xmlns:ds="http://schemas.openxmlformats.org/officeDocument/2006/customXml" ds:itemID="{A4386C6B-80DF-4B85-8161-98953AF79C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1690</Words>
  <Characters>9635</Characters>
  <Application>Microsoft Office Word</Application>
  <DocSecurity>0</DocSecurity>
  <Lines>80</Lines>
  <Paragraphs>22</Paragraphs>
  <ScaleCrop>false</ScaleCrop>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Stroud</dc:creator>
  <cp:keywords/>
  <dc:description/>
  <cp:lastModifiedBy>Donaldson, Dawn</cp:lastModifiedBy>
  <cp:revision>3</cp:revision>
  <dcterms:created xsi:type="dcterms:W3CDTF">2021-05-24T11:05:00Z</dcterms:created>
  <dcterms:modified xsi:type="dcterms:W3CDTF">2021-05-24T11:08:00Z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0x010100B078FC00847DB24B8A73F1866429476C</vt:lpwstr>
  </property>
</Properties>
</file>