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C51C4" w14:textId="77777777" w:rsidR="002C34D4" w:rsidRDefault="002C34D4" w:rsidP="005E0BBB">
      <w:pPr>
        <w:pStyle w:val="Logos"/>
        <w:tabs>
          <w:tab w:val="right" w:pos="9498"/>
        </w:tabs>
        <w:jc w:val="both"/>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7B871B1" w14:textId="467CD1DB" w:rsidR="00A57128" w:rsidRPr="00987E8D" w:rsidRDefault="00A57128" w:rsidP="00987E8D">
      <w:pPr>
        <w:pStyle w:val="Heading1"/>
        <w:jc w:val="both"/>
        <w:rPr>
          <w:sz w:val="44"/>
          <w:szCs w:val="44"/>
        </w:rPr>
      </w:pPr>
      <w:r w:rsidRPr="00B818C3">
        <w:rPr>
          <w:sz w:val="44"/>
          <w:szCs w:val="44"/>
        </w:rPr>
        <w:t>Expression of interest</w:t>
      </w:r>
    </w:p>
    <w:p w14:paraId="79EE92AD" w14:textId="683A936A" w:rsidR="00A57128" w:rsidRPr="007E0083" w:rsidRDefault="00A57128" w:rsidP="005E0BBB">
      <w:pPr>
        <w:pStyle w:val="Heading1"/>
        <w:jc w:val="both"/>
      </w:pPr>
      <w:r w:rsidRPr="007E0083">
        <w:t>Title:</w:t>
      </w:r>
      <w:r w:rsidR="002E0D36">
        <w:t xml:space="preserve"> Evaluation of the returner grant fund</w:t>
      </w:r>
    </w:p>
    <w:p w14:paraId="507DEEF5" w14:textId="2B44BC53" w:rsidR="00A57128" w:rsidRDefault="00A57128" w:rsidP="00F60002">
      <w:pPr>
        <w:autoSpaceDE w:val="0"/>
        <w:autoSpaceDN w:val="0"/>
        <w:spacing w:after="0" w:line="240" w:lineRule="auto"/>
        <w:rPr>
          <w:szCs w:val="22"/>
        </w:rPr>
      </w:pPr>
      <w:r w:rsidRPr="007E0083">
        <w:rPr>
          <w:b/>
        </w:rPr>
        <w:t xml:space="preserve">Project reference: </w:t>
      </w:r>
      <w:r w:rsidR="00F60002" w:rsidRPr="00F60002">
        <w:rPr>
          <w:b/>
        </w:rPr>
        <w:t>EOR/SBU/2017/085</w:t>
      </w:r>
    </w:p>
    <w:p w14:paraId="06F97E05" w14:textId="77777777" w:rsidR="00F60002" w:rsidRPr="00F60002" w:rsidRDefault="00F60002" w:rsidP="00F60002">
      <w:pPr>
        <w:autoSpaceDE w:val="0"/>
        <w:autoSpaceDN w:val="0"/>
        <w:spacing w:after="0" w:line="240" w:lineRule="auto"/>
        <w:rPr>
          <w:szCs w:val="22"/>
        </w:rPr>
      </w:pPr>
    </w:p>
    <w:p w14:paraId="0A450D71" w14:textId="125628C1" w:rsidR="00A57128" w:rsidRPr="007E0083" w:rsidRDefault="00A57128" w:rsidP="005E0BBB">
      <w:pPr>
        <w:jc w:val="both"/>
        <w:rPr>
          <w:b/>
        </w:rPr>
      </w:pPr>
      <w:r w:rsidRPr="007E0083">
        <w:rPr>
          <w:b/>
        </w:rPr>
        <w:t>Deadline for expressions of interest:</w:t>
      </w:r>
      <w:r w:rsidR="00AD7656">
        <w:rPr>
          <w:b/>
        </w:rPr>
        <w:t xml:space="preserve"> </w:t>
      </w:r>
      <w:r w:rsidR="00F60002">
        <w:rPr>
          <w:b/>
        </w:rPr>
        <w:t>19</w:t>
      </w:r>
      <w:r w:rsidR="00F60002">
        <w:rPr>
          <w:b/>
          <w:vertAlign w:val="superscript"/>
        </w:rPr>
        <w:t xml:space="preserve">th </w:t>
      </w:r>
      <w:r w:rsidR="00AD7656">
        <w:rPr>
          <w:b/>
        </w:rPr>
        <w:t>December 2017</w:t>
      </w:r>
    </w:p>
    <w:p w14:paraId="162152C3" w14:textId="2E513485" w:rsidR="00A57128" w:rsidRDefault="00A57128" w:rsidP="005E0BBB">
      <w:pPr>
        <w:pStyle w:val="Heading2"/>
        <w:jc w:val="both"/>
      </w:pPr>
      <w:r w:rsidRPr="001F2CE2">
        <w:t>Summary</w:t>
      </w:r>
    </w:p>
    <w:p w14:paraId="7C58B020" w14:textId="06F5C68D" w:rsidR="003E505E" w:rsidRPr="003E505E" w:rsidRDefault="00144077" w:rsidP="00F60002">
      <w:pPr>
        <w:spacing w:after="0" w:line="360" w:lineRule="auto"/>
        <w:jc w:val="both"/>
      </w:pPr>
      <w:r>
        <w:t>The</w:t>
      </w:r>
      <w:r w:rsidR="003E505E">
        <w:t xml:space="preserve"> Government Equalities Office </w:t>
      </w:r>
      <w:r w:rsidR="001D0783">
        <w:t xml:space="preserve">(GEO) </w:t>
      </w:r>
      <w:r w:rsidR="003E505E">
        <w:t xml:space="preserve">is launching a fund to increase opportunities for </w:t>
      </w:r>
      <w:r w:rsidR="005D3490">
        <w:t xml:space="preserve">those </w:t>
      </w:r>
      <w:bookmarkStart w:id="0" w:name="_GoBack"/>
      <w:bookmarkEnd w:id="0"/>
      <w:r w:rsidR="005D3490">
        <w:t xml:space="preserve">seeking to return to work following a period caring for </w:t>
      </w:r>
      <w:r w:rsidR="00441B1E">
        <w:t>children, relatives or others</w:t>
      </w:r>
      <w:r w:rsidR="009C5FE4">
        <w:t xml:space="preserve"> (“returners”). </w:t>
      </w:r>
      <w:r w:rsidR="00153AD7">
        <w:t>Twelve to eighteen</w:t>
      </w:r>
      <w:r w:rsidR="00331FA2" w:rsidRPr="005A6613">
        <w:t xml:space="preserve"> proj</w:t>
      </w:r>
      <w:r w:rsidR="00334839" w:rsidRPr="005A6613">
        <w:t>ects</w:t>
      </w:r>
      <w:r w:rsidR="005D3490">
        <w:t xml:space="preserve"> </w:t>
      </w:r>
      <w:r w:rsidR="00DE17B9">
        <w:t xml:space="preserve">will be </w:t>
      </w:r>
      <w:r w:rsidR="006028F7">
        <w:t>commissioned</w:t>
      </w:r>
      <w:r w:rsidR="00DE17B9">
        <w:t xml:space="preserve"> </w:t>
      </w:r>
      <w:r w:rsidR="00B25BB5">
        <w:t>over the</w:t>
      </w:r>
      <w:r w:rsidR="005D3490">
        <w:t xml:space="preserve"> twelve month period</w:t>
      </w:r>
      <w:r w:rsidR="00B25BB5">
        <w:t xml:space="preserve"> from March 2018</w:t>
      </w:r>
      <w:r w:rsidR="005D3490">
        <w:t>, with grant rec</w:t>
      </w:r>
      <w:r w:rsidR="009C5FE4">
        <w:t xml:space="preserve">ipients working with </w:t>
      </w:r>
      <w:r w:rsidR="00C4330D">
        <w:t xml:space="preserve">private sector </w:t>
      </w:r>
      <w:r w:rsidR="009C5FE4">
        <w:t>employers and training providers to support returners back into paid employment</w:t>
      </w:r>
      <w:r w:rsidR="00334839" w:rsidRPr="005A6613">
        <w:t>.</w:t>
      </w:r>
      <w:r w:rsidR="00FA2815">
        <w:t xml:space="preserve"> All projects </w:t>
      </w:r>
      <w:r w:rsidR="00CD50FB">
        <w:t xml:space="preserve">will have concluded by </w:t>
      </w:r>
      <w:r w:rsidR="00061451">
        <w:t xml:space="preserve">the start of </w:t>
      </w:r>
      <w:r w:rsidR="00CD50FB">
        <w:t>April 201</w:t>
      </w:r>
      <w:r w:rsidR="00994085">
        <w:t>9</w:t>
      </w:r>
      <w:r w:rsidR="00AB19C1">
        <w:t>.</w:t>
      </w:r>
      <w:r w:rsidR="00334839" w:rsidRPr="005A6613">
        <w:t xml:space="preserve"> </w:t>
      </w:r>
      <w:r>
        <w:t>GEO</w:t>
      </w:r>
      <w:r w:rsidR="00334839" w:rsidRPr="005A6613">
        <w:t xml:space="preserve"> are seeking </w:t>
      </w:r>
      <w:r w:rsidR="00334839">
        <w:t xml:space="preserve">expressions </w:t>
      </w:r>
      <w:r w:rsidR="00583678">
        <w:t>of interest</w:t>
      </w:r>
      <w:r w:rsidR="008F3319">
        <w:t xml:space="preserve"> for a single Supplier to evaluate these projects.</w:t>
      </w:r>
    </w:p>
    <w:p w14:paraId="16B9D584" w14:textId="44F98487" w:rsidR="00A57128" w:rsidRPr="00583678" w:rsidRDefault="00A57128" w:rsidP="009C5FE4">
      <w:pPr>
        <w:pStyle w:val="Heading2"/>
        <w:tabs>
          <w:tab w:val="left" w:pos="8631"/>
        </w:tabs>
        <w:jc w:val="both"/>
      </w:pPr>
      <w:r w:rsidRPr="00583678">
        <w:t>Background</w:t>
      </w:r>
      <w:r w:rsidR="009C5FE4" w:rsidRPr="00583678">
        <w:tab/>
      </w:r>
    </w:p>
    <w:p w14:paraId="363892C8" w14:textId="0602E7C9" w:rsidR="00DE17B9" w:rsidRDefault="009C5FE4" w:rsidP="00826E8F">
      <w:pPr>
        <w:spacing w:line="360" w:lineRule="auto"/>
        <w:jc w:val="both"/>
      </w:pPr>
      <w:r w:rsidRPr="00583678">
        <w:t>GEO define a “returner”</w:t>
      </w:r>
      <w:r w:rsidR="005362AE" w:rsidRPr="00583678">
        <w:t xml:space="preserve"> as a person who has been out of paid employment for at least a year </w:t>
      </w:r>
      <w:r w:rsidR="00DD7764">
        <w:t>to</w:t>
      </w:r>
      <w:r w:rsidR="005362AE" w:rsidRPr="00583678">
        <w:t xml:space="preserve"> tak</w:t>
      </w:r>
      <w:r w:rsidR="00DD7764">
        <w:t>e</w:t>
      </w:r>
      <w:r w:rsidR="005362AE" w:rsidRPr="00583678">
        <w:t xml:space="preserve"> on </w:t>
      </w:r>
      <w:r w:rsidR="00DD7764">
        <w:t>a caring responsibility</w:t>
      </w:r>
      <w:r w:rsidR="005362AE" w:rsidRPr="0079167F">
        <w:t>, and who would like t</w:t>
      </w:r>
      <w:r w:rsidR="0004046C">
        <w:t>o return to paid work</w:t>
      </w:r>
      <w:r w:rsidR="005362AE" w:rsidRPr="0079167F">
        <w:t>. We also include those who have</w:t>
      </w:r>
      <w:r w:rsidR="0004046C">
        <w:t xml:space="preserve"> already</w:t>
      </w:r>
      <w:r w:rsidR="005362AE" w:rsidRPr="0079167F">
        <w:t xml:space="preserve"> returned to work after at least a year out </w:t>
      </w:r>
      <w:r w:rsidR="00CA67B0">
        <w:t>to take one</w:t>
      </w:r>
      <w:r w:rsidR="005362AE" w:rsidRPr="0079167F">
        <w:t xml:space="preserve"> caring r</w:t>
      </w:r>
      <w:r w:rsidR="00873791">
        <w:t xml:space="preserve">esponsibilities but </w:t>
      </w:r>
      <w:r w:rsidR="0004046C">
        <w:t>have taken</w:t>
      </w:r>
      <w:r w:rsidR="005362AE" w:rsidRPr="0079167F">
        <w:t xml:space="preserve"> a </w:t>
      </w:r>
      <w:r w:rsidR="0004046C">
        <w:t>role that is not</w:t>
      </w:r>
      <w:r w:rsidR="005362AE" w:rsidRPr="0079167F">
        <w:t xml:space="preserve"> </w:t>
      </w:r>
      <w:r w:rsidR="0004046C" w:rsidRPr="0079167F">
        <w:t>commensurate with their skills and experience</w:t>
      </w:r>
      <w:r w:rsidR="0004046C">
        <w:t>.</w:t>
      </w:r>
    </w:p>
    <w:p w14:paraId="1CE87290" w14:textId="40D1D2D8" w:rsidR="000C3ED9" w:rsidRDefault="005362AE" w:rsidP="00826E8F">
      <w:pPr>
        <w:spacing w:line="360" w:lineRule="auto"/>
        <w:jc w:val="both"/>
        <w:rPr>
          <w:rFonts w:cs="Arial"/>
        </w:rPr>
      </w:pPr>
      <w:r w:rsidRPr="0079167F">
        <w:t xml:space="preserve">The </w:t>
      </w:r>
      <w:r w:rsidR="0079167F">
        <w:t>Prime Minister committed £5m in the 2017 Spring Budget to “promoting returnships in the public and private sectors</w:t>
      </w:r>
      <w:r w:rsidR="00EA5FE5">
        <w:t>, helping people back into employment after a career break</w:t>
      </w:r>
      <w:r w:rsidR="0079167F">
        <w:t>”</w:t>
      </w:r>
      <w:r w:rsidRPr="0079167F">
        <w:t>.</w:t>
      </w:r>
      <w:r w:rsidR="00362385">
        <w:t xml:space="preserve"> </w:t>
      </w:r>
      <w:r w:rsidR="000C3ED9">
        <w:t>With</w:t>
      </w:r>
      <w:r w:rsidR="00221C3A">
        <w:t xml:space="preserve"> this funding, GEO </w:t>
      </w:r>
      <w:r w:rsidR="0004046C">
        <w:t>are</w:t>
      </w:r>
      <w:r w:rsidR="00221C3A">
        <w:t xml:space="preserve"> launching a grant fund to support </w:t>
      </w:r>
      <w:r w:rsidR="0004046C">
        <w:t xml:space="preserve">individual </w:t>
      </w:r>
      <w:r w:rsidR="00221C3A">
        <w:t>projects of no more than £300,000</w:t>
      </w:r>
      <w:r w:rsidR="000C3ED9">
        <w:t xml:space="preserve"> </w:t>
      </w:r>
      <w:r w:rsidR="0004046C">
        <w:t>that</w:t>
      </w:r>
      <w:r w:rsidR="000C3ED9">
        <w:t xml:space="preserve"> meet the following </w:t>
      </w:r>
      <w:r w:rsidR="00A976B1">
        <w:t xml:space="preserve">policy </w:t>
      </w:r>
      <w:r w:rsidR="000C3ED9">
        <w:t>objectives:</w:t>
      </w:r>
    </w:p>
    <w:p w14:paraId="4182B2A1" w14:textId="702ADC4D" w:rsidR="000C3ED9" w:rsidRPr="000C3ED9" w:rsidRDefault="001C4E78" w:rsidP="00826E8F">
      <w:pPr>
        <w:pStyle w:val="ListParagraph"/>
        <w:numPr>
          <w:ilvl w:val="1"/>
          <w:numId w:val="20"/>
        </w:numPr>
        <w:spacing w:line="360" w:lineRule="auto"/>
        <w:jc w:val="both"/>
        <w:rPr>
          <w:rFonts w:cs="Arial"/>
        </w:rPr>
      </w:pPr>
      <w:r>
        <w:rPr>
          <w:rFonts w:cs="Arial"/>
        </w:rPr>
        <w:t>increase</w:t>
      </w:r>
      <w:r w:rsidR="000C3ED9" w:rsidRPr="000C3ED9">
        <w:rPr>
          <w:rFonts w:cs="Arial"/>
        </w:rPr>
        <w:t xml:space="preserve"> the number of employment opportunities available to returners. This could be through</w:t>
      </w:r>
      <w:r>
        <w:rPr>
          <w:rFonts w:cs="Arial"/>
        </w:rPr>
        <w:t>, though is not limited to,</w:t>
      </w:r>
      <w:r w:rsidR="000C3ED9" w:rsidRPr="000C3ED9">
        <w:rPr>
          <w:rFonts w:cs="Arial"/>
        </w:rPr>
        <w:t xml:space="preserve"> targeted recruitment, supported hiring, training, or returner programmes; and</w:t>
      </w:r>
    </w:p>
    <w:p w14:paraId="658B8FE4" w14:textId="0056EF5A" w:rsidR="005E1CE4" w:rsidRDefault="001C4E78" w:rsidP="00826E8F">
      <w:pPr>
        <w:pStyle w:val="ListParagraph"/>
        <w:numPr>
          <w:ilvl w:val="1"/>
          <w:numId w:val="20"/>
        </w:numPr>
        <w:spacing w:after="120" w:line="360" w:lineRule="auto"/>
        <w:jc w:val="both"/>
        <w:rPr>
          <w:rFonts w:cs="Arial"/>
        </w:rPr>
      </w:pPr>
      <w:r>
        <w:rPr>
          <w:rFonts w:cs="Arial"/>
        </w:rPr>
        <w:t>increase</w:t>
      </w:r>
      <w:r w:rsidR="000C3ED9" w:rsidRPr="0042202C">
        <w:rPr>
          <w:rFonts w:cs="Arial"/>
        </w:rPr>
        <w:t xml:space="preserve"> </w:t>
      </w:r>
      <w:r w:rsidR="005A1F3A">
        <w:rPr>
          <w:rFonts w:cs="Arial"/>
        </w:rPr>
        <w:t>our understanding</w:t>
      </w:r>
      <w:r w:rsidR="000C3ED9" w:rsidRPr="0042202C">
        <w:rPr>
          <w:rFonts w:cs="Arial"/>
        </w:rPr>
        <w:t xml:space="preserve"> of what is most effective in getting returners back to work in the private sector and other targeted sectors so that we can better support employers.</w:t>
      </w:r>
    </w:p>
    <w:p w14:paraId="064DAF36" w14:textId="2D44A866" w:rsidR="0029592D" w:rsidRPr="0029592D" w:rsidRDefault="007C72B6" w:rsidP="00826E8F">
      <w:pPr>
        <w:spacing w:after="120" w:line="360" w:lineRule="auto"/>
        <w:jc w:val="both"/>
      </w:pPr>
      <w:r>
        <w:lastRenderedPageBreak/>
        <w:t xml:space="preserve">Projects </w:t>
      </w:r>
      <w:r w:rsidR="0029592D" w:rsidRPr="0029592D">
        <w:t xml:space="preserve">will vary in terms of their location, the </w:t>
      </w:r>
      <w:r w:rsidR="005A1F3A">
        <w:t>groups</w:t>
      </w:r>
      <w:r w:rsidR="0029592D" w:rsidRPr="0029592D">
        <w:t xml:space="preserve"> of returners targeted, and the employers and sectors involved. However, we expect that the majority of the projects funded will follow a similar model:</w:t>
      </w:r>
    </w:p>
    <w:p w14:paraId="75F0F211" w14:textId="47095FFC" w:rsidR="0029592D" w:rsidRDefault="00DE5860" w:rsidP="00826E8F">
      <w:pPr>
        <w:pStyle w:val="ListParagraph"/>
        <w:numPr>
          <w:ilvl w:val="1"/>
          <w:numId w:val="20"/>
        </w:numPr>
        <w:spacing w:after="120" w:line="360" w:lineRule="auto"/>
        <w:jc w:val="both"/>
      </w:pPr>
      <w:r>
        <w:t>g</w:t>
      </w:r>
      <w:r w:rsidR="0029592D" w:rsidRPr="0029592D">
        <w:t xml:space="preserve">rant recipients will work with employers and/or training providers to design a programme to support people to return to work. This could include, for example, mentoring, facilitation of a </w:t>
      </w:r>
      <w:r>
        <w:t xml:space="preserve">cohort, </w:t>
      </w:r>
      <w:r w:rsidR="005A1F3A">
        <w:t xml:space="preserve">or </w:t>
      </w:r>
      <w:r>
        <w:t>provision of training;</w:t>
      </w:r>
    </w:p>
    <w:p w14:paraId="5DAE80BA" w14:textId="71ABCF98" w:rsidR="0029592D" w:rsidRDefault="00DE5860" w:rsidP="00826E8F">
      <w:pPr>
        <w:pStyle w:val="ListParagraph"/>
        <w:numPr>
          <w:ilvl w:val="1"/>
          <w:numId w:val="20"/>
        </w:numPr>
        <w:spacing w:after="120" w:line="360" w:lineRule="auto"/>
        <w:jc w:val="both"/>
      </w:pPr>
      <w:r>
        <w:t>g</w:t>
      </w:r>
      <w:r w:rsidR="0029592D" w:rsidRPr="0029592D">
        <w:t xml:space="preserve">rant recipients will </w:t>
      </w:r>
      <w:r w:rsidR="005A1F3A">
        <w:t>work with</w:t>
      </w:r>
      <w:r w:rsidR="0029592D" w:rsidRPr="0029592D">
        <w:t xml:space="preserve"> programme providers to recruit participants for the programme</w:t>
      </w:r>
      <w:r>
        <w:t>;</w:t>
      </w:r>
    </w:p>
    <w:p w14:paraId="39FAD2C3" w14:textId="3E1FBA09" w:rsidR="0029592D" w:rsidRDefault="00DE5860" w:rsidP="00826E8F">
      <w:pPr>
        <w:pStyle w:val="ListParagraph"/>
        <w:numPr>
          <w:ilvl w:val="1"/>
          <w:numId w:val="20"/>
        </w:numPr>
        <w:spacing w:after="120" w:line="360" w:lineRule="auto"/>
        <w:jc w:val="both"/>
      </w:pPr>
      <w:r>
        <w:t>p</w:t>
      </w:r>
      <w:r w:rsidR="0029592D" w:rsidRPr="0029592D">
        <w:t>rojects will be relatively small-scale, involvi</w:t>
      </w:r>
      <w:r>
        <w:t>ng between 10 and 100 returners;</w:t>
      </w:r>
    </w:p>
    <w:p w14:paraId="4924DEE1" w14:textId="77777777" w:rsidR="00DE5860" w:rsidRDefault="00DE5860" w:rsidP="00826E8F">
      <w:pPr>
        <w:pStyle w:val="ListParagraph"/>
        <w:numPr>
          <w:ilvl w:val="1"/>
          <w:numId w:val="20"/>
        </w:numPr>
        <w:spacing w:after="120" w:line="360" w:lineRule="auto"/>
        <w:jc w:val="both"/>
      </w:pPr>
      <w:r>
        <w:t>p</w:t>
      </w:r>
      <w:r w:rsidR="0029592D" w:rsidRPr="0029592D">
        <w:t>rojects will last no more than 12 months</w:t>
      </w:r>
      <w:r>
        <w:t>; and</w:t>
      </w:r>
    </w:p>
    <w:p w14:paraId="69438C14" w14:textId="0730FDC9" w:rsidR="00911BCD" w:rsidRPr="0029592D" w:rsidRDefault="00DE5860" w:rsidP="00826E8F">
      <w:pPr>
        <w:pStyle w:val="ListParagraph"/>
        <w:numPr>
          <w:ilvl w:val="1"/>
          <w:numId w:val="20"/>
        </w:numPr>
        <w:spacing w:after="120" w:line="360" w:lineRule="auto"/>
        <w:jc w:val="both"/>
      </w:pPr>
      <w:r>
        <w:t>g</w:t>
      </w:r>
      <w:r w:rsidR="0029592D" w:rsidRPr="0029592D">
        <w:t xml:space="preserve">iven the small-scale of the </w:t>
      </w:r>
      <w:r w:rsidR="005A1F3A">
        <w:t xml:space="preserve">projects, most projects will be </w:t>
      </w:r>
      <w:r w:rsidR="0029592D" w:rsidRPr="0029592D">
        <w:t>delivered locally.</w:t>
      </w:r>
    </w:p>
    <w:p w14:paraId="00FA4721" w14:textId="7ECC33E3" w:rsidR="00C44924" w:rsidRDefault="00C44924" w:rsidP="00C44924">
      <w:pPr>
        <w:pStyle w:val="Heading2"/>
        <w:jc w:val="both"/>
      </w:pPr>
      <w:r w:rsidRPr="00C4330D">
        <w:t>Project</w:t>
      </w:r>
      <w:r w:rsidR="00A57128" w:rsidRPr="00C4330D">
        <w:t xml:space="preserve"> aims</w:t>
      </w:r>
    </w:p>
    <w:p w14:paraId="3C9C3256" w14:textId="6852ECD4" w:rsidR="00C44924" w:rsidRDefault="00583678" w:rsidP="00C44924">
      <w:pPr>
        <w:rPr>
          <w:rFonts w:cs="Arial"/>
        </w:rPr>
      </w:pPr>
      <w:r>
        <w:rPr>
          <w:rFonts w:cs="Arial"/>
        </w:rPr>
        <w:t xml:space="preserve">We are seeking a Supplier to undertake evaluation of funded projects. The evaluations </w:t>
      </w:r>
      <w:r w:rsidR="00C4330D">
        <w:rPr>
          <w:rFonts w:cs="Arial"/>
        </w:rPr>
        <w:t>will build our</w:t>
      </w:r>
      <w:r w:rsidR="00C44924">
        <w:rPr>
          <w:rFonts w:cs="Arial"/>
        </w:rPr>
        <w:t xml:space="preserve"> evidence base</w:t>
      </w:r>
      <w:r w:rsidR="00C4330D">
        <w:rPr>
          <w:rFonts w:cs="Arial"/>
        </w:rPr>
        <w:t xml:space="preserve"> on how to support returners back into the labour market</w:t>
      </w:r>
      <w:r w:rsidR="00C44924">
        <w:rPr>
          <w:rFonts w:cs="Arial"/>
        </w:rPr>
        <w:t>, responding to the following research questions:</w:t>
      </w:r>
    </w:p>
    <w:p w14:paraId="7D110255" w14:textId="13B91965" w:rsidR="00153AD7" w:rsidRDefault="00153AD7" w:rsidP="00153AD7">
      <w:pPr>
        <w:pStyle w:val="ListParagraph"/>
        <w:numPr>
          <w:ilvl w:val="0"/>
          <w:numId w:val="22"/>
        </w:numPr>
        <w:spacing w:after="160" w:line="259" w:lineRule="auto"/>
        <w:rPr>
          <w:rFonts w:cs="Arial"/>
        </w:rPr>
      </w:pPr>
      <w:r>
        <w:rPr>
          <w:rFonts w:cs="Arial"/>
        </w:rPr>
        <w:t>How can employers</w:t>
      </w:r>
      <w:r w:rsidR="009C3BD4">
        <w:rPr>
          <w:rFonts w:cs="Arial"/>
        </w:rPr>
        <w:t xml:space="preserve"> in the private and other targeted sectors</w:t>
      </w:r>
      <w:r>
        <w:rPr>
          <w:rFonts w:cs="Arial"/>
        </w:rPr>
        <w:t xml:space="preserve"> best support</w:t>
      </w:r>
      <w:r w:rsidRPr="00AD0389">
        <w:rPr>
          <w:rFonts w:cs="Arial"/>
        </w:rPr>
        <w:t xml:space="preserve"> returners to return to paid </w:t>
      </w:r>
      <w:r>
        <w:rPr>
          <w:rFonts w:cs="Arial"/>
        </w:rPr>
        <w:t>employment</w:t>
      </w:r>
      <w:r w:rsidRPr="00AD0389">
        <w:rPr>
          <w:rFonts w:cs="Arial"/>
        </w:rPr>
        <w:t>?</w:t>
      </w:r>
      <w:r>
        <w:rPr>
          <w:rFonts w:cs="Arial"/>
        </w:rPr>
        <w:t xml:space="preserve"> </w:t>
      </w:r>
    </w:p>
    <w:p w14:paraId="05014A4F" w14:textId="77777777" w:rsidR="00153AD7" w:rsidRPr="005113F4" w:rsidRDefault="00153AD7" w:rsidP="00153AD7">
      <w:pPr>
        <w:pStyle w:val="ListParagraph"/>
        <w:numPr>
          <w:ilvl w:val="0"/>
          <w:numId w:val="22"/>
        </w:numPr>
        <w:spacing w:after="160" w:line="259" w:lineRule="auto"/>
        <w:rPr>
          <w:rFonts w:cs="Arial"/>
        </w:rPr>
      </w:pPr>
      <w:r>
        <w:rPr>
          <w:rFonts w:cs="Arial"/>
        </w:rPr>
        <w:t>To what extent does the requirement vary across different industries, and for differnet groups (e.g., BAME, disabled, and older workers)?</w:t>
      </w:r>
    </w:p>
    <w:p w14:paraId="48C7B77D" w14:textId="77777777" w:rsidR="00153AD7" w:rsidRPr="00153AD7" w:rsidRDefault="00153AD7" w:rsidP="00153AD7">
      <w:pPr>
        <w:spacing w:line="259" w:lineRule="auto"/>
        <w:rPr>
          <w:rFonts w:cs="Arial"/>
          <w:highlight w:val="yellow"/>
        </w:rPr>
      </w:pPr>
    </w:p>
    <w:p w14:paraId="2EE7168E" w14:textId="6E9C5F64" w:rsidR="004775EB" w:rsidRDefault="00C44924" w:rsidP="00DE17B9">
      <w:r>
        <w:t xml:space="preserve">Findings </w:t>
      </w:r>
      <w:r w:rsidR="00C4330D">
        <w:t xml:space="preserve">will be </w:t>
      </w:r>
      <w:r>
        <w:t xml:space="preserve">used to inform </w:t>
      </w:r>
      <w:r w:rsidR="00C4330D">
        <w:t xml:space="preserve">the design and delivery of </w:t>
      </w:r>
      <w:r>
        <w:t>future returners schemes.</w:t>
      </w:r>
      <w:r w:rsidR="0007140C">
        <w:t xml:space="preserve"> The Returner team is also working with Public Sector organisations on a number of programmes</w:t>
      </w:r>
      <w:r w:rsidR="00613157">
        <w:t xml:space="preserve"> and the Supplier will be expec</w:t>
      </w:r>
      <w:r w:rsidR="000C69C0">
        <w:t>ted to work with the team on ensuring evaluation is consistent across all work.</w:t>
      </w:r>
    </w:p>
    <w:p w14:paraId="30AE2F58" w14:textId="5E1A012B" w:rsidR="004775EB" w:rsidRDefault="004775EB" w:rsidP="004775EB">
      <w:pPr>
        <w:pStyle w:val="Heading2"/>
        <w:jc w:val="both"/>
      </w:pPr>
      <w:r>
        <w:t>Evaluation Approach</w:t>
      </w:r>
    </w:p>
    <w:p w14:paraId="47DB81D5" w14:textId="682C6226" w:rsidR="004775EB" w:rsidRDefault="00527FA1" w:rsidP="00527FA1">
      <w:pPr>
        <w:spacing w:line="360" w:lineRule="auto"/>
      </w:pPr>
      <w:r>
        <w:t>Please note that at the time the Supplier is contracted, the fund will not yet have launched, and so projects will still be unknown. Our intention in contracting an evaluator at this early stage is to enable the selected Supplier to work with the Grant Administrator and GEO to develop an appropriate evaluation framework as the fund is developed. We are seeking an experienced organisation with sufficient capacity and flexibility to deliver this requirement, and to e</w:t>
      </w:r>
      <w:r w:rsidR="00B92E57">
        <w:t>valuate multiple projects at onc</w:t>
      </w:r>
      <w:r>
        <w:t>e.</w:t>
      </w:r>
    </w:p>
    <w:p w14:paraId="32310CBC" w14:textId="2885F9C6" w:rsidR="009379D1" w:rsidRPr="00DE17B9" w:rsidRDefault="009379D1" w:rsidP="00527FA1">
      <w:pPr>
        <w:spacing w:line="360" w:lineRule="auto"/>
      </w:pPr>
      <w:r>
        <w:t>The total expenditure on this project will be capped at £300k, with the costs of each individual project agreed as they are designed.</w:t>
      </w:r>
    </w:p>
    <w:p w14:paraId="5580E60E" w14:textId="6D052782" w:rsidR="009379D1" w:rsidRPr="009C3BD4" w:rsidRDefault="004A600B" w:rsidP="00527FA1">
      <w:pPr>
        <w:pStyle w:val="Heading2"/>
        <w:jc w:val="both"/>
      </w:pPr>
      <w:r w:rsidRPr="00CA67B0">
        <w:lastRenderedPageBreak/>
        <w:t>Methodology</w:t>
      </w:r>
    </w:p>
    <w:p w14:paraId="02AA3A0A" w14:textId="60708704" w:rsidR="00B25BB5" w:rsidRDefault="00B25BB5" w:rsidP="00527FA1">
      <w:pPr>
        <w:spacing w:after="120" w:line="360" w:lineRule="auto"/>
        <w:jc w:val="both"/>
      </w:pPr>
      <w:r w:rsidRPr="00CA67B0">
        <w:t xml:space="preserve">The selected </w:t>
      </w:r>
      <w:r w:rsidR="00011D47" w:rsidRPr="00CA67B0">
        <w:t>S</w:t>
      </w:r>
      <w:r w:rsidRPr="00CA67B0">
        <w:t>upplier</w:t>
      </w:r>
      <w:r>
        <w:t xml:space="preserve"> will be required to design and implement proportionate evaluations of fund projects, applying methodologies appropriate to each individual case.</w:t>
      </w:r>
      <w:r w:rsidR="00011D47">
        <w:t xml:space="preserve"> In the initial phase, the Supplier will work with the Grant Administrator to ensure the design of the fund supports good quality evaluation, e.g., in establishing a common data framework. The Supplier will then work </w:t>
      </w:r>
      <w:r w:rsidR="00011D47" w:rsidRPr="0029592D">
        <w:t xml:space="preserve">closely with </w:t>
      </w:r>
      <w:r w:rsidR="00011D47">
        <w:t>successful</w:t>
      </w:r>
      <w:r w:rsidR="00011D47" w:rsidRPr="0029592D">
        <w:t xml:space="preserve"> bidders </w:t>
      </w:r>
      <w:r w:rsidR="00826BFC">
        <w:t>from</w:t>
      </w:r>
      <w:r w:rsidR="00CA047D">
        <w:t xml:space="preserve"> the outset to ensure consistent evaluation in the design of projects and</w:t>
      </w:r>
      <w:r w:rsidR="00CA047D" w:rsidRPr="00CA047D">
        <w:t xml:space="preserve"> that f</w:t>
      </w:r>
      <w:r w:rsidR="00826BFC">
        <w:t>ull evaluation strategies are</w:t>
      </w:r>
      <w:r w:rsidR="002200BB">
        <w:t xml:space="preserve"> in place </w:t>
      </w:r>
      <w:r w:rsidR="00011D47" w:rsidRPr="0029592D">
        <w:t>(e.g., with appropriate</w:t>
      </w:r>
      <w:r w:rsidR="00011D47">
        <w:t xml:space="preserve"> data collection)</w:t>
      </w:r>
      <w:r w:rsidR="00826BFC">
        <w:t xml:space="preserve"> and successfully implemented</w:t>
      </w:r>
      <w:r w:rsidR="00011D47">
        <w:t xml:space="preserve">. </w:t>
      </w:r>
      <w:r w:rsidR="00826BFC">
        <w:t>GEO analysts will</w:t>
      </w:r>
      <w:r w:rsidR="00A1257B">
        <w:t xml:space="preserve"> work</w:t>
      </w:r>
      <w:r w:rsidR="00826BFC">
        <w:t xml:space="preserve"> with the Supplier to quality assure </w:t>
      </w:r>
      <w:r w:rsidR="00A1257B">
        <w:t>work</w:t>
      </w:r>
      <w:r w:rsidR="00826BFC">
        <w:t xml:space="preserve"> and, where necessary, seek appropriate Departmental sign-off (e.g., on evaluation design, publications).</w:t>
      </w:r>
    </w:p>
    <w:p w14:paraId="1632623D" w14:textId="2F211481" w:rsidR="00DE17B9" w:rsidRPr="00826BFC" w:rsidRDefault="00B25BB5" w:rsidP="00527FA1">
      <w:pPr>
        <w:spacing w:after="120" w:line="360" w:lineRule="auto"/>
        <w:jc w:val="both"/>
      </w:pPr>
      <w:r>
        <w:t xml:space="preserve">As the proposed projects will be small-scale, we expect that in most cases, </w:t>
      </w:r>
      <w:r w:rsidR="00011D47" w:rsidRPr="008B19F1">
        <w:t xml:space="preserve">robust quantitative evaluation (e.g., experimental or quasi-experimental methods) </w:t>
      </w:r>
      <w:r w:rsidR="00011D47">
        <w:t>will</w:t>
      </w:r>
      <w:r w:rsidR="00011D47" w:rsidRPr="008B19F1">
        <w:t xml:space="preserve"> not be possible</w:t>
      </w:r>
      <w:r w:rsidR="00011D47">
        <w:t>, though</w:t>
      </w:r>
      <w:r w:rsidR="00826BFC">
        <w:t xml:space="preserve"> the viability</w:t>
      </w:r>
      <w:r w:rsidR="00011D47">
        <w:t xml:space="preserve"> </w:t>
      </w:r>
      <w:r w:rsidR="00826BFC">
        <w:t>of such an approach</w:t>
      </w:r>
      <w:r w:rsidR="00011D47">
        <w:t xml:space="preserve"> should be </w:t>
      </w:r>
      <w:r w:rsidR="00826BFC">
        <w:t xml:space="preserve">fully </w:t>
      </w:r>
      <w:r w:rsidR="00011D47">
        <w:t xml:space="preserve">considered in the design </w:t>
      </w:r>
      <w:r w:rsidR="00011D47" w:rsidRPr="00826BFC">
        <w:t>phase.</w:t>
      </w:r>
      <w:r w:rsidR="00826BFC" w:rsidRPr="00826BFC">
        <w:t xml:space="preserve"> </w:t>
      </w:r>
      <w:r w:rsidR="00DE17B9" w:rsidRPr="00826BFC">
        <w:t>Evaluation</w:t>
      </w:r>
      <w:r w:rsidR="00826BFC" w:rsidRPr="00826BFC">
        <w:t xml:space="preserve"> design</w:t>
      </w:r>
      <w:r w:rsidR="00DE17B9" w:rsidRPr="00826BFC">
        <w:t xml:space="preserve"> </w:t>
      </w:r>
      <w:r w:rsidR="00826BFC" w:rsidRPr="00826BFC">
        <w:t>should</w:t>
      </w:r>
      <w:r w:rsidR="00DE17B9" w:rsidRPr="00826BFC">
        <w:t xml:space="preserve"> be </w:t>
      </w:r>
      <w:r w:rsidR="00826BFC" w:rsidRPr="00826BFC">
        <w:t>guided by approaches outlined in</w:t>
      </w:r>
      <w:r w:rsidR="00DE17B9" w:rsidRPr="00826BFC">
        <w:t xml:space="preserve"> the </w:t>
      </w:r>
      <w:hyperlink r:id="rId13" w:history="1">
        <w:r w:rsidR="00DE17B9" w:rsidRPr="00826BFC">
          <w:rPr>
            <w:rStyle w:val="Hyperlink"/>
            <w:sz w:val="22"/>
          </w:rPr>
          <w:t>Magenta Book</w:t>
        </w:r>
      </w:hyperlink>
      <w:r w:rsidR="00826BFC" w:rsidRPr="00826BFC">
        <w:t xml:space="preserve">, </w:t>
      </w:r>
      <w:r w:rsidR="00DE17B9" w:rsidRPr="00826BFC">
        <w:t>considering the impact of projects, appraisal of the delivery process, and – where possible –</w:t>
      </w:r>
      <w:r w:rsidR="00826BFC">
        <w:t xml:space="preserve"> </w:t>
      </w:r>
      <w:r w:rsidR="00DE17B9" w:rsidRPr="00826BFC">
        <w:t>some level of cost-benefit analysis. In all cases, we expect the evaluation to involve both qualitative and quantitative methods, for example:</w:t>
      </w:r>
    </w:p>
    <w:p w14:paraId="25EF8951" w14:textId="406D7BFC" w:rsidR="00DE17B9" w:rsidRDefault="00EA3C20" w:rsidP="00DE17B9">
      <w:pPr>
        <w:pStyle w:val="Heading2"/>
        <w:numPr>
          <w:ilvl w:val="1"/>
          <w:numId w:val="20"/>
        </w:numPr>
        <w:spacing w:before="0" w:after="0"/>
        <w:jc w:val="both"/>
        <w:rPr>
          <w:b w:val="0"/>
          <w:color w:val="auto"/>
          <w:sz w:val="22"/>
          <w:szCs w:val="24"/>
        </w:rPr>
      </w:pPr>
      <w:r>
        <w:rPr>
          <w:b w:val="0"/>
          <w:color w:val="auto"/>
          <w:sz w:val="22"/>
          <w:szCs w:val="24"/>
        </w:rPr>
        <w:t>i</w:t>
      </w:r>
      <w:r w:rsidR="00DE17B9" w:rsidRPr="008B19F1">
        <w:rPr>
          <w:b w:val="0"/>
          <w:color w:val="auto"/>
          <w:sz w:val="22"/>
          <w:szCs w:val="24"/>
        </w:rPr>
        <w:t>nterviews with participants (employers, returners and training providers) befor</w:t>
      </w:r>
      <w:r>
        <w:rPr>
          <w:b w:val="0"/>
          <w:color w:val="auto"/>
          <w:sz w:val="22"/>
          <w:szCs w:val="24"/>
        </w:rPr>
        <w:t>e, during and after the schemes;</w:t>
      </w:r>
    </w:p>
    <w:p w14:paraId="7173A304" w14:textId="49E5C232" w:rsidR="00DE17B9" w:rsidRDefault="00EA3C20" w:rsidP="00DE17B9">
      <w:pPr>
        <w:pStyle w:val="Heading2"/>
        <w:numPr>
          <w:ilvl w:val="1"/>
          <w:numId w:val="20"/>
        </w:numPr>
        <w:spacing w:before="0" w:after="0"/>
        <w:jc w:val="both"/>
        <w:rPr>
          <w:b w:val="0"/>
          <w:color w:val="auto"/>
          <w:sz w:val="22"/>
          <w:szCs w:val="24"/>
        </w:rPr>
      </w:pPr>
      <w:r>
        <w:rPr>
          <w:b w:val="0"/>
          <w:color w:val="auto"/>
          <w:sz w:val="22"/>
          <w:szCs w:val="24"/>
        </w:rPr>
        <w:t>r</w:t>
      </w:r>
      <w:r w:rsidR="00DE17B9" w:rsidRPr="008B19F1">
        <w:rPr>
          <w:b w:val="0"/>
          <w:color w:val="auto"/>
          <w:sz w:val="22"/>
          <w:szCs w:val="24"/>
        </w:rPr>
        <w:t>eview of any documentation, guidance or other literature produce</w:t>
      </w:r>
      <w:r>
        <w:rPr>
          <w:b w:val="0"/>
          <w:color w:val="auto"/>
          <w:sz w:val="22"/>
          <w:szCs w:val="24"/>
        </w:rPr>
        <w:t>d to support programme delivery; and</w:t>
      </w:r>
    </w:p>
    <w:p w14:paraId="7C41D24D" w14:textId="2F543D4B" w:rsidR="00DE17B9" w:rsidRPr="006955E7" w:rsidRDefault="00EA3C20" w:rsidP="00DE17B9">
      <w:pPr>
        <w:pStyle w:val="Heading2"/>
        <w:numPr>
          <w:ilvl w:val="1"/>
          <w:numId w:val="20"/>
        </w:numPr>
        <w:spacing w:before="0"/>
        <w:jc w:val="both"/>
        <w:rPr>
          <w:b w:val="0"/>
          <w:color w:val="auto"/>
          <w:sz w:val="22"/>
          <w:szCs w:val="24"/>
        </w:rPr>
      </w:pPr>
      <w:r>
        <w:rPr>
          <w:b w:val="0"/>
          <w:color w:val="auto"/>
          <w:sz w:val="22"/>
          <w:szCs w:val="24"/>
        </w:rPr>
        <w:t>c</w:t>
      </w:r>
      <w:r w:rsidR="00DE17B9" w:rsidRPr="006955E7">
        <w:rPr>
          <w:b w:val="0"/>
          <w:color w:val="auto"/>
          <w:sz w:val="22"/>
          <w:szCs w:val="24"/>
        </w:rPr>
        <w:t>ollection of quantitative data relating to scheme delivery, e.g., numbers of applications received, activity completion rates, numbers of returners finding employment after finishing the programme.</w:t>
      </w:r>
    </w:p>
    <w:p w14:paraId="646BF0B8" w14:textId="031C6293" w:rsidR="00826BFC" w:rsidRDefault="00DE17B9" w:rsidP="00F60002">
      <w:pPr>
        <w:pStyle w:val="Heading2"/>
        <w:spacing w:before="0" w:after="0" w:line="360" w:lineRule="auto"/>
        <w:jc w:val="both"/>
        <w:rPr>
          <w:b w:val="0"/>
          <w:color w:val="auto"/>
          <w:sz w:val="22"/>
          <w:szCs w:val="24"/>
        </w:rPr>
      </w:pPr>
      <w:r w:rsidRPr="008B19F1">
        <w:rPr>
          <w:b w:val="0"/>
          <w:color w:val="auto"/>
          <w:sz w:val="22"/>
          <w:szCs w:val="24"/>
        </w:rPr>
        <w:t xml:space="preserve">Sample size and selection methods </w:t>
      </w:r>
      <w:r w:rsidR="00B25BB5">
        <w:rPr>
          <w:b w:val="0"/>
          <w:color w:val="auto"/>
          <w:sz w:val="22"/>
          <w:szCs w:val="24"/>
        </w:rPr>
        <w:t>should</w:t>
      </w:r>
      <w:r w:rsidRPr="008B19F1">
        <w:rPr>
          <w:b w:val="0"/>
          <w:color w:val="auto"/>
          <w:sz w:val="22"/>
          <w:szCs w:val="24"/>
        </w:rPr>
        <w:t xml:space="preserve"> be chosen as appropriate to the size and design of</w:t>
      </w:r>
      <w:r w:rsidR="000C1366">
        <w:rPr>
          <w:b w:val="0"/>
          <w:color w:val="auto"/>
          <w:sz w:val="22"/>
          <w:szCs w:val="24"/>
        </w:rPr>
        <w:t xml:space="preserve"> the programme being evaluated.</w:t>
      </w:r>
    </w:p>
    <w:p w14:paraId="4BF0E592" w14:textId="77777777" w:rsidR="00826BFC" w:rsidRDefault="00826BFC" w:rsidP="00F60002">
      <w:pPr>
        <w:pStyle w:val="Heading2"/>
        <w:spacing w:before="0" w:after="0" w:line="360" w:lineRule="auto"/>
        <w:jc w:val="both"/>
        <w:rPr>
          <w:b w:val="0"/>
          <w:color w:val="auto"/>
          <w:sz w:val="22"/>
          <w:szCs w:val="24"/>
        </w:rPr>
      </w:pPr>
    </w:p>
    <w:p w14:paraId="3FB4A7B4" w14:textId="628F9CB8" w:rsidR="00DE17B9" w:rsidRPr="008B19F1" w:rsidRDefault="00DE17B9" w:rsidP="00F60002">
      <w:pPr>
        <w:pStyle w:val="Heading2"/>
        <w:spacing w:before="0" w:after="0" w:line="360" w:lineRule="auto"/>
        <w:jc w:val="both"/>
        <w:rPr>
          <w:b w:val="0"/>
          <w:color w:val="auto"/>
          <w:sz w:val="22"/>
          <w:szCs w:val="24"/>
        </w:rPr>
      </w:pPr>
      <w:r w:rsidRPr="008B19F1">
        <w:rPr>
          <w:b w:val="0"/>
          <w:color w:val="auto"/>
          <w:sz w:val="22"/>
          <w:szCs w:val="24"/>
        </w:rPr>
        <w:t>A minority of projects may deviate from the</w:t>
      </w:r>
      <w:r w:rsidR="00826BFC">
        <w:rPr>
          <w:b w:val="0"/>
          <w:color w:val="auto"/>
          <w:sz w:val="22"/>
          <w:szCs w:val="24"/>
        </w:rPr>
        <w:t xml:space="preserve"> general</w:t>
      </w:r>
      <w:r w:rsidRPr="008B19F1">
        <w:rPr>
          <w:b w:val="0"/>
          <w:color w:val="auto"/>
          <w:sz w:val="22"/>
          <w:szCs w:val="24"/>
        </w:rPr>
        <w:t xml:space="preserve"> model outlined </w:t>
      </w:r>
      <w:r w:rsidR="00826BFC">
        <w:rPr>
          <w:b w:val="0"/>
          <w:color w:val="auto"/>
          <w:sz w:val="22"/>
          <w:szCs w:val="24"/>
        </w:rPr>
        <w:t>earlier</w:t>
      </w:r>
      <w:r w:rsidRPr="008B19F1">
        <w:rPr>
          <w:b w:val="0"/>
          <w:color w:val="auto"/>
          <w:sz w:val="22"/>
          <w:szCs w:val="24"/>
        </w:rPr>
        <w:t xml:space="preserve">, employing </w:t>
      </w:r>
      <w:r w:rsidR="00826BFC">
        <w:rPr>
          <w:b w:val="0"/>
          <w:color w:val="auto"/>
          <w:sz w:val="22"/>
          <w:szCs w:val="24"/>
        </w:rPr>
        <w:t>more inventive interventions</w:t>
      </w:r>
      <w:r w:rsidRPr="008B19F1">
        <w:rPr>
          <w:b w:val="0"/>
          <w:color w:val="auto"/>
          <w:sz w:val="22"/>
          <w:szCs w:val="24"/>
        </w:rPr>
        <w:t xml:space="preserve">. We would still expect the evaluation </w:t>
      </w:r>
      <w:r w:rsidR="00826BFC">
        <w:rPr>
          <w:b w:val="0"/>
          <w:color w:val="auto"/>
          <w:sz w:val="22"/>
          <w:szCs w:val="24"/>
        </w:rPr>
        <w:t xml:space="preserve">approach </w:t>
      </w:r>
      <w:r w:rsidRPr="008B19F1">
        <w:rPr>
          <w:b w:val="0"/>
          <w:color w:val="auto"/>
          <w:sz w:val="22"/>
          <w:szCs w:val="24"/>
        </w:rPr>
        <w:t>to be broadly similar, including both qual</w:t>
      </w:r>
      <w:r w:rsidR="00826BFC">
        <w:rPr>
          <w:b w:val="0"/>
          <w:color w:val="auto"/>
          <w:sz w:val="22"/>
          <w:szCs w:val="24"/>
        </w:rPr>
        <w:t>itative and qualitative method</w:t>
      </w:r>
      <w:r w:rsidR="007D13E9">
        <w:rPr>
          <w:b w:val="0"/>
          <w:color w:val="auto"/>
          <w:sz w:val="22"/>
          <w:szCs w:val="24"/>
        </w:rPr>
        <w:t>s.</w:t>
      </w:r>
    </w:p>
    <w:p w14:paraId="49F58937" w14:textId="77777777" w:rsidR="004A600B" w:rsidRDefault="004A600B" w:rsidP="005E0BBB">
      <w:pPr>
        <w:pStyle w:val="Heading2"/>
        <w:jc w:val="both"/>
      </w:pPr>
      <w:r>
        <w:t>Timing</w:t>
      </w:r>
    </w:p>
    <w:tbl>
      <w:tblPr>
        <w:tblW w:w="5245" w:type="dxa"/>
        <w:tblLook w:val="04A0" w:firstRow="1" w:lastRow="0" w:firstColumn="1" w:lastColumn="0" w:noHBand="0" w:noVBand="1"/>
      </w:tblPr>
      <w:tblGrid>
        <w:gridCol w:w="2268"/>
        <w:gridCol w:w="2977"/>
      </w:tblGrid>
      <w:tr w:rsidR="00795A4A" w:rsidRPr="00E627E0" w14:paraId="7703C863" w14:textId="77777777" w:rsidTr="009C5FE4">
        <w:trPr>
          <w:trHeight w:val="300"/>
        </w:trPr>
        <w:tc>
          <w:tcPr>
            <w:tcW w:w="2268" w:type="dxa"/>
            <w:tcBorders>
              <w:top w:val="nil"/>
              <w:left w:val="nil"/>
              <w:bottom w:val="nil"/>
              <w:right w:val="nil"/>
            </w:tcBorders>
            <w:shd w:val="clear" w:color="auto" w:fill="auto"/>
            <w:noWrap/>
            <w:vAlign w:val="bottom"/>
            <w:hideMark/>
          </w:tcPr>
          <w:p w14:paraId="6826DE2D" w14:textId="0CC2D1C1" w:rsidR="00795A4A" w:rsidRPr="00E627E0" w:rsidRDefault="004B2796" w:rsidP="005D3490">
            <w:pPr>
              <w:spacing w:after="0" w:line="240" w:lineRule="auto"/>
              <w:rPr>
                <w:rFonts w:cs="Arial"/>
                <w:color w:val="000000"/>
                <w:szCs w:val="22"/>
              </w:rPr>
            </w:pPr>
            <w:r>
              <w:rPr>
                <w:rFonts w:cs="Arial"/>
                <w:color w:val="000000"/>
                <w:szCs w:val="22"/>
              </w:rPr>
              <w:t>EoI I</w:t>
            </w:r>
            <w:r w:rsidR="00795A4A">
              <w:rPr>
                <w:rFonts w:cs="Arial"/>
                <w:color w:val="000000"/>
                <w:szCs w:val="22"/>
              </w:rPr>
              <w:t>ssue</w:t>
            </w:r>
          </w:p>
        </w:tc>
        <w:tc>
          <w:tcPr>
            <w:tcW w:w="2977" w:type="dxa"/>
            <w:tcBorders>
              <w:top w:val="nil"/>
              <w:left w:val="nil"/>
              <w:bottom w:val="nil"/>
              <w:right w:val="nil"/>
            </w:tcBorders>
            <w:shd w:val="clear" w:color="auto" w:fill="auto"/>
            <w:noWrap/>
            <w:vAlign w:val="bottom"/>
            <w:hideMark/>
          </w:tcPr>
          <w:p w14:paraId="36265125" w14:textId="62A33DA7" w:rsidR="00795A4A" w:rsidRPr="00E627E0" w:rsidRDefault="00D21DA6" w:rsidP="005D3490">
            <w:pPr>
              <w:spacing w:after="0" w:line="240" w:lineRule="auto"/>
              <w:jc w:val="right"/>
              <w:rPr>
                <w:rFonts w:cs="Arial"/>
                <w:color w:val="000000"/>
                <w:szCs w:val="22"/>
              </w:rPr>
            </w:pPr>
            <w:r>
              <w:rPr>
                <w:rFonts w:cs="Arial"/>
                <w:color w:val="000000"/>
                <w:szCs w:val="22"/>
              </w:rPr>
              <w:t>8</w:t>
            </w:r>
            <w:r w:rsidR="00795A4A" w:rsidRPr="00795A4A">
              <w:rPr>
                <w:rFonts w:cs="Arial"/>
                <w:color w:val="000000"/>
                <w:szCs w:val="22"/>
                <w:vertAlign w:val="superscript"/>
              </w:rPr>
              <w:t>th</w:t>
            </w:r>
            <w:r w:rsidR="00795A4A">
              <w:rPr>
                <w:rFonts w:cs="Arial"/>
                <w:color w:val="000000"/>
                <w:szCs w:val="22"/>
              </w:rPr>
              <w:t xml:space="preserve"> December</w:t>
            </w:r>
            <w:r w:rsidR="009C5FE4">
              <w:rPr>
                <w:rFonts w:cs="Arial"/>
                <w:color w:val="000000"/>
                <w:szCs w:val="22"/>
              </w:rPr>
              <w:t xml:space="preserve"> 2017</w:t>
            </w:r>
          </w:p>
        </w:tc>
      </w:tr>
      <w:tr w:rsidR="00795A4A" w:rsidRPr="00E627E0" w14:paraId="238CFBFC" w14:textId="77777777" w:rsidTr="009C5FE4">
        <w:trPr>
          <w:trHeight w:val="300"/>
        </w:trPr>
        <w:tc>
          <w:tcPr>
            <w:tcW w:w="2268" w:type="dxa"/>
            <w:tcBorders>
              <w:top w:val="nil"/>
              <w:left w:val="nil"/>
              <w:bottom w:val="nil"/>
              <w:right w:val="nil"/>
            </w:tcBorders>
            <w:shd w:val="clear" w:color="auto" w:fill="auto"/>
            <w:noWrap/>
            <w:vAlign w:val="bottom"/>
            <w:hideMark/>
          </w:tcPr>
          <w:p w14:paraId="672B76E6" w14:textId="6481C0F6" w:rsidR="00795A4A" w:rsidRPr="00E627E0" w:rsidRDefault="00795A4A" w:rsidP="005D3490">
            <w:pPr>
              <w:spacing w:after="0" w:line="240" w:lineRule="auto"/>
              <w:rPr>
                <w:rFonts w:cs="Arial"/>
                <w:color w:val="000000"/>
                <w:szCs w:val="22"/>
              </w:rPr>
            </w:pPr>
            <w:r w:rsidRPr="00E627E0">
              <w:rPr>
                <w:rFonts w:cs="Arial"/>
                <w:color w:val="000000"/>
                <w:szCs w:val="22"/>
              </w:rPr>
              <w:t xml:space="preserve">EoI </w:t>
            </w:r>
            <w:r w:rsidR="004B2796">
              <w:rPr>
                <w:rFonts w:cs="Arial"/>
                <w:color w:val="000000"/>
                <w:szCs w:val="22"/>
              </w:rPr>
              <w:t>D</w:t>
            </w:r>
            <w:r>
              <w:rPr>
                <w:rFonts w:cs="Arial"/>
                <w:color w:val="000000"/>
                <w:szCs w:val="22"/>
              </w:rPr>
              <w:t>eadline</w:t>
            </w:r>
          </w:p>
        </w:tc>
        <w:tc>
          <w:tcPr>
            <w:tcW w:w="2977" w:type="dxa"/>
            <w:tcBorders>
              <w:top w:val="nil"/>
              <w:left w:val="nil"/>
              <w:bottom w:val="nil"/>
              <w:right w:val="nil"/>
            </w:tcBorders>
            <w:shd w:val="clear" w:color="auto" w:fill="auto"/>
            <w:noWrap/>
            <w:vAlign w:val="bottom"/>
            <w:hideMark/>
          </w:tcPr>
          <w:p w14:paraId="097D35FE" w14:textId="6E19BEF6" w:rsidR="00795A4A" w:rsidRPr="00E627E0" w:rsidRDefault="00795A4A" w:rsidP="005D3490">
            <w:pPr>
              <w:spacing w:after="0" w:line="240" w:lineRule="auto"/>
              <w:jc w:val="right"/>
              <w:rPr>
                <w:rFonts w:cs="Arial"/>
                <w:color w:val="000000"/>
                <w:szCs w:val="22"/>
              </w:rPr>
            </w:pPr>
            <w:r>
              <w:rPr>
                <w:rFonts w:cs="Arial"/>
                <w:color w:val="000000"/>
                <w:szCs w:val="22"/>
              </w:rPr>
              <w:t>19</w:t>
            </w:r>
            <w:r w:rsidRPr="00795A4A">
              <w:rPr>
                <w:rFonts w:cs="Arial"/>
                <w:color w:val="000000"/>
                <w:szCs w:val="22"/>
                <w:vertAlign w:val="superscript"/>
              </w:rPr>
              <w:t>th</w:t>
            </w:r>
            <w:r>
              <w:rPr>
                <w:rFonts w:cs="Arial"/>
                <w:color w:val="000000"/>
                <w:szCs w:val="22"/>
              </w:rPr>
              <w:t xml:space="preserve"> December</w:t>
            </w:r>
            <w:r w:rsidR="009C5FE4">
              <w:rPr>
                <w:rFonts w:cs="Arial"/>
                <w:color w:val="000000"/>
                <w:szCs w:val="22"/>
              </w:rPr>
              <w:t xml:space="preserve"> 2017</w:t>
            </w:r>
          </w:p>
        </w:tc>
      </w:tr>
      <w:tr w:rsidR="00795A4A" w:rsidRPr="00E627E0" w14:paraId="1C03ABA1" w14:textId="77777777" w:rsidTr="009C5FE4">
        <w:trPr>
          <w:trHeight w:val="300"/>
        </w:trPr>
        <w:tc>
          <w:tcPr>
            <w:tcW w:w="2268" w:type="dxa"/>
            <w:tcBorders>
              <w:top w:val="nil"/>
              <w:left w:val="nil"/>
              <w:bottom w:val="nil"/>
              <w:right w:val="nil"/>
            </w:tcBorders>
            <w:shd w:val="clear" w:color="auto" w:fill="auto"/>
            <w:noWrap/>
            <w:vAlign w:val="bottom"/>
            <w:hideMark/>
          </w:tcPr>
          <w:p w14:paraId="72ABBA8D" w14:textId="5068A6BB" w:rsidR="00795A4A" w:rsidRPr="00E627E0" w:rsidRDefault="00795A4A" w:rsidP="005D3490">
            <w:pPr>
              <w:spacing w:after="0" w:line="240" w:lineRule="auto"/>
              <w:rPr>
                <w:rFonts w:cs="Arial"/>
                <w:color w:val="000000"/>
                <w:szCs w:val="22"/>
              </w:rPr>
            </w:pPr>
            <w:r>
              <w:rPr>
                <w:rFonts w:cs="Arial"/>
                <w:color w:val="000000"/>
                <w:szCs w:val="22"/>
              </w:rPr>
              <w:t>Eo</w:t>
            </w:r>
            <w:r w:rsidRPr="00E627E0">
              <w:rPr>
                <w:rFonts w:cs="Arial"/>
                <w:color w:val="000000"/>
                <w:szCs w:val="22"/>
              </w:rPr>
              <w:t xml:space="preserve">I </w:t>
            </w:r>
            <w:r w:rsidR="004B2796">
              <w:rPr>
                <w:rFonts w:cs="Arial"/>
                <w:color w:val="000000"/>
                <w:szCs w:val="22"/>
              </w:rPr>
              <w:t>A</w:t>
            </w:r>
            <w:r w:rsidRPr="00E627E0">
              <w:rPr>
                <w:rFonts w:cs="Arial"/>
                <w:color w:val="000000"/>
                <w:szCs w:val="22"/>
              </w:rPr>
              <w:t>ssessment</w:t>
            </w:r>
          </w:p>
        </w:tc>
        <w:tc>
          <w:tcPr>
            <w:tcW w:w="2977" w:type="dxa"/>
            <w:tcBorders>
              <w:top w:val="nil"/>
              <w:left w:val="nil"/>
              <w:bottom w:val="nil"/>
              <w:right w:val="nil"/>
            </w:tcBorders>
            <w:shd w:val="clear" w:color="auto" w:fill="auto"/>
            <w:noWrap/>
            <w:vAlign w:val="bottom"/>
            <w:hideMark/>
          </w:tcPr>
          <w:p w14:paraId="4120A26B" w14:textId="2317F73A" w:rsidR="00795A4A" w:rsidRPr="00E627E0" w:rsidRDefault="004B2796" w:rsidP="005D3490">
            <w:pPr>
              <w:spacing w:after="0" w:line="240" w:lineRule="auto"/>
              <w:jc w:val="right"/>
              <w:rPr>
                <w:rFonts w:cs="Arial"/>
                <w:color w:val="000000"/>
                <w:szCs w:val="22"/>
              </w:rPr>
            </w:pPr>
            <w:r>
              <w:rPr>
                <w:rFonts w:cs="Arial"/>
                <w:color w:val="000000"/>
                <w:szCs w:val="22"/>
              </w:rPr>
              <w:t>20</w:t>
            </w:r>
            <w:r w:rsidRPr="004B2796">
              <w:rPr>
                <w:rFonts w:cs="Arial"/>
                <w:color w:val="000000"/>
                <w:szCs w:val="22"/>
                <w:vertAlign w:val="superscript"/>
              </w:rPr>
              <w:t>th</w:t>
            </w:r>
            <w:r>
              <w:rPr>
                <w:rFonts w:cs="Arial"/>
                <w:color w:val="000000"/>
                <w:szCs w:val="22"/>
              </w:rPr>
              <w:t xml:space="preserve"> December</w:t>
            </w:r>
            <w:r w:rsidR="009C5FE4">
              <w:rPr>
                <w:rFonts w:cs="Arial"/>
                <w:color w:val="000000"/>
                <w:szCs w:val="22"/>
              </w:rPr>
              <w:t xml:space="preserve"> 2017</w:t>
            </w:r>
          </w:p>
        </w:tc>
      </w:tr>
      <w:tr w:rsidR="00795A4A" w:rsidRPr="00E627E0" w14:paraId="6FB8ACEC" w14:textId="77777777" w:rsidTr="009C5FE4">
        <w:trPr>
          <w:trHeight w:val="300"/>
        </w:trPr>
        <w:tc>
          <w:tcPr>
            <w:tcW w:w="2268" w:type="dxa"/>
            <w:tcBorders>
              <w:top w:val="nil"/>
              <w:left w:val="nil"/>
              <w:bottom w:val="nil"/>
              <w:right w:val="nil"/>
            </w:tcBorders>
            <w:shd w:val="clear" w:color="auto" w:fill="auto"/>
            <w:noWrap/>
            <w:vAlign w:val="bottom"/>
            <w:hideMark/>
          </w:tcPr>
          <w:p w14:paraId="53DC0146" w14:textId="7984FC3E" w:rsidR="00795A4A" w:rsidRPr="00E627E0" w:rsidRDefault="00795A4A" w:rsidP="004B2796">
            <w:pPr>
              <w:spacing w:after="0" w:line="240" w:lineRule="auto"/>
              <w:rPr>
                <w:rFonts w:cs="Arial"/>
                <w:color w:val="000000"/>
                <w:szCs w:val="22"/>
              </w:rPr>
            </w:pPr>
            <w:r w:rsidRPr="00E627E0">
              <w:rPr>
                <w:rFonts w:cs="Arial"/>
                <w:color w:val="000000"/>
                <w:szCs w:val="22"/>
              </w:rPr>
              <w:t xml:space="preserve">ITT </w:t>
            </w:r>
            <w:r w:rsidR="00D43DE2">
              <w:rPr>
                <w:rFonts w:cs="Arial"/>
                <w:color w:val="000000"/>
                <w:szCs w:val="22"/>
              </w:rPr>
              <w:t>Issue</w:t>
            </w:r>
          </w:p>
        </w:tc>
        <w:tc>
          <w:tcPr>
            <w:tcW w:w="2977" w:type="dxa"/>
            <w:tcBorders>
              <w:top w:val="nil"/>
              <w:left w:val="nil"/>
              <w:bottom w:val="nil"/>
              <w:right w:val="nil"/>
            </w:tcBorders>
            <w:shd w:val="clear" w:color="auto" w:fill="auto"/>
            <w:noWrap/>
            <w:vAlign w:val="bottom"/>
            <w:hideMark/>
          </w:tcPr>
          <w:p w14:paraId="3A29C6B4" w14:textId="5B9473FC" w:rsidR="00795A4A" w:rsidRPr="00E627E0" w:rsidRDefault="004B2796" w:rsidP="005D3490">
            <w:pPr>
              <w:spacing w:after="0" w:line="240" w:lineRule="auto"/>
              <w:jc w:val="right"/>
              <w:rPr>
                <w:rFonts w:cs="Arial"/>
                <w:color w:val="000000"/>
                <w:szCs w:val="22"/>
              </w:rPr>
            </w:pPr>
            <w:r>
              <w:rPr>
                <w:rFonts w:cs="Arial"/>
                <w:color w:val="000000"/>
                <w:szCs w:val="22"/>
              </w:rPr>
              <w:t>21</w:t>
            </w:r>
            <w:r w:rsidRPr="004B2796">
              <w:rPr>
                <w:rFonts w:cs="Arial"/>
                <w:color w:val="000000"/>
                <w:szCs w:val="22"/>
                <w:vertAlign w:val="superscript"/>
              </w:rPr>
              <w:t>st</w:t>
            </w:r>
            <w:r>
              <w:rPr>
                <w:rFonts w:cs="Arial"/>
                <w:color w:val="000000"/>
                <w:szCs w:val="22"/>
              </w:rPr>
              <w:t xml:space="preserve"> December</w:t>
            </w:r>
            <w:r w:rsidR="009C5FE4">
              <w:rPr>
                <w:rFonts w:cs="Arial"/>
                <w:color w:val="000000"/>
                <w:szCs w:val="22"/>
              </w:rPr>
              <w:t xml:space="preserve"> 2017</w:t>
            </w:r>
          </w:p>
        </w:tc>
      </w:tr>
      <w:tr w:rsidR="00795A4A" w:rsidRPr="00E627E0" w14:paraId="659A12AC" w14:textId="77777777" w:rsidTr="009C5FE4">
        <w:trPr>
          <w:trHeight w:val="300"/>
        </w:trPr>
        <w:tc>
          <w:tcPr>
            <w:tcW w:w="2268" w:type="dxa"/>
            <w:tcBorders>
              <w:top w:val="nil"/>
              <w:left w:val="nil"/>
              <w:bottom w:val="nil"/>
              <w:right w:val="nil"/>
            </w:tcBorders>
            <w:shd w:val="clear" w:color="auto" w:fill="auto"/>
            <w:noWrap/>
            <w:vAlign w:val="bottom"/>
            <w:hideMark/>
          </w:tcPr>
          <w:p w14:paraId="1ACEC928" w14:textId="64E608C7" w:rsidR="00795A4A" w:rsidRPr="00E627E0" w:rsidRDefault="00795A4A" w:rsidP="005D3490">
            <w:pPr>
              <w:spacing w:after="0" w:line="240" w:lineRule="auto"/>
              <w:rPr>
                <w:rFonts w:cs="Arial"/>
                <w:color w:val="000000"/>
                <w:szCs w:val="22"/>
              </w:rPr>
            </w:pPr>
            <w:r w:rsidRPr="00E627E0">
              <w:rPr>
                <w:rFonts w:cs="Arial"/>
                <w:color w:val="000000"/>
                <w:szCs w:val="22"/>
              </w:rPr>
              <w:t xml:space="preserve">ITT </w:t>
            </w:r>
            <w:r w:rsidR="004B2796">
              <w:rPr>
                <w:rFonts w:cs="Arial"/>
                <w:color w:val="000000"/>
                <w:szCs w:val="22"/>
              </w:rPr>
              <w:t>D</w:t>
            </w:r>
            <w:r>
              <w:rPr>
                <w:rFonts w:cs="Arial"/>
                <w:color w:val="000000"/>
                <w:szCs w:val="22"/>
              </w:rPr>
              <w:t>eadline</w:t>
            </w:r>
          </w:p>
        </w:tc>
        <w:tc>
          <w:tcPr>
            <w:tcW w:w="2977" w:type="dxa"/>
            <w:tcBorders>
              <w:top w:val="nil"/>
              <w:left w:val="nil"/>
              <w:bottom w:val="nil"/>
              <w:right w:val="nil"/>
            </w:tcBorders>
            <w:shd w:val="clear" w:color="auto" w:fill="auto"/>
            <w:noWrap/>
            <w:vAlign w:val="bottom"/>
            <w:hideMark/>
          </w:tcPr>
          <w:p w14:paraId="0A07BAE8" w14:textId="42E4A344" w:rsidR="00795A4A" w:rsidRPr="00E627E0" w:rsidRDefault="004B2796" w:rsidP="005D3490">
            <w:pPr>
              <w:spacing w:after="0" w:line="240" w:lineRule="auto"/>
              <w:jc w:val="right"/>
              <w:rPr>
                <w:rFonts w:cs="Arial"/>
                <w:color w:val="000000"/>
                <w:szCs w:val="22"/>
              </w:rPr>
            </w:pPr>
            <w:r>
              <w:rPr>
                <w:rFonts w:cs="Arial"/>
                <w:color w:val="000000"/>
                <w:szCs w:val="22"/>
              </w:rPr>
              <w:t>31</w:t>
            </w:r>
            <w:r w:rsidRPr="004B2796">
              <w:rPr>
                <w:rFonts w:cs="Arial"/>
                <w:color w:val="000000"/>
                <w:szCs w:val="22"/>
                <w:vertAlign w:val="superscript"/>
              </w:rPr>
              <w:t>st</w:t>
            </w:r>
            <w:r>
              <w:rPr>
                <w:rFonts w:cs="Arial"/>
                <w:color w:val="000000"/>
                <w:szCs w:val="22"/>
              </w:rPr>
              <w:t xml:space="preserve"> January</w:t>
            </w:r>
            <w:r w:rsidR="009C5FE4">
              <w:rPr>
                <w:rFonts w:cs="Arial"/>
                <w:color w:val="000000"/>
                <w:szCs w:val="22"/>
              </w:rPr>
              <w:t xml:space="preserve"> 2018</w:t>
            </w:r>
          </w:p>
        </w:tc>
      </w:tr>
      <w:tr w:rsidR="00795A4A" w:rsidRPr="00E627E0" w14:paraId="552E4484" w14:textId="77777777" w:rsidTr="009C5FE4">
        <w:trPr>
          <w:trHeight w:val="300"/>
        </w:trPr>
        <w:tc>
          <w:tcPr>
            <w:tcW w:w="2268" w:type="dxa"/>
            <w:tcBorders>
              <w:top w:val="nil"/>
              <w:left w:val="nil"/>
              <w:bottom w:val="nil"/>
              <w:right w:val="nil"/>
            </w:tcBorders>
            <w:shd w:val="clear" w:color="auto" w:fill="auto"/>
            <w:noWrap/>
            <w:vAlign w:val="bottom"/>
            <w:hideMark/>
          </w:tcPr>
          <w:p w14:paraId="62CB39C2" w14:textId="77777777" w:rsidR="00795A4A" w:rsidRPr="00E627E0" w:rsidRDefault="00795A4A" w:rsidP="005D3490">
            <w:pPr>
              <w:spacing w:after="0" w:line="240" w:lineRule="auto"/>
              <w:rPr>
                <w:rFonts w:cs="Arial"/>
                <w:color w:val="000000"/>
                <w:szCs w:val="22"/>
              </w:rPr>
            </w:pPr>
            <w:r w:rsidRPr="00E627E0">
              <w:rPr>
                <w:rFonts w:cs="Arial"/>
                <w:color w:val="000000"/>
                <w:szCs w:val="22"/>
              </w:rPr>
              <w:t>ITT Assessment</w:t>
            </w:r>
          </w:p>
        </w:tc>
        <w:tc>
          <w:tcPr>
            <w:tcW w:w="2977" w:type="dxa"/>
            <w:tcBorders>
              <w:top w:val="nil"/>
              <w:left w:val="nil"/>
              <w:bottom w:val="nil"/>
              <w:right w:val="nil"/>
            </w:tcBorders>
            <w:shd w:val="clear" w:color="auto" w:fill="auto"/>
            <w:noWrap/>
            <w:vAlign w:val="bottom"/>
            <w:hideMark/>
          </w:tcPr>
          <w:p w14:paraId="2973A92F" w14:textId="183443BB" w:rsidR="00795A4A" w:rsidRPr="00E627E0" w:rsidRDefault="004B2796" w:rsidP="005D3490">
            <w:pPr>
              <w:spacing w:after="0" w:line="240" w:lineRule="auto"/>
              <w:jc w:val="right"/>
              <w:rPr>
                <w:rFonts w:cs="Arial"/>
                <w:color w:val="000000"/>
                <w:szCs w:val="22"/>
              </w:rPr>
            </w:pPr>
            <w:r>
              <w:rPr>
                <w:rFonts w:cs="Arial"/>
                <w:color w:val="000000"/>
                <w:szCs w:val="22"/>
              </w:rPr>
              <w:t>1</w:t>
            </w:r>
            <w:r w:rsidRPr="004B2796">
              <w:rPr>
                <w:rFonts w:cs="Arial"/>
                <w:color w:val="000000"/>
                <w:szCs w:val="22"/>
                <w:vertAlign w:val="superscript"/>
              </w:rPr>
              <w:t>st</w:t>
            </w:r>
            <w:r>
              <w:rPr>
                <w:rFonts w:cs="Arial"/>
                <w:color w:val="000000"/>
                <w:szCs w:val="22"/>
              </w:rPr>
              <w:t xml:space="preserve"> February</w:t>
            </w:r>
            <w:r w:rsidR="009C5FE4">
              <w:rPr>
                <w:rFonts w:cs="Arial"/>
                <w:color w:val="000000"/>
                <w:szCs w:val="22"/>
              </w:rPr>
              <w:t xml:space="preserve"> 2018</w:t>
            </w:r>
            <w:r>
              <w:rPr>
                <w:rFonts w:cs="Arial"/>
                <w:color w:val="000000"/>
                <w:szCs w:val="22"/>
              </w:rPr>
              <w:t xml:space="preserve"> </w:t>
            </w:r>
          </w:p>
        </w:tc>
      </w:tr>
      <w:tr w:rsidR="00795A4A" w:rsidRPr="00E627E0" w14:paraId="203AEEA6" w14:textId="77777777" w:rsidTr="009C5FE4">
        <w:trPr>
          <w:trHeight w:val="300"/>
        </w:trPr>
        <w:tc>
          <w:tcPr>
            <w:tcW w:w="2268" w:type="dxa"/>
            <w:tcBorders>
              <w:top w:val="nil"/>
              <w:left w:val="nil"/>
              <w:bottom w:val="nil"/>
              <w:right w:val="nil"/>
            </w:tcBorders>
            <w:shd w:val="clear" w:color="auto" w:fill="auto"/>
            <w:noWrap/>
            <w:vAlign w:val="bottom"/>
            <w:hideMark/>
          </w:tcPr>
          <w:p w14:paraId="6B0770FD" w14:textId="7DDC4AE5" w:rsidR="00795A4A" w:rsidRPr="00E627E0" w:rsidRDefault="00D43DE2" w:rsidP="005D3490">
            <w:pPr>
              <w:spacing w:after="0" w:line="240" w:lineRule="auto"/>
              <w:rPr>
                <w:rFonts w:cs="Arial"/>
                <w:color w:val="000000"/>
                <w:szCs w:val="22"/>
              </w:rPr>
            </w:pPr>
            <w:r>
              <w:rPr>
                <w:rFonts w:cs="Arial"/>
                <w:color w:val="000000"/>
                <w:szCs w:val="22"/>
              </w:rPr>
              <w:t>Contract</w:t>
            </w:r>
            <w:r w:rsidR="00795A4A" w:rsidRPr="00E627E0">
              <w:rPr>
                <w:rFonts w:cs="Arial"/>
                <w:color w:val="000000"/>
                <w:szCs w:val="22"/>
              </w:rPr>
              <w:t xml:space="preserve"> Award</w:t>
            </w:r>
          </w:p>
        </w:tc>
        <w:tc>
          <w:tcPr>
            <w:tcW w:w="2977" w:type="dxa"/>
            <w:tcBorders>
              <w:top w:val="nil"/>
              <w:left w:val="nil"/>
              <w:bottom w:val="nil"/>
              <w:right w:val="nil"/>
            </w:tcBorders>
            <w:shd w:val="clear" w:color="auto" w:fill="auto"/>
            <w:noWrap/>
            <w:vAlign w:val="bottom"/>
            <w:hideMark/>
          </w:tcPr>
          <w:p w14:paraId="17868F7A" w14:textId="01F152A2" w:rsidR="00795A4A" w:rsidRPr="00E627E0" w:rsidRDefault="004B2796" w:rsidP="005D3490">
            <w:pPr>
              <w:spacing w:after="0" w:line="240" w:lineRule="auto"/>
              <w:jc w:val="right"/>
              <w:rPr>
                <w:rFonts w:cs="Arial"/>
                <w:color w:val="000000"/>
                <w:szCs w:val="22"/>
              </w:rPr>
            </w:pPr>
            <w:r>
              <w:rPr>
                <w:rFonts w:cs="Arial"/>
                <w:color w:val="000000"/>
                <w:szCs w:val="22"/>
              </w:rPr>
              <w:t>2</w:t>
            </w:r>
            <w:r w:rsidRPr="004B2796">
              <w:rPr>
                <w:rFonts w:cs="Arial"/>
                <w:color w:val="000000"/>
                <w:szCs w:val="22"/>
                <w:vertAlign w:val="superscript"/>
              </w:rPr>
              <w:t>nd</w:t>
            </w:r>
            <w:r>
              <w:rPr>
                <w:rFonts w:cs="Arial"/>
                <w:color w:val="000000"/>
                <w:szCs w:val="22"/>
              </w:rPr>
              <w:t xml:space="preserve"> February</w:t>
            </w:r>
            <w:r w:rsidR="009C5FE4">
              <w:rPr>
                <w:rFonts w:cs="Arial"/>
                <w:color w:val="000000"/>
                <w:szCs w:val="22"/>
              </w:rPr>
              <w:t xml:space="preserve"> 2018</w:t>
            </w:r>
          </w:p>
        </w:tc>
      </w:tr>
    </w:tbl>
    <w:p w14:paraId="67948C00" w14:textId="77777777" w:rsidR="004A600B" w:rsidRPr="004A600B" w:rsidRDefault="004A600B" w:rsidP="005E0BBB">
      <w:pPr>
        <w:pStyle w:val="Heading2"/>
        <w:jc w:val="both"/>
      </w:pPr>
      <w:r w:rsidRPr="004A600B">
        <w:lastRenderedPageBreak/>
        <w:t>Assessment criteria</w:t>
      </w:r>
    </w:p>
    <w:p w14:paraId="23A4CE2F" w14:textId="44B36D47" w:rsidR="00F2559D" w:rsidRDefault="00F2559D" w:rsidP="00F2559D">
      <w:r>
        <w:t xml:space="preserve">Bids will be </w:t>
      </w:r>
      <w:r w:rsidR="00A13464">
        <w:t>graded</w:t>
      </w:r>
      <w:r>
        <w:t xml:space="preserve"> on a scale of 1-5 against the following criteria, </w:t>
      </w:r>
      <w:r w:rsidR="00A13464">
        <w:t>weighted as indicated below:</w:t>
      </w:r>
      <w:r>
        <w:t xml:space="preserve"> </w:t>
      </w:r>
    </w:p>
    <w:tbl>
      <w:tblPr>
        <w:tblStyle w:val="TableGrid"/>
        <w:tblW w:w="0" w:type="auto"/>
        <w:tblLook w:val="04A0" w:firstRow="1" w:lastRow="0" w:firstColumn="1" w:lastColumn="0" w:noHBand="0" w:noVBand="1"/>
      </w:tblPr>
      <w:tblGrid>
        <w:gridCol w:w="3978"/>
        <w:gridCol w:w="4484"/>
        <w:gridCol w:w="1280"/>
      </w:tblGrid>
      <w:tr w:rsidR="009C5FE4" w14:paraId="7BF763B8" w14:textId="77777777" w:rsidTr="004B2796">
        <w:tc>
          <w:tcPr>
            <w:tcW w:w="4248" w:type="dxa"/>
          </w:tcPr>
          <w:p w14:paraId="3043B973" w14:textId="3D1DDCA3" w:rsidR="009C5FE4" w:rsidRPr="009C5FE4" w:rsidRDefault="009C5FE4" w:rsidP="004B2796">
            <w:pPr>
              <w:pStyle w:val="BodyTextIndent"/>
              <w:tabs>
                <w:tab w:val="left" w:pos="6120"/>
              </w:tabs>
              <w:ind w:left="0"/>
              <w:rPr>
                <w:b/>
              </w:rPr>
            </w:pPr>
            <w:r w:rsidRPr="009C5FE4">
              <w:rPr>
                <w:b/>
              </w:rPr>
              <w:t>Criterion</w:t>
            </w:r>
          </w:p>
        </w:tc>
        <w:tc>
          <w:tcPr>
            <w:tcW w:w="4819" w:type="dxa"/>
          </w:tcPr>
          <w:p w14:paraId="312E41DA" w14:textId="5D287EC2" w:rsidR="009C5FE4" w:rsidRPr="009C5FE4" w:rsidRDefault="009C5FE4" w:rsidP="005D3490">
            <w:pPr>
              <w:rPr>
                <w:b/>
              </w:rPr>
            </w:pPr>
            <w:r w:rsidRPr="009C5FE4">
              <w:rPr>
                <w:b/>
              </w:rPr>
              <w:t>Desc</w:t>
            </w:r>
            <w:r w:rsidR="00DE17B9">
              <w:rPr>
                <w:b/>
              </w:rPr>
              <w:t>r</w:t>
            </w:r>
            <w:r w:rsidRPr="009C5FE4">
              <w:rPr>
                <w:b/>
              </w:rPr>
              <w:t>iption</w:t>
            </w:r>
          </w:p>
        </w:tc>
        <w:tc>
          <w:tcPr>
            <w:tcW w:w="675" w:type="dxa"/>
          </w:tcPr>
          <w:p w14:paraId="56A11033" w14:textId="59D8886D" w:rsidR="009C5FE4" w:rsidRPr="009C5FE4" w:rsidRDefault="009C5FE4" w:rsidP="00F2559D">
            <w:pPr>
              <w:rPr>
                <w:b/>
              </w:rPr>
            </w:pPr>
            <w:r w:rsidRPr="009C5FE4">
              <w:rPr>
                <w:b/>
              </w:rPr>
              <w:t>Weighting</w:t>
            </w:r>
          </w:p>
        </w:tc>
      </w:tr>
      <w:tr w:rsidR="009C3BD4" w14:paraId="6D6EEEDE" w14:textId="77777777" w:rsidTr="004B2796">
        <w:tc>
          <w:tcPr>
            <w:tcW w:w="4248" w:type="dxa"/>
          </w:tcPr>
          <w:p w14:paraId="4DF15B2D" w14:textId="77777777" w:rsidR="009C3BD4" w:rsidRPr="004B2796" w:rsidRDefault="009C3BD4" w:rsidP="004B2796">
            <w:pPr>
              <w:pStyle w:val="BodyTextIndent"/>
              <w:tabs>
                <w:tab w:val="left" w:pos="6120"/>
              </w:tabs>
              <w:ind w:left="0"/>
            </w:pPr>
            <w:r w:rsidRPr="004B2796">
              <w:t>Evidence of relevant methodological experience</w:t>
            </w:r>
          </w:p>
        </w:tc>
        <w:tc>
          <w:tcPr>
            <w:tcW w:w="4819" w:type="dxa"/>
          </w:tcPr>
          <w:p w14:paraId="3F43BD97" w14:textId="77777777" w:rsidR="009C3BD4" w:rsidRDefault="009C3BD4" w:rsidP="007D13E9">
            <w:r>
              <w:t>Experience of having delivered similar evaluations, and/or of applying the identified methodologies in similar contexts. We are also interested in examples of bidders applying innovative evaluation methods that could have application in this context.</w:t>
            </w:r>
          </w:p>
        </w:tc>
        <w:tc>
          <w:tcPr>
            <w:tcW w:w="675" w:type="dxa"/>
          </w:tcPr>
          <w:p w14:paraId="24CD2771" w14:textId="77777777" w:rsidR="009C3BD4" w:rsidRDefault="009C3BD4" w:rsidP="00F2559D">
            <w:r>
              <w:t>50%</w:t>
            </w:r>
          </w:p>
        </w:tc>
      </w:tr>
      <w:tr w:rsidR="009C3BD4" w14:paraId="1CB83402" w14:textId="77777777" w:rsidTr="004B2796">
        <w:tc>
          <w:tcPr>
            <w:tcW w:w="4248" w:type="dxa"/>
          </w:tcPr>
          <w:p w14:paraId="53CEAC2A" w14:textId="77777777" w:rsidR="009C3BD4" w:rsidRDefault="009C3BD4" w:rsidP="00F2559D">
            <w:r>
              <w:t>Understanding of project requirements and policy context</w:t>
            </w:r>
          </w:p>
        </w:tc>
        <w:tc>
          <w:tcPr>
            <w:tcW w:w="4819" w:type="dxa"/>
          </w:tcPr>
          <w:p w14:paraId="3AAFA84A" w14:textId="77777777" w:rsidR="009C3BD4" w:rsidRDefault="009C3BD4" w:rsidP="005D3490">
            <w:r>
              <w:t>Demonstration of a strong understanding of policy aims and objectives, how successful delivery of projects will accomplish these, and of the role of evaluation.</w:t>
            </w:r>
          </w:p>
        </w:tc>
        <w:tc>
          <w:tcPr>
            <w:tcW w:w="675" w:type="dxa"/>
          </w:tcPr>
          <w:p w14:paraId="7FD80156" w14:textId="77777777" w:rsidR="009C3BD4" w:rsidRDefault="009C3BD4" w:rsidP="00F2559D">
            <w:r>
              <w:t>25%</w:t>
            </w:r>
          </w:p>
        </w:tc>
      </w:tr>
      <w:tr w:rsidR="009C3BD4" w14:paraId="62EF72B7" w14:textId="77777777" w:rsidTr="004B2796">
        <w:tc>
          <w:tcPr>
            <w:tcW w:w="4248" w:type="dxa"/>
          </w:tcPr>
          <w:p w14:paraId="61AFFCA1" w14:textId="77777777" w:rsidR="009C3BD4" w:rsidRDefault="009C3BD4" w:rsidP="00F2559D">
            <w:r>
              <w:t>Value for money</w:t>
            </w:r>
          </w:p>
        </w:tc>
        <w:tc>
          <w:tcPr>
            <w:tcW w:w="4819" w:type="dxa"/>
          </w:tcPr>
          <w:p w14:paraId="377B8667" w14:textId="77777777" w:rsidR="009C3BD4" w:rsidRDefault="009C3BD4" w:rsidP="009C3BD4">
            <w:r>
              <w:t>Evidence that the proposal will be efficient, effective and economical.</w:t>
            </w:r>
          </w:p>
        </w:tc>
        <w:tc>
          <w:tcPr>
            <w:tcW w:w="675" w:type="dxa"/>
          </w:tcPr>
          <w:p w14:paraId="18DFF610" w14:textId="77777777" w:rsidR="009C3BD4" w:rsidRDefault="009C3BD4" w:rsidP="00F2559D">
            <w:r>
              <w:t>15%</w:t>
            </w:r>
          </w:p>
        </w:tc>
      </w:tr>
      <w:tr w:rsidR="009C3BD4" w14:paraId="28C026AE" w14:textId="77777777" w:rsidTr="004B2796">
        <w:tc>
          <w:tcPr>
            <w:tcW w:w="4248" w:type="dxa"/>
          </w:tcPr>
          <w:p w14:paraId="1710CB72" w14:textId="77777777" w:rsidR="009C3BD4" w:rsidRDefault="009C3BD4" w:rsidP="00F2559D">
            <w:r>
              <w:t>Capacity to carry out work</w:t>
            </w:r>
          </w:p>
        </w:tc>
        <w:tc>
          <w:tcPr>
            <w:tcW w:w="4819" w:type="dxa"/>
          </w:tcPr>
          <w:p w14:paraId="7A599CA4" w14:textId="77777777" w:rsidR="009C3BD4" w:rsidRDefault="009C3BD4" w:rsidP="007D13E9">
            <w:r>
              <w:t>Ability to complete the required work, i.e., in employing or intending to recruit appropriately skilled staff.</w:t>
            </w:r>
          </w:p>
        </w:tc>
        <w:tc>
          <w:tcPr>
            <w:tcW w:w="675" w:type="dxa"/>
          </w:tcPr>
          <w:p w14:paraId="5ADB43AD" w14:textId="77777777" w:rsidR="009C3BD4" w:rsidRDefault="009C3BD4" w:rsidP="00F2559D">
            <w:r>
              <w:t>10%</w:t>
            </w:r>
          </w:p>
        </w:tc>
      </w:tr>
    </w:tbl>
    <w:p w14:paraId="151E4C28" w14:textId="0AF9BA27" w:rsidR="00915C18" w:rsidRDefault="00915C18" w:rsidP="00F2559D"/>
    <w:p w14:paraId="2BB4BC3E" w14:textId="1A66D54B" w:rsidR="00A13464" w:rsidRPr="00F60002" w:rsidRDefault="00A13464" w:rsidP="00F2559D">
      <w:pPr>
        <w:rPr>
          <w:u w:val="single"/>
        </w:rPr>
      </w:pPr>
      <w:r w:rsidRPr="00A13464">
        <w:rPr>
          <w:u w:val="single"/>
        </w:rPr>
        <w:t>Submitted EoIs should be no more than 1,500 words</w:t>
      </w:r>
      <w:r>
        <w:rPr>
          <w:u w:val="single"/>
        </w:rPr>
        <w:t xml:space="preserve"> in length</w:t>
      </w:r>
      <w:r w:rsidRPr="00A13464">
        <w:rPr>
          <w:u w:val="single"/>
        </w:rPr>
        <w: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04B382E5"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65C60E4" w14:textId="015DDB35" w:rsidR="00915C18" w:rsidRDefault="00915C18" w:rsidP="005E0BBB">
            <w:pPr>
              <w:spacing w:before="160"/>
              <w:jc w:val="both"/>
              <w:rPr>
                <w:b/>
                <w:bCs/>
                <w:sz w:val="28"/>
                <w:szCs w:val="20"/>
              </w:rPr>
            </w:pPr>
            <w:r w:rsidRPr="00915C18">
              <w:rPr>
                <w:b/>
                <w:bCs/>
                <w:sz w:val="28"/>
                <w:szCs w:val="20"/>
              </w:rPr>
              <w:t>Closing date for EOIs:</w:t>
            </w:r>
            <w:r w:rsidR="005008C3">
              <w:rPr>
                <w:b/>
                <w:bCs/>
                <w:sz w:val="28"/>
                <w:szCs w:val="20"/>
              </w:rPr>
              <w:t xml:space="preserve"> 19</w:t>
            </w:r>
            <w:r w:rsidR="005008C3" w:rsidRPr="005008C3">
              <w:rPr>
                <w:b/>
                <w:bCs/>
                <w:sz w:val="28"/>
                <w:szCs w:val="20"/>
                <w:vertAlign w:val="superscript"/>
              </w:rPr>
              <w:t>th</w:t>
            </w:r>
            <w:r w:rsidR="005008C3">
              <w:rPr>
                <w:b/>
                <w:bCs/>
                <w:sz w:val="28"/>
                <w:szCs w:val="20"/>
              </w:rPr>
              <w:t xml:space="preserve"> December 2017</w:t>
            </w:r>
          </w:p>
          <w:p w14:paraId="60FDD3CE" w14:textId="36A5BD1C" w:rsidR="00A85EBD" w:rsidRDefault="00915C18" w:rsidP="005008C3">
            <w:pPr>
              <w:rPr>
                <w:rFonts w:ascii="Calibri" w:hAnsi="Calibri"/>
              </w:rPr>
            </w:pPr>
            <w:r w:rsidRPr="00915C18">
              <w:rPr>
                <w:b/>
                <w:bCs/>
                <w:sz w:val="28"/>
                <w:szCs w:val="20"/>
              </w:rPr>
              <w:t>Send your EOI form to:</w:t>
            </w:r>
            <w:r w:rsidR="005008C3">
              <w:rPr>
                <w:b/>
                <w:bCs/>
                <w:sz w:val="28"/>
                <w:szCs w:val="20"/>
              </w:rPr>
              <w:t xml:space="preserve"> Lauren Probert (lauren.probert@education.gov.uk)</w:t>
            </w:r>
          </w:p>
        </w:tc>
      </w:tr>
    </w:tbl>
    <w:p w14:paraId="75B144BC" w14:textId="77777777" w:rsidR="00FC2B3C" w:rsidRDefault="00FC2B3C" w:rsidP="005E0BBB">
      <w:pPr>
        <w:pStyle w:val="EndBox"/>
        <w:jc w:val="both"/>
      </w:pPr>
    </w:p>
    <w:p w14:paraId="2CA6CD52" w14:textId="09150C59" w:rsidR="00915C18" w:rsidRPr="003E05F9" w:rsidRDefault="00094338" w:rsidP="005E0BBB">
      <w:pPr>
        <w:pStyle w:val="Heading2"/>
        <w:jc w:val="both"/>
      </w:pPr>
      <w:r>
        <w:t>H</w:t>
      </w:r>
      <w:r w:rsidR="00915C18" w:rsidRPr="003E05F9">
        <w:t xml:space="preserve">ow to submit an </w:t>
      </w:r>
      <w:r w:rsidRPr="00094338">
        <w:t>e</w:t>
      </w:r>
      <w:r w:rsidR="008420D7">
        <w:t>x</w:t>
      </w:r>
      <w:r w:rsidR="00C4330D">
        <w:t>pression</w:t>
      </w:r>
      <w:r w:rsidRPr="00094338">
        <w:t xml:space="preserve"> of interest</w:t>
      </w:r>
    </w:p>
    <w:p w14:paraId="161F815B" w14:textId="77777777" w:rsidR="00814CCF" w:rsidRDefault="00814CCF" w:rsidP="005E0BBB">
      <w:pPr>
        <w:jc w:val="both"/>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4049D415" w14:textId="43519716" w:rsidR="005A0891" w:rsidRDefault="00814CCF" w:rsidP="005E0BBB">
      <w:pPr>
        <w:jc w:val="both"/>
      </w:pPr>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2C1DF931" w14:textId="77777777" w:rsidR="00E44385" w:rsidRDefault="00E44385" w:rsidP="005E0BBB">
      <w:pPr>
        <w:jc w:val="both"/>
      </w:pPr>
    </w:p>
    <w:p w14:paraId="6B5A08EF" w14:textId="54CC5AEF" w:rsidR="005D3B59" w:rsidRPr="00531385" w:rsidRDefault="00C2496D" w:rsidP="005E0BBB">
      <w:pPr>
        <w:jc w:val="both"/>
      </w:pPr>
      <w:r w:rsidRPr="00995398">
        <w:t>©</w:t>
      </w:r>
      <w:r w:rsidR="005D3B59" w:rsidRPr="005D3B59">
        <w:t xml:space="preserve"> </w:t>
      </w:r>
      <w:r w:rsidR="00EE71A2">
        <w:t xml:space="preserve">Crown copyright </w:t>
      </w:r>
      <w:r w:rsidR="005008C3">
        <w:t>2017</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1E2DD" w14:textId="77777777" w:rsidR="00CB6BD6" w:rsidRDefault="00CB6BD6" w:rsidP="002B6D93">
      <w:r>
        <w:separator/>
      </w:r>
    </w:p>
    <w:p w14:paraId="0ED911FB" w14:textId="77777777" w:rsidR="00CB6BD6" w:rsidRDefault="00CB6BD6"/>
  </w:endnote>
  <w:endnote w:type="continuationSeparator" w:id="0">
    <w:p w14:paraId="0D6B0C85" w14:textId="77777777" w:rsidR="00CB6BD6" w:rsidRDefault="00CB6BD6" w:rsidP="002B6D93">
      <w:r>
        <w:continuationSeparator/>
      </w:r>
    </w:p>
    <w:p w14:paraId="5ECBF240" w14:textId="77777777" w:rsidR="00CB6BD6" w:rsidRDefault="00CB6BD6"/>
  </w:endnote>
  <w:endnote w:type="continuationNotice" w:id="1">
    <w:p w14:paraId="5976FD19" w14:textId="77777777" w:rsidR="00CB6BD6" w:rsidRDefault="00CB6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395D1F71" w14:textId="36837D3A" w:rsidR="002200BB" w:rsidRDefault="002200BB"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C3603">
          <w:rPr>
            <w:noProof/>
          </w:rPr>
          <w:t>2</w:t>
        </w:r>
        <w:r>
          <w:rPr>
            <w:noProof/>
          </w:rPr>
          <w:fldChar w:fldCharType="end"/>
        </w:r>
      </w:p>
    </w:sdtContent>
  </w:sdt>
  <w:p w14:paraId="448BF93C" w14:textId="77777777" w:rsidR="002200BB" w:rsidRDefault="002200B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0381E" w14:textId="4E3CD494" w:rsidR="002200BB" w:rsidRPr="006E6ADB" w:rsidRDefault="002200BB" w:rsidP="004A3626">
    <w:pPr>
      <w:tabs>
        <w:tab w:val="left" w:pos="7088"/>
      </w:tabs>
      <w:spacing w:before="240"/>
      <w:rPr>
        <w:szCs w:val="20"/>
      </w:rPr>
    </w:pPr>
    <w:r w:rsidRPr="006E6ADB">
      <w:rPr>
        <w:szCs w:val="20"/>
      </w:rPr>
      <w:tab/>
      <w:t xml:space="preserve">Published: </w:t>
    </w:r>
    <w:r>
      <w:rPr>
        <w:szCs w:val="20"/>
      </w:rPr>
      <w:fldChar w:fldCharType="begin"/>
    </w:r>
    <w:r>
      <w:rPr>
        <w:szCs w:val="20"/>
      </w:rPr>
      <w:instrText xml:space="preserve"> DATE \@ "MMMM yy" </w:instrText>
    </w:r>
    <w:r>
      <w:rPr>
        <w:szCs w:val="20"/>
      </w:rPr>
      <w:fldChar w:fldCharType="separate"/>
    </w:r>
    <w:r w:rsidR="001C3603">
      <w:rPr>
        <w:noProof/>
        <w:szCs w:val="20"/>
      </w:rPr>
      <w:t>December 17</w:t>
    </w:r>
    <w:r>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BF5C6" w14:textId="77777777" w:rsidR="00CB6BD6" w:rsidRDefault="00CB6BD6" w:rsidP="002B6D93">
      <w:r>
        <w:separator/>
      </w:r>
    </w:p>
    <w:p w14:paraId="5040693F" w14:textId="77777777" w:rsidR="00CB6BD6" w:rsidRDefault="00CB6BD6"/>
  </w:footnote>
  <w:footnote w:type="continuationSeparator" w:id="0">
    <w:p w14:paraId="2999D5A1" w14:textId="77777777" w:rsidR="00CB6BD6" w:rsidRDefault="00CB6BD6" w:rsidP="002B6D93">
      <w:r>
        <w:continuationSeparator/>
      </w:r>
    </w:p>
    <w:p w14:paraId="0DA55590" w14:textId="77777777" w:rsidR="00CB6BD6" w:rsidRDefault="00CB6BD6"/>
  </w:footnote>
  <w:footnote w:type="continuationNotice" w:id="1">
    <w:p w14:paraId="3D946C3F" w14:textId="77777777" w:rsidR="00CB6BD6" w:rsidRDefault="00CB6B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757"/>
        </w:tabs>
        <w:ind w:left="-757"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2E60597"/>
    <w:multiLevelType w:val="hybridMultilevel"/>
    <w:tmpl w:val="388CB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E3092"/>
    <w:multiLevelType w:val="hybridMultilevel"/>
    <w:tmpl w:val="FACA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770C9D"/>
    <w:multiLevelType w:val="hybridMultilevel"/>
    <w:tmpl w:val="6E482DA8"/>
    <w:lvl w:ilvl="0" w:tplc="96A81540">
      <w:start w:val="1"/>
      <w:numFmt w:val="decimal"/>
      <w:lvlText w:val="%1."/>
      <w:lvlJc w:val="left"/>
      <w:pPr>
        <w:ind w:left="720" w:hanging="360"/>
      </w:pPr>
      <w:rPr>
        <w:rFonts w:ascii="Arial" w:hAnsi="Arial" w:cs="Arial" w:hint="default"/>
        <w:b w:val="0"/>
      </w:rPr>
    </w:lvl>
    <w:lvl w:ilvl="1" w:tplc="08090001">
      <w:start w:val="1"/>
      <w:numFmt w:val="bullet"/>
      <w:lvlText w:val=""/>
      <w:lvlJc w:val="left"/>
      <w:pPr>
        <w:ind w:left="785" w:hanging="360"/>
      </w:pPr>
      <w:rPr>
        <w:rFonts w:ascii="Symbol" w:hAnsi="Symbo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D4149C"/>
    <w:multiLevelType w:val="hybridMultilevel"/>
    <w:tmpl w:val="D7AC8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0"/>
  </w:num>
  <w:num w:numId="5">
    <w:abstractNumId w:val="7"/>
  </w:num>
  <w:num w:numId="6">
    <w:abstractNumId w:val="13"/>
  </w:num>
  <w:num w:numId="7">
    <w:abstractNumId w:val="3"/>
  </w:num>
  <w:num w:numId="8">
    <w:abstractNumId w:val="1"/>
  </w:num>
  <w:num w:numId="9">
    <w:abstractNumId w:val="0"/>
  </w:num>
  <w:num w:numId="10">
    <w:abstractNumId w:val="14"/>
  </w:num>
  <w:num w:numId="11">
    <w:abstractNumId w:val="13"/>
  </w:num>
  <w:num w:numId="12">
    <w:abstractNumId w:val="1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6"/>
  </w:num>
  <w:num w:numId="20">
    <w:abstractNumId w:val="15"/>
  </w:num>
  <w:num w:numId="21">
    <w:abstractNumId w:val="12"/>
  </w:num>
  <w:num w:numId="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1D47"/>
    <w:rsid w:val="00012381"/>
    <w:rsid w:val="00013A6E"/>
    <w:rsid w:val="00017D44"/>
    <w:rsid w:val="0002203B"/>
    <w:rsid w:val="00031F36"/>
    <w:rsid w:val="0004046C"/>
    <w:rsid w:val="000442BD"/>
    <w:rsid w:val="00057100"/>
    <w:rsid w:val="00061451"/>
    <w:rsid w:val="00061F79"/>
    <w:rsid w:val="00065E86"/>
    <w:rsid w:val="00066B1C"/>
    <w:rsid w:val="000706E5"/>
    <w:rsid w:val="0007140C"/>
    <w:rsid w:val="000720CD"/>
    <w:rsid w:val="00083A73"/>
    <w:rsid w:val="00087E36"/>
    <w:rsid w:val="0009311C"/>
    <w:rsid w:val="00094338"/>
    <w:rsid w:val="00097583"/>
    <w:rsid w:val="00097EEC"/>
    <w:rsid w:val="000A10F4"/>
    <w:rsid w:val="000A7C9F"/>
    <w:rsid w:val="000B0D5E"/>
    <w:rsid w:val="000B3DE0"/>
    <w:rsid w:val="000B7C05"/>
    <w:rsid w:val="000C1366"/>
    <w:rsid w:val="000C3ED9"/>
    <w:rsid w:val="000C4C02"/>
    <w:rsid w:val="000C69C0"/>
    <w:rsid w:val="000D1D30"/>
    <w:rsid w:val="000D4433"/>
    <w:rsid w:val="000E3350"/>
    <w:rsid w:val="000E44D3"/>
    <w:rsid w:val="000F4119"/>
    <w:rsid w:val="000F7025"/>
    <w:rsid w:val="000F73F3"/>
    <w:rsid w:val="001035FD"/>
    <w:rsid w:val="00103E77"/>
    <w:rsid w:val="00105446"/>
    <w:rsid w:val="00112BF0"/>
    <w:rsid w:val="0011494F"/>
    <w:rsid w:val="00121112"/>
    <w:rsid w:val="00121C6C"/>
    <w:rsid w:val="001229F6"/>
    <w:rsid w:val="001264D9"/>
    <w:rsid w:val="001272A9"/>
    <w:rsid w:val="00127CAA"/>
    <w:rsid w:val="00133075"/>
    <w:rsid w:val="00137285"/>
    <w:rsid w:val="001379B5"/>
    <w:rsid w:val="00144077"/>
    <w:rsid w:val="00147214"/>
    <w:rsid w:val="00147697"/>
    <w:rsid w:val="001534B2"/>
    <w:rsid w:val="00153AD7"/>
    <w:rsid w:val="001540AB"/>
    <w:rsid w:val="001612C8"/>
    <w:rsid w:val="001747E2"/>
    <w:rsid w:val="00176EB9"/>
    <w:rsid w:val="0017793A"/>
    <w:rsid w:val="001853AB"/>
    <w:rsid w:val="001902F5"/>
    <w:rsid w:val="00190C3A"/>
    <w:rsid w:val="001928C2"/>
    <w:rsid w:val="00196306"/>
    <w:rsid w:val="001975D1"/>
    <w:rsid w:val="001A3A04"/>
    <w:rsid w:val="001A5385"/>
    <w:rsid w:val="001B0FE9"/>
    <w:rsid w:val="001B2AE2"/>
    <w:rsid w:val="001B4452"/>
    <w:rsid w:val="001B5C15"/>
    <w:rsid w:val="001B6E32"/>
    <w:rsid w:val="001B796F"/>
    <w:rsid w:val="001C3603"/>
    <w:rsid w:val="001C4E78"/>
    <w:rsid w:val="001C5A63"/>
    <w:rsid w:val="001C5EB6"/>
    <w:rsid w:val="001C78F7"/>
    <w:rsid w:val="001D0783"/>
    <w:rsid w:val="001D5770"/>
    <w:rsid w:val="001E1F23"/>
    <w:rsid w:val="001E3D8A"/>
    <w:rsid w:val="001E74C9"/>
    <w:rsid w:val="001F1B30"/>
    <w:rsid w:val="001F2CE2"/>
    <w:rsid w:val="001F5068"/>
    <w:rsid w:val="00203A46"/>
    <w:rsid w:val="00203EC9"/>
    <w:rsid w:val="002113CF"/>
    <w:rsid w:val="002200BB"/>
    <w:rsid w:val="00221C3A"/>
    <w:rsid w:val="0022255C"/>
    <w:rsid w:val="0022489D"/>
    <w:rsid w:val="002262F3"/>
    <w:rsid w:val="00230559"/>
    <w:rsid w:val="002332F8"/>
    <w:rsid w:val="00234F75"/>
    <w:rsid w:val="00240F4B"/>
    <w:rsid w:val="002500E4"/>
    <w:rsid w:val="002575C5"/>
    <w:rsid w:val="002639B5"/>
    <w:rsid w:val="00271145"/>
    <w:rsid w:val="0027231C"/>
    <w:rsid w:val="0027252F"/>
    <w:rsid w:val="00273DA2"/>
    <w:rsid w:val="00281DFC"/>
    <w:rsid w:val="002839B5"/>
    <w:rsid w:val="00287788"/>
    <w:rsid w:val="00291947"/>
    <w:rsid w:val="0029236B"/>
    <w:rsid w:val="0029592D"/>
    <w:rsid w:val="002A28F7"/>
    <w:rsid w:val="002A3153"/>
    <w:rsid w:val="002A5858"/>
    <w:rsid w:val="002B03B4"/>
    <w:rsid w:val="002B6D93"/>
    <w:rsid w:val="002C34D4"/>
    <w:rsid w:val="002C3AA4"/>
    <w:rsid w:val="002C3E61"/>
    <w:rsid w:val="002D119D"/>
    <w:rsid w:val="002D2922"/>
    <w:rsid w:val="002E0D36"/>
    <w:rsid w:val="002E463F"/>
    <w:rsid w:val="002E4E9A"/>
    <w:rsid w:val="002E4EFA"/>
    <w:rsid w:val="002E508B"/>
    <w:rsid w:val="002E53DF"/>
    <w:rsid w:val="002E5F9F"/>
    <w:rsid w:val="002E7849"/>
    <w:rsid w:val="002F7128"/>
    <w:rsid w:val="00300F99"/>
    <w:rsid w:val="00321DA5"/>
    <w:rsid w:val="00331FA2"/>
    <w:rsid w:val="00332FFE"/>
    <w:rsid w:val="00334839"/>
    <w:rsid w:val="00342F8B"/>
    <w:rsid w:val="00361752"/>
    <w:rsid w:val="00362385"/>
    <w:rsid w:val="003631EF"/>
    <w:rsid w:val="00363AFD"/>
    <w:rsid w:val="00365EC4"/>
    <w:rsid w:val="00374981"/>
    <w:rsid w:val="003751B6"/>
    <w:rsid w:val="003810D8"/>
    <w:rsid w:val="003853A4"/>
    <w:rsid w:val="0039725F"/>
    <w:rsid w:val="003A1CC2"/>
    <w:rsid w:val="003C60B5"/>
    <w:rsid w:val="003D1EFE"/>
    <w:rsid w:val="003E1329"/>
    <w:rsid w:val="003E3ED2"/>
    <w:rsid w:val="003E505E"/>
    <w:rsid w:val="003F5E68"/>
    <w:rsid w:val="00400E1D"/>
    <w:rsid w:val="00403D1C"/>
    <w:rsid w:val="00412F1B"/>
    <w:rsid w:val="004143C5"/>
    <w:rsid w:val="00415D93"/>
    <w:rsid w:val="004216FF"/>
    <w:rsid w:val="004242C5"/>
    <w:rsid w:val="004339FB"/>
    <w:rsid w:val="00441B1E"/>
    <w:rsid w:val="004509BE"/>
    <w:rsid w:val="00456560"/>
    <w:rsid w:val="00470223"/>
    <w:rsid w:val="0047665F"/>
    <w:rsid w:val="004775EB"/>
    <w:rsid w:val="004866AD"/>
    <w:rsid w:val="004A0C01"/>
    <w:rsid w:val="004A3626"/>
    <w:rsid w:val="004A3E98"/>
    <w:rsid w:val="004A600B"/>
    <w:rsid w:val="004B08AC"/>
    <w:rsid w:val="004B1990"/>
    <w:rsid w:val="004B2796"/>
    <w:rsid w:val="004C5600"/>
    <w:rsid w:val="004D13A3"/>
    <w:rsid w:val="004D1B1A"/>
    <w:rsid w:val="004D73C6"/>
    <w:rsid w:val="004E4966"/>
    <w:rsid w:val="004E5405"/>
    <w:rsid w:val="004E6CD9"/>
    <w:rsid w:val="004E6E91"/>
    <w:rsid w:val="004F20E3"/>
    <w:rsid w:val="004F211A"/>
    <w:rsid w:val="004F3159"/>
    <w:rsid w:val="004F4AEF"/>
    <w:rsid w:val="004F6C7D"/>
    <w:rsid w:val="005008C3"/>
    <w:rsid w:val="00506F5D"/>
    <w:rsid w:val="00511064"/>
    <w:rsid w:val="005113F4"/>
    <w:rsid w:val="005166E3"/>
    <w:rsid w:val="005247AD"/>
    <w:rsid w:val="00527FA1"/>
    <w:rsid w:val="005323C4"/>
    <w:rsid w:val="0053446F"/>
    <w:rsid w:val="005360B7"/>
    <w:rsid w:val="005362AE"/>
    <w:rsid w:val="00536E0B"/>
    <w:rsid w:val="005535E5"/>
    <w:rsid w:val="00560451"/>
    <w:rsid w:val="00562354"/>
    <w:rsid w:val="0057250B"/>
    <w:rsid w:val="00574294"/>
    <w:rsid w:val="005749C5"/>
    <w:rsid w:val="0057670A"/>
    <w:rsid w:val="00577DC4"/>
    <w:rsid w:val="00581D79"/>
    <w:rsid w:val="00583678"/>
    <w:rsid w:val="005905B1"/>
    <w:rsid w:val="005914F1"/>
    <w:rsid w:val="005946C7"/>
    <w:rsid w:val="005A016F"/>
    <w:rsid w:val="005A07FF"/>
    <w:rsid w:val="005A0891"/>
    <w:rsid w:val="005A1F3A"/>
    <w:rsid w:val="005A22AD"/>
    <w:rsid w:val="005A6613"/>
    <w:rsid w:val="005B3745"/>
    <w:rsid w:val="005C0B41"/>
    <w:rsid w:val="005C1770"/>
    <w:rsid w:val="005C2D94"/>
    <w:rsid w:val="005C657D"/>
    <w:rsid w:val="005D3490"/>
    <w:rsid w:val="005D3B59"/>
    <w:rsid w:val="005E0BBB"/>
    <w:rsid w:val="005E1CE4"/>
    <w:rsid w:val="005E3024"/>
    <w:rsid w:val="005F107C"/>
    <w:rsid w:val="006028F7"/>
    <w:rsid w:val="00602DED"/>
    <w:rsid w:val="0060702F"/>
    <w:rsid w:val="006108B3"/>
    <w:rsid w:val="00613157"/>
    <w:rsid w:val="00613420"/>
    <w:rsid w:val="00622501"/>
    <w:rsid w:val="006237FB"/>
    <w:rsid w:val="0062451E"/>
    <w:rsid w:val="00632E77"/>
    <w:rsid w:val="00635D57"/>
    <w:rsid w:val="00640032"/>
    <w:rsid w:val="006418B2"/>
    <w:rsid w:val="00642404"/>
    <w:rsid w:val="00647EFA"/>
    <w:rsid w:val="00652973"/>
    <w:rsid w:val="00653AA1"/>
    <w:rsid w:val="00654B97"/>
    <w:rsid w:val="00654FB2"/>
    <w:rsid w:val="006558CA"/>
    <w:rsid w:val="00657E79"/>
    <w:rsid w:val="006606F5"/>
    <w:rsid w:val="00663667"/>
    <w:rsid w:val="00670ADC"/>
    <w:rsid w:val="00671410"/>
    <w:rsid w:val="0067185E"/>
    <w:rsid w:val="00671D5B"/>
    <w:rsid w:val="006775FA"/>
    <w:rsid w:val="006834F6"/>
    <w:rsid w:val="00684973"/>
    <w:rsid w:val="00684A28"/>
    <w:rsid w:val="0068544D"/>
    <w:rsid w:val="006955E7"/>
    <w:rsid w:val="00695D08"/>
    <w:rsid w:val="006A27AA"/>
    <w:rsid w:val="006A3602"/>
    <w:rsid w:val="006B0A46"/>
    <w:rsid w:val="006B1F9F"/>
    <w:rsid w:val="006C382D"/>
    <w:rsid w:val="006D1162"/>
    <w:rsid w:val="006D5391"/>
    <w:rsid w:val="006E5365"/>
    <w:rsid w:val="006E6ADB"/>
    <w:rsid w:val="006E6FD0"/>
    <w:rsid w:val="006E7F39"/>
    <w:rsid w:val="006F1F96"/>
    <w:rsid w:val="00700B01"/>
    <w:rsid w:val="00702EBF"/>
    <w:rsid w:val="007063F0"/>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5EA"/>
    <w:rsid w:val="00775D8A"/>
    <w:rsid w:val="0077659E"/>
    <w:rsid w:val="00777AD4"/>
    <w:rsid w:val="00780950"/>
    <w:rsid w:val="007809EF"/>
    <w:rsid w:val="00783D2C"/>
    <w:rsid w:val="007853B4"/>
    <w:rsid w:val="00787BF8"/>
    <w:rsid w:val="0079167F"/>
    <w:rsid w:val="00794F29"/>
    <w:rsid w:val="00795A4A"/>
    <w:rsid w:val="007A2250"/>
    <w:rsid w:val="007A43FE"/>
    <w:rsid w:val="007A5759"/>
    <w:rsid w:val="007B3CFE"/>
    <w:rsid w:val="007B7822"/>
    <w:rsid w:val="007C19E4"/>
    <w:rsid w:val="007C41A5"/>
    <w:rsid w:val="007C58BE"/>
    <w:rsid w:val="007C72B6"/>
    <w:rsid w:val="007D080B"/>
    <w:rsid w:val="007D13E9"/>
    <w:rsid w:val="007D6D94"/>
    <w:rsid w:val="007E0083"/>
    <w:rsid w:val="007E54B2"/>
    <w:rsid w:val="007E6946"/>
    <w:rsid w:val="00814CCF"/>
    <w:rsid w:val="00816E77"/>
    <w:rsid w:val="00826BFC"/>
    <w:rsid w:val="00826E8F"/>
    <w:rsid w:val="00831263"/>
    <w:rsid w:val="00831DB7"/>
    <w:rsid w:val="00832EBF"/>
    <w:rsid w:val="008366CB"/>
    <w:rsid w:val="00837F3A"/>
    <w:rsid w:val="008420D7"/>
    <w:rsid w:val="008620F3"/>
    <w:rsid w:val="00863986"/>
    <w:rsid w:val="00865994"/>
    <w:rsid w:val="00866257"/>
    <w:rsid w:val="00871275"/>
    <w:rsid w:val="00873791"/>
    <w:rsid w:val="00874EAF"/>
    <w:rsid w:val="00874F24"/>
    <w:rsid w:val="00874F5B"/>
    <w:rsid w:val="00876230"/>
    <w:rsid w:val="00877D5B"/>
    <w:rsid w:val="00880441"/>
    <w:rsid w:val="00880B83"/>
    <w:rsid w:val="00886B1E"/>
    <w:rsid w:val="008A460D"/>
    <w:rsid w:val="008A4CD5"/>
    <w:rsid w:val="008A588F"/>
    <w:rsid w:val="008A644A"/>
    <w:rsid w:val="008A7091"/>
    <w:rsid w:val="008A7F93"/>
    <w:rsid w:val="008B05BD"/>
    <w:rsid w:val="008B0C03"/>
    <w:rsid w:val="008B0DD1"/>
    <w:rsid w:val="008B0FED"/>
    <w:rsid w:val="008B19F1"/>
    <w:rsid w:val="008B427B"/>
    <w:rsid w:val="008B6009"/>
    <w:rsid w:val="008C46DC"/>
    <w:rsid w:val="008D15AA"/>
    <w:rsid w:val="008D3BAC"/>
    <w:rsid w:val="008D4949"/>
    <w:rsid w:val="008D6968"/>
    <w:rsid w:val="008E3F07"/>
    <w:rsid w:val="008E5F36"/>
    <w:rsid w:val="008F2757"/>
    <w:rsid w:val="008F2E4F"/>
    <w:rsid w:val="008F3319"/>
    <w:rsid w:val="008F3EAE"/>
    <w:rsid w:val="008F7436"/>
    <w:rsid w:val="009055E4"/>
    <w:rsid w:val="00911BCD"/>
    <w:rsid w:val="00912020"/>
    <w:rsid w:val="00915C18"/>
    <w:rsid w:val="00917E9C"/>
    <w:rsid w:val="00920121"/>
    <w:rsid w:val="00921A24"/>
    <w:rsid w:val="009257A4"/>
    <w:rsid w:val="00926A3C"/>
    <w:rsid w:val="0093027C"/>
    <w:rsid w:val="00933EEC"/>
    <w:rsid w:val="009361EC"/>
    <w:rsid w:val="009379D1"/>
    <w:rsid w:val="0094189B"/>
    <w:rsid w:val="00950CEF"/>
    <w:rsid w:val="00951C56"/>
    <w:rsid w:val="00952C22"/>
    <w:rsid w:val="0095599F"/>
    <w:rsid w:val="0096424B"/>
    <w:rsid w:val="009701C8"/>
    <w:rsid w:val="00971D87"/>
    <w:rsid w:val="00972EFD"/>
    <w:rsid w:val="00986616"/>
    <w:rsid w:val="00987E8D"/>
    <w:rsid w:val="00994085"/>
    <w:rsid w:val="00995398"/>
    <w:rsid w:val="009B284C"/>
    <w:rsid w:val="009B32FA"/>
    <w:rsid w:val="009B72C3"/>
    <w:rsid w:val="009C2C02"/>
    <w:rsid w:val="009C31E3"/>
    <w:rsid w:val="009C3BD4"/>
    <w:rsid w:val="009C5FE4"/>
    <w:rsid w:val="009C73CF"/>
    <w:rsid w:val="009E00AE"/>
    <w:rsid w:val="009E09D3"/>
    <w:rsid w:val="009E6E74"/>
    <w:rsid w:val="009E7EE1"/>
    <w:rsid w:val="009E7F32"/>
    <w:rsid w:val="00A0541C"/>
    <w:rsid w:val="00A10798"/>
    <w:rsid w:val="00A1257B"/>
    <w:rsid w:val="00A13464"/>
    <w:rsid w:val="00A21D99"/>
    <w:rsid w:val="00A24040"/>
    <w:rsid w:val="00A248DB"/>
    <w:rsid w:val="00A30BA1"/>
    <w:rsid w:val="00A34D40"/>
    <w:rsid w:val="00A37DEE"/>
    <w:rsid w:val="00A4190D"/>
    <w:rsid w:val="00A433C3"/>
    <w:rsid w:val="00A54BB7"/>
    <w:rsid w:val="00A5643A"/>
    <w:rsid w:val="00A56498"/>
    <w:rsid w:val="00A57128"/>
    <w:rsid w:val="00A5723C"/>
    <w:rsid w:val="00A707A4"/>
    <w:rsid w:val="00A7274B"/>
    <w:rsid w:val="00A73FB8"/>
    <w:rsid w:val="00A75086"/>
    <w:rsid w:val="00A763CB"/>
    <w:rsid w:val="00A801D1"/>
    <w:rsid w:val="00A81F69"/>
    <w:rsid w:val="00A85EBD"/>
    <w:rsid w:val="00A976B1"/>
    <w:rsid w:val="00AA3484"/>
    <w:rsid w:val="00AA7E7B"/>
    <w:rsid w:val="00AB19C1"/>
    <w:rsid w:val="00AB3718"/>
    <w:rsid w:val="00AB6D0F"/>
    <w:rsid w:val="00AB7858"/>
    <w:rsid w:val="00AC5BA2"/>
    <w:rsid w:val="00AC61A6"/>
    <w:rsid w:val="00AD1BE5"/>
    <w:rsid w:val="00AD1DD2"/>
    <w:rsid w:val="00AD2062"/>
    <w:rsid w:val="00AD2F1D"/>
    <w:rsid w:val="00AD7656"/>
    <w:rsid w:val="00AE1E46"/>
    <w:rsid w:val="00AE4296"/>
    <w:rsid w:val="00AF0989"/>
    <w:rsid w:val="00AF2191"/>
    <w:rsid w:val="00AF2604"/>
    <w:rsid w:val="00AF7565"/>
    <w:rsid w:val="00AF785C"/>
    <w:rsid w:val="00B2326F"/>
    <w:rsid w:val="00B25991"/>
    <w:rsid w:val="00B25BB5"/>
    <w:rsid w:val="00B25F43"/>
    <w:rsid w:val="00B336AF"/>
    <w:rsid w:val="00B3498C"/>
    <w:rsid w:val="00B43CAD"/>
    <w:rsid w:val="00B4595B"/>
    <w:rsid w:val="00B53333"/>
    <w:rsid w:val="00B55A49"/>
    <w:rsid w:val="00B64265"/>
    <w:rsid w:val="00B67F76"/>
    <w:rsid w:val="00B70EFF"/>
    <w:rsid w:val="00B7558C"/>
    <w:rsid w:val="00B818C3"/>
    <w:rsid w:val="00B83E2B"/>
    <w:rsid w:val="00B9194F"/>
    <w:rsid w:val="00B92E57"/>
    <w:rsid w:val="00BA003B"/>
    <w:rsid w:val="00BA2603"/>
    <w:rsid w:val="00BB05E2"/>
    <w:rsid w:val="00BC12AF"/>
    <w:rsid w:val="00BC2966"/>
    <w:rsid w:val="00BD1111"/>
    <w:rsid w:val="00BD26B6"/>
    <w:rsid w:val="00BE01C6"/>
    <w:rsid w:val="00BE4DAC"/>
    <w:rsid w:val="00BF13F8"/>
    <w:rsid w:val="00BF331A"/>
    <w:rsid w:val="00C01CFF"/>
    <w:rsid w:val="00C026F2"/>
    <w:rsid w:val="00C02D89"/>
    <w:rsid w:val="00C1052A"/>
    <w:rsid w:val="00C10CD9"/>
    <w:rsid w:val="00C15B78"/>
    <w:rsid w:val="00C2207B"/>
    <w:rsid w:val="00C22BA0"/>
    <w:rsid w:val="00C2496D"/>
    <w:rsid w:val="00C278D7"/>
    <w:rsid w:val="00C41319"/>
    <w:rsid w:val="00C4330D"/>
    <w:rsid w:val="00C44924"/>
    <w:rsid w:val="00C457C5"/>
    <w:rsid w:val="00C46129"/>
    <w:rsid w:val="00C4624B"/>
    <w:rsid w:val="00C529E8"/>
    <w:rsid w:val="00C5454B"/>
    <w:rsid w:val="00C6013F"/>
    <w:rsid w:val="00C71238"/>
    <w:rsid w:val="00C71561"/>
    <w:rsid w:val="00C72CB5"/>
    <w:rsid w:val="00C74401"/>
    <w:rsid w:val="00C74D9F"/>
    <w:rsid w:val="00C76325"/>
    <w:rsid w:val="00C8124F"/>
    <w:rsid w:val="00C81513"/>
    <w:rsid w:val="00C844A9"/>
    <w:rsid w:val="00C84637"/>
    <w:rsid w:val="00C92AD3"/>
    <w:rsid w:val="00C97D2D"/>
    <w:rsid w:val="00CA047D"/>
    <w:rsid w:val="00CA1009"/>
    <w:rsid w:val="00CA1F32"/>
    <w:rsid w:val="00CA30B4"/>
    <w:rsid w:val="00CA610B"/>
    <w:rsid w:val="00CA67B0"/>
    <w:rsid w:val="00CA72FC"/>
    <w:rsid w:val="00CB1A04"/>
    <w:rsid w:val="00CB21BF"/>
    <w:rsid w:val="00CB3205"/>
    <w:rsid w:val="00CB44A4"/>
    <w:rsid w:val="00CB56F5"/>
    <w:rsid w:val="00CB6BD6"/>
    <w:rsid w:val="00CB6E04"/>
    <w:rsid w:val="00CC2512"/>
    <w:rsid w:val="00CC547F"/>
    <w:rsid w:val="00CD1542"/>
    <w:rsid w:val="00CD50FB"/>
    <w:rsid w:val="00CD5957"/>
    <w:rsid w:val="00CD5D21"/>
    <w:rsid w:val="00CE2652"/>
    <w:rsid w:val="00CE7906"/>
    <w:rsid w:val="00CE7CE9"/>
    <w:rsid w:val="00CF0E19"/>
    <w:rsid w:val="00D05F8F"/>
    <w:rsid w:val="00D11353"/>
    <w:rsid w:val="00D137F5"/>
    <w:rsid w:val="00D21DA6"/>
    <w:rsid w:val="00D27D9B"/>
    <w:rsid w:val="00D376DB"/>
    <w:rsid w:val="00D408A5"/>
    <w:rsid w:val="00D40DE9"/>
    <w:rsid w:val="00D41212"/>
    <w:rsid w:val="00D42B45"/>
    <w:rsid w:val="00D43DE2"/>
    <w:rsid w:val="00D57EE0"/>
    <w:rsid w:val="00D660A1"/>
    <w:rsid w:val="00D75416"/>
    <w:rsid w:val="00D8134B"/>
    <w:rsid w:val="00D92274"/>
    <w:rsid w:val="00D93697"/>
    <w:rsid w:val="00D94339"/>
    <w:rsid w:val="00D9707F"/>
    <w:rsid w:val="00D97DD2"/>
    <w:rsid w:val="00DA0AD5"/>
    <w:rsid w:val="00DA1B01"/>
    <w:rsid w:val="00DA1F8E"/>
    <w:rsid w:val="00DA57A4"/>
    <w:rsid w:val="00DA65F2"/>
    <w:rsid w:val="00DB0D07"/>
    <w:rsid w:val="00DB56EB"/>
    <w:rsid w:val="00DC27B0"/>
    <w:rsid w:val="00DC39E8"/>
    <w:rsid w:val="00DC4922"/>
    <w:rsid w:val="00DD3A4E"/>
    <w:rsid w:val="00DD51B7"/>
    <w:rsid w:val="00DD5DA8"/>
    <w:rsid w:val="00DD7764"/>
    <w:rsid w:val="00DD788A"/>
    <w:rsid w:val="00DE0F87"/>
    <w:rsid w:val="00DE17B9"/>
    <w:rsid w:val="00DE2205"/>
    <w:rsid w:val="00DE5860"/>
    <w:rsid w:val="00DE6998"/>
    <w:rsid w:val="00DF0054"/>
    <w:rsid w:val="00DF16EE"/>
    <w:rsid w:val="00DF3309"/>
    <w:rsid w:val="00DF5124"/>
    <w:rsid w:val="00DF7A89"/>
    <w:rsid w:val="00DF7F39"/>
    <w:rsid w:val="00E04100"/>
    <w:rsid w:val="00E1702C"/>
    <w:rsid w:val="00E20B43"/>
    <w:rsid w:val="00E22EE8"/>
    <w:rsid w:val="00E23ABB"/>
    <w:rsid w:val="00E23E99"/>
    <w:rsid w:val="00E30340"/>
    <w:rsid w:val="00E3093A"/>
    <w:rsid w:val="00E33078"/>
    <w:rsid w:val="00E335AB"/>
    <w:rsid w:val="00E33AB6"/>
    <w:rsid w:val="00E34AB6"/>
    <w:rsid w:val="00E4012C"/>
    <w:rsid w:val="00E42A8F"/>
    <w:rsid w:val="00E44385"/>
    <w:rsid w:val="00E51AC3"/>
    <w:rsid w:val="00E5223F"/>
    <w:rsid w:val="00E534F0"/>
    <w:rsid w:val="00E62B89"/>
    <w:rsid w:val="00E66B4F"/>
    <w:rsid w:val="00E73213"/>
    <w:rsid w:val="00E741D5"/>
    <w:rsid w:val="00E74474"/>
    <w:rsid w:val="00E80A59"/>
    <w:rsid w:val="00E87A6A"/>
    <w:rsid w:val="00E9232A"/>
    <w:rsid w:val="00E937DA"/>
    <w:rsid w:val="00EA3C20"/>
    <w:rsid w:val="00EA4D1B"/>
    <w:rsid w:val="00EA5FE5"/>
    <w:rsid w:val="00EB1D11"/>
    <w:rsid w:val="00EC3DC1"/>
    <w:rsid w:val="00ED2F1C"/>
    <w:rsid w:val="00ED3D05"/>
    <w:rsid w:val="00EE64AE"/>
    <w:rsid w:val="00EE71A2"/>
    <w:rsid w:val="00F06445"/>
    <w:rsid w:val="00F07114"/>
    <w:rsid w:val="00F206A7"/>
    <w:rsid w:val="00F21E6D"/>
    <w:rsid w:val="00F2559D"/>
    <w:rsid w:val="00F3105E"/>
    <w:rsid w:val="00F318CC"/>
    <w:rsid w:val="00F331EB"/>
    <w:rsid w:val="00F40D0B"/>
    <w:rsid w:val="00F41591"/>
    <w:rsid w:val="00F41A63"/>
    <w:rsid w:val="00F45BEB"/>
    <w:rsid w:val="00F54523"/>
    <w:rsid w:val="00F54B50"/>
    <w:rsid w:val="00F60002"/>
    <w:rsid w:val="00F718B6"/>
    <w:rsid w:val="00F84544"/>
    <w:rsid w:val="00F85AA7"/>
    <w:rsid w:val="00F954FA"/>
    <w:rsid w:val="00F95B1F"/>
    <w:rsid w:val="00FA05B2"/>
    <w:rsid w:val="00FA2815"/>
    <w:rsid w:val="00FA68A7"/>
    <w:rsid w:val="00FB2200"/>
    <w:rsid w:val="00FC0C51"/>
    <w:rsid w:val="00FC26E2"/>
    <w:rsid w:val="00FC2B3C"/>
    <w:rsid w:val="00FD1614"/>
    <w:rsid w:val="00FD1CD8"/>
    <w:rsid w:val="00FD4A3E"/>
    <w:rsid w:val="00FE1B88"/>
    <w:rsid w:val="00FE6EAB"/>
    <w:rsid w:val="00FE7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221C3A"/>
    <w:rPr>
      <w:sz w:val="22"/>
      <w:szCs w:val="24"/>
    </w:rPr>
  </w:style>
  <w:style w:type="paragraph" w:styleId="BodyTextIndent">
    <w:name w:val="Body Text Indent"/>
    <w:basedOn w:val="Normal"/>
    <w:link w:val="BodyTextIndentChar"/>
    <w:unhideWhenUsed/>
    <w:rsid w:val="004B2796"/>
    <w:pPr>
      <w:spacing w:after="120"/>
      <w:ind w:left="283"/>
    </w:pPr>
  </w:style>
  <w:style w:type="character" w:customStyle="1" w:styleId="BodyTextIndentChar">
    <w:name w:val="Body Text Indent Char"/>
    <w:basedOn w:val="DefaultParagraphFont"/>
    <w:link w:val="BodyTextIndent"/>
    <w:rsid w:val="004B279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58692749">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56005159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magenta-boo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7c31b3-bc8f-4b87-a732-996bd505554d">
      <UserInfo>
        <DisplayName>PROBERT, Lauren</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4ABEAB4579B64289CBAB7547E6BF15" ma:contentTypeVersion="4" ma:contentTypeDescription="Create a new document." ma:contentTypeScope="" ma:versionID="a109d8bad64c585a6a86d213f710167e">
  <xsd:schema xmlns:xsd="http://www.w3.org/2001/XMLSchema" xmlns:xs="http://www.w3.org/2001/XMLSchema" xmlns:p="http://schemas.microsoft.com/office/2006/metadata/properties" xmlns:ns2="c67c31b3-bc8f-4b87-a732-996bd505554d" xmlns:ns3="7e246d40-171a-4920-ba50-46b7d42d9f3f" targetNamespace="http://schemas.microsoft.com/office/2006/metadata/properties" ma:root="true" ma:fieldsID="695c52c28fed217b0f8df1b5c49ca802" ns2:_="" ns3:_="">
    <xsd:import namespace="c67c31b3-bc8f-4b87-a732-996bd505554d"/>
    <xsd:import namespace="7e246d40-171a-4920-ba50-46b7d42d9f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31b3-bc8f-4b87-a732-996bd50555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246d40-171a-4920-ba50-46b7d42d9f3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e246d40-171a-4920-ba50-46b7d42d9f3f"/>
    <ds:schemaRef ds:uri="http://schemas.microsoft.com/office/2006/documentManagement/types"/>
    <ds:schemaRef ds:uri="http://purl.org/dc/terms/"/>
    <ds:schemaRef ds:uri="c67c31b3-bc8f-4b87-a732-996bd505554d"/>
    <ds:schemaRef ds:uri="http://www.w3.org/XML/1998/namespac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76515C6-256C-4687-9D0C-015758EC4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31b3-bc8f-4b87-a732-996bd505554d"/>
    <ds:schemaRef ds:uri="7e246d40-171a-4920-ba50-46b7d42d9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6F35A0F7-C087-479C-8513-ECC18E5B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8291</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2017-12-08T14:16:00Z</cp:lastPrinted>
  <dcterms:created xsi:type="dcterms:W3CDTF">2017-12-08T14:20:00Z</dcterms:created>
  <dcterms:modified xsi:type="dcterms:W3CDTF">2017-12-08T14:20:00Z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0x0101002D4ABEAB4579B64289CBAB7547E6BF15</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