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E6" w:rsidRDefault="004306E8" w:rsidP="002E3EE6">
      <w:pPr>
        <w:pStyle w:val="Body"/>
        <w:rPr>
          <w:b/>
        </w:rPr>
      </w:pPr>
      <w:r>
        <w:rPr>
          <w:b/>
        </w:rPr>
        <w:t>SSSI value for money study</w:t>
      </w:r>
      <w:r w:rsidR="002E3EE6">
        <w:rPr>
          <w:b/>
        </w:rPr>
        <w:t xml:space="preserve"> - Specification</w:t>
      </w:r>
    </w:p>
    <w:p w:rsidR="00D8178F" w:rsidRDefault="00027770" w:rsidP="002E3EE6">
      <w:pPr>
        <w:pStyle w:val="Body"/>
        <w:rPr>
          <w:b/>
        </w:rPr>
      </w:pPr>
      <w:r>
        <w:rPr>
          <w:b/>
        </w:rPr>
        <w:t xml:space="preserve"> </w:t>
      </w:r>
    </w:p>
    <w:p w:rsidR="002E3EE6" w:rsidRPr="00AD2B12" w:rsidRDefault="002E3EE6" w:rsidP="002E3EE6">
      <w:pPr>
        <w:pStyle w:val="Body"/>
        <w:rPr>
          <w:b/>
        </w:rPr>
      </w:pPr>
      <w:r w:rsidRPr="00AD2B12">
        <w:rPr>
          <w:b/>
        </w:rPr>
        <w:t>Background</w:t>
      </w:r>
    </w:p>
    <w:p w:rsidR="00094AA5" w:rsidRDefault="00094AA5" w:rsidP="00121467">
      <w:pPr>
        <w:pStyle w:val="Body"/>
        <w:numPr>
          <w:ilvl w:val="0"/>
          <w:numId w:val="10"/>
        </w:numPr>
      </w:pPr>
      <w:r>
        <w:t xml:space="preserve">The innovation in Franchising programme has been working with </w:t>
      </w:r>
      <w:proofErr w:type="spellStart"/>
      <w:r>
        <w:t>DfT</w:t>
      </w:r>
      <w:proofErr w:type="spellEnd"/>
      <w:r>
        <w:t xml:space="preserve"> passenger services for 3 years to embed sustainable development, skills and innovation into rail franchising. </w:t>
      </w:r>
    </w:p>
    <w:p w:rsidR="00094AA5" w:rsidRDefault="00094AA5" w:rsidP="00121467">
      <w:pPr>
        <w:pStyle w:val="Body"/>
        <w:numPr>
          <w:ilvl w:val="0"/>
          <w:numId w:val="10"/>
        </w:numPr>
      </w:pPr>
      <w:r>
        <w:t xml:space="preserve">In terms of closed competitions this has primarily covered Intercity East Coast, Northern and Trans-Pennine Express. </w:t>
      </w:r>
      <w:bookmarkStart w:id="0" w:name="_GoBack"/>
      <w:bookmarkEnd w:id="0"/>
    </w:p>
    <w:p w:rsidR="004C0967" w:rsidRPr="00AD2B12" w:rsidRDefault="00094AA5" w:rsidP="00121467">
      <w:pPr>
        <w:pStyle w:val="Body"/>
        <w:numPr>
          <w:ilvl w:val="0"/>
          <w:numId w:val="10"/>
        </w:numPr>
      </w:pPr>
      <w:r>
        <w:t xml:space="preserve">The work has included both the requirements in the Invitation to Tender and the Franchise Agreements. </w:t>
      </w:r>
    </w:p>
    <w:p w:rsidR="002E3EE6" w:rsidRDefault="002E3EE6" w:rsidP="002E3EE6">
      <w:pPr>
        <w:pStyle w:val="Body"/>
        <w:rPr>
          <w:b/>
        </w:rPr>
      </w:pPr>
    </w:p>
    <w:p w:rsidR="00D6207F" w:rsidRDefault="00D6207F" w:rsidP="00D6207F">
      <w:pPr>
        <w:pStyle w:val="Body"/>
        <w:rPr>
          <w:b/>
        </w:rPr>
      </w:pPr>
      <w:r>
        <w:rPr>
          <w:b/>
        </w:rPr>
        <w:t>Purpose</w:t>
      </w:r>
    </w:p>
    <w:p w:rsidR="00094AA5" w:rsidRDefault="00094AA5" w:rsidP="002E3EE6">
      <w:pPr>
        <w:pStyle w:val="Body"/>
        <w:numPr>
          <w:ilvl w:val="0"/>
          <w:numId w:val="11"/>
        </w:numPr>
      </w:pPr>
      <w:r>
        <w:t>The objective of this project is to e</w:t>
      </w:r>
      <w:r w:rsidR="00121467">
        <w:t>stablish</w:t>
      </w:r>
      <w:r>
        <w:t xml:space="preserve"> the</w:t>
      </w:r>
      <w:r w:rsidR="00121467">
        <w:t xml:space="preserve"> economic and financial impacts </w:t>
      </w:r>
      <w:r>
        <w:t xml:space="preserve">(costs and benefits) </w:t>
      </w:r>
      <w:r w:rsidR="00121467">
        <w:t>of</w:t>
      </w:r>
      <w:r>
        <w:t xml:space="preserve"> the changes in the ITT and FA that have resulted from the embedding of sustainable development, skills and innovation. </w:t>
      </w:r>
    </w:p>
    <w:p w:rsidR="004C0967" w:rsidRDefault="004C0967" w:rsidP="002E3EE6">
      <w:pPr>
        <w:pStyle w:val="Body"/>
        <w:rPr>
          <w:b/>
        </w:rPr>
      </w:pPr>
    </w:p>
    <w:p w:rsidR="00D6207F" w:rsidRDefault="00DB7884" w:rsidP="002E3EE6">
      <w:pPr>
        <w:pStyle w:val="Body"/>
        <w:rPr>
          <w:b/>
        </w:rPr>
      </w:pPr>
      <w:r>
        <w:rPr>
          <w:b/>
        </w:rPr>
        <w:t>Scope</w:t>
      </w:r>
    </w:p>
    <w:p w:rsidR="00B66FBD" w:rsidRDefault="00B66FBD" w:rsidP="00B66FBD">
      <w:pPr>
        <w:pStyle w:val="Body"/>
        <w:numPr>
          <w:ilvl w:val="0"/>
          <w:numId w:val="7"/>
        </w:numPr>
      </w:pPr>
      <w:r>
        <w:t xml:space="preserve">Phase 1 should cover the published franchise contracts for Virgin Trains East Coast, First Trans Penning Express and Arriva’s Northern Rail. </w:t>
      </w:r>
    </w:p>
    <w:p w:rsidR="00B66FBD" w:rsidRPr="00121467" w:rsidRDefault="00B66FBD" w:rsidP="00B66FBD">
      <w:pPr>
        <w:pStyle w:val="Body"/>
        <w:numPr>
          <w:ilvl w:val="0"/>
          <w:numId w:val="7"/>
        </w:numPr>
      </w:pPr>
      <w:r>
        <w:t xml:space="preserve">Phase 2 should cover the, yet to be published, contract for the East Anglia franchise, and use this to consider the impacts different structure that was used for this competition. </w:t>
      </w:r>
    </w:p>
    <w:p w:rsidR="00C50B0F" w:rsidRDefault="00C50B0F" w:rsidP="00032BF5">
      <w:pPr>
        <w:pStyle w:val="Body"/>
        <w:numPr>
          <w:ilvl w:val="0"/>
          <w:numId w:val="7"/>
        </w:numPr>
      </w:pPr>
      <w:r>
        <w:t>Sust</w:t>
      </w:r>
      <w:r w:rsidR="00B66FBD">
        <w:t xml:space="preserve">ainable development to include </w:t>
      </w:r>
      <w:r>
        <w:t>env</w:t>
      </w:r>
      <w:r w:rsidR="00B66FBD">
        <w:t xml:space="preserve">ironmental </w:t>
      </w:r>
      <w:r>
        <w:t>targets</w:t>
      </w:r>
      <w:r w:rsidR="00B66FBD">
        <w:t xml:space="preserve"> on traction energy, non-traction energy, waste and water; </w:t>
      </w:r>
      <w:r>
        <w:t>s</w:t>
      </w:r>
      <w:r w:rsidR="00B66FBD">
        <w:t xml:space="preserve">ustainable development strategy; use of assets for social and community benefit; sustainable procurement through </w:t>
      </w:r>
      <w:r>
        <w:t>BS8903</w:t>
      </w:r>
      <w:r w:rsidR="00B66FBD">
        <w:t>; environmental data and standards (ISO14001/50001) requirement; social impact elements of the Social and Commercial Development plan.</w:t>
      </w:r>
    </w:p>
    <w:p w:rsidR="00831D48" w:rsidRDefault="00831D48" w:rsidP="00FB3CDC">
      <w:pPr>
        <w:pStyle w:val="Body"/>
        <w:numPr>
          <w:ilvl w:val="0"/>
          <w:numId w:val="7"/>
        </w:numPr>
      </w:pPr>
      <w:r>
        <w:t xml:space="preserve">Skills </w:t>
      </w:r>
      <w:r w:rsidR="00FB3CDC">
        <w:t xml:space="preserve">to include </w:t>
      </w:r>
      <w:r w:rsidR="00B034C4" w:rsidRPr="00B034C4">
        <w:t>skills and competence</w:t>
      </w:r>
      <w:r w:rsidR="00B034C4">
        <w:t xml:space="preserve"> of staff and </w:t>
      </w:r>
      <w:r w:rsidR="00B034C4" w:rsidRPr="00B034C4">
        <w:t>supply chain</w:t>
      </w:r>
      <w:r w:rsidR="00B034C4">
        <w:t xml:space="preserve"> (where relevant)</w:t>
      </w:r>
      <w:r w:rsidR="00FB3CDC">
        <w:t>;</w:t>
      </w:r>
      <w:r w:rsidR="00B034C4" w:rsidRPr="00B034C4">
        <w:t xml:space="preserve"> </w:t>
      </w:r>
      <w:r w:rsidR="00FB3CDC">
        <w:t xml:space="preserve">development of management and leadership skills; </w:t>
      </w:r>
      <w:r w:rsidR="00B034C4" w:rsidRPr="00B034C4">
        <w:t>training staff to continue through to the end of the Franchise Term</w:t>
      </w:r>
      <w:r w:rsidR="00FB3CDC">
        <w:t xml:space="preserve">; </w:t>
      </w:r>
      <w:r w:rsidR="00B034C4" w:rsidRPr="00B034C4">
        <w:t>staff engagement and morale</w:t>
      </w:r>
      <w:r w:rsidR="00FB3CDC">
        <w:t xml:space="preserve">; </w:t>
      </w:r>
      <w:r w:rsidR="00B034C4" w:rsidRPr="00B034C4">
        <w:t xml:space="preserve"> </w:t>
      </w:r>
      <w:r w:rsidR="00B034C4">
        <w:t xml:space="preserve">diversity including BAME </w:t>
      </w:r>
      <w:r w:rsidR="00FB3CDC">
        <w:t xml:space="preserve"> and equality; </w:t>
      </w:r>
      <w:r w:rsidR="00B034C4">
        <w:t xml:space="preserve"> </w:t>
      </w:r>
      <w:r w:rsidR="00B034C4" w:rsidRPr="00B034C4">
        <w:t>attracting and recruiting people</w:t>
      </w:r>
      <w:r w:rsidR="00060E33">
        <w:t xml:space="preserve"> specifically young people, </w:t>
      </w:r>
      <w:r w:rsidR="00B034C4" w:rsidRPr="00B034C4">
        <w:t>apprenticeships, traineeships and graduate schemes</w:t>
      </w:r>
      <w:r w:rsidR="00060E33">
        <w:t>; usage of different contracts including zero hours,</w:t>
      </w:r>
      <w:r w:rsidR="00B034C4" w:rsidRPr="00B034C4">
        <w:t xml:space="preserve"> occupational health risks and wellbeing </w:t>
      </w:r>
      <w:r w:rsidR="00B034C4">
        <w:t xml:space="preserve">of </w:t>
      </w:r>
      <w:r w:rsidR="00B034C4" w:rsidRPr="00B034C4">
        <w:t xml:space="preserve">workforce, </w:t>
      </w:r>
      <w:r w:rsidR="00FB3CDC">
        <w:t xml:space="preserve">security of staff, </w:t>
      </w:r>
      <w:r w:rsidR="00B034C4" w:rsidRPr="00B034C4">
        <w:t>efficient organisational structure</w:t>
      </w:r>
      <w:r w:rsidR="00FB3CDC">
        <w:t xml:space="preserve">.  </w:t>
      </w:r>
      <w:r w:rsidR="00B034C4">
        <w:t xml:space="preserve"> </w:t>
      </w:r>
    </w:p>
    <w:p w:rsidR="00831D48" w:rsidRDefault="006360FB" w:rsidP="006360FB">
      <w:pPr>
        <w:pStyle w:val="Body"/>
        <w:numPr>
          <w:ilvl w:val="0"/>
          <w:numId w:val="7"/>
        </w:numPr>
      </w:pPr>
      <w:r>
        <w:t xml:space="preserve">Innovation to include the value of the innovation strategy as well as innovative solutions contracted in the areas of: </w:t>
      </w:r>
      <w:r w:rsidRPr="006360FB">
        <w:t>Rolling Stock; Community Engagement; Train Services; Marketing and Branding; Fares, Ticketing and Revenue Protection; and Customer Experience</w:t>
      </w:r>
      <w:r>
        <w:t>.</w:t>
      </w:r>
    </w:p>
    <w:p w:rsidR="00831D48" w:rsidRDefault="00831D48" w:rsidP="00032BF5">
      <w:pPr>
        <w:pStyle w:val="Body"/>
        <w:numPr>
          <w:ilvl w:val="0"/>
          <w:numId w:val="7"/>
        </w:numPr>
      </w:pPr>
      <w:r>
        <w:t>Identify overall financial and economic value</w:t>
      </w:r>
      <w:r w:rsidR="00B66FBD">
        <w:t xml:space="preserve"> </w:t>
      </w:r>
      <w:r w:rsidR="00043A6A">
        <w:t xml:space="preserve">(costs and benefits) </w:t>
      </w:r>
      <w:r w:rsidR="00B66FBD">
        <w:t>of contract requirements</w:t>
      </w:r>
    </w:p>
    <w:p w:rsidR="00831D48" w:rsidRDefault="00831D48" w:rsidP="00032BF5">
      <w:pPr>
        <w:pStyle w:val="Body"/>
        <w:numPr>
          <w:ilvl w:val="0"/>
          <w:numId w:val="7"/>
        </w:numPr>
      </w:pPr>
      <w:r>
        <w:t>Identify financial and economic value</w:t>
      </w:r>
      <w:r w:rsidR="00043A6A">
        <w:t xml:space="preserve"> (costs and benefits) </w:t>
      </w:r>
      <w:r>
        <w:t>for individual requirements</w:t>
      </w:r>
    </w:p>
    <w:p w:rsidR="00831D48" w:rsidRDefault="00B66FBD" w:rsidP="00032BF5">
      <w:pPr>
        <w:pStyle w:val="Body"/>
        <w:numPr>
          <w:ilvl w:val="0"/>
          <w:numId w:val="7"/>
        </w:numPr>
      </w:pPr>
      <w:r>
        <w:t>Where possible i</w:t>
      </w:r>
      <w:r w:rsidR="00831D48">
        <w:t>dentify links/dependencies/overlaps</w:t>
      </w:r>
    </w:p>
    <w:p w:rsidR="00027770" w:rsidRDefault="00B66FBD" w:rsidP="00EA4880">
      <w:pPr>
        <w:pStyle w:val="Body"/>
        <w:numPr>
          <w:ilvl w:val="0"/>
          <w:numId w:val="7"/>
        </w:numPr>
      </w:pPr>
      <w:r>
        <w:lastRenderedPageBreak/>
        <w:t>Where possible i</w:t>
      </w:r>
      <w:r w:rsidR="00831D48">
        <w:t>dentify risks to delivery</w:t>
      </w:r>
    </w:p>
    <w:p w:rsidR="007819DC" w:rsidRDefault="007819DC" w:rsidP="00EA4880">
      <w:pPr>
        <w:pStyle w:val="Body"/>
        <w:numPr>
          <w:ilvl w:val="0"/>
          <w:numId w:val="7"/>
        </w:numPr>
      </w:pPr>
      <w:r>
        <w:t>Us</w:t>
      </w:r>
      <w:r w:rsidR="00B66FBD">
        <w:t xml:space="preserve">e accepted Government appraisal and valuation guidance include </w:t>
      </w:r>
      <w:proofErr w:type="spellStart"/>
      <w:r w:rsidR="00B66FBD">
        <w:t>webTAG</w:t>
      </w:r>
      <w:proofErr w:type="spellEnd"/>
      <w:r w:rsidR="00B66FBD">
        <w:t>, Green Book and Magenta Book</w:t>
      </w:r>
    </w:p>
    <w:p w:rsidR="00462C77" w:rsidRDefault="00462C77" w:rsidP="00027770">
      <w:pPr>
        <w:pStyle w:val="Body"/>
      </w:pPr>
    </w:p>
    <w:p w:rsidR="00464DE7" w:rsidRPr="00464DE7" w:rsidRDefault="00464DE7" w:rsidP="00027770">
      <w:pPr>
        <w:pStyle w:val="Body"/>
        <w:rPr>
          <w:b/>
        </w:rPr>
      </w:pPr>
      <w:r w:rsidRPr="00464DE7">
        <w:rPr>
          <w:b/>
        </w:rPr>
        <w:t>Expected outputs</w:t>
      </w:r>
    </w:p>
    <w:p w:rsidR="000B62D1" w:rsidRDefault="00831D48" w:rsidP="00464DE7">
      <w:pPr>
        <w:pStyle w:val="Body"/>
      </w:pPr>
      <w:r>
        <w:t>Phase 1 report</w:t>
      </w:r>
      <w:r w:rsidR="00EA4880">
        <w:t xml:space="preserve"> </w:t>
      </w:r>
      <w:r w:rsidR="00043A6A">
        <w:t>to cover Virgin Trains East Coast, First Trans Pennine Express, Arriva Northern</w:t>
      </w:r>
    </w:p>
    <w:p w:rsidR="00831D48" w:rsidRDefault="00831D48" w:rsidP="00464DE7">
      <w:pPr>
        <w:pStyle w:val="Body"/>
      </w:pPr>
      <w:r>
        <w:t>Phase 2 report</w:t>
      </w:r>
      <w:r w:rsidR="00EA4880">
        <w:t xml:space="preserve"> </w:t>
      </w:r>
      <w:r w:rsidR="00043A6A">
        <w:t>to extend cover to East Anglia and compare East Anglia approach to phase 1 contracts.</w:t>
      </w:r>
    </w:p>
    <w:p w:rsidR="009816AF" w:rsidRDefault="009816AF" w:rsidP="00464DE7">
      <w:pPr>
        <w:pStyle w:val="Body"/>
      </w:pPr>
    </w:p>
    <w:p w:rsidR="009816AF" w:rsidRDefault="009816AF" w:rsidP="00464DE7">
      <w:pPr>
        <w:pStyle w:val="Body"/>
        <w:rPr>
          <w:b/>
        </w:rPr>
      </w:pPr>
      <w:r w:rsidRPr="009816AF">
        <w:rPr>
          <w:b/>
        </w:rPr>
        <w:t>Critical success factors</w:t>
      </w:r>
    </w:p>
    <w:p w:rsidR="009816AF" w:rsidRDefault="00831D48" w:rsidP="009816AF">
      <w:pPr>
        <w:pStyle w:val="Body"/>
        <w:numPr>
          <w:ilvl w:val="0"/>
          <w:numId w:val="8"/>
        </w:numPr>
      </w:pPr>
      <w:r>
        <w:t xml:space="preserve">Acceptance by </w:t>
      </w:r>
      <w:proofErr w:type="spellStart"/>
      <w:r>
        <w:t>DfT</w:t>
      </w:r>
      <w:proofErr w:type="spellEnd"/>
    </w:p>
    <w:p w:rsidR="009816AF" w:rsidRDefault="009816AF" w:rsidP="009816AF">
      <w:pPr>
        <w:pStyle w:val="Body"/>
        <w:numPr>
          <w:ilvl w:val="0"/>
          <w:numId w:val="8"/>
        </w:numPr>
      </w:pPr>
      <w:r>
        <w:t>Clear</w:t>
      </w:r>
      <w:r w:rsidR="00831D48">
        <w:t xml:space="preserve"> and accepted</w:t>
      </w:r>
      <w:r>
        <w:t xml:space="preserve"> approach to </w:t>
      </w:r>
      <w:r w:rsidR="00831D48">
        <w:t>valuation</w:t>
      </w:r>
      <w:r w:rsidR="007819DC">
        <w:t xml:space="preserve"> </w:t>
      </w:r>
      <w:r w:rsidR="00831D48">
        <w:t>in line with gov</w:t>
      </w:r>
      <w:r w:rsidR="00043A6A">
        <w:t>ernment</w:t>
      </w:r>
      <w:r w:rsidR="00831D48">
        <w:t xml:space="preserve"> process</w:t>
      </w:r>
      <w:r w:rsidR="00043A6A">
        <w:t>es</w:t>
      </w:r>
    </w:p>
    <w:p w:rsidR="009816AF" w:rsidRDefault="009816AF" w:rsidP="009816AF">
      <w:pPr>
        <w:pStyle w:val="Body"/>
        <w:numPr>
          <w:ilvl w:val="0"/>
          <w:numId w:val="8"/>
        </w:numPr>
      </w:pPr>
      <w:r>
        <w:t>Ability to source industry data and input</w:t>
      </w:r>
    </w:p>
    <w:p w:rsidR="00831D48" w:rsidRDefault="00831D48" w:rsidP="00EA4880">
      <w:pPr>
        <w:pStyle w:val="Body"/>
        <w:numPr>
          <w:ilvl w:val="0"/>
          <w:numId w:val="8"/>
        </w:numPr>
      </w:pPr>
      <w:r>
        <w:t xml:space="preserve">Understanding of valuation of externalities – </w:t>
      </w:r>
      <w:proofErr w:type="spellStart"/>
      <w:r>
        <w:t>eg</w:t>
      </w:r>
      <w:proofErr w:type="spellEnd"/>
      <w:r>
        <w:t xml:space="preserve"> environment and social</w:t>
      </w:r>
    </w:p>
    <w:p w:rsidR="009816AF" w:rsidRDefault="009816AF" w:rsidP="009816AF">
      <w:pPr>
        <w:pStyle w:val="Body"/>
      </w:pPr>
    </w:p>
    <w:p w:rsidR="009816AF" w:rsidRDefault="009816AF" w:rsidP="009816AF">
      <w:pPr>
        <w:pStyle w:val="Body"/>
      </w:pPr>
      <w:r w:rsidRPr="009816AF">
        <w:rPr>
          <w:b/>
        </w:rPr>
        <w:t>Risks</w:t>
      </w:r>
    </w:p>
    <w:p w:rsidR="009816AF" w:rsidRDefault="009816AF" w:rsidP="009816AF">
      <w:pPr>
        <w:pStyle w:val="Body"/>
        <w:numPr>
          <w:ilvl w:val="0"/>
          <w:numId w:val="9"/>
        </w:numPr>
      </w:pPr>
      <w:r>
        <w:t xml:space="preserve">Limited engagement </w:t>
      </w:r>
      <w:r w:rsidR="00831D48">
        <w:t>and data from franchisees</w:t>
      </w:r>
    </w:p>
    <w:p w:rsidR="009816AF" w:rsidRDefault="009816AF" w:rsidP="00464DE7">
      <w:pPr>
        <w:pStyle w:val="Body"/>
        <w:numPr>
          <w:ilvl w:val="0"/>
          <w:numId w:val="9"/>
        </w:numPr>
      </w:pPr>
      <w:r>
        <w:t xml:space="preserve">Lack of clarity and/or agreement over </w:t>
      </w:r>
      <w:r w:rsidR="00831D48">
        <w:t>approach to valuation</w:t>
      </w:r>
    </w:p>
    <w:p w:rsidR="00831D48" w:rsidRDefault="00831D48" w:rsidP="00464DE7">
      <w:pPr>
        <w:pStyle w:val="Body"/>
        <w:numPr>
          <w:ilvl w:val="0"/>
          <w:numId w:val="9"/>
        </w:numPr>
      </w:pPr>
      <w:r>
        <w:t>Inability to value key elements</w:t>
      </w:r>
    </w:p>
    <w:p w:rsidR="00F34F90" w:rsidRDefault="00F34F90" w:rsidP="00464DE7">
      <w:pPr>
        <w:pStyle w:val="Body"/>
      </w:pPr>
    </w:p>
    <w:p w:rsidR="001759FA" w:rsidRDefault="001759FA" w:rsidP="00464DE7">
      <w:pPr>
        <w:pStyle w:val="Body"/>
      </w:pPr>
    </w:p>
    <w:p w:rsidR="00F34F90" w:rsidRPr="00AD2B12" w:rsidRDefault="00F34F90" w:rsidP="00464DE7">
      <w:pPr>
        <w:pStyle w:val="Body"/>
      </w:pPr>
    </w:p>
    <w:p w:rsidR="00027770" w:rsidRPr="00AD2B12" w:rsidRDefault="00027770" w:rsidP="00027770">
      <w:pPr>
        <w:pStyle w:val="Body"/>
      </w:pPr>
    </w:p>
    <w:p w:rsidR="00160B7C" w:rsidRDefault="00160B7C"/>
    <w:sectPr w:rsidR="00160B7C" w:rsidSect="00160B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A8D" w:rsidRDefault="00AC5A8D" w:rsidP="002E3EE6">
      <w:r>
        <w:separator/>
      </w:r>
    </w:p>
  </w:endnote>
  <w:endnote w:type="continuationSeparator" w:id="0">
    <w:p w:rsidR="00AC5A8D" w:rsidRDefault="00AC5A8D" w:rsidP="002E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A8D" w:rsidRDefault="00AC5A8D" w:rsidP="002E3EE6">
      <w:r>
        <w:separator/>
      </w:r>
    </w:p>
  </w:footnote>
  <w:footnote w:type="continuationSeparator" w:id="0">
    <w:p w:rsidR="00AC5A8D" w:rsidRDefault="00AC5A8D" w:rsidP="002E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76F" w:rsidRDefault="0067476F">
    <w:pPr>
      <w:pStyle w:val="Header"/>
    </w:pPr>
    <w:r>
      <w:t>V1</w:t>
    </w:r>
    <w:r w:rsidR="00DB7884">
      <w:t>.</w:t>
    </w:r>
    <w:r w:rsidR="00043A6A">
      <w:t>1</w:t>
    </w:r>
    <w:r>
      <w:t xml:space="preserve"> – </w:t>
    </w:r>
    <w:r w:rsidR="00043A6A">
      <w:t>18 May</w:t>
    </w:r>
    <w:r w:rsidR="00DB7884">
      <w:t xml:space="preserve"> 2016</w:t>
    </w:r>
  </w:p>
  <w:p w:rsidR="0067476F" w:rsidRDefault="00674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5619"/>
    <w:multiLevelType w:val="hybridMultilevel"/>
    <w:tmpl w:val="7BC23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877F7"/>
    <w:multiLevelType w:val="hybridMultilevel"/>
    <w:tmpl w:val="2FFC5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265B"/>
    <w:multiLevelType w:val="hybridMultilevel"/>
    <w:tmpl w:val="3974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1527A"/>
    <w:multiLevelType w:val="hybridMultilevel"/>
    <w:tmpl w:val="CF929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4619"/>
    <w:multiLevelType w:val="hybridMultilevel"/>
    <w:tmpl w:val="E6C018CE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47D168EB"/>
    <w:multiLevelType w:val="hybridMultilevel"/>
    <w:tmpl w:val="7554B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42951"/>
    <w:multiLevelType w:val="hybridMultilevel"/>
    <w:tmpl w:val="95C2B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D6304"/>
    <w:multiLevelType w:val="hybridMultilevel"/>
    <w:tmpl w:val="C87CC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2711E6"/>
    <w:multiLevelType w:val="hybridMultilevel"/>
    <w:tmpl w:val="BD24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6052D"/>
    <w:multiLevelType w:val="hybridMultilevel"/>
    <w:tmpl w:val="4FEA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97E3B"/>
    <w:multiLevelType w:val="hybridMultilevel"/>
    <w:tmpl w:val="E2AC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5F"/>
    <w:rsid w:val="00027770"/>
    <w:rsid w:val="00032BF5"/>
    <w:rsid w:val="00043A6A"/>
    <w:rsid w:val="00060E33"/>
    <w:rsid w:val="00094AA5"/>
    <w:rsid w:val="000B62D1"/>
    <w:rsid w:val="00121467"/>
    <w:rsid w:val="00160B7C"/>
    <w:rsid w:val="001759FA"/>
    <w:rsid w:val="00180091"/>
    <w:rsid w:val="002D3DEC"/>
    <w:rsid w:val="002E3EE6"/>
    <w:rsid w:val="003F112D"/>
    <w:rsid w:val="00406D45"/>
    <w:rsid w:val="004306E8"/>
    <w:rsid w:val="00432472"/>
    <w:rsid w:val="00462C77"/>
    <w:rsid w:val="00464DE7"/>
    <w:rsid w:val="00481525"/>
    <w:rsid w:val="00495B16"/>
    <w:rsid w:val="004C0967"/>
    <w:rsid w:val="004C6BCF"/>
    <w:rsid w:val="005E2B93"/>
    <w:rsid w:val="006049D4"/>
    <w:rsid w:val="006360FB"/>
    <w:rsid w:val="0067476F"/>
    <w:rsid w:val="007819DC"/>
    <w:rsid w:val="00831D48"/>
    <w:rsid w:val="009816AF"/>
    <w:rsid w:val="009A6A39"/>
    <w:rsid w:val="009D3F36"/>
    <w:rsid w:val="00A44F71"/>
    <w:rsid w:val="00AC5A8D"/>
    <w:rsid w:val="00AD3EA0"/>
    <w:rsid w:val="00B034C4"/>
    <w:rsid w:val="00B06AF5"/>
    <w:rsid w:val="00B66FBD"/>
    <w:rsid w:val="00B93622"/>
    <w:rsid w:val="00BB024B"/>
    <w:rsid w:val="00C05BA5"/>
    <w:rsid w:val="00C25B48"/>
    <w:rsid w:val="00C50B0F"/>
    <w:rsid w:val="00CA3E83"/>
    <w:rsid w:val="00CB648C"/>
    <w:rsid w:val="00D01DF0"/>
    <w:rsid w:val="00D05F86"/>
    <w:rsid w:val="00D4482C"/>
    <w:rsid w:val="00D6207F"/>
    <w:rsid w:val="00D8178F"/>
    <w:rsid w:val="00DB7884"/>
    <w:rsid w:val="00EA4880"/>
    <w:rsid w:val="00EB1C66"/>
    <w:rsid w:val="00EB7D0B"/>
    <w:rsid w:val="00EE6FE3"/>
    <w:rsid w:val="00F34F90"/>
    <w:rsid w:val="00F97EB3"/>
    <w:rsid w:val="00FB3CDC"/>
    <w:rsid w:val="00FD284C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26304-F502-46D8-A57B-5526F599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EE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TOC2"/>
    <w:autoRedefine/>
    <w:uiPriority w:val="39"/>
    <w:semiHidden/>
    <w:rsid w:val="00CB64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B648C"/>
    <w:pPr>
      <w:spacing w:after="100"/>
      <w:ind w:left="220"/>
    </w:pPr>
  </w:style>
  <w:style w:type="paragraph" w:customStyle="1" w:styleId="Body">
    <w:name w:val="Body"/>
    <w:rsid w:val="002E3EE6"/>
    <w:pPr>
      <w:spacing w:after="120" w:line="300" w:lineRule="exact"/>
    </w:pPr>
    <w:rPr>
      <w:rFonts w:ascii="Calibri" w:eastAsia="Times New Roman" w:hAnsi="Calibri" w:cs="Arial"/>
      <w:lang w:eastAsia="en-GB"/>
    </w:rPr>
  </w:style>
  <w:style w:type="table" w:styleId="TableGrid">
    <w:name w:val="Table Grid"/>
    <w:basedOn w:val="TableNormal"/>
    <w:uiPriority w:val="59"/>
    <w:rsid w:val="002E3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E3EE6"/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3EE6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E3E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47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76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7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76F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5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CE94B6A24714991A68DD0D0810278" ma:contentTypeVersion="0" ma:contentTypeDescription="Create a new document." ma:contentTypeScope="" ma:versionID="bf9ce149818b15eb23a6eb17c3a549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B09C7-A97E-4DE1-AA29-B7B30DAC32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89828-0976-4B92-A2C7-06663B8C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F7F0D2-1135-4112-9104-38C63510E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RSSB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Perret</dc:creator>
  <cp:keywords/>
  <dc:description/>
  <cp:lastModifiedBy>Matthew Riley</cp:lastModifiedBy>
  <cp:revision>2</cp:revision>
  <cp:lastPrinted>2016-01-07T08:06:00Z</cp:lastPrinted>
  <dcterms:created xsi:type="dcterms:W3CDTF">2016-07-11T08:39:00Z</dcterms:created>
  <dcterms:modified xsi:type="dcterms:W3CDTF">2016-07-11T08:39:00Z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0x0101002FFCE94B6A24714991A68DD0D0810278</vt:lpwstr>
  </property>
</Properties>
</file>