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3684" w14:textId="77777777" w:rsidR="004B1A24" w:rsidRDefault="004B1A24" w:rsidP="00EE5EB0">
      <w:pPr>
        <w:jc w:val="center"/>
        <w:rPr>
          <w:b/>
        </w:rPr>
      </w:pPr>
    </w:p>
    <w:p w14:paraId="20C737F8" w14:textId="3537ED2E" w:rsidR="00200E60" w:rsidRDefault="00AE38BF" w:rsidP="00200E60">
      <w:pPr>
        <w:pStyle w:val="Heading2"/>
        <w:numPr>
          <w:ilvl w:val="0"/>
          <w:numId w:val="0"/>
        </w:numPr>
        <w:jc w:val="center"/>
      </w:pPr>
      <w:r>
        <w:rPr>
          <w:rFonts w:cs="Arial"/>
          <w:noProof/>
          <w:color w:val="006699"/>
          <w:sz w:val="22"/>
          <w:szCs w:val="22"/>
        </w:rPr>
        <w:drawing>
          <wp:inline distT="0" distB="0" distL="0" distR="0" wp14:anchorId="744A7A80" wp14:editId="23A2BCF6">
            <wp:extent cx="2950845" cy="462915"/>
            <wp:effectExtent l="0" t="0" r="1905" b="13335"/>
            <wp:docPr id="1254678189" name="Picture 1" descr="Alder Hey - Hom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der Hey - Hom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50845" cy="462915"/>
                    </a:xfrm>
                    <a:prstGeom prst="rect">
                      <a:avLst/>
                    </a:prstGeom>
                    <a:noFill/>
                    <a:ln>
                      <a:noFill/>
                    </a:ln>
                  </pic:spPr>
                </pic:pic>
              </a:graphicData>
            </a:graphic>
          </wp:inline>
        </w:drawing>
      </w:r>
    </w:p>
    <w:p w14:paraId="20C737F9" w14:textId="77777777" w:rsidR="00200E60" w:rsidRDefault="00200E60" w:rsidP="00200E60">
      <w:pPr>
        <w:pStyle w:val="Heading2"/>
        <w:numPr>
          <w:ilvl w:val="0"/>
          <w:numId w:val="0"/>
        </w:numPr>
        <w:jc w:val="center"/>
      </w:pPr>
    </w:p>
    <w:p w14:paraId="20C737FB" w14:textId="2FDF9CCF" w:rsidR="00200E60" w:rsidRDefault="006C2542" w:rsidP="00200E60">
      <w:pPr>
        <w:pStyle w:val="Heading2"/>
        <w:numPr>
          <w:ilvl w:val="0"/>
          <w:numId w:val="0"/>
        </w:numPr>
        <w:jc w:val="center"/>
      </w:pPr>
      <w:r w:rsidRPr="006C2542">
        <w:t xml:space="preserve">Alder Hey Children’s </w:t>
      </w:r>
      <w:r>
        <w:t>NHS Foundation Trust</w:t>
      </w:r>
    </w:p>
    <w:p w14:paraId="20C737FC" w14:textId="77777777" w:rsidR="00B45130" w:rsidRDefault="00B45130" w:rsidP="00200E60">
      <w:pPr>
        <w:pStyle w:val="Heading2"/>
        <w:numPr>
          <w:ilvl w:val="0"/>
          <w:numId w:val="0"/>
        </w:numPr>
        <w:jc w:val="center"/>
      </w:pPr>
    </w:p>
    <w:p w14:paraId="5F1D619E" w14:textId="4F36CD4C" w:rsidR="00546A49" w:rsidRDefault="001104F2" w:rsidP="00546A49">
      <w:pPr>
        <w:spacing w:after="240"/>
        <w:jc w:val="center"/>
        <w:outlineLvl w:val="1"/>
        <w:rPr>
          <w:rFonts w:eastAsia="Times New Roman" w:cs="Times New Roman"/>
          <w:b/>
          <w:bCs/>
          <w:color w:val="000000" w:themeColor="text1"/>
          <w:sz w:val="32"/>
          <w:szCs w:val="32"/>
          <w:lang w:eastAsia="en-GB"/>
        </w:rPr>
      </w:pPr>
      <w:r>
        <w:rPr>
          <w:rFonts w:eastAsia="Times New Roman" w:cs="Times New Roman"/>
          <w:b/>
          <w:bCs/>
          <w:color w:val="000000" w:themeColor="text1"/>
          <w:sz w:val="32"/>
          <w:szCs w:val="32"/>
          <w:lang w:eastAsia="en-GB"/>
        </w:rPr>
        <w:t>ITT Section A</w:t>
      </w:r>
    </w:p>
    <w:p w14:paraId="0536D8B2" w14:textId="74A282B9" w:rsidR="00546A49" w:rsidRPr="00A4656B" w:rsidRDefault="00546A49" w:rsidP="00546A49">
      <w:pPr>
        <w:spacing w:after="240"/>
        <w:jc w:val="center"/>
        <w:outlineLvl w:val="1"/>
        <w:rPr>
          <w:rFonts w:eastAsia="Times New Roman" w:cs="Times New Roman"/>
          <w:b/>
          <w:bCs/>
          <w:color w:val="000000" w:themeColor="text1"/>
          <w:sz w:val="32"/>
          <w:szCs w:val="32"/>
          <w:lang w:eastAsia="en-GB"/>
        </w:rPr>
      </w:pPr>
      <w:bookmarkStart w:id="0" w:name="_Hlk187393858"/>
      <w:r w:rsidRPr="00A4656B">
        <w:rPr>
          <w:rFonts w:eastAsia="Times New Roman" w:cs="Times New Roman"/>
          <w:b/>
          <w:bCs/>
          <w:color w:val="000000" w:themeColor="text1"/>
          <w:sz w:val="32"/>
          <w:szCs w:val="32"/>
          <w:lang w:eastAsia="en-GB"/>
        </w:rPr>
        <w:t xml:space="preserve">Phase 4 Building Demolitions at Alder Hey </w:t>
      </w:r>
      <w:r w:rsidR="000D768A">
        <w:rPr>
          <w:rFonts w:eastAsia="Times New Roman" w:cs="Times New Roman"/>
          <w:b/>
          <w:bCs/>
          <w:color w:val="000000" w:themeColor="text1"/>
          <w:sz w:val="32"/>
          <w:szCs w:val="32"/>
          <w:lang w:eastAsia="en-GB"/>
        </w:rPr>
        <w:t>Children’s NHS Foundation Trust</w:t>
      </w:r>
      <w:r w:rsidRPr="00A4656B">
        <w:rPr>
          <w:rFonts w:eastAsia="Times New Roman" w:cs="Times New Roman"/>
          <w:b/>
          <w:bCs/>
          <w:color w:val="000000" w:themeColor="text1"/>
          <w:sz w:val="32"/>
          <w:szCs w:val="32"/>
          <w:lang w:eastAsia="en-GB"/>
        </w:rPr>
        <w:t xml:space="preserve"> </w:t>
      </w:r>
    </w:p>
    <w:bookmarkEnd w:id="0"/>
    <w:p w14:paraId="20C737FE" w14:textId="77777777" w:rsidR="00200E60" w:rsidRDefault="00200E60" w:rsidP="00200E60">
      <w:pPr>
        <w:pStyle w:val="Heading2"/>
        <w:numPr>
          <w:ilvl w:val="0"/>
          <w:numId w:val="0"/>
        </w:numPr>
        <w:jc w:val="center"/>
      </w:pPr>
    </w:p>
    <w:p w14:paraId="20C737FF" w14:textId="77777777" w:rsidR="00B45130" w:rsidRDefault="00B45130" w:rsidP="00200E60">
      <w:pPr>
        <w:pStyle w:val="Heading2"/>
        <w:numPr>
          <w:ilvl w:val="0"/>
          <w:numId w:val="0"/>
        </w:numPr>
        <w:jc w:val="center"/>
      </w:pPr>
    </w:p>
    <w:p w14:paraId="20C73800" w14:textId="0C7C7491" w:rsidR="00200E60" w:rsidRDefault="002532E6" w:rsidP="00200E60">
      <w:pPr>
        <w:pStyle w:val="Heading2"/>
        <w:numPr>
          <w:ilvl w:val="0"/>
          <w:numId w:val="0"/>
        </w:numPr>
        <w:jc w:val="center"/>
      </w:pPr>
      <w:bookmarkStart w:id="1" w:name="_Hlk190857022"/>
      <w:r>
        <w:t>FTS</w:t>
      </w:r>
      <w:r w:rsidR="00200E60">
        <w:t xml:space="preserve"> Number: </w:t>
      </w:r>
      <w:r w:rsidR="00AE4005" w:rsidRPr="00AE4005">
        <w:t>014819</w:t>
      </w:r>
    </w:p>
    <w:p w14:paraId="5D6130CC" w14:textId="34A07141" w:rsidR="00763B00" w:rsidRDefault="00763B00" w:rsidP="00200E60">
      <w:pPr>
        <w:pStyle w:val="Heading2"/>
        <w:numPr>
          <w:ilvl w:val="0"/>
          <w:numId w:val="0"/>
        </w:numPr>
        <w:jc w:val="center"/>
      </w:pPr>
      <w:proofErr w:type="spellStart"/>
      <w:r>
        <w:t>Atamis</w:t>
      </w:r>
      <w:proofErr w:type="spellEnd"/>
      <w:r>
        <w:t xml:space="preserve"> Reference: </w:t>
      </w:r>
      <w:r w:rsidR="00AE4005" w:rsidRPr="00AE4005">
        <w:t>C339936</w:t>
      </w:r>
    </w:p>
    <w:bookmarkEnd w:id="1"/>
    <w:p w14:paraId="20C73801" w14:textId="77777777" w:rsidR="00200E60" w:rsidRDefault="00200E60" w:rsidP="00200E60">
      <w:pPr>
        <w:pStyle w:val="Heading2"/>
        <w:numPr>
          <w:ilvl w:val="0"/>
          <w:numId w:val="0"/>
        </w:numPr>
        <w:jc w:val="center"/>
      </w:pPr>
    </w:p>
    <w:p w14:paraId="20C73802" w14:textId="77777777" w:rsidR="00B45130" w:rsidRDefault="00B45130" w:rsidP="00200E60">
      <w:pPr>
        <w:pStyle w:val="Heading2"/>
        <w:numPr>
          <w:ilvl w:val="0"/>
          <w:numId w:val="0"/>
        </w:numPr>
        <w:jc w:val="center"/>
      </w:pPr>
    </w:p>
    <w:p w14:paraId="20C73803" w14:textId="6546590C" w:rsidR="00200E60" w:rsidRDefault="00200E60" w:rsidP="00200E60">
      <w:pPr>
        <w:pStyle w:val="Heading2"/>
        <w:numPr>
          <w:ilvl w:val="0"/>
          <w:numId w:val="0"/>
        </w:numPr>
        <w:jc w:val="center"/>
      </w:pPr>
      <w:r>
        <w:t xml:space="preserve">Deadline for </w:t>
      </w:r>
      <w:r w:rsidR="005D7098">
        <w:t>Tenders</w:t>
      </w:r>
      <w:r w:rsidR="004E51D1">
        <w:t xml:space="preserve"> to be received:  </w:t>
      </w:r>
      <w:r w:rsidR="00A01B1E">
        <w:t>3pm Wednesday 19</w:t>
      </w:r>
      <w:r w:rsidR="00A01B1E" w:rsidRPr="00A01B1E">
        <w:rPr>
          <w:vertAlign w:val="superscript"/>
        </w:rPr>
        <w:t>th</w:t>
      </w:r>
      <w:r w:rsidR="00A01B1E">
        <w:t xml:space="preserve"> March 2025</w:t>
      </w:r>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20C73806"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5B59B7">
        <w:lastRenderedPageBreak/>
        <w:t>TABLE OF CONTENTS</w:t>
      </w:r>
    </w:p>
    <w:p w14:paraId="20C7380A" w14:textId="43779198"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ED44A8">
          <w:rPr>
            <w:b w:val="0"/>
            <w:noProof/>
            <w:webHidden/>
          </w:rPr>
          <w:t>1</w:t>
        </w:r>
        <w:r w:rsidRPr="00520787">
          <w:rPr>
            <w:b w:val="0"/>
            <w:noProof/>
            <w:webHidden/>
          </w:rPr>
          <w:fldChar w:fldCharType="end"/>
        </w:r>
      </w:hyperlink>
    </w:p>
    <w:p w14:paraId="20C7380B" w14:textId="277A1A2C"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Pr="00520787">
          <w:rPr>
            <w:rStyle w:val="Hyperlink"/>
            <w:b w:val="0"/>
            <w:noProof/>
            <w14:scene3d>
              <w14:camera w14:prst="orthographicFront"/>
              <w14:lightRig w14:rig="threePt" w14:dir="t">
                <w14:rot w14:lat="0" w14:lon="0" w14:rev="0"/>
              </w14:lightRig>
            </w14:scene3d>
          </w:rPr>
          <w:t>2</w:t>
        </w:r>
        <w:r w:rsidRPr="00520787">
          <w:rPr>
            <w:rFonts w:asciiTheme="minorHAnsi" w:eastAsiaTheme="minorEastAsia" w:hAnsiTheme="minorHAnsi" w:cstheme="minorBidi"/>
            <w:b w:val="0"/>
            <w:noProof/>
            <w:color w:val="auto"/>
            <w:sz w:val="22"/>
            <w:szCs w:val="22"/>
          </w:rPr>
          <w:tab/>
        </w:r>
        <w:r w:rsidRPr="00520787">
          <w:rPr>
            <w:rStyle w:val="Hyperlink"/>
            <w:b w:val="0"/>
            <w:noProof/>
          </w:rPr>
          <w:t>TENDER TIMETABLE</w:t>
        </w:r>
        <w:r w:rsidRPr="00520787">
          <w:rPr>
            <w:b w:val="0"/>
            <w:noProof/>
            <w:webHidden/>
          </w:rPr>
          <w:tab/>
        </w:r>
        <w:r w:rsidRPr="00520787">
          <w:rPr>
            <w:b w:val="0"/>
            <w:noProof/>
            <w:webHidden/>
          </w:rPr>
          <w:fldChar w:fldCharType="begin"/>
        </w:r>
        <w:r w:rsidRPr="00520787">
          <w:rPr>
            <w:b w:val="0"/>
            <w:noProof/>
            <w:webHidden/>
          </w:rPr>
          <w:instrText xml:space="preserve"> PAGEREF _Toc412715222 \h </w:instrText>
        </w:r>
        <w:r w:rsidRPr="00520787">
          <w:rPr>
            <w:b w:val="0"/>
            <w:noProof/>
            <w:webHidden/>
          </w:rPr>
        </w:r>
        <w:r w:rsidRPr="00520787">
          <w:rPr>
            <w:b w:val="0"/>
            <w:noProof/>
            <w:webHidden/>
          </w:rPr>
          <w:fldChar w:fldCharType="separate"/>
        </w:r>
        <w:r w:rsidR="00ED44A8">
          <w:rPr>
            <w:b w:val="0"/>
            <w:noProof/>
            <w:webHidden/>
          </w:rPr>
          <w:t>4</w:t>
        </w:r>
        <w:r w:rsidRPr="00520787">
          <w:rPr>
            <w:b w:val="0"/>
            <w:noProof/>
            <w:webHidden/>
          </w:rPr>
          <w:fldChar w:fldCharType="end"/>
        </w:r>
      </w:hyperlink>
    </w:p>
    <w:p w14:paraId="20C7380C" w14:textId="59899B92"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Pr="00520787">
          <w:rPr>
            <w:rStyle w:val="Hyperlink"/>
            <w:b w:val="0"/>
            <w:noProof/>
            <w14:scene3d>
              <w14:camera w14:prst="orthographicFront"/>
              <w14:lightRig w14:rig="threePt" w14:dir="t">
                <w14:rot w14:lat="0" w14:lon="0" w14:rev="0"/>
              </w14:lightRig>
            </w14:scene3d>
          </w:rPr>
          <w:t>3</w:t>
        </w:r>
        <w:r w:rsidRPr="00520787">
          <w:rPr>
            <w:rFonts w:asciiTheme="minorHAnsi" w:eastAsiaTheme="minorEastAsia" w:hAnsiTheme="minorHAnsi" w:cstheme="minorBidi"/>
            <w:b w:val="0"/>
            <w:noProof/>
            <w:color w:val="auto"/>
            <w:sz w:val="22"/>
            <w:szCs w:val="22"/>
          </w:rPr>
          <w:tab/>
        </w:r>
        <w:r w:rsidRPr="00520787">
          <w:rPr>
            <w:rStyle w:val="Hyperlink"/>
            <w:b w:val="0"/>
            <w:noProof/>
          </w:rPr>
          <w:t>INSTRUCTIONS TO BIDDERS</w:t>
        </w:r>
        <w:r w:rsidRPr="00520787">
          <w:rPr>
            <w:b w:val="0"/>
            <w:noProof/>
            <w:webHidden/>
          </w:rPr>
          <w:tab/>
        </w:r>
        <w:r w:rsidRPr="00520787">
          <w:rPr>
            <w:b w:val="0"/>
            <w:noProof/>
            <w:webHidden/>
          </w:rPr>
          <w:fldChar w:fldCharType="begin"/>
        </w:r>
        <w:r w:rsidRPr="00520787">
          <w:rPr>
            <w:b w:val="0"/>
            <w:noProof/>
            <w:webHidden/>
          </w:rPr>
          <w:instrText xml:space="preserve"> PAGEREF _Toc412715223 \h </w:instrText>
        </w:r>
        <w:r w:rsidRPr="00520787">
          <w:rPr>
            <w:b w:val="0"/>
            <w:noProof/>
            <w:webHidden/>
          </w:rPr>
        </w:r>
        <w:r w:rsidRPr="00520787">
          <w:rPr>
            <w:b w:val="0"/>
            <w:noProof/>
            <w:webHidden/>
          </w:rPr>
          <w:fldChar w:fldCharType="separate"/>
        </w:r>
        <w:r w:rsidR="00ED44A8">
          <w:rPr>
            <w:b w:val="0"/>
            <w:noProof/>
            <w:webHidden/>
          </w:rPr>
          <w:t>6</w:t>
        </w:r>
        <w:r w:rsidRPr="00520787">
          <w:rPr>
            <w:b w:val="0"/>
            <w:noProof/>
            <w:webHidden/>
          </w:rPr>
          <w:fldChar w:fldCharType="end"/>
        </w:r>
      </w:hyperlink>
    </w:p>
    <w:p w14:paraId="20C7380D" w14:textId="2A1AF4CE"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Pr="00520787">
          <w:rPr>
            <w:rStyle w:val="Hyperlink"/>
            <w:b w:val="0"/>
            <w:noProof/>
            <w14:scene3d>
              <w14:camera w14:prst="orthographicFront"/>
              <w14:lightRig w14:rig="threePt" w14:dir="t">
                <w14:rot w14:lat="0" w14:lon="0" w14:rev="0"/>
              </w14:lightRig>
            </w14:scene3d>
          </w:rPr>
          <w:t>4</w:t>
        </w:r>
        <w:r w:rsidRPr="00520787">
          <w:rPr>
            <w:rFonts w:asciiTheme="minorHAnsi" w:eastAsiaTheme="minorEastAsia" w:hAnsiTheme="minorHAnsi" w:cstheme="minorBidi"/>
            <w:b w:val="0"/>
            <w:noProof/>
            <w:color w:val="auto"/>
            <w:sz w:val="22"/>
            <w:szCs w:val="22"/>
          </w:rPr>
          <w:tab/>
        </w:r>
        <w:r w:rsidRPr="00520787">
          <w:rPr>
            <w:rStyle w:val="Hyperlink"/>
            <w:b w:val="0"/>
            <w:noProof/>
          </w:rPr>
          <w:t>TENDER EVALUATION METHODOLOGY AND CRITERIA</w:t>
        </w:r>
        <w:r w:rsidRPr="00520787">
          <w:rPr>
            <w:b w:val="0"/>
            <w:noProof/>
            <w:webHidden/>
          </w:rPr>
          <w:tab/>
        </w:r>
        <w:r w:rsidRPr="00520787">
          <w:rPr>
            <w:b w:val="0"/>
            <w:noProof/>
            <w:webHidden/>
          </w:rPr>
          <w:fldChar w:fldCharType="begin"/>
        </w:r>
        <w:r w:rsidRPr="00520787">
          <w:rPr>
            <w:b w:val="0"/>
            <w:noProof/>
            <w:webHidden/>
          </w:rPr>
          <w:instrText xml:space="preserve"> PAGEREF _Toc412715224 \h </w:instrText>
        </w:r>
        <w:r w:rsidRPr="00520787">
          <w:rPr>
            <w:b w:val="0"/>
            <w:noProof/>
            <w:webHidden/>
          </w:rPr>
        </w:r>
        <w:r w:rsidRPr="00520787">
          <w:rPr>
            <w:b w:val="0"/>
            <w:noProof/>
            <w:webHidden/>
          </w:rPr>
          <w:fldChar w:fldCharType="separate"/>
        </w:r>
        <w:r w:rsidR="00ED44A8">
          <w:rPr>
            <w:b w:val="0"/>
            <w:noProof/>
            <w:webHidden/>
          </w:rPr>
          <w:t>12</w:t>
        </w:r>
        <w:r w:rsidRPr="00520787">
          <w:rPr>
            <w:b w:val="0"/>
            <w:noProof/>
            <w:webHidden/>
          </w:rPr>
          <w:fldChar w:fldCharType="end"/>
        </w:r>
      </w:hyperlink>
    </w:p>
    <w:p w14:paraId="20C7380F" w14:textId="77083D24"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Pr="00520787">
          <w:rPr>
            <w:rStyle w:val="Hyperlink"/>
            <w:b w:val="0"/>
            <w:noProof/>
          </w:rPr>
          <w:t>ANNEX A1 NHS TERMS AND CONDITIONS</w:t>
        </w:r>
        <w:r w:rsidRPr="00520787">
          <w:rPr>
            <w:b w:val="0"/>
            <w:noProof/>
            <w:webHidden/>
          </w:rPr>
          <w:tab/>
        </w:r>
        <w:r w:rsidRPr="00520787">
          <w:rPr>
            <w:b w:val="0"/>
            <w:noProof/>
            <w:webHidden/>
          </w:rPr>
          <w:fldChar w:fldCharType="begin"/>
        </w:r>
        <w:r w:rsidRPr="00520787">
          <w:rPr>
            <w:b w:val="0"/>
            <w:noProof/>
            <w:webHidden/>
          </w:rPr>
          <w:instrText xml:space="preserve"> PAGEREF _Toc412715226 \h </w:instrText>
        </w:r>
        <w:r w:rsidRPr="00520787">
          <w:rPr>
            <w:b w:val="0"/>
            <w:noProof/>
            <w:webHidden/>
          </w:rPr>
        </w:r>
        <w:r w:rsidRPr="00520787">
          <w:rPr>
            <w:b w:val="0"/>
            <w:noProof/>
            <w:webHidden/>
          </w:rPr>
          <w:fldChar w:fldCharType="separate"/>
        </w:r>
        <w:r w:rsidR="00ED44A8">
          <w:rPr>
            <w:b w:val="0"/>
            <w:noProof/>
            <w:webHidden/>
          </w:rPr>
          <w:t>15</w:t>
        </w:r>
        <w:r w:rsidRPr="00520787">
          <w:rPr>
            <w:b w:val="0"/>
            <w:noProof/>
            <w:webHidden/>
          </w:rPr>
          <w:fldChar w:fldCharType="end"/>
        </w:r>
      </w:hyperlink>
    </w:p>
    <w:p w14:paraId="20C73810" w14:textId="7EA6FD63"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hyperlink w:anchor="_Toc412715227" w:history="1"/>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numPr>
          <w:ilvl w:val="0"/>
          <w:numId w:val="24"/>
        </w:numPr>
        <w:ind w:hanging="798"/>
        <w:jc w:val="both"/>
        <w:rPr>
          <w:sz w:val="20"/>
          <w:szCs w:val="20"/>
        </w:rPr>
      </w:pPr>
      <w:bookmarkStart w:id="2" w:name="_Toc403556501"/>
      <w:bookmarkStart w:id="3" w:name="_Toc403556506"/>
      <w:bookmarkStart w:id="4" w:name="_Toc406674969"/>
      <w:bookmarkStart w:id="5" w:name="_Toc412621211"/>
      <w:bookmarkStart w:id="6" w:name="_Toc412715221"/>
      <w:r w:rsidRPr="008F3D2C">
        <w:rPr>
          <w:sz w:val="20"/>
          <w:szCs w:val="20"/>
        </w:rPr>
        <w:lastRenderedPageBreak/>
        <w:t>INTRODUCTION AND BACKGROUND</w:t>
      </w:r>
      <w:bookmarkEnd w:id="2"/>
      <w:bookmarkEnd w:id="3"/>
      <w:bookmarkEnd w:id="4"/>
      <w:bookmarkEnd w:id="5"/>
      <w:bookmarkEnd w:id="6"/>
    </w:p>
    <w:p w14:paraId="20C73819" w14:textId="37E9D310" w:rsidR="003E3276" w:rsidRPr="007724D1" w:rsidRDefault="00636EAB" w:rsidP="004270D9">
      <w:pPr>
        <w:pStyle w:val="MRNumberedHeading2"/>
      </w:pPr>
      <w:bookmarkStart w:id="7" w:name="_Toc403555077"/>
      <w:r w:rsidRPr="00636EAB">
        <w:t xml:space="preserve">Alder Hey Children’s Hospital NHS Foundation Trust </w:t>
      </w:r>
      <w:r w:rsidR="003E3276" w:rsidRPr="007724D1">
        <w:t>(the "</w:t>
      </w:r>
      <w:r w:rsidR="003E3276" w:rsidRPr="007724D1">
        <w:rPr>
          <w:b/>
        </w:rPr>
        <w:t>Authority</w:t>
      </w:r>
      <w:r w:rsidR="004F02F9">
        <w:t>") is issuing this invitation to t</w:t>
      </w:r>
      <w:r w:rsidR="003E3276" w:rsidRPr="007724D1">
        <w:t>ender ("</w:t>
      </w:r>
      <w:r w:rsidR="003E3276" w:rsidRPr="007724D1">
        <w:rPr>
          <w:b/>
        </w:rPr>
        <w:t>ITT</w:t>
      </w:r>
      <w:r w:rsidR="003E3276" w:rsidRPr="007724D1">
        <w:t xml:space="preserve">") in connection with the competitive procurement of </w:t>
      </w:r>
      <w:bookmarkEnd w:id="7"/>
      <w:r w:rsidRPr="00636EAB">
        <w:t>Phase 4 Building Demolitions at Alder Hey Hospital</w:t>
      </w:r>
      <w:r>
        <w:t>.</w:t>
      </w:r>
    </w:p>
    <w:p w14:paraId="20C7381A" w14:textId="77777777" w:rsidR="003E3276" w:rsidRPr="007724D1" w:rsidRDefault="003E3276" w:rsidP="004270D9">
      <w:pPr>
        <w:pStyle w:val="MRNumberedHeading2"/>
      </w:pPr>
      <w:bookmarkStart w:id="8" w:name="_Toc403555078"/>
      <w:r w:rsidRPr="007724D1">
        <w:t xml:space="preserve">This ITT Section A contains further </w:t>
      </w:r>
      <w:r w:rsidRPr="003E3276">
        <w:t>information</w:t>
      </w:r>
      <w:r w:rsidRPr="007724D1">
        <w:t xml:space="preserve"> about the procurement process.</w:t>
      </w:r>
      <w:bookmarkEnd w:id="8"/>
      <w:r w:rsidRPr="007724D1">
        <w:t xml:space="preserve">  </w:t>
      </w:r>
    </w:p>
    <w:p w14:paraId="20C7381B" w14:textId="2A17D71D" w:rsidR="003E3276" w:rsidRDefault="00C516F4" w:rsidP="004270D9">
      <w:pPr>
        <w:pStyle w:val="MRNumberedHeading2"/>
      </w:pPr>
      <w:bookmarkStart w:id="9"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9"/>
    </w:p>
    <w:p w14:paraId="20C7381C" w14:textId="5A2DBD14" w:rsidR="003E3276" w:rsidRPr="00FB2FE9" w:rsidRDefault="0034181A" w:rsidP="004270D9">
      <w:pPr>
        <w:pStyle w:val="MRNumberedHeading2"/>
      </w:pPr>
      <w:bookmarkStart w:id="10"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10"/>
    </w:p>
    <w:p w14:paraId="20C7381E" w14:textId="77777777" w:rsidR="00247F0F" w:rsidRPr="003E3276" w:rsidRDefault="00247F0F" w:rsidP="004270D9">
      <w:pPr>
        <w:pStyle w:val="Heading1"/>
        <w:spacing w:before="240" w:after="0"/>
        <w:ind w:left="851"/>
        <w:rPr>
          <w:rFonts w:eastAsiaTheme="minorHAnsi"/>
        </w:rPr>
      </w:pPr>
      <w:bookmarkStart w:id="11" w:name="_Toc403555082"/>
      <w:r w:rsidRPr="003E3276">
        <w:rPr>
          <w:rFonts w:eastAsiaTheme="minorHAnsi"/>
        </w:rPr>
        <w:t>Contents of the ITT</w:t>
      </w:r>
      <w:bookmarkEnd w:id="11"/>
      <w:r w:rsidRPr="003E3276">
        <w:rPr>
          <w:rFonts w:eastAsiaTheme="minorHAnsi"/>
        </w:rPr>
        <w:t xml:space="preserve"> </w:t>
      </w:r>
    </w:p>
    <w:p w14:paraId="20C7381F" w14:textId="77777777" w:rsidR="00AD3446" w:rsidRPr="003E3276" w:rsidRDefault="00AD3446" w:rsidP="004270D9">
      <w:pPr>
        <w:pStyle w:val="MRNumberedHeading2"/>
        <w:rPr>
          <w:b/>
        </w:rPr>
      </w:pPr>
      <w:bookmarkStart w:id="12" w:name="_Toc403555083"/>
      <w:bookmarkStart w:id="13" w:name="_Ref405452631"/>
      <w:r>
        <w:t>This ITT document consists of:</w:t>
      </w:r>
      <w:bookmarkEnd w:id="12"/>
      <w:bookmarkEnd w:id="13"/>
    </w:p>
    <w:p w14:paraId="20C73820"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20C73822" w14:textId="77777777" w:rsidTr="009A3E29">
        <w:trPr>
          <w:gridAfter w:val="1"/>
          <w:wAfter w:w="2410" w:type="dxa"/>
        </w:trPr>
        <w:tc>
          <w:tcPr>
            <w:tcW w:w="6520" w:type="dxa"/>
            <w:gridSpan w:val="2"/>
            <w:shd w:val="clear" w:color="auto" w:fill="BFBFBF" w:themeFill="background1" w:themeFillShade="BF"/>
          </w:tcPr>
          <w:p w14:paraId="20C73821" w14:textId="77777777" w:rsidR="005957B2" w:rsidRPr="00953B6C" w:rsidRDefault="00AD0C96" w:rsidP="00AD3446">
            <w:pPr>
              <w:pStyle w:val="Heading2"/>
              <w:numPr>
                <w:ilvl w:val="0"/>
                <w:numId w:val="0"/>
              </w:numPr>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9A3E29">
        <w:trPr>
          <w:gridAfter w:val="1"/>
          <w:wAfter w:w="2410" w:type="dxa"/>
        </w:trPr>
        <w:tc>
          <w:tcPr>
            <w:tcW w:w="1134" w:type="dxa"/>
          </w:tcPr>
          <w:p w14:paraId="20C73823" w14:textId="77777777" w:rsidR="00653DCC" w:rsidRDefault="00653DCC" w:rsidP="00AD3446">
            <w:pPr>
              <w:pStyle w:val="Heading2"/>
              <w:numPr>
                <w:ilvl w:val="0"/>
                <w:numId w:val="0"/>
              </w:numPr>
              <w:jc w:val="center"/>
            </w:pPr>
            <w:r>
              <w:t>1</w:t>
            </w:r>
          </w:p>
        </w:tc>
        <w:tc>
          <w:tcPr>
            <w:tcW w:w="5386" w:type="dxa"/>
          </w:tcPr>
          <w:p w14:paraId="20C73824" w14:textId="77777777" w:rsidR="00653DCC" w:rsidRDefault="00653DCC" w:rsidP="00AD3446">
            <w:pPr>
              <w:pStyle w:val="Heading2"/>
              <w:numPr>
                <w:ilvl w:val="0"/>
                <w:numId w:val="0"/>
              </w:numPr>
            </w:pPr>
            <w:r>
              <w:t>Introduction and background</w:t>
            </w:r>
          </w:p>
          <w:p w14:paraId="20C73825" w14:textId="77777777" w:rsidR="009464EA" w:rsidRDefault="009464EA" w:rsidP="00AD3446">
            <w:pPr>
              <w:pStyle w:val="Heading2"/>
              <w:numPr>
                <w:ilvl w:val="0"/>
                <w:numId w:val="0"/>
              </w:numPr>
            </w:pPr>
          </w:p>
        </w:tc>
      </w:tr>
      <w:tr w:rsidR="00653DCC" w14:paraId="20C7382A" w14:textId="77777777" w:rsidTr="009A3E29">
        <w:trPr>
          <w:gridAfter w:val="1"/>
          <w:wAfter w:w="2410" w:type="dxa"/>
        </w:trPr>
        <w:tc>
          <w:tcPr>
            <w:tcW w:w="1134" w:type="dxa"/>
          </w:tcPr>
          <w:p w14:paraId="20C73827" w14:textId="77777777" w:rsidR="00653DCC" w:rsidRDefault="00653DCC" w:rsidP="00AD3446">
            <w:pPr>
              <w:pStyle w:val="Heading2"/>
              <w:numPr>
                <w:ilvl w:val="0"/>
                <w:numId w:val="0"/>
              </w:numPr>
              <w:jc w:val="center"/>
            </w:pPr>
            <w:r>
              <w:t>2</w:t>
            </w:r>
          </w:p>
        </w:tc>
        <w:tc>
          <w:tcPr>
            <w:tcW w:w="5386" w:type="dxa"/>
          </w:tcPr>
          <w:p w14:paraId="20C73828" w14:textId="77777777" w:rsidR="00653DCC" w:rsidRDefault="00653DCC" w:rsidP="00AD3446">
            <w:pPr>
              <w:pStyle w:val="Heading2"/>
              <w:numPr>
                <w:ilvl w:val="0"/>
                <w:numId w:val="0"/>
              </w:numPr>
            </w:pPr>
            <w:r>
              <w:t>Tender timetable</w:t>
            </w:r>
            <w:r w:rsidR="00A57D02">
              <w:t xml:space="preserve"> </w:t>
            </w:r>
          </w:p>
          <w:p w14:paraId="20C73829" w14:textId="77777777" w:rsidR="009464EA" w:rsidRDefault="009464EA" w:rsidP="00AD3446">
            <w:pPr>
              <w:pStyle w:val="Heading2"/>
              <w:numPr>
                <w:ilvl w:val="0"/>
                <w:numId w:val="0"/>
              </w:numPr>
            </w:pPr>
          </w:p>
        </w:tc>
      </w:tr>
      <w:tr w:rsidR="00653DCC" w14:paraId="20C7382E" w14:textId="77777777" w:rsidTr="009A3E29">
        <w:trPr>
          <w:gridAfter w:val="1"/>
          <w:wAfter w:w="2410" w:type="dxa"/>
        </w:trPr>
        <w:tc>
          <w:tcPr>
            <w:tcW w:w="1134" w:type="dxa"/>
          </w:tcPr>
          <w:p w14:paraId="20C7382B" w14:textId="77777777" w:rsidR="00653DCC" w:rsidRDefault="00653DCC" w:rsidP="00AD3446">
            <w:pPr>
              <w:pStyle w:val="Heading2"/>
              <w:numPr>
                <w:ilvl w:val="0"/>
                <w:numId w:val="0"/>
              </w:numPr>
              <w:jc w:val="center"/>
            </w:pPr>
            <w:r>
              <w:t>3</w:t>
            </w:r>
          </w:p>
        </w:tc>
        <w:tc>
          <w:tcPr>
            <w:tcW w:w="5386" w:type="dxa"/>
          </w:tcPr>
          <w:p w14:paraId="20C7382C" w14:textId="77777777" w:rsidR="00653DCC" w:rsidRDefault="00223555" w:rsidP="00AD3446">
            <w:pPr>
              <w:pStyle w:val="Heading2"/>
              <w:numPr>
                <w:ilvl w:val="0"/>
                <w:numId w:val="0"/>
              </w:numPr>
            </w:pPr>
            <w:r>
              <w:t xml:space="preserve">Instructions to </w:t>
            </w:r>
            <w:r w:rsidR="00E7163F">
              <w:t>Bidders</w:t>
            </w:r>
            <w:r>
              <w:t xml:space="preserve"> </w:t>
            </w:r>
          </w:p>
          <w:p w14:paraId="20C7382D" w14:textId="40B3C6C3" w:rsidR="009464EA" w:rsidRDefault="009464EA" w:rsidP="00AD3446">
            <w:pPr>
              <w:pStyle w:val="Heading2"/>
              <w:numPr>
                <w:ilvl w:val="0"/>
                <w:numId w:val="0"/>
              </w:numPr>
            </w:pPr>
          </w:p>
        </w:tc>
      </w:tr>
      <w:tr w:rsidR="00653DCC" w14:paraId="20C73832" w14:textId="77777777" w:rsidTr="009A3E29">
        <w:trPr>
          <w:gridAfter w:val="1"/>
          <w:wAfter w:w="2410" w:type="dxa"/>
        </w:trPr>
        <w:tc>
          <w:tcPr>
            <w:tcW w:w="1134" w:type="dxa"/>
          </w:tcPr>
          <w:p w14:paraId="20C7382F" w14:textId="77777777" w:rsidR="00653DCC" w:rsidRDefault="00653DCC" w:rsidP="00AD3446">
            <w:pPr>
              <w:pStyle w:val="Heading2"/>
              <w:numPr>
                <w:ilvl w:val="0"/>
                <w:numId w:val="0"/>
              </w:numPr>
              <w:jc w:val="center"/>
            </w:pPr>
            <w:r>
              <w:t>4</w:t>
            </w:r>
          </w:p>
        </w:tc>
        <w:tc>
          <w:tcPr>
            <w:tcW w:w="5386" w:type="dxa"/>
          </w:tcPr>
          <w:p w14:paraId="20C73830" w14:textId="77777777" w:rsidR="009464EA" w:rsidRDefault="008731E8" w:rsidP="00AD3446">
            <w:pPr>
              <w:pStyle w:val="Heading2"/>
              <w:numPr>
                <w:ilvl w:val="0"/>
                <w:numId w:val="0"/>
              </w:numPr>
            </w:pPr>
            <w:r>
              <w:t>Tender evaluation methodology and criteria</w:t>
            </w:r>
          </w:p>
          <w:p w14:paraId="20C73831" w14:textId="77777777" w:rsidR="00653DCC" w:rsidRDefault="008731E8" w:rsidP="00AD3446">
            <w:pPr>
              <w:pStyle w:val="Heading2"/>
              <w:numPr>
                <w:ilvl w:val="0"/>
                <w:numId w:val="0"/>
              </w:numPr>
            </w:pPr>
            <w:r>
              <w:t xml:space="preserve"> </w:t>
            </w:r>
          </w:p>
        </w:tc>
      </w:tr>
      <w:tr w:rsidR="00953B6C" w14:paraId="20C7383A" w14:textId="77777777" w:rsidTr="009A3E29">
        <w:trPr>
          <w:gridAfter w:val="1"/>
          <w:wAfter w:w="2410" w:type="dxa"/>
        </w:trPr>
        <w:tc>
          <w:tcPr>
            <w:tcW w:w="1134" w:type="dxa"/>
          </w:tcPr>
          <w:p w14:paraId="20C73837" w14:textId="77777777" w:rsidR="00953B6C" w:rsidRPr="00947F10" w:rsidRDefault="00953B6C" w:rsidP="00AD3446">
            <w:pPr>
              <w:pStyle w:val="Heading2"/>
              <w:numPr>
                <w:ilvl w:val="0"/>
                <w:numId w:val="0"/>
              </w:numPr>
              <w:jc w:val="center"/>
            </w:pPr>
            <w:bookmarkStart w:id="14" w:name="_Ref405453364"/>
            <w:r w:rsidRPr="00947F10">
              <w:t xml:space="preserve">Annex </w:t>
            </w:r>
            <w:r w:rsidR="006E3892" w:rsidRPr="00947F10">
              <w:t>A</w:t>
            </w:r>
            <w:r w:rsidRPr="00947F10">
              <w:t>1</w:t>
            </w:r>
            <w:bookmarkEnd w:id="14"/>
          </w:p>
        </w:tc>
        <w:tc>
          <w:tcPr>
            <w:tcW w:w="5386" w:type="dxa"/>
          </w:tcPr>
          <w:p w14:paraId="20C73838" w14:textId="1D54087F" w:rsidR="009464EA" w:rsidRPr="00000D07" w:rsidRDefault="00947F10" w:rsidP="00AD3446">
            <w:pPr>
              <w:pStyle w:val="Heading2"/>
              <w:numPr>
                <w:ilvl w:val="0"/>
                <w:numId w:val="0"/>
              </w:numPr>
              <w:rPr>
                <w:color w:val="auto"/>
              </w:rPr>
            </w:pPr>
            <w:r w:rsidRPr="00000D07">
              <w:rPr>
                <w:color w:val="auto"/>
              </w:rPr>
              <w:t xml:space="preserve">NEC Contract </w:t>
            </w:r>
            <w:r w:rsidR="00000D07" w:rsidRPr="00000D07">
              <w:rPr>
                <w:color w:val="auto"/>
              </w:rPr>
              <w:t>Terms and Conditions</w:t>
            </w:r>
          </w:p>
          <w:p w14:paraId="20C73839" w14:textId="77777777" w:rsidR="006E3892" w:rsidRPr="00947F10" w:rsidRDefault="006E3892" w:rsidP="00AD3446">
            <w:pPr>
              <w:pStyle w:val="Heading2"/>
              <w:numPr>
                <w:ilvl w:val="0"/>
                <w:numId w:val="0"/>
              </w:numPr>
            </w:pPr>
          </w:p>
        </w:tc>
      </w:tr>
      <w:tr w:rsidR="00953B6C" w14:paraId="20C7383E" w14:textId="77777777" w:rsidTr="009A3E29">
        <w:trPr>
          <w:gridAfter w:val="1"/>
          <w:wAfter w:w="2410" w:type="dxa"/>
        </w:trPr>
        <w:tc>
          <w:tcPr>
            <w:tcW w:w="1134" w:type="dxa"/>
          </w:tcPr>
          <w:p w14:paraId="20C7383B" w14:textId="2052D306" w:rsidR="00953B6C" w:rsidRDefault="00953B6C" w:rsidP="00AD3446">
            <w:pPr>
              <w:pStyle w:val="Heading2"/>
              <w:numPr>
                <w:ilvl w:val="0"/>
                <w:numId w:val="0"/>
              </w:numPr>
              <w:jc w:val="center"/>
            </w:pPr>
          </w:p>
        </w:tc>
        <w:tc>
          <w:tcPr>
            <w:tcW w:w="5386" w:type="dxa"/>
          </w:tcPr>
          <w:p w14:paraId="20C7383D" w14:textId="77777777" w:rsidR="009464EA" w:rsidRDefault="009464EA" w:rsidP="00AD3446">
            <w:pPr>
              <w:pStyle w:val="Heading2"/>
              <w:numPr>
                <w:ilvl w:val="0"/>
                <w:numId w:val="0"/>
              </w:numPr>
            </w:pPr>
          </w:p>
        </w:tc>
      </w:tr>
      <w:tr w:rsidR="00953B6C" w14:paraId="20C73840" w14:textId="77777777" w:rsidTr="009A3E29">
        <w:trPr>
          <w:gridAfter w:val="1"/>
          <w:wAfter w:w="2410" w:type="dxa"/>
        </w:trPr>
        <w:tc>
          <w:tcPr>
            <w:tcW w:w="6520" w:type="dxa"/>
            <w:gridSpan w:val="2"/>
            <w:shd w:val="clear" w:color="auto" w:fill="BFBFBF" w:themeFill="background1" w:themeFillShade="BF"/>
          </w:tcPr>
          <w:p w14:paraId="20C7383F" w14:textId="77777777" w:rsidR="005957B2" w:rsidRPr="00953B6C" w:rsidRDefault="00AD0C96" w:rsidP="00AD3446">
            <w:pPr>
              <w:pStyle w:val="Heading2"/>
              <w:numPr>
                <w:ilvl w:val="0"/>
                <w:numId w:val="0"/>
              </w:numPr>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14:paraId="20C73844" w14:textId="77777777" w:rsidTr="009A3E29">
        <w:trPr>
          <w:gridAfter w:val="1"/>
          <w:wAfter w:w="2410" w:type="dxa"/>
        </w:trPr>
        <w:tc>
          <w:tcPr>
            <w:tcW w:w="1134" w:type="dxa"/>
          </w:tcPr>
          <w:p w14:paraId="20C73841" w14:textId="3F57A81F" w:rsidR="00953B6C" w:rsidRPr="00636EAB" w:rsidRDefault="006E3892" w:rsidP="00AD3446">
            <w:pPr>
              <w:pStyle w:val="Heading2"/>
              <w:numPr>
                <w:ilvl w:val="0"/>
                <w:numId w:val="0"/>
              </w:numPr>
              <w:jc w:val="center"/>
            </w:pPr>
            <w:r w:rsidRPr="00636EAB">
              <w:t>Annex B</w:t>
            </w:r>
            <w:r w:rsidR="00953B6C" w:rsidRPr="00636EAB">
              <w:t>1</w:t>
            </w:r>
          </w:p>
        </w:tc>
        <w:tc>
          <w:tcPr>
            <w:tcW w:w="5386" w:type="dxa"/>
          </w:tcPr>
          <w:p w14:paraId="20C73842" w14:textId="4B891FBD" w:rsidR="00953B6C" w:rsidRPr="00636EAB" w:rsidRDefault="00680879" w:rsidP="00AD3446">
            <w:pPr>
              <w:pStyle w:val="Heading2"/>
              <w:numPr>
                <w:ilvl w:val="0"/>
                <w:numId w:val="0"/>
              </w:numPr>
            </w:pPr>
            <w:r w:rsidRPr="00636EAB">
              <w:t xml:space="preserve">Part 3 of the </w:t>
            </w:r>
            <w:r w:rsidR="006E3892" w:rsidRPr="00636EAB">
              <w:t>Eligibility</w:t>
            </w:r>
            <w:r w:rsidR="00C573A4" w:rsidRPr="00636EAB">
              <w:t xml:space="preserve"> questions and response</w:t>
            </w:r>
            <w:r w:rsidR="00706A06" w:rsidRPr="00636EAB">
              <w:t>s</w:t>
            </w:r>
          </w:p>
          <w:p w14:paraId="20C73843" w14:textId="77777777" w:rsidR="009464EA" w:rsidRPr="00636EAB" w:rsidRDefault="009464EA" w:rsidP="00AD3446">
            <w:pPr>
              <w:pStyle w:val="Heading2"/>
              <w:numPr>
                <w:ilvl w:val="0"/>
                <w:numId w:val="0"/>
              </w:numPr>
            </w:pPr>
          </w:p>
        </w:tc>
      </w:tr>
      <w:tr w:rsidR="00C573A4" w14:paraId="20C73848" w14:textId="77777777" w:rsidTr="009A3E29">
        <w:trPr>
          <w:gridAfter w:val="1"/>
          <w:wAfter w:w="2410" w:type="dxa"/>
        </w:trPr>
        <w:tc>
          <w:tcPr>
            <w:tcW w:w="1134" w:type="dxa"/>
          </w:tcPr>
          <w:p w14:paraId="20C73845" w14:textId="77777777" w:rsidR="00C573A4" w:rsidRDefault="006E3892" w:rsidP="00AD3446">
            <w:pPr>
              <w:pStyle w:val="Heading2"/>
              <w:numPr>
                <w:ilvl w:val="0"/>
                <w:numId w:val="0"/>
              </w:numPr>
              <w:jc w:val="center"/>
            </w:pPr>
            <w:r>
              <w:t>Annex B</w:t>
            </w:r>
            <w:r w:rsidR="00C573A4">
              <w:t>2</w:t>
            </w:r>
          </w:p>
        </w:tc>
        <w:tc>
          <w:tcPr>
            <w:tcW w:w="5386" w:type="dxa"/>
          </w:tcPr>
          <w:p w14:paraId="20C73846" w14:textId="77777777" w:rsidR="009464EA" w:rsidRDefault="00636468" w:rsidP="00AD3446">
            <w:pPr>
              <w:pStyle w:val="Heading2"/>
              <w:numPr>
                <w:ilvl w:val="0"/>
                <w:numId w:val="0"/>
              </w:numPr>
            </w:pPr>
            <w:r>
              <w:t>S</w:t>
            </w:r>
            <w:r w:rsidR="006E3892">
              <w:t>pecification</w:t>
            </w:r>
          </w:p>
          <w:p w14:paraId="20C73847" w14:textId="77777777" w:rsidR="009464EA" w:rsidRDefault="009464EA" w:rsidP="00AD3446">
            <w:pPr>
              <w:pStyle w:val="Heading2"/>
              <w:numPr>
                <w:ilvl w:val="0"/>
                <w:numId w:val="0"/>
              </w:numPr>
            </w:pPr>
          </w:p>
        </w:tc>
      </w:tr>
      <w:tr w:rsidR="00C573A4" w14:paraId="20C7384C" w14:textId="77777777" w:rsidTr="009A3E29">
        <w:trPr>
          <w:gridAfter w:val="1"/>
          <w:wAfter w:w="2410" w:type="dxa"/>
        </w:trPr>
        <w:tc>
          <w:tcPr>
            <w:tcW w:w="1134" w:type="dxa"/>
          </w:tcPr>
          <w:p w14:paraId="20C73849" w14:textId="77777777" w:rsidR="00C573A4" w:rsidRDefault="006E3892" w:rsidP="00AD3446">
            <w:pPr>
              <w:pStyle w:val="Heading2"/>
              <w:numPr>
                <w:ilvl w:val="0"/>
                <w:numId w:val="0"/>
              </w:numPr>
              <w:jc w:val="center"/>
            </w:pPr>
            <w:r>
              <w:t>Annex B3</w:t>
            </w:r>
          </w:p>
        </w:tc>
        <w:tc>
          <w:tcPr>
            <w:tcW w:w="5386" w:type="dxa"/>
          </w:tcPr>
          <w:p w14:paraId="20C7384A" w14:textId="77777777" w:rsidR="00C573A4" w:rsidRDefault="0035766D" w:rsidP="00AD3446">
            <w:pPr>
              <w:pStyle w:val="Heading2"/>
              <w:numPr>
                <w:ilvl w:val="0"/>
                <w:numId w:val="0"/>
              </w:numPr>
            </w:pPr>
            <w:r>
              <w:t>Tender Response Do</w:t>
            </w:r>
            <w:r w:rsidR="00A66B5D">
              <w:t>cument</w:t>
            </w:r>
          </w:p>
          <w:p w14:paraId="20C7384B" w14:textId="77777777" w:rsidR="009464EA" w:rsidRDefault="009464EA" w:rsidP="00AD3446">
            <w:pPr>
              <w:pStyle w:val="Heading2"/>
              <w:numPr>
                <w:ilvl w:val="0"/>
                <w:numId w:val="0"/>
              </w:numPr>
            </w:pPr>
          </w:p>
        </w:tc>
      </w:tr>
      <w:tr w:rsidR="00C573A4" w14:paraId="20C73850" w14:textId="77777777" w:rsidTr="009A3E29">
        <w:trPr>
          <w:gridAfter w:val="1"/>
          <w:wAfter w:w="2410" w:type="dxa"/>
        </w:trPr>
        <w:tc>
          <w:tcPr>
            <w:tcW w:w="1134" w:type="dxa"/>
          </w:tcPr>
          <w:p w14:paraId="20C7384D" w14:textId="77777777" w:rsidR="00C573A4" w:rsidRDefault="006E3892" w:rsidP="00AD3446">
            <w:pPr>
              <w:pStyle w:val="Heading2"/>
              <w:numPr>
                <w:ilvl w:val="0"/>
                <w:numId w:val="0"/>
              </w:numPr>
              <w:jc w:val="center"/>
            </w:pPr>
            <w:r>
              <w:t>Annex B</w:t>
            </w:r>
            <w:r w:rsidR="00C573A4">
              <w:t>4</w:t>
            </w:r>
          </w:p>
        </w:tc>
        <w:tc>
          <w:tcPr>
            <w:tcW w:w="5386" w:type="dxa"/>
            <w:tcBorders>
              <w:bottom w:val="single" w:sz="4" w:space="0" w:color="auto"/>
            </w:tcBorders>
          </w:tcPr>
          <w:p w14:paraId="20C7384E" w14:textId="77777777" w:rsidR="00C573A4" w:rsidRDefault="00490EBA" w:rsidP="00AD3446">
            <w:pPr>
              <w:pStyle w:val="Heading2"/>
              <w:numPr>
                <w:ilvl w:val="0"/>
                <w:numId w:val="0"/>
              </w:numPr>
            </w:pPr>
            <w:r>
              <w:t>Commercial S</w:t>
            </w:r>
            <w:r w:rsidR="00A66B5D">
              <w:t>chedule</w:t>
            </w:r>
          </w:p>
          <w:p w14:paraId="20C7384F" w14:textId="77777777" w:rsidR="009464EA" w:rsidRDefault="009464EA" w:rsidP="00AD3446">
            <w:pPr>
              <w:pStyle w:val="Heading2"/>
              <w:numPr>
                <w:ilvl w:val="0"/>
                <w:numId w:val="0"/>
              </w:numPr>
            </w:pPr>
          </w:p>
        </w:tc>
      </w:tr>
      <w:tr w:rsidR="009A3E29" w14:paraId="20C73855" w14:textId="77777777" w:rsidTr="009A3E29">
        <w:tc>
          <w:tcPr>
            <w:tcW w:w="1134" w:type="dxa"/>
          </w:tcPr>
          <w:p w14:paraId="20C73851" w14:textId="77777777" w:rsidR="009A3E29" w:rsidRDefault="006E3892" w:rsidP="00AD3446">
            <w:pPr>
              <w:pStyle w:val="Heading2"/>
              <w:numPr>
                <w:ilvl w:val="0"/>
                <w:numId w:val="0"/>
              </w:numPr>
              <w:jc w:val="center"/>
            </w:pPr>
            <w:r>
              <w:t>Annex B</w:t>
            </w:r>
            <w:r w:rsidR="009A3E29">
              <w:t>5</w:t>
            </w:r>
          </w:p>
        </w:tc>
        <w:tc>
          <w:tcPr>
            <w:tcW w:w="5386" w:type="dxa"/>
            <w:tcBorders>
              <w:right w:val="single" w:sz="4" w:space="0" w:color="auto"/>
            </w:tcBorders>
          </w:tcPr>
          <w:p w14:paraId="20C73852" w14:textId="77777777" w:rsidR="009A3E29" w:rsidRDefault="00A66B5D" w:rsidP="00AD3446">
            <w:pPr>
              <w:pStyle w:val="Heading2"/>
              <w:numPr>
                <w:ilvl w:val="0"/>
                <w:numId w:val="0"/>
              </w:numPr>
            </w:pPr>
            <w:r>
              <w:t>Confidential and commercially sensitive information</w:t>
            </w:r>
          </w:p>
          <w:p w14:paraId="20C73853" w14:textId="77777777" w:rsidR="009A3E29" w:rsidRDefault="009A3E29" w:rsidP="00AD3446">
            <w:pPr>
              <w:pStyle w:val="Heading2"/>
              <w:numPr>
                <w:ilvl w:val="0"/>
                <w:numId w:val="0"/>
              </w:numPr>
            </w:pPr>
          </w:p>
        </w:tc>
        <w:tc>
          <w:tcPr>
            <w:tcW w:w="2410" w:type="dxa"/>
            <w:tcBorders>
              <w:top w:val="nil"/>
              <w:left w:val="single" w:sz="4" w:space="0" w:color="auto"/>
              <w:bottom w:val="nil"/>
              <w:right w:val="nil"/>
            </w:tcBorders>
          </w:tcPr>
          <w:p w14:paraId="20C73854" w14:textId="2393D47C" w:rsidR="009A3E29" w:rsidRPr="00A52A19" w:rsidRDefault="009A3E29" w:rsidP="00AD3446">
            <w:pPr>
              <w:pStyle w:val="Heading2"/>
              <w:numPr>
                <w:ilvl w:val="0"/>
                <w:numId w:val="0"/>
              </w:numPr>
              <w:jc w:val="right"/>
              <w:rPr>
                <w:rFonts w:ascii="Arial Bold" w:hAnsi="Arial Bold"/>
                <w:color w:val="auto"/>
              </w:rPr>
            </w:pPr>
            <w:bookmarkStart w:id="15" w:name="handonesix"/>
            <w:bookmarkEnd w:id="15"/>
          </w:p>
        </w:tc>
      </w:tr>
      <w:tr w:rsidR="006E3892" w14:paraId="20C7385A" w14:textId="77777777" w:rsidTr="00636EAB">
        <w:trPr>
          <w:trHeight w:val="47"/>
        </w:trPr>
        <w:tc>
          <w:tcPr>
            <w:tcW w:w="1134" w:type="dxa"/>
          </w:tcPr>
          <w:p w14:paraId="20C73856" w14:textId="77777777" w:rsidR="006E3892" w:rsidRDefault="006E3892" w:rsidP="00AD3446">
            <w:pPr>
              <w:pStyle w:val="Heading2"/>
              <w:numPr>
                <w:ilvl w:val="0"/>
                <w:numId w:val="0"/>
              </w:numPr>
              <w:jc w:val="center"/>
            </w:pPr>
            <w:r>
              <w:t>Annex B6</w:t>
            </w:r>
          </w:p>
          <w:p w14:paraId="20C73857"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8" w14:textId="77777777" w:rsidR="006E3892" w:rsidRDefault="006E3892" w:rsidP="00AD3446">
            <w:pPr>
              <w:pStyle w:val="Heading2"/>
              <w:numPr>
                <w:ilvl w:val="0"/>
                <w:numId w:val="0"/>
              </w:numPr>
            </w:pPr>
            <w:r>
              <w:t>Administrative instructions</w:t>
            </w:r>
          </w:p>
        </w:tc>
        <w:tc>
          <w:tcPr>
            <w:tcW w:w="2410" w:type="dxa"/>
            <w:tcBorders>
              <w:top w:val="nil"/>
              <w:left w:val="single" w:sz="4" w:space="0" w:color="auto"/>
              <w:bottom w:val="nil"/>
              <w:right w:val="nil"/>
            </w:tcBorders>
          </w:tcPr>
          <w:p w14:paraId="20C73859" w14:textId="77777777" w:rsidR="006E3892" w:rsidRDefault="006E3892" w:rsidP="00AD3446">
            <w:pPr>
              <w:pStyle w:val="Heading2"/>
              <w:numPr>
                <w:ilvl w:val="0"/>
                <w:numId w:val="0"/>
              </w:numPr>
              <w:jc w:val="right"/>
            </w:pPr>
          </w:p>
        </w:tc>
      </w:tr>
      <w:tr w:rsidR="006E3892" w14:paraId="20C7385F" w14:textId="77777777" w:rsidTr="009A3E29">
        <w:tc>
          <w:tcPr>
            <w:tcW w:w="1134" w:type="dxa"/>
          </w:tcPr>
          <w:p w14:paraId="20C7385B" w14:textId="77777777" w:rsidR="006E3892" w:rsidRDefault="006E3892" w:rsidP="00AD3446">
            <w:pPr>
              <w:pStyle w:val="Heading2"/>
              <w:numPr>
                <w:ilvl w:val="0"/>
                <w:numId w:val="0"/>
              </w:numPr>
              <w:jc w:val="center"/>
            </w:pPr>
            <w:r>
              <w:t>Annex B7</w:t>
            </w:r>
          </w:p>
          <w:p w14:paraId="20C7385C" w14:textId="77777777" w:rsidR="006E3892" w:rsidRDefault="006E3892" w:rsidP="00AD3446">
            <w:pPr>
              <w:pStyle w:val="Heading2"/>
              <w:numPr>
                <w:ilvl w:val="0"/>
                <w:numId w:val="0"/>
              </w:numPr>
              <w:jc w:val="center"/>
            </w:pPr>
          </w:p>
        </w:tc>
        <w:tc>
          <w:tcPr>
            <w:tcW w:w="5386" w:type="dxa"/>
            <w:tcBorders>
              <w:right w:val="single" w:sz="4" w:space="0" w:color="auto"/>
            </w:tcBorders>
          </w:tcPr>
          <w:p w14:paraId="20C7385D" w14:textId="77777777" w:rsidR="006E3892" w:rsidRDefault="006E3892" w:rsidP="00AD3446">
            <w:pPr>
              <w:pStyle w:val="Heading2"/>
              <w:numPr>
                <w:ilvl w:val="0"/>
                <w:numId w:val="0"/>
              </w:numPr>
            </w:pPr>
            <w:r>
              <w:t>Form of Tender</w:t>
            </w:r>
          </w:p>
        </w:tc>
        <w:tc>
          <w:tcPr>
            <w:tcW w:w="2410" w:type="dxa"/>
            <w:tcBorders>
              <w:top w:val="nil"/>
              <w:left w:val="single" w:sz="4" w:space="0" w:color="auto"/>
              <w:bottom w:val="nil"/>
              <w:right w:val="nil"/>
            </w:tcBorders>
          </w:tcPr>
          <w:p w14:paraId="20C7385E" w14:textId="77777777" w:rsidR="006E3892" w:rsidRDefault="006E3892" w:rsidP="00AD3446">
            <w:pPr>
              <w:pStyle w:val="Heading2"/>
              <w:numPr>
                <w:ilvl w:val="0"/>
                <w:numId w:val="0"/>
              </w:numPr>
              <w:jc w:val="right"/>
            </w:pPr>
          </w:p>
        </w:tc>
      </w:tr>
    </w:tbl>
    <w:p w14:paraId="20C73860" w14:textId="77777777" w:rsidR="003E3276" w:rsidRDefault="003E3276" w:rsidP="00247F0F">
      <w:pPr>
        <w:pStyle w:val="Heading2"/>
        <w:numPr>
          <w:ilvl w:val="0"/>
          <w:numId w:val="0"/>
        </w:numPr>
        <w:ind w:left="851"/>
        <w:rPr>
          <w:b/>
        </w:rPr>
      </w:pPr>
    </w:p>
    <w:p w14:paraId="04C6A05F" w14:textId="77777777" w:rsidR="00636EAB" w:rsidRDefault="00636EAB" w:rsidP="004270D9">
      <w:pPr>
        <w:pStyle w:val="Heading1"/>
        <w:spacing w:before="240" w:after="0"/>
        <w:ind w:left="851"/>
      </w:pPr>
      <w:bookmarkStart w:id="16" w:name="_Toc403555084"/>
    </w:p>
    <w:p w14:paraId="37B44CA5" w14:textId="77777777" w:rsidR="00636EAB" w:rsidRDefault="00636EAB">
      <w:pPr>
        <w:spacing w:after="240"/>
        <w:jc w:val="left"/>
        <w:rPr>
          <w:rFonts w:eastAsia="Times New Roman" w:cs="Times New Roman"/>
          <w:b/>
          <w:color w:val="000000" w:themeColor="text1"/>
          <w:lang w:eastAsia="en-GB"/>
        </w:rPr>
      </w:pPr>
      <w:r>
        <w:br w:type="page"/>
      </w:r>
    </w:p>
    <w:p w14:paraId="20C73862" w14:textId="649B5718" w:rsidR="00CE4B87" w:rsidRPr="00000D07" w:rsidRDefault="00247F0F" w:rsidP="00000D07">
      <w:pPr>
        <w:pStyle w:val="Heading1"/>
        <w:spacing w:before="240" w:after="0"/>
        <w:ind w:left="851"/>
        <w:rPr>
          <w:b w:val="0"/>
        </w:rPr>
      </w:pPr>
      <w:r>
        <w:lastRenderedPageBreak/>
        <w:t xml:space="preserve">Introduction to the </w:t>
      </w:r>
      <w:r w:rsidR="00740C0F">
        <w:t>procurement</w:t>
      </w:r>
      <w:bookmarkEnd w:id="16"/>
      <w:r>
        <w:t xml:space="preserve"> </w:t>
      </w:r>
      <w:r w:rsidR="00CF3C3F" w:rsidRPr="002D2E91">
        <w:t xml:space="preserve"> </w:t>
      </w:r>
    </w:p>
    <w:p w14:paraId="3046917C" w14:textId="1DA36019" w:rsidR="008700B3" w:rsidRPr="00000D07" w:rsidRDefault="008700B3" w:rsidP="008700B3">
      <w:pPr>
        <w:pStyle w:val="MRNumberedHeading2"/>
      </w:pPr>
      <w:bookmarkStart w:id="17" w:name="_Toc403555086"/>
      <w:bookmarkStart w:id="18" w:name="_Ref405452668"/>
      <w:r w:rsidRPr="00000D07">
        <w:t>T</w:t>
      </w:r>
      <w:r w:rsidR="00CF3C3F" w:rsidRPr="00000D07">
        <w:t>he project</w:t>
      </w:r>
      <w:r w:rsidRPr="00000D07">
        <w:t xml:space="preserve"> consists of the Demolition and site clearance of the final remaining retained estate Buildings at Alder Hey Hospital, including the following structures all as described in the schedule of works: </w:t>
      </w:r>
    </w:p>
    <w:p w14:paraId="1E481E36" w14:textId="77777777" w:rsidR="008700B3" w:rsidRPr="00000D07" w:rsidRDefault="008700B3" w:rsidP="008700B3">
      <w:pPr>
        <w:pStyle w:val="MRNumberedHeading2"/>
        <w:numPr>
          <w:ilvl w:val="1"/>
          <w:numId w:val="36"/>
        </w:numPr>
        <w:ind w:left="1276" w:hanging="425"/>
      </w:pPr>
      <w:r w:rsidRPr="00000D07">
        <w:t xml:space="preserve">Histopathology/Mortuary Building </w:t>
      </w:r>
    </w:p>
    <w:p w14:paraId="4FBBC120" w14:textId="5A283A00" w:rsidR="008700B3" w:rsidRPr="00000D07" w:rsidRDefault="008700B3" w:rsidP="008700B3">
      <w:pPr>
        <w:pStyle w:val="MRNumberedHeading2"/>
        <w:numPr>
          <w:ilvl w:val="1"/>
          <w:numId w:val="36"/>
        </w:numPr>
        <w:ind w:left="1276" w:hanging="425"/>
      </w:pPr>
      <w:r w:rsidRPr="00000D07">
        <w:t>Nursery/Creche</w:t>
      </w:r>
      <w:r w:rsidR="007F4135">
        <w:t xml:space="preserve"> </w:t>
      </w:r>
    </w:p>
    <w:p w14:paraId="70ECDBB6" w14:textId="77777777" w:rsidR="008700B3" w:rsidRPr="00000D07" w:rsidRDefault="008700B3" w:rsidP="008700B3">
      <w:pPr>
        <w:pStyle w:val="MRNumberedHeading2"/>
        <w:numPr>
          <w:ilvl w:val="1"/>
          <w:numId w:val="36"/>
        </w:numPr>
        <w:ind w:left="1276" w:hanging="425"/>
      </w:pPr>
      <w:r w:rsidRPr="00000D07">
        <w:t>Adjacent road roundabout</w:t>
      </w:r>
    </w:p>
    <w:p w14:paraId="49B5D552" w14:textId="77777777" w:rsidR="008700B3" w:rsidRPr="00000D07" w:rsidRDefault="008700B3" w:rsidP="008700B3">
      <w:pPr>
        <w:pStyle w:val="MRNumberedHeading2"/>
        <w:numPr>
          <w:ilvl w:val="1"/>
          <w:numId w:val="36"/>
        </w:numPr>
        <w:ind w:left="1276" w:hanging="425"/>
      </w:pPr>
      <w:r w:rsidRPr="00000D07">
        <w:t>Gas Housing</w:t>
      </w:r>
    </w:p>
    <w:p w14:paraId="5FC57C89" w14:textId="77777777" w:rsidR="008700B3" w:rsidRPr="00000D07" w:rsidRDefault="008700B3" w:rsidP="008700B3">
      <w:pPr>
        <w:pStyle w:val="MRNumberedHeading2"/>
        <w:numPr>
          <w:ilvl w:val="1"/>
          <w:numId w:val="36"/>
        </w:numPr>
        <w:ind w:left="1276" w:hanging="425"/>
      </w:pPr>
      <w:r w:rsidRPr="00000D07">
        <w:t>Transformer &amp; Switch Room</w:t>
      </w:r>
    </w:p>
    <w:p w14:paraId="36477421" w14:textId="77777777" w:rsidR="008700B3" w:rsidRPr="00000D07" w:rsidRDefault="008700B3" w:rsidP="008700B3">
      <w:pPr>
        <w:pStyle w:val="MRNumberedHeading2"/>
        <w:numPr>
          <w:ilvl w:val="1"/>
          <w:numId w:val="36"/>
        </w:numPr>
        <w:ind w:left="1276" w:hanging="425"/>
      </w:pPr>
      <w:r w:rsidRPr="00000D07">
        <w:t>Adjacent Generator plinth, steps &amp; railings</w:t>
      </w:r>
    </w:p>
    <w:p w14:paraId="7ED75BCF" w14:textId="2CD1F545" w:rsidR="008700B3" w:rsidRDefault="008700B3" w:rsidP="00712D99">
      <w:pPr>
        <w:pStyle w:val="MRNumberedHeading2"/>
        <w:numPr>
          <w:ilvl w:val="0"/>
          <w:numId w:val="0"/>
        </w:numPr>
        <w:ind w:left="798"/>
      </w:pPr>
      <w:r w:rsidRPr="00000D07">
        <w:t>These works are to include for Asbestos Clearance, Soft Stripping &amp; Demolition of Buildings and removal of hard standings.</w:t>
      </w:r>
      <w:r w:rsidR="00712D99" w:rsidRPr="00000D07">
        <w:t xml:space="preserve"> It will include g</w:t>
      </w:r>
      <w:r w:rsidRPr="00000D07">
        <w:t>rubbing up of foundations (to 2m depth/redundant drainage)</w:t>
      </w:r>
      <w:r w:rsidR="00712D99" w:rsidRPr="00000D07">
        <w:t xml:space="preserve"> and c</w:t>
      </w:r>
      <w:r w:rsidRPr="00000D07">
        <w:t xml:space="preserve">rush/lay </w:t>
      </w:r>
      <w:r w:rsidR="00712D99" w:rsidRPr="00000D07">
        <w:t xml:space="preserve">to the demolition </w:t>
      </w:r>
      <w:r w:rsidRPr="00000D07">
        <w:t>footprints</w:t>
      </w:r>
      <w:r w:rsidR="00712D99" w:rsidRPr="00000D07">
        <w:t>.</w:t>
      </w:r>
    </w:p>
    <w:p w14:paraId="20C73863" w14:textId="51D3C914" w:rsidR="004B1A24" w:rsidRPr="00000D07" w:rsidRDefault="00712D99" w:rsidP="00712D99">
      <w:pPr>
        <w:pStyle w:val="MRNumberedHeading2"/>
        <w:numPr>
          <w:ilvl w:val="0"/>
          <w:numId w:val="0"/>
        </w:numPr>
        <w:ind w:left="798"/>
      </w:pPr>
      <w:r w:rsidRPr="00000D07">
        <w:t>A 14-week</w:t>
      </w:r>
      <w:r w:rsidR="00CF3C3F" w:rsidRPr="00000D07">
        <w:t xml:space="preserve"> </w:t>
      </w:r>
      <w:r w:rsidRPr="00000D07">
        <w:t xml:space="preserve">contract </w:t>
      </w:r>
      <w:r w:rsidR="00CF3C3F" w:rsidRPr="00000D07">
        <w:t xml:space="preserve">duration </w:t>
      </w:r>
      <w:bookmarkEnd w:id="17"/>
      <w:bookmarkEnd w:id="18"/>
      <w:r w:rsidRPr="00000D07">
        <w:t>is anticipated</w:t>
      </w:r>
      <w:r w:rsidR="00CF3C3F" w:rsidRPr="00000D07">
        <w:t xml:space="preserve"> </w:t>
      </w:r>
    </w:p>
    <w:p w14:paraId="20C73864" w14:textId="794B4F11" w:rsidR="00603A0D" w:rsidRDefault="00603A0D" w:rsidP="004270D9">
      <w:pPr>
        <w:pStyle w:val="MRNumberedHeading2"/>
      </w:pPr>
      <w:bookmarkStart w:id="19" w:name="_Toc40355508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19"/>
      <w:r w:rsidR="007F5F02">
        <w:t xml:space="preserve"> </w:t>
      </w:r>
    </w:p>
    <w:p w14:paraId="20C73866" w14:textId="0D38DDC1" w:rsidR="005275E6" w:rsidRPr="00700551" w:rsidRDefault="00184371" w:rsidP="004270D9">
      <w:pPr>
        <w:pStyle w:val="MRNumberedHeading2"/>
      </w:pPr>
      <w:bookmarkStart w:id="20" w:name="_Toc403555089"/>
      <w:r w:rsidRPr="00700551">
        <w:t>The Authority is committed to supporting the Government’s small and medium-sized enterprise (SME) initiative; its aspiration</w:t>
      </w:r>
      <w:r w:rsidR="00BD5DCC" w:rsidRPr="00700551">
        <w:t xml:space="preserve"> is </w:t>
      </w:r>
      <w:r w:rsidRPr="00700551">
        <w:t xml:space="preserve">that 25% of spend, direct and through the supply chain, goes to SMEs by 2015.  Suppliers are </w:t>
      </w:r>
      <w:r w:rsidR="00BA0984" w:rsidRPr="00700551">
        <w:t xml:space="preserve">encouraged to work with the Authority </w:t>
      </w:r>
      <w:r w:rsidRPr="00700551">
        <w:t>to support the wider SME initiative.</w:t>
      </w:r>
      <w:bookmarkEnd w:id="20"/>
      <w:r w:rsidRPr="00700551">
        <w:t xml:space="preserve"> </w:t>
      </w:r>
    </w:p>
    <w:p w14:paraId="20C73868" w14:textId="77777777" w:rsidR="00247F0F" w:rsidRDefault="005F3F33" w:rsidP="004270D9">
      <w:pPr>
        <w:pStyle w:val="Heading1"/>
        <w:spacing w:before="240" w:after="0"/>
        <w:ind w:left="851"/>
        <w:rPr>
          <w:b w:val="0"/>
        </w:rPr>
      </w:pPr>
      <w:bookmarkStart w:id="21" w:name="_Toc403555091"/>
      <w:r>
        <w:t>Purpose and scope of this ITT</w:t>
      </w:r>
      <w:bookmarkEnd w:id="21"/>
    </w:p>
    <w:p w14:paraId="20C73869" w14:textId="45032D0D" w:rsidR="005F3F33" w:rsidRDefault="005F3F33" w:rsidP="004270D9">
      <w:pPr>
        <w:pStyle w:val="MRNumberedHeading2"/>
      </w:pPr>
      <w:bookmarkStart w:id="22" w:name="_Toc403555092"/>
      <w:r>
        <w:t>This ITT:</w:t>
      </w:r>
      <w:bookmarkEnd w:id="22"/>
    </w:p>
    <w:p w14:paraId="20C7386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43763">
        <w:rPr>
          <w:szCs w:val="20"/>
        </w:rPr>
        <w:t>ITT;</w:t>
      </w:r>
      <w:proofErr w:type="gramEnd"/>
      <w:r w:rsidRPr="00343763">
        <w:rPr>
          <w:szCs w:val="20"/>
        </w:rPr>
        <w:t xml:space="preserve"> </w:t>
      </w:r>
    </w:p>
    <w:p w14:paraId="20C7386B"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20C7386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20C7386D"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20C7386F" w14:textId="06D1AC70" w:rsidR="006534CF" w:rsidRDefault="00825FC5" w:rsidP="004270D9">
      <w:pPr>
        <w:pStyle w:val="Heading1"/>
        <w:spacing w:before="240" w:after="0"/>
        <w:ind w:left="851"/>
        <w:rPr>
          <w:b w:val="0"/>
        </w:rPr>
      </w:pPr>
      <w:bookmarkStart w:id="23" w:name="_Toc403555093"/>
      <w:r w:rsidRPr="00276E1B">
        <w:t>Questions</w:t>
      </w:r>
      <w:r>
        <w:rPr>
          <w:b w:val="0"/>
        </w:rPr>
        <w:t xml:space="preserve"> </w:t>
      </w:r>
      <w:r w:rsidRPr="00276E1B">
        <w:t>about this ITT</w:t>
      </w:r>
      <w:bookmarkEnd w:id="23"/>
    </w:p>
    <w:p w14:paraId="20C73870" w14:textId="2DA8AC17" w:rsidR="00A4489A" w:rsidRPr="009A3E29" w:rsidRDefault="00825FC5" w:rsidP="004270D9">
      <w:pPr>
        <w:pStyle w:val="MRNumberedHeading2"/>
      </w:pPr>
      <w:bookmarkStart w:id="24" w:name="_Ref478462194"/>
      <w:bookmarkStart w:id="25" w:name="_Toc403555094"/>
      <w:bookmarkStart w:id="26" w:name="_Ref405452872"/>
      <w:r>
        <w:t xml:space="preserve">You may submit, by no later than </w:t>
      </w:r>
      <w:r w:rsidR="00A01B1E">
        <w:t>14/03/2025</w:t>
      </w:r>
      <w:r>
        <w:t xml:space="preserve"> any queries that you have relating to this ITT.  </w:t>
      </w:r>
      <w:r w:rsidR="00D134FB">
        <w:t xml:space="preserve">The Authority is using the </w:t>
      </w:r>
      <w:proofErr w:type="spellStart"/>
      <w:r w:rsidR="00700551" w:rsidRPr="00FF0B1A">
        <w:t>At</w:t>
      </w:r>
      <w:r w:rsidR="00FF0B1A" w:rsidRPr="00FF0B1A">
        <w:t>a</w:t>
      </w:r>
      <w:r w:rsidR="00700551" w:rsidRPr="00FF0B1A">
        <w:t>mis</w:t>
      </w:r>
      <w:proofErr w:type="spellEnd"/>
      <w:r w:rsidR="00D134FB" w:rsidRPr="00FF0B1A">
        <w:t xml:space="preserve"> e-Tendering Portal</w:t>
      </w:r>
      <w:r w:rsidR="00D134FB">
        <w:t xml:space="preserve"> e-tendering portal to conduct the procurement process ("</w:t>
      </w:r>
      <w:r w:rsidR="00D134FB" w:rsidRPr="00D134FB">
        <w:rPr>
          <w:b/>
        </w:rPr>
        <w:t>The e-Tendering Portal</w:t>
      </w:r>
      <w:r w:rsidR="00D134FB">
        <w:t xml:space="preserve">"). The e-Tendering Portal can be accessed </w:t>
      </w:r>
      <w:hyperlink r:id="rId18" w:history="1">
        <w:r w:rsidR="00FF0B1A">
          <w:rPr>
            <w:rStyle w:val="Hyperlink"/>
          </w:rPr>
          <w:t>Login | Supplier Portal (site.com)</w:t>
        </w:r>
      </w:hyperlink>
      <w:r w:rsidR="00FF0B1A">
        <w:rPr>
          <w:rStyle w:val="Hyperlink"/>
        </w:rPr>
        <w:t xml:space="preserve"> </w:t>
      </w:r>
      <w:r w:rsidR="00D134FB">
        <w:t>Please therefore submit such queries via the e-Tendering Portal.</w:t>
      </w:r>
      <w:bookmarkEnd w:id="24"/>
      <w:r w:rsidR="00D134FB">
        <w:t xml:space="preserve"> </w:t>
      </w:r>
      <w:bookmarkEnd w:id="25"/>
      <w:bookmarkEnd w:id="26"/>
    </w:p>
    <w:p w14:paraId="20C73871" w14:textId="457BD2EB" w:rsidR="00825FC5" w:rsidRDefault="00825FC5" w:rsidP="004270D9">
      <w:pPr>
        <w:pStyle w:val="MRNumberedHeading2"/>
      </w:pPr>
      <w:bookmarkStart w:id="27" w:name="_Toc403555095"/>
      <w:bookmarkStart w:id="28" w:name="_Ref478471427"/>
      <w:r>
        <w:lastRenderedPageBreak/>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7"/>
      <w:bookmarkEnd w:id="28"/>
    </w:p>
    <w:p w14:paraId="20C73872" w14:textId="21409409" w:rsidR="004E71FF" w:rsidRPr="005A2E47" w:rsidRDefault="00825FC5" w:rsidP="004270D9">
      <w:pPr>
        <w:pStyle w:val="MRNumberedHeading2"/>
      </w:pPr>
      <w:bookmarkStart w:id="29"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9"/>
      <w:r w:rsidR="004E71FF">
        <w:br w:type="page"/>
      </w:r>
    </w:p>
    <w:p w14:paraId="20C73873" w14:textId="77777777" w:rsidR="008D3217" w:rsidRPr="008F3D2C" w:rsidRDefault="008D3217" w:rsidP="004270D9">
      <w:pPr>
        <w:pStyle w:val="MRNumberedHeading1"/>
        <w:numPr>
          <w:ilvl w:val="0"/>
          <w:numId w:val="24"/>
        </w:numPr>
        <w:ind w:hanging="798"/>
        <w:jc w:val="both"/>
        <w:rPr>
          <w:sz w:val="20"/>
          <w:szCs w:val="20"/>
        </w:rPr>
      </w:pPr>
      <w:bookmarkStart w:id="30" w:name="_Toc403556502"/>
      <w:bookmarkStart w:id="31" w:name="_Toc403556507"/>
      <w:bookmarkStart w:id="32" w:name="_Toc406674970"/>
      <w:bookmarkStart w:id="33" w:name="_Toc412621212"/>
      <w:bookmarkStart w:id="34" w:name="_Toc412715222"/>
      <w:r w:rsidRPr="008F3D2C">
        <w:rPr>
          <w:sz w:val="20"/>
          <w:szCs w:val="20"/>
        </w:rPr>
        <w:lastRenderedPageBreak/>
        <w:t>TENDER TIMETABLE</w:t>
      </w:r>
      <w:bookmarkEnd w:id="30"/>
      <w:bookmarkEnd w:id="31"/>
      <w:bookmarkEnd w:id="32"/>
      <w:bookmarkEnd w:id="33"/>
      <w:bookmarkEnd w:id="34"/>
    </w:p>
    <w:p w14:paraId="20C73874" w14:textId="77777777" w:rsidR="008D3217" w:rsidRPr="00276E1B" w:rsidRDefault="008D3217" w:rsidP="004270D9">
      <w:pPr>
        <w:pStyle w:val="Heading1"/>
        <w:spacing w:before="240" w:after="0"/>
        <w:ind w:left="851"/>
      </w:pPr>
      <w:bookmarkStart w:id="35" w:name="_Toc403555097"/>
      <w:r w:rsidRPr="00276E1B">
        <w:t>Key dates</w:t>
      </w:r>
      <w:bookmarkEnd w:id="35"/>
    </w:p>
    <w:p w14:paraId="20C73875" w14:textId="77777777" w:rsidR="008D3217" w:rsidRDefault="008D3217" w:rsidP="004270D9">
      <w:pPr>
        <w:pStyle w:val="MRNumberedHeading2"/>
      </w:pPr>
      <w:bookmarkStart w:id="36"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6"/>
      <w:r w:rsidR="00B46DA5">
        <w:t xml:space="preserve"> </w:t>
      </w:r>
    </w:p>
    <w:p w14:paraId="20C73876" w14:textId="77777777" w:rsidR="00B46DA5" w:rsidRDefault="00FE07BA" w:rsidP="004270D9">
      <w:pPr>
        <w:pStyle w:val="MRNumberedHeading2"/>
      </w:pPr>
      <w:bookmarkStart w:id="37" w:name="_Toc403555099"/>
      <w:bookmarkStart w:id="38" w:name="_Ref405452883"/>
      <w:bookmarkStart w:id="39" w:name="_Ref406061800"/>
      <w:bookmarkStart w:id="40" w:name="_Ref406062870"/>
      <w:r>
        <w:t>The key dates for this procurement are currently anticipated to be as follows:</w:t>
      </w:r>
      <w:bookmarkEnd w:id="37"/>
      <w:bookmarkEnd w:id="38"/>
      <w:bookmarkEnd w:id="39"/>
      <w:bookmarkEnd w:id="40"/>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FE07BA" w:rsidRDefault="00FE07BA" w:rsidP="00FE07BA">
            <w:pPr>
              <w:pStyle w:val="Heading2"/>
              <w:numPr>
                <w:ilvl w:val="0"/>
                <w:numId w:val="0"/>
              </w:numPr>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rPr>
                <w:b/>
              </w:rPr>
            </w:pPr>
            <w:r w:rsidRPr="002D2E91">
              <w:rPr>
                <w:b/>
              </w:rPr>
              <w:t>Date</w:t>
            </w:r>
          </w:p>
        </w:tc>
      </w:tr>
      <w:tr w:rsidR="00FE07BA" w14:paraId="20C7387E" w14:textId="77777777" w:rsidTr="00FE07BA">
        <w:tc>
          <w:tcPr>
            <w:tcW w:w="5103" w:type="dxa"/>
          </w:tcPr>
          <w:p w14:paraId="20C7387B" w14:textId="77777777" w:rsidR="00FE07BA" w:rsidRPr="00763B00" w:rsidRDefault="00FE07BA" w:rsidP="00FE07BA">
            <w:pPr>
              <w:pStyle w:val="Heading2"/>
              <w:numPr>
                <w:ilvl w:val="0"/>
                <w:numId w:val="0"/>
              </w:numPr>
            </w:pPr>
            <w:r w:rsidRPr="00763B00">
              <w:t>ITT issued</w:t>
            </w:r>
          </w:p>
        </w:tc>
        <w:tc>
          <w:tcPr>
            <w:tcW w:w="2693" w:type="dxa"/>
          </w:tcPr>
          <w:p w14:paraId="20C7387C" w14:textId="6103D254" w:rsidR="00FE07BA" w:rsidRPr="002D2E91" w:rsidRDefault="005242B2" w:rsidP="00FE07BA">
            <w:pPr>
              <w:pStyle w:val="Heading2"/>
              <w:numPr>
                <w:ilvl w:val="0"/>
                <w:numId w:val="0"/>
              </w:numPr>
            </w:pPr>
            <w:r>
              <w:t>19</w:t>
            </w:r>
            <w:r w:rsidR="00000D07">
              <w:t>/02/2025</w:t>
            </w:r>
          </w:p>
          <w:p w14:paraId="20C7387D" w14:textId="77777777" w:rsidR="003273D3" w:rsidRPr="002D2E91" w:rsidRDefault="003273D3" w:rsidP="00FE07BA">
            <w:pPr>
              <w:pStyle w:val="Heading2"/>
              <w:numPr>
                <w:ilvl w:val="0"/>
                <w:numId w:val="0"/>
              </w:numPr>
            </w:pPr>
          </w:p>
        </w:tc>
      </w:tr>
      <w:tr w:rsidR="00700551" w14:paraId="271A5F61" w14:textId="77777777" w:rsidTr="00FE07BA">
        <w:tc>
          <w:tcPr>
            <w:tcW w:w="5103" w:type="dxa"/>
          </w:tcPr>
          <w:p w14:paraId="4AFEF955" w14:textId="17AFD9CF" w:rsidR="00700551" w:rsidRPr="00763B00" w:rsidRDefault="00763B00" w:rsidP="00FE07BA">
            <w:pPr>
              <w:pStyle w:val="Heading2"/>
              <w:numPr>
                <w:ilvl w:val="0"/>
                <w:numId w:val="0"/>
              </w:numPr>
            </w:pPr>
            <w:r>
              <w:rPr>
                <w:color w:val="auto"/>
              </w:rPr>
              <w:t>Site Visit Day</w:t>
            </w:r>
          </w:p>
        </w:tc>
        <w:tc>
          <w:tcPr>
            <w:tcW w:w="2693" w:type="dxa"/>
          </w:tcPr>
          <w:p w14:paraId="5C2C1113" w14:textId="3C8FD51B" w:rsidR="00700551" w:rsidRPr="009238E8" w:rsidRDefault="009238E8" w:rsidP="00ED44A8">
            <w:pPr>
              <w:pStyle w:val="Heading2"/>
              <w:numPr>
                <w:ilvl w:val="0"/>
                <w:numId w:val="0"/>
              </w:numPr>
              <w:jc w:val="left"/>
            </w:pPr>
            <w:r w:rsidRPr="009238E8">
              <w:t>07/03/2025</w:t>
            </w:r>
          </w:p>
          <w:p w14:paraId="32B00E1E" w14:textId="77777777" w:rsidR="00700551" w:rsidRPr="00ED44A8" w:rsidRDefault="00700551" w:rsidP="00FE07BA">
            <w:pPr>
              <w:pStyle w:val="Heading2"/>
              <w:numPr>
                <w:ilvl w:val="0"/>
                <w:numId w:val="0"/>
              </w:numPr>
              <w:rPr>
                <w:highlight w:val="yellow"/>
              </w:rPr>
            </w:pPr>
          </w:p>
        </w:tc>
      </w:tr>
      <w:tr w:rsidR="00FE07BA" w14:paraId="20C73882" w14:textId="77777777" w:rsidTr="00FE07BA">
        <w:tc>
          <w:tcPr>
            <w:tcW w:w="5103" w:type="dxa"/>
          </w:tcPr>
          <w:p w14:paraId="20C7387F" w14:textId="77777777" w:rsidR="00FE07BA" w:rsidRDefault="00FE07BA" w:rsidP="00FE07BA">
            <w:pPr>
              <w:pStyle w:val="Heading2"/>
              <w:numPr>
                <w:ilvl w:val="0"/>
                <w:numId w:val="0"/>
              </w:numPr>
            </w:pPr>
            <w:r>
              <w:t>Deadline for the receipt of clarification questions</w:t>
            </w:r>
          </w:p>
        </w:tc>
        <w:tc>
          <w:tcPr>
            <w:tcW w:w="2693" w:type="dxa"/>
          </w:tcPr>
          <w:p w14:paraId="20C73880" w14:textId="03FCEFB3" w:rsidR="00FE07BA" w:rsidRPr="002D2E91" w:rsidRDefault="00000D07" w:rsidP="00FE07BA">
            <w:pPr>
              <w:pStyle w:val="Heading2"/>
              <w:numPr>
                <w:ilvl w:val="0"/>
                <w:numId w:val="0"/>
              </w:numPr>
            </w:pPr>
            <w:r>
              <w:t>12 Noon 14/03/2025</w:t>
            </w:r>
          </w:p>
          <w:p w14:paraId="20C73881" w14:textId="77777777" w:rsidR="003273D3" w:rsidRPr="002D2E91" w:rsidRDefault="003273D3" w:rsidP="00FE07BA">
            <w:pPr>
              <w:pStyle w:val="Heading2"/>
              <w:numPr>
                <w:ilvl w:val="0"/>
                <w:numId w:val="0"/>
              </w:numPr>
            </w:pPr>
          </w:p>
        </w:tc>
      </w:tr>
      <w:tr w:rsidR="00FE07BA" w14:paraId="20C73886" w14:textId="77777777" w:rsidTr="00FE07BA">
        <w:tc>
          <w:tcPr>
            <w:tcW w:w="5103" w:type="dxa"/>
          </w:tcPr>
          <w:p w14:paraId="20C73883" w14:textId="77777777" w:rsidR="00FE07BA" w:rsidRDefault="00FE07BA" w:rsidP="00FE07BA">
            <w:pPr>
              <w:pStyle w:val="Heading2"/>
              <w:numPr>
                <w:ilvl w:val="0"/>
                <w:numId w:val="0"/>
              </w:numPr>
            </w:pPr>
            <w:r>
              <w:t>Target date for responses to clarification questions</w:t>
            </w:r>
          </w:p>
        </w:tc>
        <w:tc>
          <w:tcPr>
            <w:tcW w:w="2693" w:type="dxa"/>
          </w:tcPr>
          <w:p w14:paraId="7ABBA733" w14:textId="7DFDE9B9" w:rsidR="003273D3" w:rsidRDefault="00000D07" w:rsidP="00000D07">
            <w:pPr>
              <w:pStyle w:val="Heading2"/>
              <w:numPr>
                <w:ilvl w:val="0"/>
                <w:numId w:val="0"/>
              </w:numPr>
              <w:tabs>
                <w:tab w:val="left" w:pos="1652"/>
              </w:tabs>
            </w:pPr>
            <w:r>
              <w:t>18/03/2025</w:t>
            </w:r>
          </w:p>
          <w:p w14:paraId="20C73885" w14:textId="456C617A" w:rsidR="00000D07" w:rsidRPr="002D2E91" w:rsidRDefault="00000D07" w:rsidP="00000D07">
            <w:pPr>
              <w:pStyle w:val="Heading2"/>
              <w:numPr>
                <w:ilvl w:val="0"/>
                <w:numId w:val="0"/>
              </w:numPr>
              <w:tabs>
                <w:tab w:val="left" w:pos="1652"/>
              </w:tabs>
            </w:pPr>
          </w:p>
        </w:tc>
      </w:tr>
      <w:tr w:rsidR="00FE07BA" w14:paraId="20C7388A" w14:textId="77777777" w:rsidTr="00FE07BA">
        <w:tc>
          <w:tcPr>
            <w:tcW w:w="5103" w:type="dxa"/>
          </w:tcPr>
          <w:p w14:paraId="20C73887" w14:textId="77777777" w:rsidR="00FE07BA" w:rsidRDefault="00FE07BA" w:rsidP="00FE07BA">
            <w:pPr>
              <w:pStyle w:val="Heading2"/>
              <w:numPr>
                <w:ilvl w:val="0"/>
                <w:numId w:val="0"/>
              </w:numPr>
            </w:pPr>
            <w:r>
              <w:t>Deadline for receipt of Tenders</w:t>
            </w:r>
          </w:p>
        </w:tc>
        <w:tc>
          <w:tcPr>
            <w:tcW w:w="2693" w:type="dxa"/>
          </w:tcPr>
          <w:p w14:paraId="65DD8B74" w14:textId="4864CF50" w:rsidR="003273D3" w:rsidRDefault="000D768A" w:rsidP="00000D07">
            <w:pPr>
              <w:pStyle w:val="Heading2"/>
              <w:numPr>
                <w:ilvl w:val="0"/>
                <w:numId w:val="0"/>
              </w:numPr>
            </w:pPr>
            <w:r>
              <w:t>3pm</w:t>
            </w:r>
            <w:r w:rsidR="00000D07">
              <w:t xml:space="preserve"> </w:t>
            </w:r>
            <w:r w:rsidR="005242B2">
              <w:t>19</w:t>
            </w:r>
            <w:r w:rsidR="00000D07">
              <w:t>/03/2025</w:t>
            </w:r>
          </w:p>
          <w:p w14:paraId="20C73889" w14:textId="67940963" w:rsidR="00000D07" w:rsidRPr="002D2E91" w:rsidRDefault="00000D07" w:rsidP="00000D07">
            <w:pPr>
              <w:pStyle w:val="Heading2"/>
              <w:numPr>
                <w:ilvl w:val="0"/>
                <w:numId w:val="0"/>
              </w:numPr>
            </w:pPr>
          </w:p>
        </w:tc>
      </w:tr>
      <w:tr w:rsidR="00FE07BA" w14:paraId="20C7388E" w14:textId="77777777" w:rsidTr="00FE07BA">
        <w:tc>
          <w:tcPr>
            <w:tcW w:w="5103" w:type="dxa"/>
          </w:tcPr>
          <w:p w14:paraId="20C7388B" w14:textId="77777777" w:rsidR="00FE07BA" w:rsidRDefault="00FE07BA" w:rsidP="00FE07BA">
            <w:pPr>
              <w:pStyle w:val="Heading2"/>
              <w:numPr>
                <w:ilvl w:val="0"/>
                <w:numId w:val="0"/>
              </w:numPr>
            </w:pPr>
            <w:r>
              <w:t>Evaluation of Tenders</w:t>
            </w:r>
          </w:p>
        </w:tc>
        <w:tc>
          <w:tcPr>
            <w:tcW w:w="2693" w:type="dxa"/>
          </w:tcPr>
          <w:p w14:paraId="20C7388C" w14:textId="52C5661C" w:rsidR="00FE07BA" w:rsidRPr="002D2E91" w:rsidRDefault="00064A63" w:rsidP="003273D3">
            <w:pPr>
              <w:pStyle w:val="Heading2"/>
              <w:numPr>
                <w:ilvl w:val="0"/>
                <w:numId w:val="0"/>
              </w:numPr>
            </w:pPr>
            <w:r>
              <w:t>2</w:t>
            </w:r>
            <w:r w:rsidR="005242B2">
              <w:t>0</w:t>
            </w:r>
            <w:r>
              <w:t>/03/2025</w:t>
            </w:r>
          </w:p>
          <w:p w14:paraId="20C7388D" w14:textId="77777777" w:rsidR="003273D3" w:rsidRPr="002D2E91" w:rsidRDefault="003273D3" w:rsidP="003273D3">
            <w:pPr>
              <w:pStyle w:val="Heading2"/>
              <w:numPr>
                <w:ilvl w:val="0"/>
                <w:numId w:val="0"/>
              </w:numPr>
            </w:pPr>
          </w:p>
        </w:tc>
      </w:tr>
      <w:tr w:rsidR="00FE07BA" w14:paraId="20C73892" w14:textId="77777777" w:rsidTr="00FE07BA">
        <w:tc>
          <w:tcPr>
            <w:tcW w:w="5103" w:type="dxa"/>
          </w:tcPr>
          <w:p w14:paraId="20C7388F" w14:textId="77777777" w:rsidR="00FE07BA" w:rsidRDefault="00FE07BA" w:rsidP="00FE07BA">
            <w:pPr>
              <w:pStyle w:val="Heading2"/>
              <w:numPr>
                <w:ilvl w:val="0"/>
                <w:numId w:val="0"/>
              </w:numPr>
            </w:pPr>
            <w:r>
              <w:t>Notification of contract award decision</w:t>
            </w:r>
          </w:p>
        </w:tc>
        <w:tc>
          <w:tcPr>
            <w:tcW w:w="2693" w:type="dxa"/>
          </w:tcPr>
          <w:p w14:paraId="20C73890" w14:textId="34193ABC" w:rsidR="00FE07BA" w:rsidRPr="002D2E91" w:rsidRDefault="005242B2" w:rsidP="00FE07BA">
            <w:pPr>
              <w:pStyle w:val="Heading2"/>
              <w:numPr>
                <w:ilvl w:val="0"/>
                <w:numId w:val="0"/>
              </w:numPr>
            </w:pPr>
            <w:r>
              <w:t>17</w:t>
            </w:r>
            <w:r w:rsidR="00BD29A8">
              <w:t>/04/2025</w:t>
            </w:r>
          </w:p>
          <w:p w14:paraId="20C73891" w14:textId="77777777" w:rsidR="003273D3" w:rsidRPr="002D2E91" w:rsidRDefault="003273D3" w:rsidP="00FE07BA">
            <w:pPr>
              <w:pStyle w:val="Heading2"/>
              <w:numPr>
                <w:ilvl w:val="0"/>
                <w:numId w:val="0"/>
              </w:numPr>
            </w:pPr>
          </w:p>
        </w:tc>
      </w:tr>
      <w:tr w:rsidR="00FE07BA" w14:paraId="20C73895" w14:textId="77777777" w:rsidTr="00FE07BA">
        <w:tc>
          <w:tcPr>
            <w:tcW w:w="5103" w:type="dxa"/>
          </w:tcPr>
          <w:p w14:paraId="20C73893" w14:textId="77777777" w:rsidR="00FE07BA" w:rsidRDefault="00FE07BA" w:rsidP="00FE07BA">
            <w:pPr>
              <w:pStyle w:val="Heading2"/>
              <w:numPr>
                <w:ilvl w:val="0"/>
                <w:numId w:val="0"/>
              </w:numPr>
            </w:pPr>
            <w:r>
              <w:t>Standstill period</w:t>
            </w:r>
          </w:p>
        </w:tc>
        <w:tc>
          <w:tcPr>
            <w:tcW w:w="2693" w:type="dxa"/>
          </w:tcPr>
          <w:p w14:paraId="20C73894" w14:textId="1F21648C" w:rsidR="00FE07BA" w:rsidRPr="002D2E91" w:rsidRDefault="005242B2" w:rsidP="00FE07BA">
            <w:pPr>
              <w:pStyle w:val="Heading2"/>
              <w:numPr>
                <w:ilvl w:val="0"/>
                <w:numId w:val="0"/>
              </w:numPr>
            </w:pPr>
            <w:r>
              <w:t>10 Calendar Days</w:t>
            </w:r>
          </w:p>
        </w:tc>
      </w:tr>
      <w:tr w:rsidR="00FE07BA" w14:paraId="20C73899" w14:textId="77777777" w:rsidTr="00FE07BA">
        <w:tc>
          <w:tcPr>
            <w:tcW w:w="5103" w:type="dxa"/>
          </w:tcPr>
          <w:p w14:paraId="20C73896" w14:textId="77777777" w:rsidR="00FE07BA" w:rsidRDefault="00623252" w:rsidP="00FE07BA">
            <w:pPr>
              <w:pStyle w:val="Heading2"/>
              <w:numPr>
                <w:ilvl w:val="0"/>
                <w:numId w:val="0"/>
              </w:numPr>
            </w:pPr>
            <w:r>
              <w:t>C</w:t>
            </w:r>
            <w:r w:rsidR="00FE07BA">
              <w:t>ontract award</w:t>
            </w:r>
          </w:p>
        </w:tc>
        <w:tc>
          <w:tcPr>
            <w:tcW w:w="2693" w:type="dxa"/>
          </w:tcPr>
          <w:p w14:paraId="6536030C" w14:textId="77777777" w:rsidR="003273D3" w:rsidRDefault="00BD29A8" w:rsidP="00BD29A8">
            <w:pPr>
              <w:pStyle w:val="Heading2"/>
              <w:numPr>
                <w:ilvl w:val="0"/>
                <w:numId w:val="0"/>
              </w:numPr>
            </w:pPr>
            <w:r>
              <w:t>06/05/2024</w:t>
            </w:r>
          </w:p>
          <w:p w14:paraId="20C73898" w14:textId="5A5C4D2D" w:rsidR="00BD29A8" w:rsidRPr="002D2E91" w:rsidRDefault="00BD29A8" w:rsidP="00BD29A8">
            <w:pPr>
              <w:pStyle w:val="Heading2"/>
              <w:numPr>
                <w:ilvl w:val="0"/>
                <w:numId w:val="0"/>
              </w:numPr>
            </w:pPr>
          </w:p>
        </w:tc>
      </w:tr>
      <w:tr w:rsidR="00FE07BA" w14:paraId="20C7389D" w14:textId="77777777" w:rsidTr="00FE07BA">
        <w:tc>
          <w:tcPr>
            <w:tcW w:w="5103" w:type="dxa"/>
          </w:tcPr>
          <w:p w14:paraId="20C7389A" w14:textId="77777777" w:rsidR="00FE07BA" w:rsidRDefault="00FE07BA" w:rsidP="00FE07BA">
            <w:pPr>
              <w:pStyle w:val="Heading2"/>
              <w:numPr>
                <w:ilvl w:val="0"/>
                <w:numId w:val="0"/>
              </w:numPr>
            </w:pPr>
            <w:r>
              <w:t xml:space="preserve">Contract work starts </w:t>
            </w:r>
          </w:p>
        </w:tc>
        <w:tc>
          <w:tcPr>
            <w:tcW w:w="2693" w:type="dxa"/>
          </w:tcPr>
          <w:p w14:paraId="20C7389B" w14:textId="4E4203D4" w:rsidR="00FE07BA" w:rsidRPr="002D2E91" w:rsidRDefault="00BD29A8" w:rsidP="00FE07BA">
            <w:pPr>
              <w:pStyle w:val="Heading2"/>
              <w:numPr>
                <w:ilvl w:val="0"/>
                <w:numId w:val="0"/>
              </w:numPr>
            </w:pPr>
            <w:r>
              <w:t>12/05/2024</w:t>
            </w:r>
          </w:p>
          <w:p w14:paraId="20C7389C" w14:textId="77777777" w:rsidR="003273D3" w:rsidRPr="002D2E91" w:rsidRDefault="003273D3" w:rsidP="00FE07BA">
            <w:pPr>
              <w:pStyle w:val="Heading2"/>
              <w:numPr>
                <w:ilvl w:val="0"/>
                <w:numId w:val="0"/>
              </w:numPr>
            </w:pPr>
          </w:p>
        </w:tc>
      </w:tr>
    </w:tbl>
    <w:p w14:paraId="20C7389E" w14:textId="3A575D4F" w:rsidR="009A3E29" w:rsidRPr="009A3E29" w:rsidRDefault="009A3E29" w:rsidP="009A3E29">
      <w:pPr>
        <w:pStyle w:val="Heading2"/>
        <w:numPr>
          <w:ilvl w:val="0"/>
          <w:numId w:val="0"/>
        </w:numPr>
        <w:ind w:left="851"/>
      </w:pPr>
    </w:p>
    <w:p w14:paraId="20C7389F" w14:textId="77777777" w:rsidR="00FE07BA" w:rsidRDefault="00FE07BA" w:rsidP="004270D9">
      <w:pPr>
        <w:pStyle w:val="MRNumberedHeading2"/>
      </w:pPr>
      <w:bookmarkStart w:id="41" w:name="_Toc403555100"/>
      <w:bookmarkStart w:id="42" w:name="_Ref405452899"/>
      <w:r>
        <w:t>Whilst the Authority does not intend to depart from the timetable, it reserves the right to do so at any stage.</w:t>
      </w:r>
      <w:bookmarkEnd w:id="41"/>
      <w:bookmarkEnd w:id="42"/>
      <w:r>
        <w:t xml:space="preserve">  </w:t>
      </w:r>
    </w:p>
    <w:p w14:paraId="4B2CEF6A" w14:textId="77777777" w:rsidR="00700551" w:rsidRDefault="00700551" w:rsidP="004270D9">
      <w:pPr>
        <w:pStyle w:val="Heading1"/>
        <w:spacing w:before="240" w:after="0"/>
        <w:ind w:left="851"/>
      </w:pPr>
      <w:bookmarkStart w:id="43" w:name="_Toc403555104"/>
    </w:p>
    <w:p w14:paraId="20C738A3" w14:textId="067ED7E4" w:rsidR="000831C0" w:rsidRPr="00276E1B" w:rsidRDefault="000E189B" w:rsidP="004270D9">
      <w:pPr>
        <w:pStyle w:val="Heading1"/>
        <w:spacing w:before="240" w:after="0"/>
        <w:ind w:left="851"/>
      </w:pPr>
      <w:r w:rsidRPr="00276E1B">
        <w:t>Deadline for receipt of Tenders</w:t>
      </w:r>
      <w:bookmarkEnd w:id="43"/>
      <w:r w:rsidRPr="00276E1B">
        <w:t xml:space="preserve"> </w:t>
      </w:r>
    </w:p>
    <w:p w14:paraId="20C738A4" w14:textId="02ED2033" w:rsidR="000831C0" w:rsidRDefault="0083677A" w:rsidP="004270D9">
      <w:pPr>
        <w:pStyle w:val="MRNumberedHeading2"/>
      </w:pPr>
      <w:bookmarkStart w:id="44"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4"/>
    </w:p>
    <w:p w14:paraId="20C738A5" w14:textId="724EADA8" w:rsidR="00E37725" w:rsidRDefault="00807CF7" w:rsidP="004270D9">
      <w:pPr>
        <w:pStyle w:val="MRNumberedHeading2"/>
      </w:pPr>
      <w:bookmarkStart w:id="45" w:name="_Toc403555106"/>
      <w:bookmarkStart w:id="46"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5"/>
      <w:bookmarkEnd w:id="46"/>
    </w:p>
    <w:p w14:paraId="20C738A6" w14:textId="14FFE534" w:rsidR="00F76258" w:rsidRPr="00700551" w:rsidRDefault="00F76258" w:rsidP="004270D9">
      <w:pPr>
        <w:pStyle w:val="Heading1"/>
        <w:spacing w:before="240" w:after="0"/>
        <w:ind w:left="851"/>
      </w:pPr>
      <w:bookmarkStart w:id="47" w:name="_Toc403555107"/>
      <w:r w:rsidRPr="00700551">
        <w:t>Site visit</w:t>
      </w:r>
      <w:bookmarkEnd w:id="47"/>
    </w:p>
    <w:p w14:paraId="36BAB4EB" w14:textId="7F71D559" w:rsidR="00700551" w:rsidRPr="009238E8" w:rsidRDefault="00700551" w:rsidP="00700551">
      <w:pPr>
        <w:pStyle w:val="MRNumberedHeading2"/>
      </w:pPr>
      <w:bookmarkStart w:id="48" w:name="_Toc403555102"/>
      <w:bookmarkStart w:id="49" w:name="_Ref405452906"/>
      <w:bookmarkStart w:id="50" w:name="_Toc403555109"/>
      <w:bookmarkStart w:id="51" w:name="_Ref406062816"/>
      <w:r w:rsidRPr="009238E8">
        <w:t>A s</w:t>
      </w:r>
      <w:r w:rsidR="00083FF9" w:rsidRPr="009238E8">
        <w:t>ingle date for a s</w:t>
      </w:r>
      <w:r w:rsidRPr="009238E8">
        <w:t>ite visit</w:t>
      </w:r>
      <w:r w:rsidR="00083FF9" w:rsidRPr="009238E8">
        <w:t xml:space="preserve">/open day </w:t>
      </w:r>
      <w:r w:rsidRPr="009238E8">
        <w:t xml:space="preserve">for Bidders will be held as detailed in the timetable above. All Bidders are recommended to attend. Please confirm who will be representing your organisation (name and status) by the above stated date </w:t>
      </w:r>
      <w:proofErr w:type="gramStart"/>
      <w:r w:rsidRPr="009238E8">
        <w:t>in order for</w:t>
      </w:r>
      <w:proofErr w:type="gramEnd"/>
      <w:r w:rsidRPr="009238E8">
        <w:t xml:space="preserve"> the Authority to make arrangements.</w:t>
      </w:r>
      <w:bookmarkEnd w:id="48"/>
      <w:bookmarkEnd w:id="49"/>
      <w:r w:rsidRPr="009238E8">
        <w:t xml:space="preserve">  </w:t>
      </w:r>
      <w:r w:rsidR="00FF0B1A" w:rsidRPr="009238E8">
        <w:t xml:space="preserve">Please can you contact </w:t>
      </w:r>
      <w:r w:rsidR="009238E8" w:rsidRPr="009238E8">
        <w:t xml:space="preserve">John Glenn </w:t>
      </w:r>
      <w:hyperlink r:id="rId19" w:history="1">
        <w:r w:rsidR="009238E8" w:rsidRPr="009238E8">
          <w:rPr>
            <w:rStyle w:val="Hyperlink"/>
          </w:rPr>
          <w:t>john.glenn@alderhey.nhs.uk</w:t>
        </w:r>
      </w:hyperlink>
      <w:r w:rsidR="009238E8" w:rsidRPr="009238E8">
        <w:t xml:space="preserve"> </w:t>
      </w:r>
      <w:r w:rsidR="00FF0B1A" w:rsidRPr="009238E8">
        <w:t xml:space="preserve"> to confirm your site visit attendance.</w:t>
      </w:r>
    </w:p>
    <w:p w14:paraId="20C738AA" w14:textId="124008E2" w:rsidR="00E41C42" w:rsidRPr="00083FF9" w:rsidRDefault="00FF6B21" w:rsidP="004270D9">
      <w:pPr>
        <w:pStyle w:val="Heading1"/>
        <w:spacing w:before="240" w:after="0"/>
        <w:ind w:left="851"/>
      </w:pPr>
      <w:bookmarkStart w:id="52" w:name="_Toc403555111"/>
      <w:bookmarkEnd w:id="50"/>
      <w:bookmarkEnd w:id="51"/>
      <w:r w:rsidRPr="00083FF9">
        <w:t>Clarification Meeting</w:t>
      </w:r>
      <w:bookmarkEnd w:id="52"/>
      <w:r w:rsidR="00083FF9" w:rsidRPr="00083FF9">
        <w:t>s</w:t>
      </w:r>
    </w:p>
    <w:p w14:paraId="20C738AB" w14:textId="289BAF98" w:rsidR="00FF6B21" w:rsidRPr="00083FF9" w:rsidRDefault="00FF6B21" w:rsidP="004270D9">
      <w:pPr>
        <w:pStyle w:val="MRNumberedHeading2"/>
      </w:pPr>
      <w:bookmarkStart w:id="53" w:name="_Toc403555112"/>
      <w:bookmarkStart w:id="54" w:name="_Ref405452929"/>
      <w:r w:rsidRPr="00083FF9">
        <w:t>F</w:t>
      </w:r>
      <w:r w:rsidR="0034181A" w:rsidRPr="00083FF9">
        <w:t>ollowing the assessment of the T</w:t>
      </w:r>
      <w:r w:rsidR="00A14C3B" w:rsidRPr="00083FF9">
        <w:t xml:space="preserve">ender, the Authority </w:t>
      </w:r>
      <w:r w:rsidRPr="00083FF9">
        <w:t xml:space="preserve">may invite </w:t>
      </w:r>
      <w:r w:rsidR="00E7163F" w:rsidRPr="00083FF9">
        <w:t>Bidders</w:t>
      </w:r>
      <w:r w:rsidRPr="00083FF9">
        <w:t xml:space="preserve"> to a clarification meeting.  If </w:t>
      </w:r>
      <w:proofErr w:type="gramStart"/>
      <w:r w:rsidRPr="00083FF9">
        <w:t>required</w:t>
      </w:r>
      <w:proofErr w:type="gramEnd"/>
      <w:r w:rsidRPr="00083FF9">
        <w:t xml:space="preserve"> this will</w:t>
      </w:r>
      <w:r w:rsidR="0034181A" w:rsidRPr="00083FF9">
        <w:t xml:space="preserve"> take place between receipt of T</w:t>
      </w:r>
      <w:r w:rsidRPr="00083FF9">
        <w:t xml:space="preserve">enders </w:t>
      </w:r>
      <w:r w:rsidR="0034181A" w:rsidRPr="00083FF9">
        <w:t xml:space="preserve">and announcement of </w:t>
      </w:r>
      <w:r w:rsidR="0034181A" w:rsidRPr="00083FF9">
        <w:lastRenderedPageBreak/>
        <w:t>successful T</w:t>
      </w:r>
      <w:r w:rsidRPr="00083FF9">
        <w:t xml:space="preserve">ender.  It is anticipated that </w:t>
      </w:r>
      <w:r w:rsidR="00E7163F" w:rsidRPr="00083FF9">
        <w:t>Bidders</w:t>
      </w:r>
      <w:r w:rsidRPr="00083FF9">
        <w:t xml:space="preserve"> will be prov</w:t>
      </w:r>
      <w:r w:rsidR="009C5E46" w:rsidRPr="00083FF9">
        <w:t xml:space="preserve">ided with at least two (2) </w:t>
      </w:r>
      <w:r w:rsidR="009D5F0B" w:rsidRPr="00083FF9">
        <w:t xml:space="preserve">business </w:t>
      </w:r>
      <w:r w:rsidR="009C5E46" w:rsidRPr="00083FF9">
        <w:t xml:space="preserve">days' </w:t>
      </w:r>
      <w:r w:rsidRPr="00083FF9">
        <w:t xml:space="preserve">notice if a meeting is required.  </w:t>
      </w:r>
      <w:bookmarkEnd w:id="53"/>
      <w:bookmarkEnd w:id="54"/>
    </w:p>
    <w:p w14:paraId="20C738AC" w14:textId="7FBF5ABA" w:rsidR="00FF6B21" w:rsidRPr="00083FF9" w:rsidRDefault="00E7163F" w:rsidP="004270D9">
      <w:pPr>
        <w:pStyle w:val="MRNumberedHeading2"/>
      </w:pPr>
      <w:bookmarkStart w:id="55" w:name="_Toc403555113"/>
      <w:r w:rsidRPr="00083FF9">
        <w:t>Bidders</w:t>
      </w:r>
      <w:r w:rsidR="00FF6B21" w:rsidRPr="00083FF9">
        <w:t xml:space="preserve"> must ensure that key personnel attend.  Those key personnel directly involved in performing the contract will be expected</w:t>
      </w:r>
      <w:r w:rsidR="00AD0C96" w:rsidRPr="00083FF9">
        <w:t xml:space="preserve"> to</w:t>
      </w:r>
      <w:r w:rsidR="003219DA" w:rsidRPr="00083FF9">
        <w:t xml:space="preserve"> attend</w:t>
      </w:r>
      <w:bookmarkEnd w:id="55"/>
      <w:r w:rsidR="00083FF9" w:rsidRPr="00083FF9">
        <w:t>.</w:t>
      </w:r>
    </w:p>
    <w:p w14:paraId="20C738AD" w14:textId="7F24A68F" w:rsidR="006534CF" w:rsidRPr="00083FF9" w:rsidRDefault="00FF6B21" w:rsidP="004270D9">
      <w:pPr>
        <w:pStyle w:val="MRNumberedHeading2"/>
      </w:pPr>
      <w:bookmarkStart w:id="56" w:name="_Toc403555114"/>
      <w:r w:rsidRPr="00083FF9">
        <w:t>The purpose of the meeting is to ga</w:t>
      </w:r>
      <w:r w:rsidR="00E23574" w:rsidRPr="00083FF9">
        <w:t xml:space="preserve">in a greater understanding of </w:t>
      </w:r>
      <w:r w:rsidRPr="00083FF9">
        <w:t>proposals and will take th</w:t>
      </w:r>
      <w:r w:rsidR="00E23574" w:rsidRPr="00083FF9">
        <w:t xml:space="preserve">e form of a short presentation </w:t>
      </w:r>
      <w:r w:rsidRPr="00083FF9">
        <w:t xml:space="preserve">by the </w:t>
      </w:r>
      <w:r w:rsidR="00785DDF" w:rsidRPr="00083FF9">
        <w:t>Bidder</w:t>
      </w:r>
      <w:r w:rsidRPr="00083FF9">
        <w:t xml:space="preserve"> followed by a </w:t>
      </w:r>
      <w:r w:rsidR="00083FF9" w:rsidRPr="00083FF9">
        <w:t>question-and-answer</w:t>
      </w:r>
      <w:r w:rsidRPr="00083FF9">
        <w:t xml:space="preserve"> session.</w:t>
      </w:r>
      <w:r w:rsidR="00E23574" w:rsidRPr="00083FF9">
        <w:t xml:space="preserve"> Topics for discussion for the presentation will be issued no later than </w:t>
      </w:r>
      <w:r w:rsidR="00083FF9" w:rsidRPr="00083FF9">
        <w:t xml:space="preserve">2 </w:t>
      </w:r>
      <w:r w:rsidR="00E23574" w:rsidRPr="00083FF9">
        <w:t>days before the presentation.</w:t>
      </w:r>
      <w:bookmarkEnd w:id="56"/>
      <w:r w:rsidR="00E23574" w:rsidRPr="00083FF9">
        <w:t xml:space="preserve"> </w:t>
      </w:r>
    </w:p>
    <w:p w14:paraId="20C738AE" w14:textId="50A165E1" w:rsidR="00FF6B21" w:rsidRPr="00083FF9" w:rsidRDefault="00E7163F" w:rsidP="004270D9">
      <w:pPr>
        <w:pStyle w:val="MRNumberedHeading2"/>
      </w:pPr>
      <w:bookmarkStart w:id="57" w:name="_Toc403555115"/>
      <w:r w:rsidRPr="00083FF9">
        <w:t>Bidders</w:t>
      </w:r>
      <w:r w:rsidR="00FF6B21" w:rsidRPr="00083FF9">
        <w:t xml:space="preserve"> can either accept or decline a request for such a meeting.  However, it is in the interests of the </w:t>
      </w:r>
      <w:r w:rsidR="00785DDF" w:rsidRPr="00083FF9">
        <w:t>Bidder</w:t>
      </w:r>
      <w:r w:rsidR="00FF6B21" w:rsidRPr="00083FF9">
        <w:t xml:space="preserve"> to attend and provide additional confidence in its proposals to the Authority.</w:t>
      </w:r>
      <w:bookmarkEnd w:id="57"/>
      <w:r w:rsidR="00FF6B21" w:rsidRPr="00083FF9">
        <w:t xml:space="preserve">  </w:t>
      </w:r>
    </w:p>
    <w:p w14:paraId="20C738AF" w14:textId="4E2C3D7F" w:rsidR="00FF6B21" w:rsidRPr="00083FF9" w:rsidRDefault="00FF6B21" w:rsidP="004270D9">
      <w:pPr>
        <w:pStyle w:val="MRNumberedHeading2"/>
      </w:pPr>
      <w:bookmarkStart w:id="58" w:name="_Toc403555116"/>
      <w:r w:rsidRPr="00083FF9">
        <w:t>Although not scored on a separate basis, the session will be used to confirm the technical / qu</w:t>
      </w:r>
      <w:r w:rsidR="00CC4072" w:rsidRPr="00083FF9">
        <w:t>ality score assessments of the T</w:t>
      </w:r>
      <w:r w:rsidRPr="00083FF9">
        <w:t>ender evaluation.  As such, scor</w:t>
      </w:r>
      <w:r w:rsidR="00CC4072" w:rsidRPr="00083FF9">
        <w:t>es achieved during the written Te</w:t>
      </w:r>
      <w:r w:rsidRPr="00083FF9">
        <w:t xml:space="preserve">nder evaluation may be adjusted (up or down) and the consolidated score of a </w:t>
      </w:r>
      <w:r w:rsidR="00785DDF" w:rsidRPr="00083FF9">
        <w:t>Bidder</w:t>
      </w:r>
      <w:r w:rsidRPr="00083FF9">
        <w:t xml:space="preserve"> amended.</w:t>
      </w:r>
      <w:bookmarkEnd w:id="58"/>
      <w:r w:rsidRPr="00083FF9">
        <w:t xml:space="preserve"> </w:t>
      </w:r>
    </w:p>
    <w:p w14:paraId="20C738B2" w14:textId="77777777" w:rsidR="002F1591" w:rsidRPr="002F42CC" w:rsidRDefault="00740710" w:rsidP="002F1591">
      <w:pPr>
        <w:pStyle w:val="Header"/>
        <w:spacing w:before="240"/>
        <w:ind w:left="851"/>
        <w:jc w:val="both"/>
        <w:rPr>
          <w:b/>
        </w:rPr>
      </w:pPr>
      <w:bookmarkStart w:id="59" w:name="_Toc403555119"/>
      <w:r>
        <w:rPr>
          <w:b/>
        </w:rPr>
        <w:t>Eligibility</w:t>
      </w:r>
      <w:r w:rsidR="002F1591">
        <w:rPr>
          <w:b/>
        </w:rPr>
        <w:t xml:space="preserve"> evidence</w:t>
      </w:r>
    </w:p>
    <w:p w14:paraId="20C738B3" w14:textId="169D5C57" w:rsidR="002F1591" w:rsidRDefault="002F1591" w:rsidP="002F1591">
      <w:pPr>
        <w:pStyle w:val="MRNumberedHeading2"/>
        <w:rPr>
          <w:i/>
          <w:color w:val="808080" w:themeColor="background1" w:themeShade="80"/>
        </w:rPr>
      </w:pPr>
      <w:bookmarkStart w:id="60"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61" w:name="hand217"/>
      <w:bookmarkEnd w:id="61"/>
      <w:r>
        <w:t>as accurate. During the standstill period, the Authority will require the successful Bidder to provide the following:</w:t>
      </w:r>
      <w:bookmarkEnd w:id="60"/>
    </w:p>
    <w:p w14:paraId="20C738B4" w14:textId="6617EE65" w:rsidR="002F1591" w:rsidRPr="00682A9B" w:rsidRDefault="00BD29A8" w:rsidP="002F1591">
      <w:pPr>
        <w:pStyle w:val="MRNumberedHeading3"/>
        <w:numPr>
          <w:ilvl w:val="2"/>
          <w:numId w:val="23"/>
        </w:numPr>
        <w:tabs>
          <w:tab w:val="clear" w:pos="2214"/>
          <w:tab w:val="num" w:pos="1790"/>
        </w:tabs>
        <w:spacing w:line="240" w:lineRule="auto"/>
        <w:ind w:left="1702" w:hanging="851"/>
        <w:jc w:val="both"/>
        <w:rPr>
          <w:i/>
        </w:rPr>
      </w:pPr>
      <w:r>
        <w:t>P</w:t>
      </w:r>
      <w:r w:rsidRPr="00BD29A8">
        <w:t xml:space="preserve">roof as required in the Public Contracts Regulations 2015, Regulation 60(4) or (5), that none of the mandatory or discretionary grounds of exclusion referred to in the Eligibility </w:t>
      </w:r>
      <w:proofErr w:type="gramStart"/>
      <w:r w:rsidRPr="00BD29A8">
        <w:t>Questions;</w:t>
      </w:r>
      <w:proofErr w:type="gramEnd"/>
    </w:p>
    <w:p w14:paraId="20C738B5" w14:textId="72758F16" w:rsidR="002F1591" w:rsidRPr="00682A9B" w:rsidRDefault="00BD29A8" w:rsidP="002F1591">
      <w:pPr>
        <w:pStyle w:val="MRNumberedHeading3"/>
        <w:numPr>
          <w:ilvl w:val="2"/>
          <w:numId w:val="23"/>
        </w:numPr>
        <w:tabs>
          <w:tab w:val="clear" w:pos="2214"/>
          <w:tab w:val="num" w:pos="1790"/>
        </w:tabs>
        <w:spacing w:line="240" w:lineRule="auto"/>
        <w:ind w:left="1702" w:hanging="851"/>
        <w:jc w:val="both"/>
        <w:rPr>
          <w:i/>
        </w:rPr>
      </w:pPr>
      <w:r>
        <w:rPr>
          <w:iCs/>
        </w:rPr>
        <w:t>Proof as required in the Public Contracts Regulations 2015, Regulation 60 (6), that you have the minimum level of economic financial standing.</w:t>
      </w:r>
    </w:p>
    <w:p w14:paraId="20C738B6" w14:textId="228DD4EB" w:rsidR="002F1591" w:rsidRPr="00682A9B" w:rsidRDefault="002F1591" w:rsidP="002F1591">
      <w:pPr>
        <w:pStyle w:val="MRNumberedHeading3"/>
        <w:numPr>
          <w:ilvl w:val="2"/>
          <w:numId w:val="23"/>
        </w:numPr>
        <w:tabs>
          <w:tab w:val="clear" w:pos="2214"/>
          <w:tab w:val="num" w:pos="1790"/>
        </w:tabs>
        <w:spacing w:line="240" w:lineRule="auto"/>
        <w:ind w:left="1702" w:hanging="851"/>
        <w:jc w:val="both"/>
      </w:pPr>
      <w:r w:rsidRPr="00682A9B">
        <w:t>copies of the required insurance as set out i</w:t>
      </w:r>
      <w:r w:rsidR="001D79DD" w:rsidRPr="00682A9B">
        <w:t xml:space="preserve">n the Eligibility </w:t>
      </w:r>
      <w:proofErr w:type="gramStart"/>
      <w:r w:rsidR="001D79DD" w:rsidRPr="00682A9B">
        <w:t>Questions</w:t>
      </w:r>
      <w:r w:rsidRPr="00682A9B">
        <w:t>;</w:t>
      </w:r>
      <w:proofErr w:type="gramEnd"/>
    </w:p>
    <w:p w14:paraId="20C738B7" w14:textId="6F5ACCBD" w:rsidR="002F1591" w:rsidRPr="00682A9B" w:rsidRDefault="005242B2" w:rsidP="002F1591">
      <w:pPr>
        <w:pStyle w:val="MRNumberedHeading3"/>
        <w:numPr>
          <w:ilvl w:val="2"/>
          <w:numId w:val="23"/>
        </w:numPr>
        <w:tabs>
          <w:tab w:val="clear" w:pos="2214"/>
          <w:tab w:val="num" w:pos="1790"/>
        </w:tabs>
        <w:spacing w:line="240" w:lineRule="auto"/>
        <w:ind w:left="1702" w:hanging="851"/>
        <w:jc w:val="both"/>
        <w:rPr>
          <w:i/>
        </w:rPr>
      </w:pPr>
      <w:r w:rsidRPr="005242B2">
        <w:t xml:space="preserve">a copy of your Health and Safety </w:t>
      </w:r>
      <w:proofErr w:type="gramStart"/>
      <w:r w:rsidRPr="005242B2">
        <w:t>Policy;</w:t>
      </w:r>
      <w:proofErr w:type="gramEnd"/>
    </w:p>
    <w:p w14:paraId="20C738B9" w14:textId="5AD235AF" w:rsidR="002F1591" w:rsidRPr="002F1591" w:rsidRDefault="00740710" w:rsidP="002F1591">
      <w:pPr>
        <w:pStyle w:val="Header"/>
        <w:spacing w:before="240"/>
        <w:ind w:left="851"/>
        <w:jc w:val="both"/>
        <w:rPr>
          <w:b/>
        </w:rPr>
      </w:pPr>
      <w:bookmarkStart w:id="62" w:name="_Toc403555120"/>
      <w:bookmarkEnd w:id="59"/>
      <w:r>
        <w:rPr>
          <w:b/>
        </w:rPr>
        <w:t>Contract a</w:t>
      </w:r>
      <w:r w:rsidR="002F1591" w:rsidRPr="002F1591">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62"/>
    </w:p>
    <w:p w14:paraId="20C738BB" w14:textId="362DFE5C" w:rsidR="004E71FF" w:rsidRPr="005A2E47" w:rsidRDefault="008824CC" w:rsidP="004270D9">
      <w:pPr>
        <w:pStyle w:val="MRNumberedHeading2"/>
      </w:pPr>
      <w:bookmarkStart w:id="63" w:name="_Toc403555121"/>
      <w:bookmarkStart w:id="64"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w:t>
      </w:r>
      <w:proofErr w:type="gramStart"/>
      <w:r w:rsidR="00E56F27">
        <w:t>entering into</w:t>
      </w:r>
      <w:proofErr w:type="gramEnd"/>
      <w:r w:rsidR="00E56F27">
        <w:t xml:space="preserve"> any c</w:t>
      </w:r>
      <w:r>
        <w:t>ontract(s).</w:t>
      </w:r>
      <w:bookmarkEnd w:id="63"/>
      <w:bookmarkEnd w:id="64"/>
      <w:r w:rsidR="004E71FF">
        <w:br w:type="page"/>
      </w:r>
    </w:p>
    <w:p w14:paraId="20C738BC"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65" w:name="_Toc403556503"/>
      <w:bookmarkStart w:id="66" w:name="_Toc403556508"/>
      <w:bookmarkStart w:id="67" w:name="_Toc406674971"/>
      <w:bookmarkStart w:id="68" w:name="_Toc412621213"/>
      <w:bookmarkStart w:id="69" w:name="_Toc412715223"/>
      <w:r w:rsidRPr="008F3D2C">
        <w:rPr>
          <w:sz w:val="20"/>
          <w:szCs w:val="20"/>
        </w:rPr>
        <w:lastRenderedPageBreak/>
        <w:t xml:space="preserve">INSTRUCTIONS TO </w:t>
      </w:r>
      <w:r w:rsidR="00E7163F" w:rsidRPr="008F3D2C">
        <w:rPr>
          <w:sz w:val="20"/>
          <w:szCs w:val="20"/>
        </w:rPr>
        <w:t>BIDDERS</w:t>
      </w:r>
      <w:bookmarkEnd w:id="65"/>
      <w:bookmarkEnd w:id="66"/>
      <w:bookmarkEnd w:id="67"/>
      <w:bookmarkEnd w:id="68"/>
      <w:bookmarkEnd w:id="69"/>
      <w:r w:rsidRPr="008F3D2C">
        <w:rPr>
          <w:sz w:val="20"/>
          <w:szCs w:val="20"/>
        </w:rPr>
        <w:t xml:space="preserve"> </w:t>
      </w:r>
    </w:p>
    <w:p w14:paraId="37687244" w14:textId="545A6485" w:rsidR="008644BC" w:rsidRPr="00134D04" w:rsidRDefault="00134D04" w:rsidP="00134D04">
      <w:pPr>
        <w:pStyle w:val="MRNumberedHeading2"/>
        <w:numPr>
          <w:ilvl w:val="0"/>
          <w:numId w:val="0"/>
        </w:numPr>
        <w:ind w:left="851"/>
        <w:rPr>
          <w:b/>
        </w:rPr>
      </w:pPr>
      <w:bookmarkStart w:id="70" w:name="_Toc403555124"/>
      <w:r w:rsidRPr="00134D04">
        <w:rPr>
          <w:b/>
        </w:rPr>
        <w:t>Eligibility Questions and Responses</w:t>
      </w:r>
    </w:p>
    <w:p w14:paraId="6C3135F9" w14:textId="1D83D1BC" w:rsidR="00134D04" w:rsidRPr="00134D04" w:rsidRDefault="00134D04" w:rsidP="00134D04">
      <w:pPr>
        <w:pStyle w:val="MRNumberedHeading2"/>
      </w:pPr>
      <w:bookmarkStart w:id="71"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71"/>
    </w:p>
    <w:p w14:paraId="11EE5E9B" w14:textId="27E0361E" w:rsidR="00134D04" w:rsidRPr="00140169" w:rsidRDefault="00140169" w:rsidP="00140169">
      <w:pPr>
        <w:pStyle w:val="MRNumberedHeading2"/>
        <w:tabs>
          <w:tab w:val="clear" w:pos="851"/>
          <w:tab w:val="num" w:pos="720"/>
        </w:tabs>
        <w:ind w:left="720" w:hanging="720"/>
      </w:pPr>
      <w:r w:rsidRPr="00A419DF">
        <w:t xml:space="preserve">A completed declaration of the Eligibility Questions provides a formal statement that the organisation making the declaration has not breached any of the </w:t>
      </w:r>
      <w:proofErr w:type="gramStart"/>
      <w:r w:rsidRPr="00A419DF">
        <w:t>exclusions</w:t>
      </w:r>
      <w:proofErr w:type="gramEnd"/>
      <w:r w:rsidRPr="00A419DF">
        <w:t xml:space="preserve"> grounds. </w:t>
      </w:r>
      <w:proofErr w:type="gramStart"/>
      <w:r w:rsidRPr="00A419DF">
        <w:t>Consequently</w:t>
      </w:r>
      <w:proofErr w:type="gramEnd"/>
      <w:r w:rsidRPr="00A419DF">
        <w:t xml:space="preserve"> we require all the organisations that you will rely on to meet the selection criteria to provide completed Eligibility Questions. For </w:t>
      </w:r>
      <w:proofErr w:type="gramStart"/>
      <w:r w:rsidRPr="00A419DF">
        <w:t>example</w:t>
      </w:r>
      <w:proofErr w:type="gramEnd"/>
      <w:r w:rsidRPr="00A419DF">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9767928"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w:t>
      </w:r>
      <w:proofErr w:type="gramStart"/>
      <w:r w:rsidRPr="00D67416">
        <w:rPr>
          <w:rFonts w:ascii="Arial" w:eastAsia="Arial" w:hAnsi="Arial" w:cs="Arial"/>
          <w:sz w:val="20"/>
          <w:szCs w:val="20"/>
        </w:rPr>
        <w:t>you intend</w:t>
      </w:r>
      <w:proofErr w:type="gramEnd"/>
      <w:r w:rsidRPr="00D67416">
        <w:rPr>
          <w:rFonts w:ascii="Arial" w:eastAsia="Arial" w:hAnsi="Arial" w:cs="Arial"/>
          <w:sz w:val="20"/>
          <w:szCs w:val="20"/>
        </w:rPr>
        <w:t xml:space="preserve"> to use sub-contractors, you should complete all of the selection questions on behalf of the consortium and/or any sub-contractors.</w:t>
      </w:r>
    </w:p>
    <w:p w14:paraId="2E39BA8D" w14:textId="0442D3D4"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w:t>
      </w:r>
      <w:proofErr w:type="gramStart"/>
      <w:r w:rsidRPr="00134D04">
        <w:rPr>
          <w:rFonts w:ascii="Arial" w:eastAsia="Arial" w:hAnsi="Arial" w:cs="Arial"/>
          <w:sz w:val="20"/>
          <w:szCs w:val="20"/>
        </w:rPr>
        <w:t>factual information</w:t>
      </w:r>
      <w:proofErr w:type="gramEnd"/>
      <w:r w:rsidRPr="00134D04">
        <w:rPr>
          <w:rFonts w:ascii="Arial" w:eastAsia="Arial" w:hAnsi="Arial" w:cs="Arial"/>
          <w:sz w:val="20"/>
          <w:szCs w:val="20"/>
        </w:rPr>
        <w:t xml:space="preserve">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“You” / “</w:t>
      </w:r>
      <w:proofErr w:type="gramStart"/>
      <w:r w:rsidRPr="00134D04">
        <w:rPr>
          <w:rFonts w:ascii="Arial" w:eastAsia="Arial" w:hAnsi="Arial" w:cs="Arial"/>
          <w:sz w:val="20"/>
          <w:szCs w:val="20"/>
        </w:rPr>
        <w:t>Your</w:t>
      </w:r>
      <w:proofErr w:type="gramEnd"/>
      <w:r w:rsidRPr="00134D04">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681FCA35" w:rsidR="00134D04" w:rsidRPr="00140169" w:rsidRDefault="00140169" w:rsidP="00140169">
      <w:pPr>
        <w:pStyle w:val="Normal1"/>
        <w:numPr>
          <w:ilvl w:val="1"/>
          <w:numId w:val="24"/>
        </w:numPr>
        <w:spacing w:before="240"/>
        <w:ind w:left="709" w:right="11" w:hanging="709"/>
        <w:jc w:val="both"/>
        <w:rPr>
          <w:sz w:val="20"/>
          <w:szCs w:val="20"/>
        </w:rPr>
      </w:pPr>
      <w:r w:rsidRPr="00A419DF">
        <w:rPr>
          <w:rFonts w:ascii="Arial" w:eastAsia="Arial" w:hAnsi="Arial" w:cs="Arial"/>
          <w:sz w:val="20"/>
          <w:szCs w:val="20"/>
        </w:rPr>
        <w:t xml:space="preserve">The Authority recognises that arrangements set out in section 1.2 of the Eligibility Questions, in relation to a group of economic operators (for example, a consortium) and/or use of sub-contractors, may be subject to change and will, therefore, not be finalised until a later date.  The lead contact should notify the authority immediately of any change in the proposed </w:t>
      </w:r>
      <w:r w:rsidRPr="00A419DF">
        <w:rPr>
          <w:rFonts w:ascii="Arial" w:eastAsia="Arial" w:hAnsi="Arial" w:cs="Arial"/>
          <w:sz w:val="20"/>
          <w:szCs w:val="20"/>
        </w:rPr>
        <w:lastRenderedPageBreak/>
        <w:t>arrangements and ensure completed Eligibility Questions are submitted for any new organisation relied on to meet the selection criteria. The authority will make a revised assessment of the submission based on the updated information.</w:t>
      </w:r>
    </w:p>
    <w:p w14:paraId="79F6EAE6" w14:textId="77777777" w:rsidR="00140169" w:rsidRPr="00A419DF" w:rsidRDefault="00140169" w:rsidP="00140169">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Every organisation that is being relied on to meet the selection must complete and submit the self-declaration. </w:t>
      </w:r>
    </w:p>
    <w:p w14:paraId="342E35FC" w14:textId="77777777" w:rsidR="00140169" w:rsidRPr="00A419DF" w:rsidRDefault="00140169" w:rsidP="00140169">
      <w:pPr>
        <w:pStyle w:val="Normal1"/>
        <w:numPr>
          <w:ilvl w:val="1"/>
          <w:numId w:val="24"/>
        </w:numPr>
        <w:tabs>
          <w:tab w:val="clear" w:pos="720"/>
          <w:tab w:val="num" w:pos="709"/>
        </w:tabs>
        <w:spacing w:before="240"/>
        <w:ind w:left="709" w:right="11" w:hanging="709"/>
        <w:jc w:val="both"/>
        <w:rPr>
          <w:sz w:val="20"/>
          <w:szCs w:val="20"/>
        </w:rPr>
      </w:pPr>
      <w:r w:rsidRPr="00A419DF">
        <w:rPr>
          <w:rFonts w:ascii="Arial" w:eastAsia="Arial" w:hAnsi="Arial" w:cs="Arial"/>
          <w:sz w:val="20"/>
          <w:szCs w:val="20"/>
        </w:rPr>
        <w:t xml:space="preserve">If you are bidding on behalf of a group, for example, a consortium, or you intend to use sub-contractors, you should complete </w:t>
      </w:r>
      <w:proofErr w:type="gramStart"/>
      <w:r w:rsidRPr="00A419DF">
        <w:rPr>
          <w:rFonts w:ascii="Arial" w:eastAsia="Arial" w:hAnsi="Arial" w:cs="Arial"/>
          <w:sz w:val="20"/>
          <w:szCs w:val="20"/>
        </w:rPr>
        <w:t>all of</w:t>
      </w:r>
      <w:proofErr w:type="gramEnd"/>
      <w:r w:rsidRPr="00A419DF">
        <w:rPr>
          <w:rFonts w:ascii="Arial" w:eastAsia="Arial" w:hAnsi="Arial" w:cs="Arial"/>
          <w:sz w:val="20"/>
          <w:szCs w:val="20"/>
        </w:rPr>
        <w:t xml:space="preserve"> the questions on behalf of the consortium and/ or any sub-contractors, providing one composite response and declaration</w:t>
      </w:r>
    </w:p>
    <w:p w14:paraId="6B94A52D" w14:textId="77777777" w:rsidR="00140169" w:rsidRPr="00A419DF" w:rsidRDefault="00140169" w:rsidP="00140169">
      <w:pPr>
        <w:pStyle w:val="Normal1"/>
        <w:numPr>
          <w:ilvl w:val="1"/>
          <w:numId w:val="24"/>
        </w:numPr>
        <w:tabs>
          <w:tab w:val="clear" w:pos="720"/>
          <w:tab w:val="num" w:pos="709"/>
        </w:tabs>
        <w:spacing w:before="240"/>
        <w:ind w:left="709" w:right="11" w:hanging="709"/>
        <w:jc w:val="both"/>
        <w:rPr>
          <w:sz w:val="20"/>
          <w:szCs w:val="20"/>
        </w:rPr>
      </w:pPr>
      <w:bookmarkStart w:id="72" w:name="_Toc403555122"/>
      <w:r w:rsidRPr="00A419DF">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D8B148F" w14:textId="28D00D19"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7C86E983" w14:textId="02DDE5D1" w:rsidR="00C21DD3" w:rsidRPr="00BC4757" w:rsidRDefault="00BC4757"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73"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73"/>
    </w:p>
    <w:p w14:paraId="5EB95208" w14:textId="75F3A75F"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74" w:name="_Ref478474329"/>
      <w:r w:rsidRPr="00BC4757">
        <w:rPr>
          <w:rFonts w:eastAsia="Arial" w:cs="Arial"/>
          <w:color w:val="000000"/>
          <w:szCs w:val="20"/>
          <w:lang w:eastAsia="en-US"/>
        </w:rPr>
        <w:t xml:space="preserve">Part 1: Basic information about the Bidder, including contact details, details of parent companies and group </w:t>
      </w:r>
      <w:proofErr w:type="gramStart"/>
      <w:r w:rsidRPr="00BC4757">
        <w:rPr>
          <w:rFonts w:eastAsia="Arial" w:cs="Arial"/>
          <w:color w:val="000000"/>
          <w:szCs w:val="20"/>
          <w:lang w:eastAsia="en-US"/>
        </w:rPr>
        <w:t>bidding;</w:t>
      </w:r>
      <w:bookmarkEnd w:id="74"/>
      <w:proofErr w:type="gramEnd"/>
    </w:p>
    <w:p w14:paraId="068CD819" w14:textId="4AA3476A"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2: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any of the mandatory or discretionary exclusion grounds apply; and</w:t>
      </w:r>
    </w:p>
    <w:p w14:paraId="72D5836A" w14:textId="15C64085" w:rsidR="00C21DD3" w:rsidRPr="00556B66" w:rsidRDefault="00C21DD3" w:rsidP="00556B66">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t>
      </w:r>
      <w:proofErr w:type="gramStart"/>
      <w:r w:rsidRPr="00BC4757">
        <w:rPr>
          <w:rFonts w:eastAsia="Arial" w:cs="Arial"/>
          <w:color w:val="000000"/>
          <w:szCs w:val="20"/>
          <w:lang w:eastAsia="en-US"/>
        </w:rPr>
        <w:t>whether or not</w:t>
      </w:r>
      <w:proofErr w:type="gramEnd"/>
      <w:r w:rsidRPr="00BC4757">
        <w:rPr>
          <w:rFonts w:eastAsia="Arial" w:cs="Arial"/>
          <w:color w:val="000000"/>
          <w:szCs w:val="20"/>
          <w:lang w:eastAsia="en-US"/>
        </w:rPr>
        <w:t xml:space="preserve"> you meet the selection criteria in respect of your financial standing and technical capacity.  </w:t>
      </w:r>
      <w:r w:rsidRPr="00556B66">
        <w:rPr>
          <w:i/>
          <w:color w:val="000000"/>
          <w:szCs w:val="20"/>
        </w:rPr>
        <w:t xml:space="preserve"> </w:t>
      </w:r>
    </w:p>
    <w:p w14:paraId="041F7D76" w14:textId="71A5EDA1" w:rsidR="00C21DD3" w:rsidRPr="008E7D63" w:rsidRDefault="00C21DD3" w:rsidP="00C21DD3">
      <w:pPr>
        <w:pStyle w:val="MRNumberedHeading2"/>
        <w:numPr>
          <w:ilvl w:val="1"/>
          <w:numId w:val="24"/>
        </w:numPr>
        <w:shd w:val="clear" w:color="auto" w:fill="FFFFFF"/>
        <w:tabs>
          <w:tab w:val="clear" w:pos="720"/>
          <w:tab w:val="num" w:pos="851"/>
        </w:tabs>
        <w:ind w:left="851" w:hanging="851"/>
      </w:pPr>
      <w:bookmarkStart w:id="75" w:name="_Ref478475450"/>
      <w:r w:rsidRPr="008E7D63">
        <w:t xml:space="preserve">Bidders must log-on to the e-Tendering Portal </w:t>
      </w:r>
      <w:proofErr w:type="gramStart"/>
      <w:r w:rsidRPr="008E7D63">
        <w:t>in order to</w:t>
      </w:r>
      <w:proofErr w:type="gramEnd"/>
      <w:r w:rsidRPr="008E7D63">
        <w:t xml:space="preserve"> complete </w:t>
      </w:r>
      <w:r w:rsidR="00442895" w:rsidRPr="008E7D63">
        <w:t>the Eligibility Questions</w:t>
      </w:r>
      <w:r w:rsidRPr="008E7D63">
        <w:t>.</w:t>
      </w:r>
      <w:bookmarkEnd w:id="75"/>
      <w:r w:rsidRPr="008E7D63">
        <w:t xml:space="preserve"> </w:t>
      </w:r>
    </w:p>
    <w:p w14:paraId="5EAB528F" w14:textId="03A67C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72"/>
      <w:r w:rsidR="00134D04" w:rsidRPr="00134D04">
        <w:rPr>
          <w:rFonts w:ascii="Arial" w:hAnsi="Arial" w:cs="Arial"/>
          <w:b/>
          <w:sz w:val="20"/>
          <w:szCs w:val="20"/>
        </w:rPr>
        <w:t xml:space="preserve">s </w:t>
      </w:r>
      <w:bookmarkStart w:id="76" w:name="_Toc403555123"/>
      <w:bookmarkStart w:id="77" w:name="_Ref405452954"/>
      <w:r w:rsidR="00C516F4">
        <w:rPr>
          <w:rFonts w:ascii="Arial" w:hAnsi="Arial" w:cs="Arial"/>
          <w:b/>
          <w:sz w:val="20"/>
          <w:szCs w:val="20"/>
        </w:rPr>
        <w:t>(including the Eligibility Questions)</w:t>
      </w:r>
    </w:p>
    <w:p w14:paraId="38FA4D86" w14:textId="34ACA933" w:rsidR="00134D04" w:rsidRPr="008E7D63" w:rsidRDefault="00130B5F" w:rsidP="00134D04">
      <w:pPr>
        <w:pStyle w:val="Normal1"/>
        <w:numPr>
          <w:ilvl w:val="1"/>
          <w:numId w:val="24"/>
        </w:numPr>
        <w:tabs>
          <w:tab w:val="clear" w:pos="720"/>
          <w:tab w:val="num" w:pos="851"/>
        </w:tabs>
        <w:spacing w:before="240"/>
        <w:ind w:left="851" w:right="11" w:hanging="851"/>
        <w:jc w:val="both"/>
        <w:rPr>
          <w:rFonts w:ascii="Arial" w:hAnsi="Arial"/>
          <w:color w:val="auto"/>
          <w:sz w:val="20"/>
          <w:lang w:eastAsia="en-GB"/>
        </w:rPr>
      </w:pPr>
      <w:r w:rsidRPr="008E7D63">
        <w:rPr>
          <w:rFonts w:ascii="Arial" w:hAnsi="Arial"/>
          <w:color w:val="auto"/>
          <w:sz w:val="20"/>
          <w:lang w:eastAsia="en-GB"/>
        </w:rPr>
        <w:t>B</w:t>
      </w:r>
      <w:r w:rsidR="00134D04" w:rsidRPr="008E7D63">
        <w:rPr>
          <w:rFonts w:ascii="Arial" w:hAnsi="Arial"/>
          <w:color w:val="auto"/>
          <w:sz w:val="20"/>
          <w:lang w:eastAsia="en-GB"/>
        </w:rPr>
        <w:t xml:space="preserve">idders must </w:t>
      </w:r>
      <w:r w:rsidRPr="008E7D63">
        <w:rPr>
          <w:rFonts w:ascii="Arial" w:hAnsi="Arial"/>
          <w:color w:val="auto"/>
          <w:sz w:val="20"/>
          <w:lang w:eastAsia="en-GB"/>
        </w:rPr>
        <w:t>complete and submit</w:t>
      </w:r>
      <w:r w:rsidR="00134D04" w:rsidRPr="008E7D63">
        <w:rPr>
          <w:rFonts w:ascii="Arial" w:hAnsi="Arial"/>
          <w:color w:val="auto"/>
          <w:sz w:val="20"/>
          <w:lang w:eastAsia="en-GB"/>
        </w:rPr>
        <w:t xml:space="preserve"> the Ann</w:t>
      </w:r>
      <w:r w:rsidRPr="008E7D63">
        <w:rPr>
          <w:rFonts w:ascii="Arial" w:hAnsi="Arial"/>
          <w:color w:val="auto"/>
          <w:sz w:val="20"/>
          <w:lang w:eastAsia="en-GB"/>
        </w:rPr>
        <w:t>exes to Section B of the ITT. The Annexes</w:t>
      </w:r>
      <w:r w:rsidR="00134D04" w:rsidRPr="008E7D63">
        <w:rPr>
          <w:rFonts w:ascii="Arial" w:hAnsi="Arial"/>
          <w:color w:val="auto"/>
          <w:sz w:val="20"/>
          <w:lang w:eastAsia="en-GB"/>
        </w:rPr>
        <w:t xml:space="preserve"> must be submitted using the e-Tendering Portal. Bidders should ensure that they allow ple</w:t>
      </w:r>
      <w:r w:rsidRPr="008E7D63">
        <w:rPr>
          <w:rFonts w:ascii="Arial" w:hAnsi="Arial"/>
          <w:color w:val="auto"/>
          <w:sz w:val="20"/>
          <w:lang w:eastAsia="en-GB"/>
        </w:rPr>
        <w:t>nty of time to upload the Annexes</w:t>
      </w:r>
      <w:r w:rsidR="00134D04" w:rsidRPr="008E7D63">
        <w:rPr>
          <w:rFonts w:ascii="Arial" w:hAnsi="Arial"/>
          <w:color w:val="auto"/>
          <w:sz w:val="20"/>
          <w:lang w:eastAsia="en-GB"/>
        </w:rPr>
        <w:t xml:space="preserve">, particularly where there are large documents.  If Bidders have any problems with the e-Tendering Portal, they should contact the helpdesk </w:t>
      </w:r>
      <w:r w:rsidR="00FF0B1A">
        <w:rPr>
          <w:rFonts w:ascii="Arial" w:hAnsi="Arial"/>
          <w:color w:val="auto"/>
          <w:sz w:val="20"/>
          <w:lang w:eastAsia="en-GB"/>
        </w:rPr>
        <w:t>at</w:t>
      </w:r>
      <w:r w:rsidR="00134D04" w:rsidRPr="008E7D63">
        <w:rPr>
          <w:rFonts w:ascii="Arial" w:hAnsi="Arial"/>
          <w:color w:val="auto"/>
          <w:sz w:val="20"/>
          <w:lang w:eastAsia="en-GB"/>
        </w:rPr>
        <w:t xml:space="preserve"> </w:t>
      </w:r>
      <w:bookmarkEnd w:id="76"/>
      <w:bookmarkEnd w:id="77"/>
      <w:r w:rsidR="00FF0B1A">
        <w:rPr>
          <w:rFonts w:ascii="Arial" w:hAnsi="Arial"/>
          <w:color w:val="auto"/>
          <w:sz w:val="20"/>
          <w:lang w:eastAsia="en-GB"/>
        </w:rPr>
        <w:fldChar w:fldCharType="begin"/>
      </w:r>
      <w:r w:rsidR="00FF0B1A">
        <w:rPr>
          <w:rFonts w:ascii="Arial" w:hAnsi="Arial"/>
          <w:color w:val="auto"/>
          <w:sz w:val="20"/>
          <w:lang w:eastAsia="en-GB"/>
        </w:rPr>
        <w:instrText>HYPERLINK "</w:instrText>
      </w:r>
      <w:r w:rsidR="00FF0B1A" w:rsidRPr="00FF0B1A">
        <w:rPr>
          <w:rFonts w:ascii="Arial" w:hAnsi="Arial"/>
          <w:color w:val="auto"/>
          <w:sz w:val="20"/>
          <w:lang w:eastAsia="en-GB"/>
        </w:rPr>
        <w:instrText>https://suppliersupport.atamis.co.uk/hc/en-gb</w:instrText>
      </w:r>
      <w:r w:rsidR="00FF0B1A">
        <w:rPr>
          <w:rFonts w:ascii="Arial" w:hAnsi="Arial"/>
          <w:color w:val="auto"/>
          <w:sz w:val="20"/>
          <w:lang w:eastAsia="en-GB"/>
        </w:rPr>
        <w:instrText>"</w:instrText>
      </w:r>
      <w:r w:rsidR="00FF0B1A">
        <w:rPr>
          <w:rFonts w:ascii="Arial" w:hAnsi="Arial"/>
          <w:color w:val="auto"/>
          <w:sz w:val="20"/>
          <w:lang w:eastAsia="en-GB"/>
        </w:rPr>
      </w:r>
      <w:r w:rsidR="00FF0B1A">
        <w:rPr>
          <w:rFonts w:ascii="Arial" w:hAnsi="Arial"/>
          <w:color w:val="auto"/>
          <w:sz w:val="20"/>
          <w:lang w:eastAsia="en-GB"/>
        </w:rPr>
        <w:fldChar w:fldCharType="separate"/>
      </w:r>
      <w:r w:rsidR="00FF0B1A" w:rsidRPr="00A258B4">
        <w:rPr>
          <w:rStyle w:val="Hyperlink"/>
          <w:rFonts w:ascii="Arial" w:hAnsi="Arial"/>
          <w:sz w:val="20"/>
          <w:lang w:eastAsia="en-GB"/>
        </w:rPr>
        <w:t>https://suppliersupport.atamis.co.uk/hc/en-gb</w:t>
      </w:r>
      <w:r w:rsidR="00FF0B1A">
        <w:rPr>
          <w:rFonts w:ascii="Arial" w:hAnsi="Arial"/>
          <w:color w:val="auto"/>
          <w:sz w:val="20"/>
          <w:lang w:eastAsia="en-GB"/>
        </w:rPr>
        <w:fldChar w:fldCharType="end"/>
      </w:r>
      <w:r w:rsidR="00FF0B1A">
        <w:rPr>
          <w:rFonts w:ascii="Arial" w:hAnsi="Arial"/>
          <w:color w:val="auto"/>
          <w:sz w:val="20"/>
          <w:lang w:eastAsia="en-GB"/>
        </w:rPr>
        <w:t xml:space="preserve"> </w:t>
      </w:r>
    </w:p>
    <w:p w14:paraId="20C738BF" w14:textId="6468D171" w:rsidR="00E41C42" w:rsidRDefault="00E41C42" w:rsidP="004270D9">
      <w:pPr>
        <w:pStyle w:val="MRNumberedHeading2"/>
      </w:pPr>
      <w:r>
        <w:t xml:space="preserve">Note: </w:t>
      </w:r>
      <w:proofErr w:type="gramStart"/>
      <w:r>
        <w:t>the</w:t>
      </w:r>
      <w:proofErr w:type="gramEnd"/>
      <w:r>
        <w:t xml:space="preserve"> Authority does not guarantee that you will </w:t>
      </w:r>
      <w:r w:rsidR="001B7E88">
        <w:t xml:space="preserve">be </w:t>
      </w:r>
      <w:r>
        <w:t>able to upload files up to the maximum size, particularly at busy times</w:t>
      </w:r>
      <w:r w:rsidR="00BD5DCC">
        <w:t xml:space="preserve">. </w:t>
      </w:r>
      <w:r>
        <w:t xml:space="preserve"> For t</w:t>
      </w:r>
      <w:r w:rsidR="001B7E88">
        <w:t xml:space="preserve">his </w:t>
      </w:r>
      <w:proofErr w:type="gramStart"/>
      <w:r w:rsidR="001B7E88">
        <w:t>reason</w:t>
      </w:r>
      <w:proofErr w:type="gramEnd"/>
      <w:r w:rsidR="001B7E88">
        <w:t xml:space="preserve"> it is recommended that</w:t>
      </w:r>
      <w:r>
        <w:t xml:space="preserve"> Bidders should ensure files are well below the maximum stated and allow plenty of time to upload, so they have enough time to resolve any technical difficulties before the deadline.</w:t>
      </w:r>
      <w:bookmarkEnd w:id="70"/>
    </w:p>
    <w:p w14:paraId="20C738C0" w14:textId="4930B582" w:rsidR="00E62354" w:rsidRPr="008E7D63" w:rsidRDefault="00FC24F6" w:rsidP="004270D9">
      <w:pPr>
        <w:pStyle w:val="MRNumberedHeading2"/>
      </w:pPr>
      <w:bookmarkStart w:id="78" w:name="_Toc403555125"/>
      <w:bookmarkStart w:id="79" w:name="_Ref405453188"/>
      <w:r w:rsidRPr="008E7D63">
        <w:t>Bidders must adhere to the</w:t>
      </w:r>
      <w:r w:rsidR="00C27CC2" w:rsidRPr="008E7D63">
        <w:t xml:space="preserve"> following</w:t>
      </w:r>
      <w:r w:rsidR="002869D0" w:rsidRPr="008E7D63">
        <w:t xml:space="preserve"> standard</w:t>
      </w:r>
      <w:r w:rsidR="00C27CC2" w:rsidRPr="008E7D63">
        <w:t xml:space="preserve"> requirements </w:t>
      </w:r>
      <w:r w:rsidR="00E62354" w:rsidRPr="008E7D63">
        <w:t xml:space="preserve">when submitting </w:t>
      </w:r>
      <w:r w:rsidRPr="008E7D63">
        <w:t>their</w:t>
      </w:r>
      <w:r w:rsidR="00E62354" w:rsidRPr="008E7D63">
        <w:t xml:space="preserve"> </w:t>
      </w:r>
      <w:r w:rsidR="00C27CC2" w:rsidRPr="008E7D63">
        <w:t>Tenders:</w:t>
      </w:r>
      <w:bookmarkEnd w:id="78"/>
      <w:bookmarkEnd w:id="79"/>
    </w:p>
    <w:p w14:paraId="20C738C1" w14:textId="77777777" w:rsidR="00E62354" w:rsidRPr="008E7D63" w:rsidRDefault="00FC24F6" w:rsidP="004270D9">
      <w:pPr>
        <w:pStyle w:val="MRNumberedHeading3"/>
        <w:numPr>
          <w:ilvl w:val="2"/>
          <w:numId w:val="23"/>
        </w:numPr>
        <w:tabs>
          <w:tab w:val="clear" w:pos="2214"/>
          <w:tab w:val="num" w:pos="1794"/>
        </w:tabs>
        <w:spacing w:line="240" w:lineRule="auto"/>
        <w:ind w:left="1702" w:hanging="851"/>
        <w:jc w:val="both"/>
      </w:pPr>
      <w:r w:rsidRPr="008E7D63">
        <w:t>Do not embed documents</w:t>
      </w:r>
      <w:r w:rsidR="00C27CC2" w:rsidRPr="008E7D63">
        <w:t xml:space="preserve"> within other documents</w:t>
      </w:r>
      <w:r w:rsidRPr="008E7D63">
        <w:t>.</w:t>
      </w:r>
      <w:r w:rsidR="00C27CC2" w:rsidRPr="008E7D63">
        <w:t xml:space="preserve"> </w:t>
      </w:r>
      <w:r w:rsidRPr="008E7D63">
        <w:t>Instead</w:t>
      </w:r>
      <w:r w:rsidR="00C27CC2" w:rsidRPr="008E7D63">
        <w:t xml:space="preserve"> provide separate electronic copies of the </w:t>
      </w:r>
      <w:r w:rsidRPr="008E7D63">
        <w:t>documents, clearly labelled and referenced if necessary.</w:t>
      </w:r>
    </w:p>
    <w:p w14:paraId="20C738C2" w14:textId="3922EC10" w:rsidR="00E62354" w:rsidRPr="008E7D63" w:rsidRDefault="00C27CC2" w:rsidP="004270D9">
      <w:pPr>
        <w:pStyle w:val="MRNumberedHeading3"/>
        <w:numPr>
          <w:ilvl w:val="2"/>
          <w:numId w:val="23"/>
        </w:numPr>
        <w:tabs>
          <w:tab w:val="clear" w:pos="2214"/>
          <w:tab w:val="num" w:pos="1794"/>
        </w:tabs>
        <w:spacing w:line="240" w:lineRule="auto"/>
        <w:ind w:left="1702" w:hanging="851"/>
        <w:jc w:val="both"/>
      </w:pPr>
      <w:r w:rsidRPr="008E7D63">
        <w:t>The Tender must be in English</w:t>
      </w:r>
    </w:p>
    <w:p w14:paraId="20C738C4" w14:textId="4E5F9E54" w:rsidR="00E62354" w:rsidRPr="008E7D63" w:rsidRDefault="00FC24F6" w:rsidP="004270D9">
      <w:pPr>
        <w:pStyle w:val="MRNumberedHeading3"/>
        <w:numPr>
          <w:ilvl w:val="2"/>
          <w:numId w:val="23"/>
        </w:numPr>
        <w:tabs>
          <w:tab w:val="clear" w:pos="2214"/>
          <w:tab w:val="num" w:pos="1794"/>
        </w:tabs>
        <w:spacing w:line="240" w:lineRule="auto"/>
        <w:ind w:left="1702" w:hanging="851"/>
        <w:jc w:val="both"/>
      </w:pPr>
      <w:r w:rsidRPr="008E7D63">
        <w:t xml:space="preserve">Each page must be single sided. </w:t>
      </w:r>
    </w:p>
    <w:p w14:paraId="20C738C6" w14:textId="77777777" w:rsidR="00E62354" w:rsidRPr="008E7D63" w:rsidRDefault="00C27CC2" w:rsidP="004270D9">
      <w:pPr>
        <w:pStyle w:val="MRNumberedHeading3"/>
        <w:numPr>
          <w:ilvl w:val="2"/>
          <w:numId w:val="23"/>
        </w:numPr>
        <w:tabs>
          <w:tab w:val="clear" w:pos="2214"/>
          <w:tab w:val="num" w:pos="1794"/>
        </w:tabs>
        <w:spacing w:line="240" w:lineRule="auto"/>
        <w:ind w:left="1702" w:hanging="851"/>
        <w:jc w:val="both"/>
      </w:pPr>
      <w:r w:rsidRPr="008E7D63">
        <w:t>The Tender must be fully cross-referenced</w:t>
      </w:r>
      <w:r w:rsidR="00F36F19" w:rsidRPr="008E7D63">
        <w:t xml:space="preserve"> and include a</w:t>
      </w:r>
      <w:r w:rsidR="007B6206" w:rsidRPr="008E7D63">
        <w:t xml:space="preserve"> table of contents.</w:t>
      </w:r>
    </w:p>
    <w:p w14:paraId="20C738C7" w14:textId="77777777" w:rsidR="00E62354" w:rsidRPr="008E7D63" w:rsidRDefault="00A60BD1" w:rsidP="004270D9">
      <w:pPr>
        <w:pStyle w:val="MRNumberedHeading3"/>
        <w:numPr>
          <w:ilvl w:val="2"/>
          <w:numId w:val="23"/>
        </w:numPr>
        <w:tabs>
          <w:tab w:val="clear" w:pos="2214"/>
          <w:tab w:val="num" w:pos="1794"/>
        </w:tabs>
        <w:spacing w:line="240" w:lineRule="auto"/>
        <w:ind w:left="1702" w:hanging="851"/>
        <w:jc w:val="both"/>
      </w:pPr>
      <w:r w:rsidRPr="008E7D63">
        <w:t>The Tender must include a l</w:t>
      </w:r>
      <w:r w:rsidR="00C27CC2" w:rsidRPr="008E7D63">
        <w:t xml:space="preserve">ist of </w:t>
      </w:r>
      <w:r w:rsidR="00F36F19" w:rsidRPr="008E7D63">
        <w:t xml:space="preserve">all </w:t>
      </w:r>
      <w:r w:rsidR="00C27CC2" w:rsidRPr="008E7D63">
        <w:t>supporting material.</w:t>
      </w:r>
    </w:p>
    <w:p w14:paraId="20C738C8" w14:textId="29BEC8C6" w:rsidR="00E62354" w:rsidRPr="008E7D63" w:rsidRDefault="00F36F19" w:rsidP="004270D9">
      <w:pPr>
        <w:pStyle w:val="MRNumberedHeading3"/>
        <w:numPr>
          <w:ilvl w:val="2"/>
          <w:numId w:val="23"/>
        </w:numPr>
        <w:tabs>
          <w:tab w:val="clear" w:pos="2214"/>
          <w:tab w:val="num" w:pos="1794"/>
        </w:tabs>
        <w:spacing w:line="240" w:lineRule="auto"/>
        <w:ind w:left="1702" w:hanging="851"/>
        <w:jc w:val="both"/>
      </w:pPr>
      <w:r w:rsidRPr="008E7D63">
        <w:t>E</w:t>
      </w:r>
      <w:r w:rsidR="00C27CC2" w:rsidRPr="008E7D63">
        <w:t xml:space="preserve">lectronic copies of the Tender shall be in </w:t>
      </w:r>
      <w:r w:rsidRPr="008E7D63">
        <w:t>PDF format</w:t>
      </w:r>
      <w:r w:rsidR="00C27CC2" w:rsidRPr="008E7D63">
        <w:t>.</w:t>
      </w:r>
    </w:p>
    <w:p w14:paraId="20C738C9" w14:textId="25F8BAFC" w:rsidR="00E62354" w:rsidRPr="008E7D63" w:rsidRDefault="00E7163F" w:rsidP="004270D9">
      <w:pPr>
        <w:pStyle w:val="MRNumberedHeading3"/>
        <w:numPr>
          <w:ilvl w:val="2"/>
          <w:numId w:val="23"/>
        </w:numPr>
        <w:tabs>
          <w:tab w:val="clear" w:pos="2214"/>
          <w:tab w:val="num" w:pos="1794"/>
        </w:tabs>
        <w:spacing w:line="240" w:lineRule="auto"/>
        <w:ind w:left="1702" w:hanging="851"/>
        <w:jc w:val="both"/>
      </w:pPr>
      <w:r w:rsidRPr="008E7D63">
        <w:lastRenderedPageBreak/>
        <w:t>Bidders</w:t>
      </w:r>
      <w:r w:rsidR="00C27CC2" w:rsidRPr="008E7D63">
        <w:t xml:space="preserve"> should use </w:t>
      </w:r>
      <w:r w:rsidR="008E7D63" w:rsidRPr="008E7D63">
        <w:t xml:space="preserve">Arial </w:t>
      </w:r>
      <w:r w:rsidR="00A7044C" w:rsidRPr="008E7D63">
        <w:t>font type and size</w:t>
      </w:r>
      <w:r w:rsidR="008E7D63" w:rsidRPr="008E7D63">
        <w:t xml:space="preserve"> 10</w:t>
      </w:r>
      <w:r w:rsidR="00C27CC2" w:rsidRPr="008E7D63">
        <w:t>.</w:t>
      </w:r>
    </w:p>
    <w:p w14:paraId="20C738CB" w14:textId="77777777" w:rsidR="007B6206" w:rsidRDefault="007B6206" w:rsidP="006B54D6">
      <w:pPr>
        <w:pStyle w:val="MRNumberedHeading2"/>
      </w:pPr>
      <w:bookmarkStart w:id="80"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80"/>
      <w:r>
        <w:t xml:space="preserve">  </w:t>
      </w:r>
    </w:p>
    <w:p w14:paraId="20C738CC" w14:textId="5B01C2CF" w:rsidR="00601937" w:rsidRDefault="00C27CC2" w:rsidP="006B54D6">
      <w:pPr>
        <w:pStyle w:val="MRNumberedHeading2"/>
      </w:pPr>
      <w:bookmarkStart w:id="81" w:name="_Toc403555127"/>
      <w:bookmarkStart w:id="82"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81"/>
      <w:bookmarkEnd w:id="82"/>
      <w:r w:rsidR="000E5C37">
        <w:t xml:space="preserve"> </w:t>
      </w:r>
    </w:p>
    <w:p w14:paraId="20C738CD" w14:textId="6D9B6F24" w:rsidR="002471B4" w:rsidRDefault="00C27CC2" w:rsidP="006B54D6">
      <w:pPr>
        <w:pStyle w:val="MRNumberedHeading2"/>
      </w:pPr>
      <w:bookmarkStart w:id="83" w:name="_Toc403555128"/>
      <w:bookmarkStart w:id="84" w:name="_Ref412651999"/>
      <w:r>
        <w:t xml:space="preserve">Tenders will be evaluated </w:t>
      </w:r>
      <w:proofErr w:type="gramStart"/>
      <w:r>
        <w:t>on the basis o</w:t>
      </w:r>
      <w:r w:rsidR="00A7044C">
        <w:t>f</w:t>
      </w:r>
      <w:proofErr w:type="gramEnd"/>
      <w:r w:rsidR="00A7044C">
        <w:t xml:space="preserve"> information submitted by the d</w:t>
      </w:r>
      <w:r>
        <w:t>eadline.</w:t>
      </w:r>
      <w:bookmarkEnd w:id="83"/>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84"/>
    </w:p>
    <w:p w14:paraId="20C738CE" w14:textId="77777777" w:rsidR="00C45A8E" w:rsidRDefault="0017043F" w:rsidP="006B54D6">
      <w:pPr>
        <w:pStyle w:val="MRNumberedHeading2"/>
      </w:pPr>
      <w:bookmarkStart w:id="85" w:name="_Toc403555129"/>
      <w:r>
        <w:t>The</w:t>
      </w:r>
      <w:r w:rsidR="00C27CC2">
        <w:t xml:space="preserve"> Tender must be signed by a duly authorised</w:t>
      </w:r>
      <w:r>
        <w:t xml:space="preserve"> representative of the </w:t>
      </w:r>
      <w:r w:rsidR="00637C62">
        <w:t>Bidder.</w:t>
      </w:r>
      <w:bookmarkEnd w:id="85"/>
      <w:r w:rsidR="00637C62">
        <w:t xml:space="preserve">  </w:t>
      </w:r>
    </w:p>
    <w:p w14:paraId="20C738CF" w14:textId="7F03A026" w:rsidR="006534CF" w:rsidRPr="00276E1B" w:rsidRDefault="001375C3" w:rsidP="004270D9">
      <w:pPr>
        <w:pStyle w:val="Heading1"/>
        <w:spacing w:before="240" w:after="0"/>
        <w:ind w:left="851"/>
      </w:pPr>
      <w:bookmarkStart w:id="86" w:name="_Toc403555130"/>
      <w:r w:rsidRPr="00276E1B">
        <w:t>Modification and withdrawal of Tenders</w:t>
      </w:r>
      <w:bookmarkEnd w:id="86"/>
    </w:p>
    <w:p w14:paraId="20C738D0" w14:textId="3864DAA9" w:rsidR="004251F8" w:rsidRDefault="00140169" w:rsidP="004270D9">
      <w:pPr>
        <w:pStyle w:val="MRNumberedHeading2"/>
      </w:pPr>
      <w:bookmarkStart w:id="87" w:name="_Toc403555131"/>
      <w:bookmarkStart w:id="88" w:name="_Ref478475788"/>
      <w:r>
        <w:t>No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87"/>
      <w:bookmarkEnd w:id="88"/>
    </w:p>
    <w:p w14:paraId="20C738D1" w14:textId="315F6F5C" w:rsidR="004251F8" w:rsidRDefault="001375C3" w:rsidP="004270D9">
      <w:pPr>
        <w:pStyle w:val="MRNumberedHeading2"/>
      </w:pPr>
      <w:bookmarkStart w:id="89" w:name="_Toc403555132"/>
      <w:bookmarkStart w:id="90" w:name="_Ref405453207"/>
      <w:r w:rsidRPr="00A24900">
        <w:t>Tenders may be withdrawn at any time before the deadlin</w:t>
      </w:r>
      <w:r w:rsidR="00CC4072">
        <w:t>e for receipt of T</w:t>
      </w:r>
      <w:r w:rsidR="002651E8">
        <w:t>enders.  Revised T</w:t>
      </w:r>
      <w:r w:rsidRPr="00A24900">
        <w:t>enders may be submitted up unt</w:t>
      </w:r>
      <w:r w:rsidR="00CC4072">
        <w:t>il the deadline for receipt of T</w:t>
      </w:r>
      <w:r w:rsidRPr="00A24900">
        <w:t>enders</w:t>
      </w:r>
      <w:bookmarkEnd w:id="89"/>
      <w:bookmarkEnd w:id="90"/>
      <w:r w:rsidR="008E7D63">
        <w:t>.</w:t>
      </w:r>
      <w:r w:rsidRPr="00A24900">
        <w:t xml:space="preserve"> </w:t>
      </w:r>
    </w:p>
    <w:p w14:paraId="20C738D4" w14:textId="26D3801F" w:rsidR="00BA173E" w:rsidRPr="00712D99" w:rsidRDefault="00430158" w:rsidP="004270D9">
      <w:pPr>
        <w:pStyle w:val="Heading1"/>
        <w:spacing w:before="240" w:after="0"/>
        <w:ind w:left="851"/>
      </w:pPr>
      <w:bookmarkStart w:id="91" w:name="_Toc403555134"/>
      <w:r w:rsidRPr="00712D99">
        <w:t>Terms and conditions</w:t>
      </w:r>
      <w:bookmarkEnd w:id="91"/>
    </w:p>
    <w:p w14:paraId="20C738D5" w14:textId="237EF430" w:rsidR="00B00C70" w:rsidRPr="00EA7D51" w:rsidRDefault="00746CCF" w:rsidP="004270D9">
      <w:pPr>
        <w:pStyle w:val="MRNumberedHeading2"/>
        <w:rPr>
          <w:rFonts w:cs="Arial"/>
        </w:rPr>
      </w:pPr>
      <w:bookmarkStart w:id="92" w:name="_Toc403555135"/>
      <w:r w:rsidRPr="00EA7D51">
        <w:t xml:space="preserve">The </w:t>
      </w:r>
      <w:r w:rsidR="0034181A" w:rsidRPr="00EA7D51">
        <w:t>c</w:t>
      </w:r>
      <w:r w:rsidR="00BF698B" w:rsidRPr="00EA7D51">
        <w:t xml:space="preserve">ontract will </w:t>
      </w:r>
      <w:r w:rsidR="00712D99" w:rsidRPr="00EA7D51">
        <w:t xml:space="preserve">be the NEC4 </w:t>
      </w:r>
      <w:r w:rsidR="008E37B1" w:rsidRPr="00EA7D51">
        <w:t>Engineering and Construction Short Contract (ECSC).</w:t>
      </w:r>
      <w:r w:rsidR="00712D99" w:rsidRPr="00EA7D51">
        <w:t xml:space="preserve"> </w:t>
      </w:r>
      <w:r w:rsidRPr="00EA7D51">
        <w:t>It is vital that the Bidder review</w:t>
      </w:r>
      <w:r w:rsidR="0030746C" w:rsidRPr="00EA7D51">
        <w:t>s</w:t>
      </w:r>
      <w:r w:rsidRPr="00EA7D51">
        <w:t xml:space="preserve"> these </w:t>
      </w:r>
      <w:r w:rsidR="00712D99" w:rsidRPr="00EA7D51">
        <w:t xml:space="preserve">documents </w:t>
      </w:r>
      <w:r w:rsidRPr="00EA7D51">
        <w:t>carefully and take</w:t>
      </w:r>
      <w:r w:rsidR="0030746C" w:rsidRPr="00EA7D51">
        <w:t>s</w:t>
      </w:r>
      <w:r w:rsidRPr="00EA7D51">
        <w:t xml:space="preserve"> account of all information and insurance requirements and that the Tender fully takes account of these</w:t>
      </w:r>
      <w:r w:rsidR="00BA173E" w:rsidRPr="00EA7D51">
        <w:t xml:space="preserve">. By submitting a Tender, </w:t>
      </w:r>
      <w:r w:rsidR="00E7163F" w:rsidRPr="00EA7D51">
        <w:t>Bidders</w:t>
      </w:r>
      <w:r w:rsidR="00BA173E" w:rsidRPr="00EA7D51">
        <w:t xml:space="preserve"> are agreeing to</w:t>
      </w:r>
      <w:r w:rsidR="00B00C70" w:rsidRPr="00EA7D51">
        <w:t xml:space="preserve"> be bound by</w:t>
      </w:r>
      <w:r w:rsidR="00430158" w:rsidRPr="00EA7D51">
        <w:t xml:space="preserve"> the terms of this ITT and </w:t>
      </w:r>
      <w:r w:rsidR="00712D99" w:rsidRPr="00EA7D51">
        <w:t xml:space="preserve">this contract </w:t>
      </w:r>
      <w:r w:rsidR="00B00C70" w:rsidRPr="00EA7D51">
        <w:t>without further negotiation or amendment.</w:t>
      </w:r>
      <w:bookmarkEnd w:id="92"/>
    </w:p>
    <w:p w14:paraId="20C738D6" w14:textId="77777777" w:rsidR="002F23DC" w:rsidRPr="00276E1B" w:rsidRDefault="002F23DC" w:rsidP="004270D9">
      <w:pPr>
        <w:pStyle w:val="Heading1"/>
        <w:spacing w:before="240" w:after="0"/>
        <w:ind w:left="851"/>
      </w:pPr>
      <w:bookmarkStart w:id="93" w:name="_Toc403555136"/>
      <w:r w:rsidRPr="00276E1B">
        <w:t>Consortia and subcontractors</w:t>
      </w:r>
      <w:bookmarkEnd w:id="93"/>
      <w:r w:rsidRPr="00276E1B">
        <w:t xml:space="preserve"> </w:t>
      </w:r>
    </w:p>
    <w:p w14:paraId="20C738D7" w14:textId="353FEFD1" w:rsidR="00BA173E" w:rsidRDefault="00746CCF" w:rsidP="004270D9">
      <w:pPr>
        <w:pStyle w:val="MRNumberedHeading2"/>
      </w:pPr>
      <w:bookmarkStart w:id="94" w:name="_Toc403555137"/>
      <w:bookmarkStart w:id="95" w:name="_Ref405453227"/>
      <w:r w:rsidRPr="003E3276">
        <w:t>If</w:t>
      </w:r>
      <w:r>
        <w:t xml:space="preserve"> the Bidder is a consortium or will rely on sub-contractors to deliver the contract, it must explain in its Tender precisely which entities will be the supplier.</w:t>
      </w:r>
      <w:bookmarkEnd w:id="94"/>
      <w:bookmarkEnd w:id="95"/>
    </w:p>
    <w:p w14:paraId="20C738D8" w14:textId="77777777" w:rsidR="00BA173E" w:rsidRDefault="002F23DC" w:rsidP="004270D9">
      <w:pPr>
        <w:pStyle w:val="MRNumberedHeading2"/>
      </w:pPr>
      <w:bookmarkStart w:id="96" w:name="_Toc403555138"/>
      <w:r w:rsidRPr="002F23DC">
        <w:t>For the purposes of this ITT, the following terms apply:</w:t>
      </w:r>
      <w:bookmarkEnd w:id="96"/>
    </w:p>
    <w:p w14:paraId="20C738D9"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proofErr w:type="gramStart"/>
      <w:r w:rsidR="005308BB">
        <w:t>supplier</w:t>
      </w:r>
      <w:r w:rsidR="002F23DC" w:rsidRPr="002F23DC">
        <w:t>, but</w:t>
      </w:r>
      <w:proofErr w:type="gramEnd"/>
      <w:r w:rsidR="002F23DC" w:rsidRPr="002F23DC">
        <w:t xml:space="preserve">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97"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97"/>
    </w:p>
    <w:p w14:paraId="20C738DC" w14:textId="77777777" w:rsidR="002F23DC" w:rsidRPr="00276E1B" w:rsidRDefault="002F23DC" w:rsidP="00276E1B">
      <w:pPr>
        <w:pStyle w:val="Heading1"/>
        <w:spacing w:before="240" w:after="0"/>
        <w:ind w:left="851"/>
      </w:pPr>
      <w:bookmarkStart w:id="98" w:name="_Toc403555140"/>
      <w:r w:rsidRPr="00276E1B">
        <w:t>Warnings and disclaimers</w:t>
      </w:r>
      <w:bookmarkEnd w:id="98"/>
    </w:p>
    <w:p w14:paraId="20C738DD" w14:textId="77777777" w:rsidR="001B5F4F" w:rsidRDefault="001B5F4F" w:rsidP="006B54D6">
      <w:pPr>
        <w:pStyle w:val="MRNumberedHeading2"/>
      </w:pPr>
      <w:bookmarkStart w:id="99"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w:t>
      </w:r>
      <w:r>
        <w:lastRenderedPageBreak/>
        <w:t xml:space="preserve">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99"/>
    </w:p>
    <w:p w14:paraId="20C738DE" w14:textId="77777777" w:rsidR="001B5F4F" w:rsidRDefault="001B5F4F" w:rsidP="004270D9">
      <w:pPr>
        <w:pStyle w:val="MRNumberedHeading2"/>
      </w:pPr>
      <w:bookmarkStart w:id="100" w:name="_Toc403555142"/>
      <w:r>
        <w:t xml:space="preserve">If a </w:t>
      </w:r>
      <w:r w:rsidR="00785DDF">
        <w:t>Bidder</w:t>
      </w:r>
      <w:r w:rsidR="008E6BB3">
        <w:t xml:space="preserve"> proposes to </w:t>
      </w:r>
      <w:proofErr w:type="gramStart"/>
      <w:r w:rsidR="008E6BB3">
        <w:t>enter into</w:t>
      </w:r>
      <w:proofErr w:type="gramEnd"/>
      <w:r w:rsidR="008E6BB3">
        <w:t xml:space="preserve">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100"/>
    </w:p>
    <w:p w14:paraId="20C738DF" w14:textId="77777777" w:rsidR="001B5F4F" w:rsidRDefault="001B5F4F" w:rsidP="006B54D6">
      <w:pPr>
        <w:pStyle w:val="MRNumberedHeading2"/>
      </w:pPr>
      <w:bookmarkStart w:id="101" w:name="_Toc403555143"/>
      <w:r>
        <w:t xml:space="preserve">Neither the issue of this ITT, nor any of the information presented in it, should be regarded as a commitment or representation on the part of the Authority (or any other person) to </w:t>
      </w:r>
      <w:proofErr w:type="gramStart"/>
      <w:r>
        <w:t>enter into</w:t>
      </w:r>
      <w:proofErr w:type="gramEnd"/>
      <w:r>
        <w:t xml:space="preserve"> a contractual arrangement.</w:t>
      </w:r>
      <w:bookmarkEnd w:id="101"/>
    </w:p>
    <w:p w14:paraId="20C738E0" w14:textId="77777777" w:rsidR="002F23DC" w:rsidRPr="00276E1B" w:rsidRDefault="001B5F4F" w:rsidP="00276E1B">
      <w:pPr>
        <w:pStyle w:val="Heading1"/>
        <w:spacing w:before="240" w:after="0"/>
        <w:ind w:left="851"/>
      </w:pPr>
      <w:bookmarkStart w:id="102" w:name="_Toc403555144"/>
      <w:r w:rsidRPr="00276E1B">
        <w:t>Freedom of Information Act 2000</w:t>
      </w:r>
      <w:r w:rsidR="008A56A2" w:rsidRPr="00276E1B">
        <w:t xml:space="preserve"> and Environmental Information Regulations 2004</w:t>
      </w:r>
      <w:bookmarkEnd w:id="102"/>
    </w:p>
    <w:p w14:paraId="20C738E1" w14:textId="77777777" w:rsidR="001664D9" w:rsidRPr="001375C3" w:rsidRDefault="001664D9" w:rsidP="006B54D6">
      <w:pPr>
        <w:pStyle w:val="MRNumberedHeading2"/>
      </w:pPr>
      <w:bookmarkStart w:id="103"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104"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103"/>
      <w:r w:rsidRPr="001375C3">
        <w:t xml:space="preserve"> </w:t>
      </w:r>
      <w:bookmarkEnd w:id="104"/>
    </w:p>
    <w:p w14:paraId="20C738E2" w14:textId="77777777" w:rsidR="001664D9" w:rsidRPr="001375C3" w:rsidRDefault="001664D9" w:rsidP="006B54D6">
      <w:pPr>
        <w:pStyle w:val="MRNumberedHeading2"/>
      </w:pPr>
      <w:bookmarkStart w:id="105"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105"/>
    </w:p>
    <w:p w14:paraId="20C738E3"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20C738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w:t>
      </w:r>
      <w:proofErr w:type="gramStart"/>
      <w:r w:rsidR="001664D9" w:rsidRPr="007301E9">
        <w:rPr>
          <w:bCs/>
        </w:rPr>
        <w:t>period of time</w:t>
      </w:r>
      <w:proofErr w:type="gramEnd"/>
      <w:r w:rsidR="001664D9" w:rsidRPr="007301E9">
        <w:rPr>
          <w:bCs/>
        </w:rPr>
        <w:t xml:space="preserv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106"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106"/>
    </w:p>
    <w:p w14:paraId="20C738E7" w14:textId="77777777" w:rsidR="001664D9" w:rsidRPr="001375C3" w:rsidRDefault="001664D9" w:rsidP="006B54D6">
      <w:pPr>
        <w:pStyle w:val="MRNumberedHeading2"/>
      </w:pPr>
      <w:bookmarkStart w:id="107" w:name="_Ref149547621"/>
      <w:bookmarkStart w:id="108"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107"/>
      <w:r w:rsidR="001C747B">
        <w:t>or otherwise exempt.</w:t>
      </w:r>
      <w:bookmarkEnd w:id="108"/>
    </w:p>
    <w:p w14:paraId="20C738E8" w14:textId="77777777" w:rsidR="00491808" w:rsidRPr="00276E1B" w:rsidRDefault="00491808" w:rsidP="00276E1B">
      <w:pPr>
        <w:pStyle w:val="Heading1"/>
        <w:spacing w:before="240" w:after="0"/>
        <w:ind w:left="851"/>
      </w:pPr>
      <w:bookmarkStart w:id="109" w:name="_Toc403555149"/>
      <w:r w:rsidRPr="00276E1B">
        <w:t>Publicity</w:t>
      </w:r>
      <w:bookmarkEnd w:id="109"/>
    </w:p>
    <w:p w14:paraId="20C738E9" w14:textId="77777777" w:rsidR="00491808" w:rsidRPr="00541CDA" w:rsidRDefault="00645517" w:rsidP="006B54D6">
      <w:pPr>
        <w:pStyle w:val="MRNumberedHeading2"/>
      </w:pPr>
      <w:bookmarkStart w:id="110"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10"/>
    </w:p>
    <w:p w14:paraId="20C738EA" w14:textId="77777777" w:rsidR="00491808" w:rsidRPr="00276E1B" w:rsidRDefault="00785DDF" w:rsidP="00276E1B">
      <w:pPr>
        <w:pStyle w:val="Heading1"/>
        <w:spacing w:before="240" w:after="0"/>
        <w:ind w:left="851"/>
      </w:pPr>
      <w:bookmarkStart w:id="111" w:name="a699927"/>
      <w:bookmarkStart w:id="112" w:name="_Toc403555151"/>
      <w:bookmarkEnd w:id="111"/>
      <w:r w:rsidRPr="00276E1B">
        <w:t>Bidder</w:t>
      </w:r>
      <w:r w:rsidR="00491808" w:rsidRPr="00276E1B">
        <w:t xml:space="preserve"> conduct and conflicts of interest</w:t>
      </w:r>
      <w:bookmarkEnd w:id="112"/>
    </w:p>
    <w:p w14:paraId="20C738EB" w14:textId="77777777" w:rsidR="00491808" w:rsidRPr="00491808" w:rsidRDefault="00491808" w:rsidP="006B54D6">
      <w:pPr>
        <w:pStyle w:val="MRNumberedHeading2"/>
      </w:pPr>
      <w:bookmarkStart w:id="113"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13"/>
    </w:p>
    <w:p w14:paraId="20C738E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20C738ED"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20C738E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20C738E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114"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14"/>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115" w:name="a582432"/>
      <w:bookmarkStart w:id="116" w:name="_Toc403555154"/>
      <w:bookmarkEnd w:id="115"/>
      <w:r w:rsidRPr="00491808">
        <w:t>Authority's rights</w:t>
      </w:r>
      <w:bookmarkEnd w:id="116"/>
    </w:p>
    <w:p w14:paraId="20C738F3" w14:textId="77777777" w:rsidR="00491808" w:rsidRPr="00491808" w:rsidRDefault="008D2128" w:rsidP="0035766D">
      <w:pPr>
        <w:pStyle w:val="MRNumberedHeading2"/>
      </w:pPr>
      <w:bookmarkStart w:id="117" w:name="_Toc403555155"/>
      <w:r>
        <w:t>Subject to its obligations to act in a transparent, proportionate and non-discriminatory manner, t</w:t>
      </w:r>
      <w:r w:rsidR="00491808" w:rsidRPr="00491808">
        <w:t>he Authority reserves the right to:</w:t>
      </w:r>
      <w:bookmarkEnd w:id="117"/>
    </w:p>
    <w:p w14:paraId="20C738F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20C738F5"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20C738F6"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20C738F7"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20C738F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20C738F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w:t>
      </w:r>
      <w:proofErr w:type="gramStart"/>
      <w:r w:rsidR="00491808" w:rsidRPr="007301E9">
        <w:rPr>
          <w:bCs/>
        </w:rPr>
        <w:t>as a result of</w:t>
      </w:r>
      <w:proofErr w:type="gramEnd"/>
      <w:r w:rsidR="00491808" w:rsidRPr="007301E9">
        <w:rPr>
          <w:bCs/>
        </w:rPr>
        <w:t xml:space="preserve"> the </w:t>
      </w:r>
      <w:r w:rsidRPr="007301E9">
        <w:rPr>
          <w:bCs/>
        </w:rPr>
        <w:t>current procurement process; and</w:t>
      </w:r>
    </w:p>
    <w:p w14:paraId="20C738FA"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18" w:name="a934916"/>
      <w:bookmarkStart w:id="119" w:name="_Toc403555156"/>
      <w:bookmarkEnd w:id="118"/>
      <w:r w:rsidRPr="00491808">
        <w:t>Bid costs</w:t>
      </w:r>
      <w:bookmarkEnd w:id="119"/>
    </w:p>
    <w:p w14:paraId="20C738FC" w14:textId="77777777" w:rsidR="0022652F" w:rsidRDefault="00491808" w:rsidP="006B54D6">
      <w:pPr>
        <w:pStyle w:val="MRNumberedHeading2"/>
      </w:pPr>
      <w:bookmarkStart w:id="120"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20"/>
    </w:p>
    <w:p w14:paraId="20C738FD" w14:textId="77777777" w:rsidR="00491808" w:rsidRPr="00276E1B" w:rsidRDefault="00491808" w:rsidP="00276E1B">
      <w:pPr>
        <w:pStyle w:val="Heading1"/>
        <w:spacing w:before="240" w:after="0"/>
        <w:ind w:left="851"/>
      </w:pPr>
      <w:bookmarkStart w:id="121" w:name="_Toc403555158"/>
      <w:r w:rsidRPr="00276E1B">
        <w:t>Language</w:t>
      </w:r>
      <w:bookmarkEnd w:id="121"/>
    </w:p>
    <w:p w14:paraId="20C738FE" w14:textId="77777777" w:rsidR="006534CF" w:rsidRDefault="00491808" w:rsidP="006B54D6">
      <w:pPr>
        <w:pStyle w:val="MRNumberedHeading2"/>
      </w:pPr>
      <w:bookmarkStart w:id="122" w:name="_Toc403555159"/>
      <w:r w:rsidRPr="00A24900">
        <w:t xml:space="preserve">Tenders, all documents and all </w:t>
      </w:r>
      <w:r w:rsidR="003219DA">
        <w:t>correspondence relating to the T</w:t>
      </w:r>
      <w:r w:rsidRPr="00A24900">
        <w:t>ender must be written in English.</w:t>
      </w:r>
      <w:bookmarkEnd w:id="122"/>
    </w:p>
    <w:p w14:paraId="20C738FF" w14:textId="70E00522" w:rsidR="00F35E09" w:rsidRPr="00276E1B" w:rsidRDefault="00F35E09" w:rsidP="00276E1B">
      <w:pPr>
        <w:pStyle w:val="Heading1"/>
        <w:spacing w:before="240" w:after="0"/>
        <w:ind w:left="851"/>
      </w:pPr>
      <w:bookmarkStart w:id="123" w:name="_Toc403555160"/>
      <w:r w:rsidRPr="00276E1B">
        <w:t>Transparency</w:t>
      </w:r>
      <w:bookmarkEnd w:id="123"/>
      <w:r w:rsidRPr="00276E1B">
        <w:t xml:space="preserve">  </w:t>
      </w:r>
    </w:p>
    <w:p w14:paraId="20C73900" w14:textId="77777777" w:rsidR="00F35E09" w:rsidRDefault="00F35E09" w:rsidP="006B54D6">
      <w:pPr>
        <w:pStyle w:val="MRNumberedHeading2"/>
      </w:pPr>
      <w:bookmarkStart w:id="124" w:name="_Toc403555161"/>
      <w:bookmarkStart w:id="125"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24"/>
      <w:bookmarkEnd w:id="125"/>
      <w:r w:rsidR="009D5F0B">
        <w:t>'s Contracts Finder portal.</w:t>
      </w:r>
    </w:p>
    <w:p w14:paraId="20C73901" w14:textId="77777777" w:rsidR="00236A55" w:rsidRPr="00276E1B" w:rsidRDefault="00236A55" w:rsidP="00276E1B">
      <w:pPr>
        <w:pStyle w:val="Heading1"/>
        <w:spacing w:before="240" w:after="0"/>
        <w:ind w:left="851"/>
      </w:pPr>
      <w:bookmarkStart w:id="126" w:name="_Toc403555162"/>
      <w:r w:rsidRPr="00276E1B">
        <w:lastRenderedPageBreak/>
        <w:t>Governing Law and Jurisdiction</w:t>
      </w:r>
      <w:bookmarkEnd w:id="126"/>
      <w:r w:rsidRPr="00276E1B">
        <w:t xml:space="preserve"> </w:t>
      </w:r>
    </w:p>
    <w:p w14:paraId="20C73902" w14:textId="77777777" w:rsidR="004E71FF" w:rsidRPr="005A2E47" w:rsidRDefault="00236A55" w:rsidP="006B54D6">
      <w:pPr>
        <w:pStyle w:val="MRNumberedHeading2"/>
      </w:pPr>
      <w:bookmarkStart w:id="127" w:name="_Toc403555163"/>
      <w:r>
        <w:t>This ITT and any dispute concerning it (including non-contractual disputes or claims) shall be governed by English law and subject to the jurisdiction of the English Courts</w:t>
      </w:r>
      <w:bookmarkEnd w:id="127"/>
      <w:r w:rsidR="007A3602">
        <w:t>.</w:t>
      </w:r>
    </w:p>
    <w:p w14:paraId="3F1A371D" w14:textId="77777777" w:rsidR="00181236" w:rsidRDefault="00181236">
      <w:pPr>
        <w:spacing w:after="240"/>
        <w:jc w:val="left"/>
        <w:rPr>
          <w:rFonts w:eastAsia="Calibri" w:cs="Arial"/>
          <w:b/>
          <w:lang w:eastAsia="en-GB"/>
        </w:rPr>
      </w:pPr>
      <w:bookmarkStart w:id="128" w:name="_Toc403556504"/>
      <w:bookmarkStart w:id="129" w:name="_Toc403556509"/>
      <w:bookmarkStart w:id="130" w:name="_Toc406674972"/>
      <w:bookmarkStart w:id="131" w:name="_Toc412621214"/>
      <w:bookmarkStart w:id="132" w:name="_Toc412715224"/>
      <w:r>
        <w:br w:type="page"/>
      </w:r>
    </w:p>
    <w:p w14:paraId="20C73903" w14:textId="4A5BCED2" w:rsidR="008824CC" w:rsidRPr="008F3D2C" w:rsidRDefault="008731E8" w:rsidP="0035766D">
      <w:pPr>
        <w:pStyle w:val="MRNumberedHeading1"/>
        <w:numPr>
          <w:ilvl w:val="0"/>
          <w:numId w:val="24"/>
        </w:numPr>
        <w:ind w:hanging="798"/>
        <w:jc w:val="both"/>
        <w:rPr>
          <w:sz w:val="20"/>
          <w:szCs w:val="20"/>
        </w:rPr>
      </w:pPr>
      <w:r w:rsidRPr="008F3D2C">
        <w:rPr>
          <w:sz w:val="20"/>
          <w:szCs w:val="20"/>
        </w:rPr>
        <w:lastRenderedPageBreak/>
        <w:t>TENDER EVALUATION METHODOLOGY AND CRITERIA</w:t>
      </w:r>
      <w:bookmarkEnd w:id="128"/>
      <w:bookmarkEnd w:id="129"/>
      <w:bookmarkEnd w:id="130"/>
      <w:bookmarkEnd w:id="131"/>
      <w:bookmarkEnd w:id="132"/>
      <w:r w:rsidRPr="008F3D2C">
        <w:rPr>
          <w:sz w:val="20"/>
          <w:szCs w:val="20"/>
        </w:rPr>
        <w:t xml:space="preserve"> </w:t>
      </w:r>
    </w:p>
    <w:p w14:paraId="20C73904" w14:textId="77777777" w:rsidR="008824CC" w:rsidRDefault="00277BB6" w:rsidP="0035766D">
      <w:pPr>
        <w:pStyle w:val="Heading1"/>
        <w:spacing w:before="240" w:after="0"/>
        <w:ind w:left="851"/>
      </w:pPr>
      <w:bookmarkStart w:id="133" w:name="_Toc403555164"/>
      <w:r>
        <w:t>Overview</w:t>
      </w:r>
      <w:bookmarkEnd w:id="133"/>
    </w:p>
    <w:p w14:paraId="20C73905" w14:textId="77777777" w:rsidR="00BF48A1" w:rsidRDefault="00BF48A1" w:rsidP="0035766D">
      <w:pPr>
        <w:pStyle w:val="MRNumberedHeading2"/>
      </w:pPr>
      <w:bookmarkStart w:id="134" w:name="_Toc403555165"/>
      <w:r>
        <w:t>T</w:t>
      </w:r>
      <w:r w:rsidRPr="003E3276">
        <w:t>h</w:t>
      </w:r>
      <w:r>
        <w:t>is section of the ITT sets out the criteria that the Authority will use to ev</w:t>
      </w:r>
      <w:r w:rsidR="006A3BFB">
        <w:t>aluate Tenders</w:t>
      </w:r>
      <w:r w:rsidR="00FB21E9">
        <w:t>.</w:t>
      </w:r>
      <w:bookmarkEnd w:id="134"/>
    </w:p>
    <w:p w14:paraId="20C73906" w14:textId="77777777" w:rsidR="00FB21E9" w:rsidRDefault="00FB21E9" w:rsidP="0035766D">
      <w:pPr>
        <w:pStyle w:val="MRNumberedHeading2"/>
      </w:pPr>
      <w:bookmarkStart w:id="135"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35"/>
    </w:p>
    <w:p w14:paraId="20C73907" w14:textId="77777777" w:rsidR="00C14AA9" w:rsidRDefault="00C14AA9" w:rsidP="0035766D">
      <w:pPr>
        <w:pStyle w:val="MRNumberedHeading2"/>
      </w:pPr>
      <w:bookmarkStart w:id="136" w:name="_Toc403555167"/>
      <w:r>
        <w:t>The Authority will award the contract to the Tender that scores the highest marks, applying the methodology below. Scoring will be carried out as follows:</w:t>
      </w:r>
      <w:bookmarkEnd w:id="136"/>
      <w:r>
        <w:t xml:space="preserve"> </w:t>
      </w:r>
    </w:p>
    <w:p w14:paraId="20C73908" w14:textId="4299EF07" w:rsidR="00C14AA9" w:rsidRDefault="0001507C" w:rsidP="007215CD">
      <w:pPr>
        <w:pStyle w:val="MRNumberedHeading3"/>
        <w:numPr>
          <w:ilvl w:val="0"/>
          <w:numId w:val="0"/>
        </w:numPr>
        <w:spacing w:line="240" w:lineRule="auto"/>
        <w:ind w:firstLine="850"/>
        <w:jc w:val="both"/>
      </w:pPr>
      <w:r>
        <w:t>The Bidder must pass all Eligibility Q</w:t>
      </w:r>
      <w:r w:rsidR="00C14AA9">
        <w:t>uesti</w:t>
      </w:r>
      <w:r>
        <w:t>ons.</w:t>
      </w:r>
    </w:p>
    <w:p w14:paraId="20C7390A" w14:textId="136CC994" w:rsidR="00C14AA9" w:rsidRDefault="00C14AA9" w:rsidP="0035766D">
      <w:pPr>
        <w:pStyle w:val="MRNumberedHeading2"/>
      </w:pPr>
      <w:bookmarkStart w:id="137"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ED44A8">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ED44A8">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ED44A8">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ED44A8">
        <w:rPr>
          <w:b/>
          <w:bCs/>
          <w:lang w:val="en-US"/>
        </w:rPr>
        <w:t>Error! Reference source not found.</w:t>
      </w:r>
      <w:bookmarkEnd w:id="137"/>
      <w:r w:rsidR="00A77338">
        <w:fldChar w:fldCharType="end"/>
      </w:r>
      <w:r>
        <w:t xml:space="preserve"> </w:t>
      </w:r>
    </w:p>
    <w:p w14:paraId="20C7390B" w14:textId="77777777" w:rsidR="00C14AA9" w:rsidRDefault="00C14AA9" w:rsidP="0035766D">
      <w:pPr>
        <w:pStyle w:val="Heading1"/>
        <w:spacing w:before="240" w:after="0"/>
        <w:ind w:left="851"/>
      </w:pPr>
      <w:bookmarkStart w:id="138" w:name="_Toc403555169"/>
      <w:r>
        <w:t>Criteria – Eligibility Questions</w:t>
      </w:r>
      <w:bookmarkEnd w:id="138"/>
    </w:p>
    <w:p w14:paraId="298C4E44" w14:textId="77777777" w:rsidR="00994051" w:rsidRDefault="00C14AA9" w:rsidP="00994051">
      <w:pPr>
        <w:pStyle w:val="MRNumberedHeading2"/>
      </w:pPr>
      <w:bookmarkStart w:id="139" w:name="_Ref403484377"/>
      <w:bookmarkStart w:id="140" w:name="_Toc403555170"/>
      <w:r>
        <w:t>The Authority will score Eligibility Questions on the following basis:</w:t>
      </w:r>
      <w:bookmarkEnd w:id="139"/>
      <w:bookmarkEnd w:id="140"/>
    </w:p>
    <w:p w14:paraId="20C7390D" w14:textId="30C45183" w:rsidR="00CF3319" w:rsidRPr="00B44E25" w:rsidRDefault="00CF3319" w:rsidP="00480513">
      <w:pPr>
        <w:pStyle w:val="MRNumberedHeading2"/>
        <w:numPr>
          <w:ilvl w:val="0"/>
          <w:numId w:val="0"/>
        </w:numPr>
        <w:ind w:left="851"/>
        <w:jc w:val="left"/>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838"/>
        <w:gridCol w:w="2788"/>
      </w:tblGrid>
      <w:tr w:rsidR="00505AD7" w:rsidRPr="00440F01" w14:paraId="20C73910" w14:textId="0C88902E" w:rsidTr="0077082F">
        <w:tc>
          <w:tcPr>
            <w:tcW w:w="2334"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838"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788"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77082F">
        <w:tc>
          <w:tcPr>
            <w:tcW w:w="2334" w:type="dxa"/>
            <w:shd w:val="clear" w:color="auto" w:fill="auto"/>
          </w:tcPr>
          <w:p w14:paraId="20C73911" w14:textId="3584AEEF"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838"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788"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77082F">
        <w:tc>
          <w:tcPr>
            <w:tcW w:w="2334" w:type="dxa"/>
            <w:shd w:val="clear" w:color="auto" w:fill="auto"/>
          </w:tcPr>
          <w:p w14:paraId="20C73914" w14:textId="4F850F1D"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838"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77082F">
        <w:tc>
          <w:tcPr>
            <w:tcW w:w="2334" w:type="dxa"/>
            <w:shd w:val="clear" w:color="auto" w:fill="auto"/>
          </w:tcPr>
          <w:p w14:paraId="20C73917" w14:textId="174528A5" w:rsidR="00505AD7" w:rsidRPr="00994051" w:rsidRDefault="00505AD7" w:rsidP="00994051">
            <w:pPr>
              <w:spacing w:after="240"/>
              <w:outlineLvl w:val="2"/>
              <w:rPr>
                <w:color w:val="000000"/>
              </w:rPr>
            </w:pPr>
            <w:r w:rsidRPr="00994051">
              <w:rPr>
                <w:color w:val="000000"/>
              </w:rPr>
              <w:t xml:space="preserve">Section 3: </w:t>
            </w:r>
            <w:r w:rsidR="005242B2" w:rsidRPr="005242B2">
              <w:rPr>
                <w:color w:val="000000"/>
              </w:rPr>
              <w:t>Mandatory and discretionary grounds relating to the payment of taxes and social security contributions</w:t>
            </w:r>
          </w:p>
        </w:tc>
        <w:tc>
          <w:tcPr>
            <w:tcW w:w="2838"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77082F">
        <w:tc>
          <w:tcPr>
            <w:tcW w:w="2334" w:type="dxa"/>
            <w:shd w:val="clear" w:color="auto" w:fill="auto"/>
          </w:tcPr>
          <w:p w14:paraId="56035A41" w14:textId="71D47CF9" w:rsidR="00505AD7" w:rsidRPr="00994051" w:rsidRDefault="00505AD7" w:rsidP="00994051">
            <w:pPr>
              <w:spacing w:after="240"/>
              <w:outlineLvl w:val="2"/>
              <w:rPr>
                <w:color w:val="000000"/>
              </w:rPr>
            </w:pPr>
            <w:r>
              <w:rPr>
                <w:color w:val="000000"/>
              </w:rPr>
              <w:t>Section 4</w:t>
            </w:r>
            <w:r w:rsidR="005242B2">
              <w:rPr>
                <w:color w:val="000000"/>
              </w:rPr>
              <w:t xml:space="preserve">: </w:t>
            </w:r>
            <w:r w:rsidR="005242B2" w:rsidRPr="00293F9C">
              <w:rPr>
                <w:color w:val="000000"/>
              </w:rPr>
              <w:t>Grounds for Discretionary Exclusion</w:t>
            </w:r>
          </w:p>
        </w:tc>
        <w:tc>
          <w:tcPr>
            <w:tcW w:w="2838" w:type="dxa"/>
            <w:shd w:val="clear" w:color="auto" w:fill="auto"/>
          </w:tcPr>
          <w:p w14:paraId="59AA65A9" w14:textId="691A4889" w:rsidR="00505AD7" w:rsidRPr="00440F01"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682A9B" w:rsidRPr="00440F01" w14:paraId="0F4C45CF" w14:textId="1BF2782F" w:rsidTr="0077082F">
        <w:tc>
          <w:tcPr>
            <w:tcW w:w="2334" w:type="dxa"/>
            <w:shd w:val="clear" w:color="auto" w:fill="auto"/>
          </w:tcPr>
          <w:p w14:paraId="66E7970C" w14:textId="271E4D8A" w:rsidR="00682A9B" w:rsidRDefault="00682A9B" w:rsidP="00682A9B">
            <w:pPr>
              <w:spacing w:after="240"/>
              <w:outlineLvl w:val="2"/>
              <w:rPr>
                <w:color w:val="000000"/>
              </w:rPr>
            </w:pPr>
            <w:r>
              <w:rPr>
                <w:color w:val="000000"/>
              </w:rPr>
              <w:t xml:space="preserve">Section </w:t>
            </w:r>
            <w:r w:rsidR="005242B2">
              <w:rPr>
                <w:color w:val="000000"/>
              </w:rPr>
              <w:t>5</w:t>
            </w:r>
            <w:r>
              <w:rPr>
                <w:color w:val="000000"/>
              </w:rPr>
              <w:t xml:space="preserve">: </w:t>
            </w:r>
            <w:r w:rsidR="005242B2">
              <w:rPr>
                <w:color w:val="000000"/>
              </w:rPr>
              <w:t>Economic and Financial Standing</w:t>
            </w:r>
          </w:p>
        </w:tc>
        <w:tc>
          <w:tcPr>
            <w:tcW w:w="2838" w:type="dxa"/>
            <w:shd w:val="clear" w:color="auto" w:fill="auto"/>
          </w:tcPr>
          <w:p w14:paraId="5D9A9B7F" w14:textId="5AE7D9FE" w:rsidR="00682A9B" w:rsidRPr="0077082F" w:rsidRDefault="00682A9B" w:rsidP="00682A9B">
            <w:pPr>
              <w:spacing w:after="240"/>
              <w:outlineLvl w:val="2"/>
              <w:rPr>
                <w:color w:val="000000"/>
                <w:highlight w:val="yellow"/>
              </w:rPr>
            </w:pPr>
            <w:r w:rsidRPr="00B35665">
              <w:rPr>
                <w:color w:val="000000"/>
              </w:rPr>
              <w:t xml:space="preserve">Pass or </w:t>
            </w:r>
            <w:proofErr w:type="gramStart"/>
            <w:r w:rsidRPr="00B35665">
              <w:rPr>
                <w:color w:val="000000"/>
              </w:rPr>
              <w:t>Fail</w:t>
            </w:r>
            <w:proofErr w:type="gramEnd"/>
          </w:p>
        </w:tc>
        <w:tc>
          <w:tcPr>
            <w:tcW w:w="2788" w:type="dxa"/>
          </w:tcPr>
          <w:p w14:paraId="3FF95282" w14:textId="01E5DB08" w:rsidR="00682A9B" w:rsidRPr="0077082F" w:rsidRDefault="00682A9B" w:rsidP="00682A9B">
            <w:pPr>
              <w:spacing w:after="240"/>
              <w:outlineLvl w:val="2"/>
              <w:rPr>
                <w:color w:val="000000"/>
                <w:highlight w:val="yellow"/>
              </w:rPr>
            </w:pPr>
            <w:r>
              <w:rPr>
                <w:color w:val="000000"/>
              </w:rPr>
              <w:t xml:space="preserve">Yes </w:t>
            </w:r>
          </w:p>
        </w:tc>
      </w:tr>
      <w:tr w:rsidR="00505AD7" w:rsidRPr="00440F01" w14:paraId="4F697B10" w14:textId="5ADF0EE1" w:rsidTr="0077082F">
        <w:tc>
          <w:tcPr>
            <w:tcW w:w="2334" w:type="dxa"/>
            <w:shd w:val="clear" w:color="auto" w:fill="auto"/>
          </w:tcPr>
          <w:p w14:paraId="2EF3F7E8" w14:textId="212A9824" w:rsidR="00505AD7" w:rsidRDefault="00505AD7" w:rsidP="00994051">
            <w:pPr>
              <w:spacing w:after="240"/>
              <w:outlineLvl w:val="2"/>
              <w:rPr>
                <w:color w:val="000000"/>
              </w:rPr>
            </w:pPr>
            <w:r>
              <w:rPr>
                <w:color w:val="000000"/>
              </w:rPr>
              <w:t xml:space="preserve">Section </w:t>
            </w:r>
            <w:r w:rsidR="005242B2">
              <w:rPr>
                <w:color w:val="000000"/>
              </w:rPr>
              <w:t>6</w:t>
            </w:r>
            <w:r>
              <w:rPr>
                <w:color w:val="000000"/>
              </w:rPr>
              <w:t xml:space="preserve">: </w:t>
            </w:r>
            <w:r w:rsidR="005242B2">
              <w:rPr>
                <w:color w:val="000000"/>
              </w:rPr>
              <w:t xml:space="preserve">Technical and Professional </w:t>
            </w:r>
            <w:proofErr w:type="spellStart"/>
            <w:r w:rsidR="005242B2">
              <w:rPr>
                <w:color w:val="000000"/>
              </w:rPr>
              <w:t>Abiloty</w:t>
            </w:r>
            <w:proofErr w:type="spellEnd"/>
          </w:p>
        </w:tc>
        <w:tc>
          <w:tcPr>
            <w:tcW w:w="2838" w:type="dxa"/>
            <w:shd w:val="clear" w:color="auto" w:fill="auto"/>
          </w:tcPr>
          <w:p w14:paraId="607A505A" w14:textId="05CDCA11" w:rsidR="00505AD7" w:rsidRPr="00B35665"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3A4ABCC8" w14:textId="60CBB0F6" w:rsidR="00505AD7" w:rsidRPr="00B35665" w:rsidRDefault="00505AD7" w:rsidP="00C14AA9">
            <w:pPr>
              <w:spacing w:after="240"/>
              <w:outlineLvl w:val="2"/>
              <w:rPr>
                <w:color w:val="000000"/>
              </w:rPr>
            </w:pPr>
            <w:r>
              <w:rPr>
                <w:color w:val="000000"/>
              </w:rPr>
              <w:t xml:space="preserve">Yes </w:t>
            </w:r>
          </w:p>
        </w:tc>
      </w:tr>
      <w:tr w:rsidR="00505AD7" w:rsidRPr="00440F01" w14:paraId="20C73920" w14:textId="603925D6" w:rsidTr="0077082F">
        <w:tc>
          <w:tcPr>
            <w:tcW w:w="2334" w:type="dxa"/>
            <w:shd w:val="clear" w:color="auto" w:fill="auto"/>
          </w:tcPr>
          <w:p w14:paraId="20C7391E" w14:textId="6A384AB0" w:rsidR="00505AD7" w:rsidRPr="0077082F" w:rsidRDefault="005242B2" w:rsidP="00C14AA9">
            <w:pPr>
              <w:spacing w:after="240"/>
              <w:outlineLvl w:val="2"/>
            </w:pPr>
            <w:r>
              <w:t>Section 7: Additional Questions Including Project Specific Questions</w:t>
            </w:r>
          </w:p>
        </w:tc>
        <w:tc>
          <w:tcPr>
            <w:tcW w:w="2838" w:type="dxa"/>
            <w:shd w:val="clear" w:color="auto" w:fill="auto"/>
          </w:tcPr>
          <w:p w14:paraId="20C7391F" w14:textId="45EB7889" w:rsidR="00505AD7" w:rsidRPr="0077082F" w:rsidRDefault="00505AD7" w:rsidP="00FD68D3">
            <w:pPr>
              <w:spacing w:after="240"/>
              <w:outlineLvl w:val="2"/>
            </w:pPr>
            <w:r w:rsidRPr="0077082F">
              <w:t xml:space="preserve">Pass or </w:t>
            </w:r>
            <w:proofErr w:type="gramStart"/>
            <w:r w:rsidRPr="0077082F">
              <w:t>Fail</w:t>
            </w:r>
            <w:proofErr w:type="gramEnd"/>
          </w:p>
        </w:tc>
        <w:tc>
          <w:tcPr>
            <w:tcW w:w="2788" w:type="dxa"/>
          </w:tcPr>
          <w:p w14:paraId="0B6D7323" w14:textId="2E3DDD34" w:rsidR="00505AD7" w:rsidRPr="0077082F" w:rsidRDefault="00505AD7" w:rsidP="00FD68D3">
            <w:pPr>
              <w:spacing w:after="240"/>
              <w:outlineLvl w:val="2"/>
            </w:pPr>
            <w:r w:rsidRPr="0077082F">
              <w:t>Yes</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6B54D6">
      <w:pPr>
        <w:pStyle w:val="MRNumberedHeading2"/>
        <w:rPr>
          <w:i/>
        </w:rPr>
      </w:pPr>
      <w:bookmarkStart w:id="141" w:name="_Toc403555171"/>
      <w:r w:rsidRPr="003E3276">
        <w:t>To</w:t>
      </w:r>
      <w:r>
        <w:t xml:space="preserve"> </w:t>
      </w:r>
      <w:r w:rsidR="00424A57">
        <w:t>score a "pass", the Tender must:</w:t>
      </w:r>
    </w:p>
    <w:p w14:paraId="7EE69420" w14:textId="612C1BD0" w:rsidR="00424A57" w:rsidRPr="00424A57" w:rsidRDefault="00505AD7" w:rsidP="00424A57">
      <w:pPr>
        <w:pStyle w:val="MRNumberedHeading2"/>
        <w:numPr>
          <w:ilvl w:val="2"/>
          <w:numId w:val="23"/>
        </w:numPr>
        <w:tabs>
          <w:tab w:val="clear" w:pos="2214"/>
          <w:tab w:val="num" w:pos="1701"/>
        </w:tabs>
        <w:ind w:left="1701" w:hanging="850"/>
        <w:rPr>
          <w:i/>
        </w:rPr>
      </w:pPr>
      <w:r>
        <w:lastRenderedPageBreak/>
        <w:t>for all questions where self-certification is required (as detailed above), include a self-certification</w:t>
      </w:r>
      <w:r w:rsidR="0077089B">
        <w:t xml:space="preserve"> and the successful Bidder will be asked to provide</w:t>
      </w:r>
      <w:r w:rsidR="00D77AFC">
        <w:t xml:space="preserve"> </w:t>
      </w:r>
      <w:proofErr w:type="gramStart"/>
      <w:r w:rsidR="00D77AFC">
        <w:t xml:space="preserve">supporting </w:t>
      </w:r>
      <w:r w:rsidR="0077089B">
        <w:t xml:space="preserve"> evidence</w:t>
      </w:r>
      <w:proofErr w:type="gramEnd"/>
      <w:r w:rsidR="0077089B">
        <w:t xml:space="preserve"> during the standstill period; and</w:t>
      </w:r>
    </w:p>
    <w:p w14:paraId="20C73934" w14:textId="7433E4E2"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41"/>
    </w:p>
    <w:p w14:paraId="20C73935" w14:textId="77777777" w:rsidR="00B44E25" w:rsidRPr="00B44E25" w:rsidRDefault="00B44E25" w:rsidP="006B54D6">
      <w:pPr>
        <w:pStyle w:val="MRNumberedHeading2"/>
        <w:rPr>
          <w:i/>
        </w:rPr>
      </w:pPr>
      <w:bookmarkStart w:id="142" w:name="_Ref403484379"/>
      <w:bookmarkStart w:id="143"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42"/>
      <w:bookmarkEnd w:id="143"/>
      <w:r w:rsidR="00C14AA9">
        <w:t xml:space="preserve"> </w:t>
      </w:r>
    </w:p>
    <w:p w14:paraId="20C73936" w14:textId="2234AE68" w:rsidR="00BF48A1" w:rsidRPr="007C2F2F" w:rsidRDefault="007C2F2F" w:rsidP="00276E1B">
      <w:pPr>
        <w:pStyle w:val="Heading1"/>
        <w:spacing w:before="240" w:after="0"/>
        <w:ind w:left="851"/>
      </w:pPr>
      <w:bookmarkStart w:id="144" w:name="_Toc403555173"/>
      <w:r w:rsidRPr="007C2F2F">
        <w:t>C</w:t>
      </w:r>
      <w:r w:rsidR="000B1075" w:rsidRPr="007C2F2F">
        <w:t xml:space="preserve">riteria </w:t>
      </w:r>
      <w:r w:rsidRPr="007C2F2F">
        <w:t>– Scored Questions</w:t>
      </w:r>
      <w:bookmarkEnd w:id="144"/>
    </w:p>
    <w:p w14:paraId="20C73938" w14:textId="77777777" w:rsidR="003E3276" w:rsidRDefault="003E3276" w:rsidP="006B54D6">
      <w:pPr>
        <w:pStyle w:val="MRNumberedHeading2"/>
        <w:numPr>
          <w:ilvl w:val="0"/>
          <w:numId w:val="0"/>
        </w:numPr>
        <w:ind w:left="720"/>
      </w:pPr>
    </w:p>
    <w:tbl>
      <w:tblPr>
        <w:tblStyle w:val="TableGrid"/>
        <w:tblW w:w="0" w:type="auto"/>
        <w:tblInd w:w="1101" w:type="dxa"/>
        <w:tblLayout w:type="fixed"/>
        <w:tblLook w:val="04A0" w:firstRow="1" w:lastRow="0" w:firstColumn="1" w:lastColumn="0" w:noHBand="0" w:noVBand="1"/>
      </w:tblPr>
      <w:tblGrid>
        <w:gridCol w:w="4677"/>
        <w:gridCol w:w="1701"/>
      </w:tblGrid>
      <w:tr w:rsidR="00FF0B1A" w14:paraId="20C7393C" w14:textId="77777777" w:rsidTr="006B54D6">
        <w:tc>
          <w:tcPr>
            <w:tcW w:w="4677" w:type="dxa"/>
            <w:shd w:val="clear" w:color="auto" w:fill="BFBFBF" w:themeFill="background1" w:themeFillShade="BF"/>
          </w:tcPr>
          <w:p w14:paraId="20C73939" w14:textId="77777777" w:rsidR="00FF0B1A" w:rsidRPr="00EF71DD" w:rsidRDefault="00FF0B1A" w:rsidP="003318CA">
            <w:pPr>
              <w:pStyle w:val="Heading2"/>
              <w:numPr>
                <w:ilvl w:val="0"/>
                <w:numId w:val="0"/>
              </w:numPr>
              <w:rPr>
                <w:b/>
              </w:rPr>
            </w:pPr>
            <w:r w:rsidRPr="00EF71DD">
              <w:rPr>
                <w:b/>
              </w:rPr>
              <w:t>Evaluation criteria</w:t>
            </w:r>
          </w:p>
        </w:tc>
        <w:tc>
          <w:tcPr>
            <w:tcW w:w="1701" w:type="dxa"/>
            <w:shd w:val="clear" w:color="auto" w:fill="BFBFBF" w:themeFill="background1" w:themeFillShade="BF"/>
          </w:tcPr>
          <w:p w14:paraId="20C7393B" w14:textId="77777777" w:rsidR="00FF0B1A" w:rsidRPr="00EF71DD" w:rsidRDefault="00FF0B1A" w:rsidP="00C9108B">
            <w:pPr>
              <w:pStyle w:val="Heading2"/>
              <w:numPr>
                <w:ilvl w:val="0"/>
                <w:numId w:val="0"/>
              </w:numPr>
              <w:rPr>
                <w:b/>
              </w:rPr>
            </w:pPr>
            <w:r w:rsidRPr="00EF71DD">
              <w:rPr>
                <w:b/>
              </w:rPr>
              <w:t>Weighting</w:t>
            </w:r>
          </w:p>
        </w:tc>
      </w:tr>
      <w:tr w:rsidR="00FF0B1A" w14:paraId="20C73941" w14:textId="77777777" w:rsidTr="006B54D6">
        <w:tc>
          <w:tcPr>
            <w:tcW w:w="4677" w:type="dxa"/>
          </w:tcPr>
          <w:p w14:paraId="20C7393D" w14:textId="356D02EB" w:rsidR="00FF0B1A" w:rsidRDefault="00FF0B1A" w:rsidP="00BF48A1">
            <w:pPr>
              <w:pStyle w:val="Heading2"/>
              <w:numPr>
                <w:ilvl w:val="0"/>
                <w:numId w:val="0"/>
              </w:numPr>
            </w:pPr>
            <w:r>
              <w:t>Previous Experience</w:t>
            </w:r>
          </w:p>
          <w:p w14:paraId="20C7393E" w14:textId="77777777" w:rsidR="00FF0B1A" w:rsidRDefault="00FF0B1A" w:rsidP="00BF48A1">
            <w:pPr>
              <w:pStyle w:val="Heading2"/>
              <w:numPr>
                <w:ilvl w:val="0"/>
                <w:numId w:val="0"/>
              </w:numPr>
            </w:pPr>
          </w:p>
        </w:tc>
        <w:tc>
          <w:tcPr>
            <w:tcW w:w="1701" w:type="dxa"/>
          </w:tcPr>
          <w:p w14:paraId="20C73940" w14:textId="1BF0DF26" w:rsidR="00FF0B1A" w:rsidRDefault="00FF0B1A" w:rsidP="00BF48A1">
            <w:pPr>
              <w:pStyle w:val="Heading2"/>
              <w:numPr>
                <w:ilvl w:val="0"/>
                <w:numId w:val="0"/>
              </w:numPr>
            </w:pPr>
            <w:r>
              <w:t>30%</w:t>
            </w:r>
          </w:p>
        </w:tc>
      </w:tr>
      <w:tr w:rsidR="00FF0B1A" w14:paraId="20C73946" w14:textId="77777777" w:rsidTr="006B54D6">
        <w:tc>
          <w:tcPr>
            <w:tcW w:w="4677" w:type="dxa"/>
          </w:tcPr>
          <w:p w14:paraId="20C73943" w14:textId="36B1EDE9" w:rsidR="00FF0B1A" w:rsidRDefault="00FF0B1A" w:rsidP="00BF48A1">
            <w:pPr>
              <w:pStyle w:val="Heading2"/>
              <w:numPr>
                <w:ilvl w:val="0"/>
                <w:numId w:val="0"/>
              </w:numPr>
            </w:pPr>
            <w:r>
              <w:t>Quality Assurance</w:t>
            </w:r>
          </w:p>
        </w:tc>
        <w:tc>
          <w:tcPr>
            <w:tcW w:w="1701" w:type="dxa"/>
          </w:tcPr>
          <w:p w14:paraId="44B37AD6" w14:textId="77777777" w:rsidR="00FF0B1A" w:rsidRDefault="00FF0B1A" w:rsidP="00BF48A1">
            <w:pPr>
              <w:pStyle w:val="Heading2"/>
              <w:numPr>
                <w:ilvl w:val="0"/>
                <w:numId w:val="0"/>
              </w:numPr>
            </w:pPr>
            <w:r>
              <w:t>20%</w:t>
            </w:r>
          </w:p>
          <w:p w14:paraId="20C73945" w14:textId="44F19D7C" w:rsidR="00FF0B1A" w:rsidRDefault="00FF0B1A" w:rsidP="00BF48A1">
            <w:pPr>
              <w:pStyle w:val="Heading2"/>
              <w:numPr>
                <w:ilvl w:val="0"/>
                <w:numId w:val="0"/>
              </w:numPr>
            </w:pPr>
          </w:p>
        </w:tc>
      </w:tr>
      <w:tr w:rsidR="00FF0B1A" w14:paraId="20C7394B" w14:textId="77777777" w:rsidTr="006B54D6">
        <w:tc>
          <w:tcPr>
            <w:tcW w:w="4677" w:type="dxa"/>
          </w:tcPr>
          <w:p w14:paraId="20C73947" w14:textId="62A5FAC6" w:rsidR="00FF0B1A" w:rsidRDefault="00FF0B1A" w:rsidP="00BF48A1">
            <w:pPr>
              <w:pStyle w:val="Heading2"/>
              <w:numPr>
                <w:ilvl w:val="0"/>
                <w:numId w:val="0"/>
              </w:numPr>
            </w:pPr>
            <w:r>
              <w:t>Social Value &amp; Net Zero</w:t>
            </w:r>
          </w:p>
          <w:p w14:paraId="20C73948" w14:textId="77777777" w:rsidR="00FF0B1A" w:rsidRDefault="00FF0B1A" w:rsidP="00BF48A1">
            <w:pPr>
              <w:pStyle w:val="Heading2"/>
              <w:numPr>
                <w:ilvl w:val="0"/>
                <w:numId w:val="0"/>
              </w:numPr>
            </w:pPr>
          </w:p>
        </w:tc>
        <w:tc>
          <w:tcPr>
            <w:tcW w:w="1701" w:type="dxa"/>
          </w:tcPr>
          <w:p w14:paraId="20C7394A" w14:textId="08566B5A" w:rsidR="00FF0B1A" w:rsidRDefault="00FF0B1A" w:rsidP="00BF48A1">
            <w:pPr>
              <w:pStyle w:val="Heading2"/>
              <w:numPr>
                <w:ilvl w:val="0"/>
                <w:numId w:val="0"/>
              </w:numPr>
            </w:pPr>
            <w:r>
              <w:t>10%</w:t>
            </w:r>
          </w:p>
        </w:tc>
      </w:tr>
      <w:tr w:rsidR="00FF0B1A" w14:paraId="20C7395E" w14:textId="77777777" w:rsidTr="006B54D6">
        <w:tc>
          <w:tcPr>
            <w:tcW w:w="4677" w:type="dxa"/>
          </w:tcPr>
          <w:p w14:paraId="20C7395B" w14:textId="77777777" w:rsidR="00FF0B1A" w:rsidRPr="003318CA" w:rsidRDefault="00FF0B1A" w:rsidP="00BF48A1">
            <w:pPr>
              <w:pStyle w:val="Heading2"/>
              <w:numPr>
                <w:ilvl w:val="0"/>
                <w:numId w:val="0"/>
              </w:numPr>
              <w:rPr>
                <w:b/>
              </w:rPr>
            </w:pPr>
            <w:r w:rsidRPr="003318CA">
              <w:rPr>
                <w:b/>
              </w:rPr>
              <w:t>Total</w:t>
            </w:r>
          </w:p>
        </w:tc>
        <w:tc>
          <w:tcPr>
            <w:tcW w:w="1701" w:type="dxa"/>
          </w:tcPr>
          <w:p w14:paraId="20C7395D" w14:textId="77875392" w:rsidR="00FF0B1A" w:rsidRDefault="00FF0B1A" w:rsidP="00BF48A1">
            <w:pPr>
              <w:pStyle w:val="Heading2"/>
              <w:numPr>
                <w:ilvl w:val="0"/>
                <w:numId w:val="0"/>
              </w:numPr>
            </w:pPr>
            <w:r w:rsidRPr="00FF0B1A">
              <w:t>60%</w:t>
            </w:r>
          </w:p>
        </w:tc>
      </w:tr>
    </w:tbl>
    <w:p w14:paraId="20C7395F" w14:textId="77777777" w:rsidR="00362AE0" w:rsidRDefault="00362AE0" w:rsidP="0025200C">
      <w:pPr>
        <w:pStyle w:val="Heading2"/>
        <w:numPr>
          <w:ilvl w:val="0"/>
          <w:numId w:val="0"/>
        </w:numPr>
        <w:ind w:firstLine="850"/>
        <w:rPr>
          <w:b/>
        </w:rPr>
      </w:pPr>
    </w:p>
    <w:p w14:paraId="20C73960" w14:textId="77777777" w:rsidR="007C2F2F" w:rsidRPr="007C2F2F" w:rsidRDefault="007C2F2F" w:rsidP="00276E1B">
      <w:pPr>
        <w:pStyle w:val="Heading1"/>
        <w:spacing w:before="240" w:after="0"/>
        <w:ind w:left="851"/>
      </w:pPr>
      <w:bookmarkStart w:id="145" w:name="_Toc403555175"/>
      <w:r w:rsidRPr="007C2F2F">
        <w:t>Criteria – Scored Questions</w:t>
      </w:r>
      <w:r>
        <w:t>:  pricing evaluation</w:t>
      </w:r>
      <w:bookmarkEnd w:id="145"/>
    </w:p>
    <w:p w14:paraId="20C73961" w14:textId="026B3811" w:rsidR="007C364A" w:rsidRPr="0077082F" w:rsidRDefault="008E7F55" w:rsidP="006B54D6">
      <w:pPr>
        <w:pStyle w:val="MRNumberedHeading2"/>
      </w:pPr>
      <w:bookmarkStart w:id="146" w:name="_Toc403555176"/>
      <w:bookmarkStart w:id="147" w:name="_Ref405453282"/>
      <w:r w:rsidRPr="0077082F">
        <w:t>Tender</w:t>
      </w:r>
      <w:r w:rsidR="00B30006" w:rsidRPr="0077082F">
        <w:t xml:space="preserve"> prices will be scored on a comparative basis, with the lowest</w:t>
      </w:r>
      <w:r w:rsidR="00982C42" w:rsidRPr="0077082F">
        <w:t xml:space="preserve"> compliant</w:t>
      </w:r>
      <w:r w:rsidR="00B30006" w:rsidRPr="0077082F">
        <w:t xml:space="preserve"> </w:t>
      </w:r>
      <w:r w:rsidRPr="0077082F">
        <w:t>Tender</w:t>
      </w:r>
      <w:r w:rsidR="006C1E7E" w:rsidRPr="0077082F">
        <w:t xml:space="preserve"> </w:t>
      </w:r>
      <w:r w:rsidR="00982C42" w:rsidRPr="0077082F">
        <w:t>(excluding any Tenders that the Authority rejects as being abnormally low</w:t>
      </w:r>
      <w:r w:rsidRPr="0077082F">
        <w:t xml:space="preserve"> or non-compliant</w:t>
      </w:r>
      <w:r w:rsidR="00982C42" w:rsidRPr="0077082F">
        <w:t xml:space="preserve">) </w:t>
      </w:r>
      <w:r w:rsidR="006C1E7E" w:rsidRPr="0077082F">
        <w:t>receiving 100% of the available marks (</w:t>
      </w:r>
      <w:r w:rsidR="00FF0B1A">
        <w:t>40</w:t>
      </w:r>
      <w:r w:rsidR="006C1E7E" w:rsidRPr="0077082F">
        <w:t xml:space="preserve">% following weighting).  All other </w:t>
      </w:r>
      <w:r w:rsidR="00CC4072" w:rsidRPr="0077082F">
        <w:t>T</w:t>
      </w:r>
      <w:r w:rsidRPr="0077082F">
        <w:t>enders</w:t>
      </w:r>
      <w:r w:rsidR="006C1E7E" w:rsidRPr="0077082F">
        <w:t xml:space="preserve"> will be co</w:t>
      </w:r>
      <w:r w:rsidR="00D27579" w:rsidRPr="0077082F">
        <w:t xml:space="preserve">mpared against that lowest </w:t>
      </w:r>
      <w:r w:rsidR="00CC4072" w:rsidRPr="0077082F">
        <w:t>T</w:t>
      </w:r>
      <w:r w:rsidRPr="0077082F">
        <w:t>ender</w:t>
      </w:r>
      <w:r w:rsidR="007C364A" w:rsidRPr="0077082F">
        <w:t xml:space="preserve"> using the formula:</w:t>
      </w:r>
      <w:bookmarkEnd w:id="146"/>
      <w:bookmarkEnd w:id="147"/>
      <w:r w:rsidR="007C364A" w:rsidRPr="0077082F">
        <w:t xml:space="preserve"> </w:t>
      </w:r>
    </w:p>
    <w:p w14:paraId="20C73962" w14:textId="77777777" w:rsidR="00DC6E9A" w:rsidRPr="0077082F" w:rsidRDefault="00DC6E9A" w:rsidP="007C364A">
      <w:pPr>
        <w:pStyle w:val="Heading2"/>
        <w:numPr>
          <w:ilvl w:val="0"/>
          <w:numId w:val="0"/>
        </w:numPr>
        <w:ind w:left="851" w:firstLine="849"/>
      </w:pPr>
    </w:p>
    <w:p w14:paraId="20C73963" w14:textId="00F6CD00" w:rsidR="007C364A" w:rsidRPr="0077082F" w:rsidRDefault="007C364A" w:rsidP="007C364A">
      <w:pPr>
        <w:pStyle w:val="Heading2"/>
        <w:numPr>
          <w:ilvl w:val="0"/>
          <w:numId w:val="0"/>
        </w:numPr>
        <w:ind w:left="851" w:firstLine="849"/>
      </w:pPr>
      <w:r w:rsidRPr="0077082F">
        <w:t xml:space="preserve">(A / B) x100 </w:t>
      </w:r>
    </w:p>
    <w:p w14:paraId="20C73964" w14:textId="77777777" w:rsidR="007C364A" w:rsidRPr="0077082F" w:rsidRDefault="007C364A" w:rsidP="007C364A">
      <w:pPr>
        <w:pStyle w:val="Heading2"/>
        <w:numPr>
          <w:ilvl w:val="0"/>
          <w:numId w:val="0"/>
        </w:numPr>
        <w:ind w:left="851" w:firstLine="849"/>
      </w:pPr>
      <w:r w:rsidRPr="0077082F">
        <w:t xml:space="preserve">A = </w:t>
      </w:r>
      <w:r w:rsidR="008E7F55" w:rsidRPr="0077082F">
        <w:t xml:space="preserve">price of </w:t>
      </w:r>
      <w:r w:rsidRPr="0077082F">
        <w:t xml:space="preserve">lowest compliant </w:t>
      </w:r>
      <w:r w:rsidR="00CC4072" w:rsidRPr="0077082F">
        <w:t>T</w:t>
      </w:r>
      <w:r w:rsidR="008E7F55" w:rsidRPr="0077082F">
        <w:t>ender</w:t>
      </w:r>
    </w:p>
    <w:p w14:paraId="20C73965" w14:textId="77777777" w:rsidR="007C364A" w:rsidRPr="0077082F" w:rsidRDefault="007B6206" w:rsidP="007C364A">
      <w:pPr>
        <w:pStyle w:val="Heading2"/>
        <w:numPr>
          <w:ilvl w:val="0"/>
          <w:numId w:val="0"/>
        </w:numPr>
        <w:ind w:left="851" w:firstLine="849"/>
      </w:pPr>
      <w:r w:rsidRPr="0077082F">
        <w:t xml:space="preserve">B = </w:t>
      </w:r>
      <w:r w:rsidR="007C364A" w:rsidRPr="0077082F">
        <w:t xml:space="preserve">price of the </w:t>
      </w:r>
      <w:r w:rsidR="008E7F55" w:rsidRPr="0077082F">
        <w:t>Tender</w:t>
      </w:r>
      <w:r w:rsidR="007C364A" w:rsidRPr="0077082F">
        <w:t xml:space="preserve"> being scored  </w:t>
      </w:r>
      <w:r w:rsidR="00D27579" w:rsidRPr="0077082F">
        <w:t xml:space="preserve"> </w:t>
      </w:r>
    </w:p>
    <w:p w14:paraId="20C73967" w14:textId="77777777" w:rsidR="007C2F2F" w:rsidRPr="0025200C" w:rsidRDefault="007C2F2F" w:rsidP="006B54D6">
      <w:pPr>
        <w:pStyle w:val="MRNumberedHeading2"/>
      </w:pPr>
      <w:bookmarkStart w:id="148" w:name="_Toc403555178"/>
      <w:r>
        <w:t xml:space="preserve">If it appears to the Authority that any Tender may be abnormally </w:t>
      </w:r>
      <w:proofErr w:type="gramStart"/>
      <w:r>
        <w:t>low</w:t>
      </w:r>
      <w:proofErr w:type="gramEnd"/>
      <w:r>
        <w:t xml:space="preserve"> then the Authority may ask the Bidder to explain its price or costs.  If following the Bidder's </w:t>
      </w:r>
      <w:proofErr w:type="gramStart"/>
      <w:r>
        <w:t>explanations</w:t>
      </w:r>
      <w:proofErr w:type="gramEnd"/>
      <w:r>
        <w:t xml:space="preserve"> the Authority is n</w:t>
      </w:r>
      <w:r w:rsidR="00A77338">
        <w:t>ot satisfied with the Bidder's account for the low level of price or cost in the Tender, the Authority may treat the Tender as non-compliant and reject it.</w:t>
      </w:r>
      <w:bookmarkEnd w:id="148"/>
    </w:p>
    <w:p w14:paraId="20C73968" w14:textId="77777777" w:rsidR="00A77338" w:rsidRPr="007C2F2F" w:rsidRDefault="00A77338" w:rsidP="00276E1B">
      <w:pPr>
        <w:pStyle w:val="Heading1"/>
        <w:spacing w:before="240" w:after="0"/>
        <w:ind w:left="851"/>
      </w:pPr>
      <w:bookmarkStart w:id="149" w:name="_Toc403555179"/>
      <w:r w:rsidRPr="007C2F2F">
        <w:t>Criteria – Scored Questions</w:t>
      </w:r>
      <w:r>
        <w:t>:  technical and quality evaluation</w:t>
      </w:r>
      <w:bookmarkEnd w:id="149"/>
    </w:p>
    <w:p w14:paraId="20C73969" w14:textId="77777777" w:rsidR="006C1E7E" w:rsidRDefault="006C1E7E" w:rsidP="006B54D6">
      <w:pPr>
        <w:pStyle w:val="MRNumberedHeading2"/>
      </w:pPr>
      <w:bookmarkStart w:id="150" w:name="_Toc403555180"/>
      <w:bookmarkStart w:id="151" w:name="_Ref405453301"/>
      <w:r>
        <w:t xml:space="preserve">The </w:t>
      </w:r>
      <w:r w:rsidR="006A7F8F">
        <w:t>technical evaluation will be scored in accordance with the table below:</w:t>
      </w:r>
      <w:bookmarkEnd w:id="150"/>
      <w:bookmarkEnd w:id="151"/>
      <w:r w:rsidR="006A7F8F">
        <w:t xml:space="preserve"> </w:t>
      </w:r>
    </w:p>
    <w:p w14:paraId="20C7396A"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A7F8F" w:rsidRPr="0005222A" w:rsidRDefault="0005222A" w:rsidP="001D5911">
            <w:pPr>
              <w:pStyle w:val="Table"/>
              <w:keepNext/>
              <w:rPr>
                <w:b/>
              </w:rPr>
            </w:pPr>
            <w:r w:rsidRPr="0005222A">
              <w:rPr>
                <w:b/>
              </w:rPr>
              <w:lastRenderedPageBreak/>
              <w:t>Grade label</w:t>
            </w:r>
          </w:p>
        </w:tc>
        <w:tc>
          <w:tcPr>
            <w:tcW w:w="992" w:type="dxa"/>
            <w:shd w:val="clear" w:color="auto" w:fill="BFBFBF" w:themeFill="background1" w:themeFillShade="BF"/>
            <w:vAlign w:val="center"/>
          </w:tcPr>
          <w:p w14:paraId="20C7396C"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20C7396D" w14:textId="77777777" w:rsidR="006A7F8F" w:rsidRPr="0005222A" w:rsidRDefault="0005222A" w:rsidP="001D5911">
            <w:pPr>
              <w:pStyle w:val="Table"/>
              <w:keepNext/>
              <w:rPr>
                <w:b/>
              </w:rPr>
            </w:pPr>
            <w:r w:rsidRPr="0005222A">
              <w:rPr>
                <w:b/>
              </w:rPr>
              <w:t>Definition of Grade</w:t>
            </w:r>
          </w:p>
        </w:tc>
      </w:tr>
      <w:tr w:rsidR="0005222A" w:rsidRPr="00A24900" w14:paraId="20C73972" w14:textId="77777777" w:rsidTr="0005222A">
        <w:trPr>
          <w:cantSplit/>
          <w:trHeight w:val="860"/>
        </w:trPr>
        <w:tc>
          <w:tcPr>
            <w:tcW w:w="1701" w:type="dxa"/>
            <w:shd w:val="clear" w:color="auto" w:fill="auto"/>
            <w:vAlign w:val="center"/>
          </w:tcPr>
          <w:p w14:paraId="20C7396F" w14:textId="77777777" w:rsidR="0005222A" w:rsidRPr="00A24900" w:rsidRDefault="0005222A" w:rsidP="008E2B30">
            <w:pPr>
              <w:pStyle w:val="Table"/>
              <w:keepNext/>
            </w:pPr>
            <w:r w:rsidRPr="00A24900">
              <w:t>Unacceptable</w:t>
            </w:r>
          </w:p>
        </w:tc>
        <w:tc>
          <w:tcPr>
            <w:tcW w:w="992" w:type="dxa"/>
            <w:shd w:val="clear" w:color="auto" w:fill="auto"/>
            <w:vAlign w:val="center"/>
          </w:tcPr>
          <w:p w14:paraId="20C73970" w14:textId="77777777" w:rsidR="0005222A" w:rsidRPr="00A24900" w:rsidRDefault="0005222A" w:rsidP="008E2B30">
            <w:pPr>
              <w:pStyle w:val="Table"/>
              <w:keepNext/>
              <w:jc w:val="center"/>
            </w:pPr>
            <w:r w:rsidRPr="00A24900">
              <w:t>0</w:t>
            </w:r>
          </w:p>
        </w:tc>
        <w:tc>
          <w:tcPr>
            <w:tcW w:w="5387" w:type="dxa"/>
            <w:shd w:val="clear" w:color="auto" w:fill="auto"/>
            <w:vAlign w:val="center"/>
          </w:tcPr>
          <w:p w14:paraId="20C73971" w14:textId="77777777" w:rsidR="0005222A" w:rsidRPr="00A24900" w:rsidRDefault="000226A1" w:rsidP="00287834">
            <w:pPr>
              <w:pStyle w:val="Table"/>
              <w:keepNext/>
              <w:jc w:val="both"/>
            </w:pPr>
            <w:r>
              <w:t>The proposal c</w:t>
            </w:r>
            <w:r w:rsidR="00287834">
              <w:t xml:space="preserve">ompletely fails to meet </w:t>
            </w:r>
            <w:r w:rsidR="00A242B7">
              <w:t xml:space="preserve">the </w:t>
            </w:r>
            <w:r w:rsidR="00287834">
              <w:t>required standard or does not provide an answer</w:t>
            </w:r>
          </w:p>
        </w:tc>
      </w:tr>
      <w:tr w:rsidR="0005222A" w:rsidRPr="00A24900" w14:paraId="20C73976" w14:textId="77777777" w:rsidTr="0005222A">
        <w:trPr>
          <w:cantSplit/>
          <w:trHeight w:val="861"/>
        </w:trPr>
        <w:tc>
          <w:tcPr>
            <w:tcW w:w="1701" w:type="dxa"/>
            <w:shd w:val="clear" w:color="auto" w:fill="auto"/>
            <w:vAlign w:val="center"/>
          </w:tcPr>
          <w:p w14:paraId="20C73973" w14:textId="77777777" w:rsidR="0005222A" w:rsidRPr="00A24900" w:rsidRDefault="0005222A" w:rsidP="001D5911">
            <w:pPr>
              <w:pStyle w:val="Table"/>
              <w:keepNext/>
            </w:pPr>
            <w:r w:rsidRPr="00A24900">
              <w:t>Weak</w:t>
            </w:r>
          </w:p>
        </w:tc>
        <w:tc>
          <w:tcPr>
            <w:tcW w:w="992" w:type="dxa"/>
            <w:shd w:val="clear" w:color="auto" w:fill="auto"/>
            <w:vAlign w:val="center"/>
          </w:tcPr>
          <w:p w14:paraId="20C73974" w14:textId="77777777" w:rsidR="0005222A" w:rsidRPr="00A24900" w:rsidRDefault="0005222A" w:rsidP="001D5911">
            <w:pPr>
              <w:pStyle w:val="Table"/>
              <w:keepNext/>
              <w:jc w:val="center"/>
            </w:pPr>
            <w:r w:rsidRPr="00A24900">
              <w:t>1</w:t>
            </w:r>
          </w:p>
        </w:tc>
        <w:tc>
          <w:tcPr>
            <w:tcW w:w="5387" w:type="dxa"/>
            <w:shd w:val="clear" w:color="auto" w:fill="auto"/>
            <w:vAlign w:val="center"/>
          </w:tcPr>
          <w:p w14:paraId="20C73975" w14:textId="77777777" w:rsidR="0005222A" w:rsidRPr="00A24900" w:rsidRDefault="000226A1" w:rsidP="00A242B7">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20C7397A" w14:textId="77777777" w:rsidTr="0005222A">
        <w:trPr>
          <w:cantSplit/>
          <w:trHeight w:val="860"/>
        </w:trPr>
        <w:tc>
          <w:tcPr>
            <w:tcW w:w="1701" w:type="dxa"/>
            <w:shd w:val="clear" w:color="auto" w:fill="auto"/>
            <w:vAlign w:val="center"/>
          </w:tcPr>
          <w:p w14:paraId="20C73977" w14:textId="77777777" w:rsidR="0005222A" w:rsidRPr="00A24900" w:rsidRDefault="0005222A" w:rsidP="001D5911">
            <w:pPr>
              <w:pStyle w:val="Table"/>
              <w:keepNext/>
            </w:pPr>
            <w:r w:rsidRPr="00A24900">
              <w:t>Satisfactory</w:t>
            </w:r>
          </w:p>
        </w:tc>
        <w:tc>
          <w:tcPr>
            <w:tcW w:w="992" w:type="dxa"/>
            <w:shd w:val="clear" w:color="auto" w:fill="auto"/>
            <w:vAlign w:val="center"/>
          </w:tcPr>
          <w:p w14:paraId="20C73978" w14:textId="77777777" w:rsidR="0005222A" w:rsidRPr="00A24900" w:rsidRDefault="0005222A" w:rsidP="001D5911">
            <w:pPr>
              <w:pStyle w:val="Table"/>
              <w:keepNext/>
              <w:jc w:val="center"/>
            </w:pPr>
            <w:r w:rsidRPr="00A24900">
              <w:t>2</w:t>
            </w:r>
          </w:p>
        </w:tc>
        <w:tc>
          <w:tcPr>
            <w:tcW w:w="5387" w:type="dxa"/>
            <w:shd w:val="clear" w:color="auto" w:fill="auto"/>
            <w:vAlign w:val="center"/>
          </w:tcPr>
          <w:p w14:paraId="20C73979" w14:textId="77777777"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14:paraId="20C7397E" w14:textId="77777777" w:rsidTr="0005222A">
        <w:trPr>
          <w:cantSplit/>
          <w:trHeight w:val="861"/>
        </w:trPr>
        <w:tc>
          <w:tcPr>
            <w:tcW w:w="1701" w:type="dxa"/>
            <w:shd w:val="clear" w:color="auto" w:fill="auto"/>
            <w:vAlign w:val="center"/>
          </w:tcPr>
          <w:p w14:paraId="20C7397B" w14:textId="77777777" w:rsidR="0005222A" w:rsidRPr="00A24900" w:rsidRDefault="0005222A" w:rsidP="001D5911">
            <w:pPr>
              <w:pStyle w:val="Table"/>
              <w:keepNext/>
            </w:pPr>
            <w:r w:rsidRPr="00A24900">
              <w:t>Good</w:t>
            </w:r>
          </w:p>
        </w:tc>
        <w:tc>
          <w:tcPr>
            <w:tcW w:w="992" w:type="dxa"/>
            <w:shd w:val="clear" w:color="auto" w:fill="auto"/>
            <w:vAlign w:val="center"/>
          </w:tcPr>
          <w:p w14:paraId="20C7397C" w14:textId="77777777" w:rsidR="0005222A" w:rsidRPr="00A24900" w:rsidRDefault="0005222A" w:rsidP="001D5911">
            <w:pPr>
              <w:pStyle w:val="Table"/>
              <w:keepNext/>
              <w:jc w:val="center"/>
            </w:pPr>
            <w:r w:rsidRPr="00A24900">
              <w:t>3</w:t>
            </w:r>
          </w:p>
        </w:tc>
        <w:tc>
          <w:tcPr>
            <w:tcW w:w="5387" w:type="dxa"/>
            <w:shd w:val="clear" w:color="auto" w:fill="auto"/>
            <w:vAlign w:val="center"/>
          </w:tcPr>
          <w:p w14:paraId="20C7397D" w14:textId="77777777" w:rsidR="0005222A" w:rsidRPr="00A24900" w:rsidRDefault="000226A1" w:rsidP="0005222A">
            <w:pPr>
              <w:pStyle w:val="Table"/>
              <w:keepNext/>
              <w:jc w:val="both"/>
            </w:pPr>
            <w:r>
              <w:t>The proposal m</w:t>
            </w:r>
            <w:r w:rsidR="00287834">
              <w:t>eets the required standard in all material respects</w:t>
            </w:r>
          </w:p>
        </w:tc>
      </w:tr>
      <w:tr w:rsidR="0005222A" w:rsidRPr="00A24900" w14:paraId="20C73982" w14:textId="77777777" w:rsidTr="0005222A">
        <w:trPr>
          <w:cantSplit/>
          <w:trHeight w:val="861"/>
        </w:trPr>
        <w:tc>
          <w:tcPr>
            <w:tcW w:w="1701" w:type="dxa"/>
            <w:shd w:val="clear" w:color="auto" w:fill="auto"/>
            <w:vAlign w:val="center"/>
          </w:tcPr>
          <w:p w14:paraId="20C7397F" w14:textId="77777777" w:rsidR="0005222A" w:rsidRPr="00A24900" w:rsidRDefault="0005222A" w:rsidP="001D5911">
            <w:pPr>
              <w:pStyle w:val="Table"/>
              <w:keepNext/>
            </w:pPr>
            <w:r w:rsidRPr="00A24900">
              <w:t>Excellent</w:t>
            </w:r>
          </w:p>
        </w:tc>
        <w:tc>
          <w:tcPr>
            <w:tcW w:w="992" w:type="dxa"/>
            <w:shd w:val="clear" w:color="auto" w:fill="auto"/>
            <w:vAlign w:val="center"/>
          </w:tcPr>
          <w:p w14:paraId="20C73980" w14:textId="77777777" w:rsidR="0005222A" w:rsidRPr="00A24900" w:rsidRDefault="0005222A" w:rsidP="001D5911">
            <w:pPr>
              <w:pStyle w:val="Table"/>
              <w:keepNext/>
              <w:jc w:val="center"/>
            </w:pPr>
            <w:r w:rsidRPr="00A24900">
              <w:t>4</w:t>
            </w:r>
          </w:p>
        </w:tc>
        <w:tc>
          <w:tcPr>
            <w:tcW w:w="5387" w:type="dxa"/>
            <w:shd w:val="clear" w:color="auto" w:fill="auto"/>
            <w:vAlign w:val="center"/>
          </w:tcPr>
          <w:p w14:paraId="20C73981" w14:textId="207AD49E" w:rsidR="0005222A" w:rsidRPr="00A24900" w:rsidRDefault="00547486" w:rsidP="00287834">
            <w:pPr>
              <w:pStyle w:val="Table"/>
              <w:keepNext/>
              <w:jc w:val="both"/>
            </w:pPr>
            <w:r>
              <w:t>The proposal m</w:t>
            </w:r>
            <w:r w:rsidR="00287834">
              <w:t xml:space="preserve">eets the required standard in all material respects and exceeds some or </w:t>
            </w:r>
            <w:proofErr w:type="gramStart"/>
            <w:r w:rsidR="00287834">
              <w:t>all of</w:t>
            </w:r>
            <w:proofErr w:type="gramEnd"/>
            <w:r w:rsidR="00287834">
              <w:t xml:space="preserve"> the major requirements </w:t>
            </w:r>
          </w:p>
        </w:tc>
      </w:tr>
    </w:tbl>
    <w:p w14:paraId="20C73983" w14:textId="2416F9D3" w:rsidR="006A7F8F" w:rsidRPr="00116860" w:rsidRDefault="006A7F8F" w:rsidP="000E189B">
      <w:pPr>
        <w:pStyle w:val="Heading2"/>
        <w:numPr>
          <w:ilvl w:val="0"/>
          <w:numId w:val="0"/>
        </w:numPr>
        <w:rPr>
          <w:i/>
          <w:color w:val="808080" w:themeColor="background1" w:themeShade="80"/>
        </w:rPr>
      </w:pPr>
    </w:p>
    <w:p w14:paraId="20C73992" w14:textId="1D8DA87A" w:rsidR="000D6F5F" w:rsidRDefault="000D6F5F">
      <w:pPr>
        <w:spacing w:after="240"/>
        <w:jc w:val="left"/>
        <w:rPr>
          <w:rFonts w:eastAsia="Times New Roman" w:cs="Times New Roman"/>
          <w:b/>
          <w:color w:val="000000" w:themeColor="text1"/>
          <w:lang w:eastAsia="en-GB"/>
        </w:rPr>
      </w:pPr>
      <w:r>
        <w:rPr>
          <w:b/>
        </w:rPr>
        <w:br w:type="page"/>
      </w:r>
    </w:p>
    <w:p w14:paraId="5E850A03" w14:textId="77777777" w:rsidR="005E4E9D" w:rsidRPr="00EE57C8" w:rsidRDefault="005E4E9D" w:rsidP="005E4E9D">
      <w:pPr>
        <w:pStyle w:val="Body1"/>
        <w:ind w:left="0"/>
        <w:rPr>
          <w:b/>
        </w:rPr>
      </w:pPr>
    </w:p>
    <w:p w14:paraId="20C73993" w14:textId="7FF9021B" w:rsidR="005E4E9D" w:rsidRPr="00EA7D51" w:rsidRDefault="005E4E9D" w:rsidP="00401FF0">
      <w:pPr>
        <w:pStyle w:val="MainHeading"/>
        <w:spacing w:line="480" w:lineRule="auto"/>
        <w:ind w:left="0"/>
        <w:jc w:val="center"/>
        <w:rPr>
          <w:color w:val="auto"/>
        </w:rPr>
      </w:pPr>
      <w:bookmarkStart w:id="152" w:name="_Toc403556511"/>
      <w:bookmarkStart w:id="153" w:name="_Toc406674974"/>
      <w:bookmarkStart w:id="154" w:name="_Toc412621216"/>
      <w:bookmarkStart w:id="155" w:name="_Toc412715226"/>
      <w:r w:rsidRPr="00947F10">
        <w:t>ANNEX A1</w:t>
      </w:r>
      <w:r w:rsidR="00E84532" w:rsidRPr="00947F10">
        <w:br/>
      </w:r>
      <w:bookmarkEnd w:id="152"/>
      <w:bookmarkEnd w:id="153"/>
      <w:bookmarkEnd w:id="154"/>
      <w:bookmarkEnd w:id="155"/>
      <w:r w:rsidR="00EA7D51" w:rsidRPr="00EA7D51">
        <w:rPr>
          <w:color w:val="auto"/>
        </w:rPr>
        <w:t>Terms and Conditions</w:t>
      </w:r>
    </w:p>
    <w:p w14:paraId="20C73994" w14:textId="0ED2C052" w:rsidR="005E4E9D" w:rsidRPr="00EA7D51" w:rsidRDefault="005E4E9D" w:rsidP="005E4E9D">
      <w:pPr>
        <w:pStyle w:val="Body1"/>
        <w:ind w:left="0"/>
        <w:rPr>
          <w:color w:val="auto"/>
        </w:rPr>
      </w:pPr>
      <w:r w:rsidRPr="00EA7D51">
        <w:rPr>
          <w:color w:val="auto"/>
        </w:rPr>
        <w:t xml:space="preserve">The Authority intends to </w:t>
      </w:r>
      <w:proofErr w:type="gramStart"/>
      <w:r w:rsidRPr="00EA7D51">
        <w:rPr>
          <w:color w:val="auto"/>
        </w:rPr>
        <w:t>enter into</w:t>
      </w:r>
      <w:proofErr w:type="gramEnd"/>
      <w:r w:rsidRPr="00EA7D51">
        <w:rPr>
          <w:color w:val="auto"/>
        </w:rPr>
        <w:t xml:space="preserve"> a contract with th</w:t>
      </w:r>
      <w:r w:rsidR="00CC4072" w:rsidRPr="00EA7D51">
        <w:rPr>
          <w:color w:val="auto"/>
        </w:rPr>
        <w:t xml:space="preserve">e successful Bidder on the </w:t>
      </w:r>
      <w:r w:rsidR="00BF698B" w:rsidRPr="00EA7D51">
        <w:rPr>
          <w:color w:val="auto"/>
        </w:rPr>
        <w:t>Terms and C</w:t>
      </w:r>
      <w:r w:rsidRPr="00EA7D51">
        <w:rPr>
          <w:color w:val="auto"/>
        </w:rPr>
        <w:t xml:space="preserve">onditions </w:t>
      </w:r>
      <w:r w:rsidR="00ED4669" w:rsidRPr="00EA7D51">
        <w:rPr>
          <w:color w:val="auto"/>
        </w:rPr>
        <w:t xml:space="preserve">for the </w:t>
      </w:r>
      <w:r w:rsidR="00947F10" w:rsidRPr="00EA7D51">
        <w:rPr>
          <w:color w:val="auto"/>
        </w:rPr>
        <w:t>NEC</w:t>
      </w:r>
      <w:r w:rsidR="008E37B1" w:rsidRPr="00EA7D51">
        <w:rPr>
          <w:color w:val="auto"/>
        </w:rPr>
        <w:t>4</w:t>
      </w:r>
      <w:r w:rsidR="00947F10" w:rsidRPr="00EA7D51">
        <w:rPr>
          <w:color w:val="auto"/>
        </w:rPr>
        <w:t xml:space="preserve"> ECSC </w:t>
      </w:r>
      <w:r w:rsidR="00ED4669" w:rsidRPr="00EA7D51">
        <w:rPr>
          <w:color w:val="auto"/>
        </w:rPr>
        <w:t>Contract</w:t>
      </w:r>
      <w:r w:rsidR="00EA7D51">
        <w:rPr>
          <w:color w:val="auto"/>
        </w:rPr>
        <w:t>.</w:t>
      </w:r>
      <w:r w:rsidR="00ED4669" w:rsidRPr="00EA7D51">
        <w:rPr>
          <w:color w:val="auto"/>
        </w:rPr>
        <w:t xml:space="preserve"> </w:t>
      </w:r>
    </w:p>
    <w:p w14:paraId="20C7399A" w14:textId="74B91365" w:rsidR="005E4E9D" w:rsidRPr="0077082F" w:rsidRDefault="005E4E9D" w:rsidP="005E4E9D">
      <w:pPr>
        <w:pStyle w:val="Body1"/>
        <w:ind w:left="0"/>
        <w:rPr>
          <w:i/>
          <w:color w:val="808080" w:themeColor="background1" w:themeShade="80"/>
          <w:highlight w:val="red"/>
        </w:rPr>
      </w:pPr>
    </w:p>
    <w:p w14:paraId="20C7399B" w14:textId="77777777" w:rsidR="005E4E9D" w:rsidRPr="0077082F" w:rsidRDefault="005E4E9D" w:rsidP="005E4E9D">
      <w:pPr>
        <w:pStyle w:val="Body1"/>
        <w:ind w:left="0"/>
        <w:rPr>
          <w:i/>
          <w:color w:val="808080" w:themeColor="background1" w:themeShade="80"/>
          <w:highlight w:val="red"/>
        </w:rPr>
      </w:pPr>
    </w:p>
    <w:p w14:paraId="20C7399C" w14:textId="77777777" w:rsidR="005E4E9D" w:rsidRPr="0077082F" w:rsidRDefault="005E4E9D" w:rsidP="005E4E9D">
      <w:pPr>
        <w:pStyle w:val="Body1"/>
        <w:ind w:left="0"/>
        <w:rPr>
          <w:i/>
          <w:color w:val="808080" w:themeColor="background1" w:themeShade="80"/>
          <w:highlight w:val="red"/>
        </w:rPr>
      </w:pPr>
    </w:p>
    <w:p w14:paraId="20C739A4" w14:textId="7D52934B" w:rsidR="00CF6718" w:rsidRPr="002B3360" w:rsidRDefault="00CF6718" w:rsidP="002B3360">
      <w:pPr>
        <w:pStyle w:val="Body1"/>
        <w:ind w:left="0"/>
        <w:rPr>
          <w:b/>
          <w:highlight w:val="red"/>
        </w:rPr>
      </w:pPr>
    </w:p>
    <w:sectPr w:rsidR="00CF6718" w:rsidRPr="002B3360" w:rsidSect="00B02442">
      <w:footerReference w:type="default" r:id="rId20"/>
      <w:footerReference w:type="first" r:id="rId21"/>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2F72" w14:textId="77777777" w:rsidR="00AD1926" w:rsidRDefault="00AD1926" w:rsidP="00C82318">
      <w:r>
        <w:separator/>
      </w:r>
    </w:p>
  </w:endnote>
  <w:endnote w:type="continuationSeparator" w:id="0">
    <w:p w14:paraId="2E9E484F" w14:textId="77777777" w:rsidR="00AD1926" w:rsidRDefault="00AD1926"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39F8" w14:textId="55917BAC"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2532E6" w:rsidRDefault="002532E6">
    <w:pPr>
      <w:pStyle w:val="Footer"/>
      <w:jc w:val="center"/>
    </w:pPr>
  </w:p>
  <w:p w14:paraId="20C739FA" w14:textId="77777777" w:rsidR="002532E6" w:rsidRDefault="002532E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39FC" w14:textId="77777777" w:rsidR="002532E6" w:rsidRDefault="002532E6">
    <w:pPr>
      <w:pStyle w:val="Footer"/>
      <w:jc w:val="center"/>
    </w:pPr>
  </w:p>
  <w:p w14:paraId="20C739FD" w14:textId="77777777" w:rsidR="002532E6" w:rsidRDefault="0025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249746"/>
      <w:docPartObj>
        <w:docPartGallery w:val="Page Numbers (Bottom of Page)"/>
        <w:docPartUnique/>
      </w:docPartObj>
    </w:sdtPr>
    <w:sdtEndPr>
      <w:rPr>
        <w:noProof/>
      </w:rPr>
    </w:sdtEndPr>
    <w:sdtContent>
      <w:p w14:paraId="20C739FE" w14:textId="2CCBEA64"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sidR="009D71FB">
          <w:rPr>
            <w:color w:val="808080" w:themeColor="background1" w:themeShade="80"/>
          </w:rPr>
          <w:t>June 2021</w:t>
        </w:r>
        <w:r>
          <w:rPr>
            <w:color w:val="808080" w:themeColor="background1" w:themeShade="80"/>
          </w:rPr>
          <w:t>/PCR 2015</w:t>
        </w:r>
        <w:r w:rsidRPr="00100953">
          <w:rPr>
            <w:color w:val="808080" w:themeColor="background1" w:themeShade="80"/>
          </w:rPr>
          <w:t>)</w:t>
        </w:r>
      </w:p>
      <w:p w14:paraId="20C739FF" w14:textId="77777777" w:rsidR="002532E6" w:rsidRDefault="002532E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0C73A00" w14:textId="77777777" w:rsidR="002532E6" w:rsidRDefault="002532E6"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6238"/>
      <w:docPartObj>
        <w:docPartGallery w:val="Page Numbers (Bottom of Page)"/>
        <w:docPartUnique/>
      </w:docPartObj>
    </w:sdtPr>
    <w:sdtEndPr>
      <w:rPr>
        <w:noProof/>
      </w:rPr>
    </w:sdtEndPr>
    <w:sdtContent>
      <w:p w14:paraId="20C73A01" w14:textId="63628EB3"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77777777" w:rsidR="002532E6" w:rsidRDefault="002532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C73A03" w14:textId="77777777" w:rsidR="002532E6" w:rsidRDefault="0025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4D56" w14:textId="77777777" w:rsidR="00AD1926" w:rsidRDefault="00AD1926" w:rsidP="00C82318">
      <w:r>
        <w:separator/>
      </w:r>
    </w:p>
  </w:footnote>
  <w:footnote w:type="continuationSeparator" w:id="0">
    <w:p w14:paraId="59EBFE5E" w14:textId="77777777" w:rsidR="00AD1926" w:rsidRDefault="00AD1926" w:rsidP="00C82318">
      <w:r>
        <w:continuationSeparator/>
      </w:r>
    </w:p>
  </w:footnote>
  <w:footnote w:id="1">
    <w:p w14:paraId="24111D5F" w14:textId="77777777" w:rsidR="002532E6" w:rsidRDefault="002532E6"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2532E6" w:rsidRPr="001409AB" w:rsidRDefault="002532E6" w:rsidP="00134D04">
      <w:pPr>
        <w:pStyle w:val="FootnoteText"/>
        <w:rPr>
          <w:sz w:val="16"/>
          <w:szCs w:val="16"/>
        </w:rPr>
      </w:pPr>
      <w:hyperlink r:id="rId1" w:history="1">
        <w:r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39FB" w14:textId="77777777" w:rsidR="002532E6" w:rsidRPr="001A0E3F" w:rsidRDefault="002532E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3F58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A604E3"/>
    <w:multiLevelType w:val="multilevel"/>
    <w:tmpl w:val="DC94D61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467C15"/>
    <w:multiLevelType w:val="multilevel"/>
    <w:tmpl w:val="E236E74C"/>
    <w:lvl w:ilvl="0">
      <w:start w:val="1"/>
      <w:numFmt w:val="decimal"/>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8"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542866733">
    <w:abstractNumId w:val="6"/>
  </w:num>
  <w:num w:numId="2" w16cid:durableId="568806435">
    <w:abstractNumId w:val="4"/>
  </w:num>
  <w:num w:numId="3" w16cid:durableId="2033922416">
    <w:abstractNumId w:val="17"/>
  </w:num>
  <w:num w:numId="4" w16cid:durableId="1232929886">
    <w:abstractNumId w:val="19"/>
  </w:num>
  <w:num w:numId="5" w16cid:durableId="806168337">
    <w:abstractNumId w:val="19"/>
  </w:num>
  <w:num w:numId="6" w16cid:durableId="641230946">
    <w:abstractNumId w:val="2"/>
  </w:num>
  <w:num w:numId="7" w16cid:durableId="298725534">
    <w:abstractNumId w:val="10"/>
  </w:num>
  <w:num w:numId="8" w16cid:durableId="2100786875">
    <w:abstractNumId w:val="25"/>
  </w:num>
  <w:num w:numId="9" w16cid:durableId="564995267">
    <w:abstractNumId w:val="0"/>
  </w:num>
  <w:num w:numId="10" w16cid:durableId="167839320">
    <w:abstractNumId w:val="30"/>
  </w:num>
  <w:num w:numId="11" w16cid:durableId="66343998">
    <w:abstractNumId w:val="22"/>
  </w:num>
  <w:num w:numId="12" w16cid:durableId="1903130314">
    <w:abstractNumId w:val="23"/>
  </w:num>
  <w:num w:numId="13" w16cid:durableId="1710883178">
    <w:abstractNumId w:val="27"/>
  </w:num>
  <w:num w:numId="14" w16cid:durableId="1121730249">
    <w:abstractNumId w:val="9"/>
  </w:num>
  <w:num w:numId="15" w16cid:durableId="1778870159">
    <w:abstractNumId w:val="11"/>
  </w:num>
  <w:num w:numId="16" w16cid:durableId="1589195893">
    <w:abstractNumId w:val="31"/>
  </w:num>
  <w:num w:numId="17" w16cid:durableId="1293829862">
    <w:abstractNumId w:val="15"/>
  </w:num>
  <w:num w:numId="18" w16cid:durableId="566578244">
    <w:abstractNumId w:val="26"/>
  </w:num>
  <w:num w:numId="19" w16cid:durableId="1206991866">
    <w:abstractNumId w:val="1"/>
  </w:num>
  <w:num w:numId="20" w16cid:durableId="414398038">
    <w:abstractNumId w:val="3"/>
  </w:num>
  <w:num w:numId="21" w16cid:durableId="1441222889">
    <w:abstractNumId w:val="16"/>
  </w:num>
  <w:num w:numId="22" w16cid:durableId="1411655483">
    <w:abstractNumId w:val="24"/>
  </w:num>
  <w:num w:numId="23" w16cid:durableId="406849029">
    <w:abstractNumId w:val="14"/>
  </w:num>
  <w:num w:numId="24" w16cid:durableId="608467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208925">
    <w:abstractNumId w:val="32"/>
  </w:num>
  <w:num w:numId="26" w16cid:durableId="1390837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621618">
    <w:abstractNumId w:val="5"/>
  </w:num>
  <w:num w:numId="28" w16cid:durableId="604655068">
    <w:abstractNumId w:val="21"/>
  </w:num>
  <w:num w:numId="29" w16cid:durableId="91442028">
    <w:abstractNumId w:val="7"/>
  </w:num>
  <w:num w:numId="30" w16cid:durableId="1305743757">
    <w:abstractNumId w:val="18"/>
  </w:num>
  <w:num w:numId="31" w16cid:durableId="732234015">
    <w:abstractNumId w:val="12"/>
  </w:num>
  <w:num w:numId="32" w16cid:durableId="2117169393">
    <w:abstractNumId w:val="28"/>
  </w:num>
  <w:num w:numId="33" w16cid:durableId="518543304">
    <w:abstractNumId w:val="29"/>
  </w:num>
  <w:num w:numId="34" w16cid:durableId="228349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826946">
    <w:abstractNumId w:val="8"/>
  </w:num>
  <w:num w:numId="36" w16cid:durableId="33622525">
    <w:abstractNumId w:val="20"/>
  </w:num>
  <w:num w:numId="37" w16cid:durableId="96724739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D07"/>
    <w:rsid w:val="000052A2"/>
    <w:rsid w:val="00007458"/>
    <w:rsid w:val="00010DCA"/>
    <w:rsid w:val="00011F20"/>
    <w:rsid w:val="00012219"/>
    <w:rsid w:val="0001507C"/>
    <w:rsid w:val="00017AD9"/>
    <w:rsid w:val="000226A1"/>
    <w:rsid w:val="00030477"/>
    <w:rsid w:val="00030FC3"/>
    <w:rsid w:val="000320FF"/>
    <w:rsid w:val="000330DE"/>
    <w:rsid w:val="000354F5"/>
    <w:rsid w:val="00036C7D"/>
    <w:rsid w:val="00040181"/>
    <w:rsid w:val="00041C11"/>
    <w:rsid w:val="0005222A"/>
    <w:rsid w:val="00053672"/>
    <w:rsid w:val="00060F58"/>
    <w:rsid w:val="000627AD"/>
    <w:rsid w:val="00064A63"/>
    <w:rsid w:val="00065291"/>
    <w:rsid w:val="00070790"/>
    <w:rsid w:val="00076883"/>
    <w:rsid w:val="00076CFE"/>
    <w:rsid w:val="000800FA"/>
    <w:rsid w:val="00081B88"/>
    <w:rsid w:val="000831C0"/>
    <w:rsid w:val="00083AC5"/>
    <w:rsid w:val="00083FF9"/>
    <w:rsid w:val="000849EC"/>
    <w:rsid w:val="00087CBF"/>
    <w:rsid w:val="00090A40"/>
    <w:rsid w:val="00094EC7"/>
    <w:rsid w:val="00097408"/>
    <w:rsid w:val="000974B1"/>
    <w:rsid w:val="000A0DF7"/>
    <w:rsid w:val="000A1883"/>
    <w:rsid w:val="000A4844"/>
    <w:rsid w:val="000B1075"/>
    <w:rsid w:val="000B31A2"/>
    <w:rsid w:val="000C031E"/>
    <w:rsid w:val="000C4455"/>
    <w:rsid w:val="000C5A46"/>
    <w:rsid w:val="000C7354"/>
    <w:rsid w:val="000D1451"/>
    <w:rsid w:val="000D5CAA"/>
    <w:rsid w:val="000D6F5F"/>
    <w:rsid w:val="000D768A"/>
    <w:rsid w:val="000D7C50"/>
    <w:rsid w:val="000E0132"/>
    <w:rsid w:val="000E07E4"/>
    <w:rsid w:val="000E189B"/>
    <w:rsid w:val="000E363E"/>
    <w:rsid w:val="000E408B"/>
    <w:rsid w:val="000E5634"/>
    <w:rsid w:val="000E56A8"/>
    <w:rsid w:val="000E5C37"/>
    <w:rsid w:val="000E7265"/>
    <w:rsid w:val="000E7C13"/>
    <w:rsid w:val="000F79D6"/>
    <w:rsid w:val="0010037F"/>
    <w:rsid w:val="001039C4"/>
    <w:rsid w:val="00105BDB"/>
    <w:rsid w:val="001065C5"/>
    <w:rsid w:val="001104F2"/>
    <w:rsid w:val="00112B59"/>
    <w:rsid w:val="00113020"/>
    <w:rsid w:val="00116860"/>
    <w:rsid w:val="001215FE"/>
    <w:rsid w:val="0012295A"/>
    <w:rsid w:val="00127E19"/>
    <w:rsid w:val="00130B5F"/>
    <w:rsid w:val="00131271"/>
    <w:rsid w:val="001338B0"/>
    <w:rsid w:val="00134D04"/>
    <w:rsid w:val="00134E47"/>
    <w:rsid w:val="00136596"/>
    <w:rsid w:val="001375C3"/>
    <w:rsid w:val="0013762C"/>
    <w:rsid w:val="00140169"/>
    <w:rsid w:val="00145A4D"/>
    <w:rsid w:val="00151149"/>
    <w:rsid w:val="00152C7C"/>
    <w:rsid w:val="001601C8"/>
    <w:rsid w:val="00161FF0"/>
    <w:rsid w:val="00162244"/>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1FC8"/>
    <w:rsid w:val="001D268B"/>
    <w:rsid w:val="001D5911"/>
    <w:rsid w:val="001D79DD"/>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0B3"/>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408C"/>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360"/>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3003CB"/>
    <w:rsid w:val="00302870"/>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2053"/>
    <w:rsid w:val="00343763"/>
    <w:rsid w:val="00345B84"/>
    <w:rsid w:val="00345E83"/>
    <w:rsid w:val="00347CA3"/>
    <w:rsid w:val="003549F4"/>
    <w:rsid w:val="0035766D"/>
    <w:rsid w:val="00362AE0"/>
    <w:rsid w:val="00366F30"/>
    <w:rsid w:val="003702BE"/>
    <w:rsid w:val="0038098B"/>
    <w:rsid w:val="00390E8B"/>
    <w:rsid w:val="003A031F"/>
    <w:rsid w:val="003A0A98"/>
    <w:rsid w:val="003A0D57"/>
    <w:rsid w:val="003A1D39"/>
    <w:rsid w:val="003A1E3E"/>
    <w:rsid w:val="003A2543"/>
    <w:rsid w:val="003A5CAB"/>
    <w:rsid w:val="003B0F3B"/>
    <w:rsid w:val="003B7C51"/>
    <w:rsid w:val="003B7E1D"/>
    <w:rsid w:val="003C35CA"/>
    <w:rsid w:val="003C3C19"/>
    <w:rsid w:val="003D6B24"/>
    <w:rsid w:val="003E082E"/>
    <w:rsid w:val="003E1425"/>
    <w:rsid w:val="003E3276"/>
    <w:rsid w:val="003E3454"/>
    <w:rsid w:val="003E3EE7"/>
    <w:rsid w:val="003E6047"/>
    <w:rsid w:val="004010FB"/>
    <w:rsid w:val="00401301"/>
    <w:rsid w:val="00401D33"/>
    <w:rsid w:val="00401FF0"/>
    <w:rsid w:val="0040342C"/>
    <w:rsid w:val="004164C8"/>
    <w:rsid w:val="004230E7"/>
    <w:rsid w:val="00424A57"/>
    <w:rsid w:val="004251F8"/>
    <w:rsid w:val="00425400"/>
    <w:rsid w:val="004270D9"/>
    <w:rsid w:val="00430158"/>
    <w:rsid w:val="004411D8"/>
    <w:rsid w:val="00442895"/>
    <w:rsid w:val="00453A99"/>
    <w:rsid w:val="00456FE6"/>
    <w:rsid w:val="00457D9A"/>
    <w:rsid w:val="00461A05"/>
    <w:rsid w:val="00465EF9"/>
    <w:rsid w:val="004736F8"/>
    <w:rsid w:val="00480513"/>
    <w:rsid w:val="004834F5"/>
    <w:rsid w:val="00486F32"/>
    <w:rsid w:val="004900DB"/>
    <w:rsid w:val="00490EBA"/>
    <w:rsid w:val="00491808"/>
    <w:rsid w:val="00493134"/>
    <w:rsid w:val="00496B53"/>
    <w:rsid w:val="004B1A24"/>
    <w:rsid w:val="004B6544"/>
    <w:rsid w:val="004C3605"/>
    <w:rsid w:val="004C3B98"/>
    <w:rsid w:val="004C58D8"/>
    <w:rsid w:val="004D1477"/>
    <w:rsid w:val="004D33A7"/>
    <w:rsid w:val="004E1ABD"/>
    <w:rsid w:val="004E51D1"/>
    <w:rsid w:val="004E71FF"/>
    <w:rsid w:val="004E775C"/>
    <w:rsid w:val="004E78AB"/>
    <w:rsid w:val="004F02F9"/>
    <w:rsid w:val="004F1B68"/>
    <w:rsid w:val="004F391B"/>
    <w:rsid w:val="00503BB6"/>
    <w:rsid w:val="00504FA1"/>
    <w:rsid w:val="00505AD7"/>
    <w:rsid w:val="00520787"/>
    <w:rsid w:val="005207B7"/>
    <w:rsid w:val="00523CAB"/>
    <w:rsid w:val="005242B2"/>
    <w:rsid w:val="005275E6"/>
    <w:rsid w:val="005308BB"/>
    <w:rsid w:val="00533CB2"/>
    <w:rsid w:val="0053546C"/>
    <w:rsid w:val="00541CDA"/>
    <w:rsid w:val="00546A49"/>
    <w:rsid w:val="00547486"/>
    <w:rsid w:val="00550EFF"/>
    <w:rsid w:val="00556A0A"/>
    <w:rsid w:val="00556B66"/>
    <w:rsid w:val="00557DBA"/>
    <w:rsid w:val="00561F1C"/>
    <w:rsid w:val="00562B64"/>
    <w:rsid w:val="00570C7F"/>
    <w:rsid w:val="005717F4"/>
    <w:rsid w:val="00581A29"/>
    <w:rsid w:val="00585FA5"/>
    <w:rsid w:val="00586837"/>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C9F"/>
    <w:rsid w:val="00600BCE"/>
    <w:rsid w:val="00601937"/>
    <w:rsid w:val="006032F2"/>
    <w:rsid w:val="00603452"/>
    <w:rsid w:val="00603A0D"/>
    <w:rsid w:val="00610AC8"/>
    <w:rsid w:val="00611712"/>
    <w:rsid w:val="00612B4A"/>
    <w:rsid w:val="00623252"/>
    <w:rsid w:val="00630843"/>
    <w:rsid w:val="00631612"/>
    <w:rsid w:val="00636468"/>
    <w:rsid w:val="00636EAB"/>
    <w:rsid w:val="00637C62"/>
    <w:rsid w:val="0064273C"/>
    <w:rsid w:val="00643075"/>
    <w:rsid w:val="0064464B"/>
    <w:rsid w:val="00645517"/>
    <w:rsid w:val="00647144"/>
    <w:rsid w:val="00647ADF"/>
    <w:rsid w:val="006501D8"/>
    <w:rsid w:val="0065066E"/>
    <w:rsid w:val="00651438"/>
    <w:rsid w:val="00652792"/>
    <w:rsid w:val="006534CF"/>
    <w:rsid w:val="00653DCC"/>
    <w:rsid w:val="006550B3"/>
    <w:rsid w:val="006705FE"/>
    <w:rsid w:val="00675E19"/>
    <w:rsid w:val="00680879"/>
    <w:rsid w:val="00682A9B"/>
    <w:rsid w:val="006856A7"/>
    <w:rsid w:val="00690AAF"/>
    <w:rsid w:val="0069159F"/>
    <w:rsid w:val="00692B07"/>
    <w:rsid w:val="00693E67"/>
    <w:rsid w:val="00694024"/>
    <w:rsid w:val="00696981"/>
    <w:rsid w:val="006A3BFB"/>
    <w:rsid w:val="006A7F8F"/>
    <w:rsid w:val="006B3EFA"/>
    <w:rsid w:val="006B54D6"/>
    <w:rsid w:val="006B60E4"/>
    <w:rsid w:val="006C158D"/>
    <w:rsid w:val="006C1E7E"/>
    <w:rsid w:val="006C2542"/>
    <w:rsid w:val="006C6F4A"/>
    <w:rsid w:val="006D186C"/>
    <w:rsid w:val="006D2CD0"/>
    <w:rsid w:val="006D312E"/>
    <w:rsid w:val="006E13AD"/>
    <w:rsid w:val="006E2D76"/>
    <w:rsid w:val="006E3892"/>
    <w:rsid w:val="006E500B"/>
    <w:rsid w:val="006E7E7E"/>
    <w:rsid w:val="006F4A5B"/>
    <w:rsid w:val="006F6ABF"/>
    <w:rsid w:val="006F782D"/>
    <w:rsid w:val="00700551"/>
    <w:rsid w:val="0070095E"/>
    <w:rsid w:val="0070356D"/>
    <w:rsid w:val="00703A4B"/>
    <w:rsid w:val="00706A06"/>
    <w:rsid w:val="00712D99"/>
    <w:rsid w:val="0071468F"/>
    <w:rsid w:val="007215CD"/>
    <w:rsid w:val="00721F4F"/>
    <w:rsid w:val="00727643"/>
    <w:rsid w:val="007301E9"/>
    <w:rsid w:val="00730C14"/>
    <w:rsid w:val="0073556F"/>
    <w:rsid w:val="00737549"/>
    <w:rsid w:val="00740710"/>
    <w:rsid w:val="00740C0F"/>
    <w:rsid w:val="00742A8D"/>
    <w:rsid w:val="00746CCF"/>
    <w:rsid w:val="00750F40"/>
    <w:rsid w:val="0075474E"/>
    <w:rsid w:val="0075483B"/>
    <w:rsid w:val="00763B00"/>
    <w:rsid w:val="0077082F"/>
    <w:rsid w:val="0077089B"/>
    <w:rsid w:val="007724D1"/>
    <w:rsid w:val="007779DB"/>
    <w:rsid w:val="007829E9"/>
    <w:rsid w:val="00785747"/>
    <w:rsid w:val="00785D65"/>
    <w:rsid w:val="00785DDF"/>
    <w:rsid w:val="00791CF0"/>
    <w:rsid w:val="0079332F"/>
    <w:rsid w:val="007A3602"/>
    <w:rsid w:val="007B03E7"/>
    <w:rsid w:val="007B2282"/>
    <w:rsid w:val="007B6206"/>
    <w:rsid w:val="007B74E1"/>
    <w:rsid w:val="007C0526"/>
    <w:rsid w:val="007C198C"/>
    <w:rsid w:val="007C2491"/>
    <w:rsid w:val="007C2F2F"/>
    <w:rsid w:val="007C364A"/>
    <w:rsid w:val="007C3AE6"/>
    <w:rsid w:val="007D7562"/>
    <w:rsid w:val="007E1147"/>
    <w:rsid w:val="007E124C"/>
    <w:rsid w:val="007E269D"/>
    <w:rsid w:val="007E379F"/>
    <w:rsid w:val="007F4135"/>
    <w:rsid w:val="007F5F02"/>
    <w:rsid w:val="00807CF7"/>
    <w:rsid w:val="00811FA0"/>
    <w:rsid w:val="00814588"/>
    <w:rsid w:val="00815813"/>
    <w:rsid w:val="00816028"/>
    <w:rsid w:val="00824926"/>
    <w:rsid w:val="00824E99"/>
    <w:rsid w:val="00825FC5"/>
    <w:rsid w:val="008306CC"/>
    <w:rsid w:val="00830FE1"/>
    <w:rsid w:val="00831204"/>
    <w:rsid w:val="00831521"/>
    <w:rsid w:val="008347D9"/>
    <w:rsid w:val="0083677A"/>
    <w:rsid w:val="008371D6"/>
    <w:rsid w:val="008413F3"/>
    <w:rsid w:val="00844254"/>
    <w:rsid w:val="00846B8F"/>
    <w:rsid w:val="008523D8"/>
    <w:rsid w:val="00852A24"/>
    <w:rsid w:val="00852C8E"/>
    <w:rsid w:val="008543D2"/>
    <w:rsid w:val="00861604"/>
    <w:rsid w:val="0086296C"/>
    <w:rsid w:val="00863629"/>
    <w:rsid w:val="008644BC"/>
    <w:rsid w:val="0087001B"/>
    <w:rsid w:val="008700B3"/>
    <w:rsid w:val="00871C8E"/>
    <w:rsid w:val="008731E8"/>
    <w:rsid w:val="00873854"/>
    <w:rsid w:val="00874EA8"/>
    <w:rsid w:val="00876C2C"/>
    <w:rsid w:val="008824CC"/>
    <w:rsid w:val="008852C8"/>
    <w:rsid w:val="0088639D"/>
    <w:rsid w:val="00891FFA"/>
    <w:rsid w:val="00893339"/>
    <w:rsid w:val="00897556"/>
    <w:rsid w:val="0089780F"/>
    <w:rsid w:val="008A00B3"/>
    <w:rsid w:val="008A01C3"/>
    <w:rsid w:val="008A56A2"/>
    <w:rsid w:val="008B0CA8"/>
    <w:rsid w:val="008B2936"/>
    <w:rsid w:val="008D2128"/>
    <w:rsid w:val="008D3217"/>
    <w:rsid w:val="008E2B30"/>
    <w:rsid w:val="008E363A"/>
    <w:rsid w:val="008E37B1"/>
    <w:rsid w:val="008E6BB3"/>
    <w:rsid w:val="008E6EC7"/>
    <w:rsid w:val="008E7D63"/>
    <w:rsid w:val="008E7E5A"/>
    <w:rsid w:val="008E7F55"/>
    <w:rsid w:val="008F25B4"/>
    <w:rsid w:val="008F3D2C"/>
    <w:rsid w:val="008F6885"/>
    <w:rsid w:val="008F79E8"/>
    <w:rsid w:val="00901017"/>
    <w:rsid w:val="0090173A"/>
    <w:rsid w:val="00905CAE"/>
    <w:rsid w:val="00911444"/>
    <w:rsid w:val="00912243"/>
    <w:rsid w:val="00914926"/>
    <w:rsid w:val="009158CB"/>
    <w:rsid w:val="009238E8"/>
    <w:rsid w:val="0092512E"/>
    <w:rsid w:val="0092538F"/>
    <w:rsid w:val="0092698E"/>
    <w:rsid w:val="0093337B"/>
    <w:rsid w:val="009349DC"/>
    <w:rsid w:val="00935045"/>
    <w:rsid w:val="009353CA"/>
    <w:rsid w:val="00944251"/>
    <w:rsid w:val="009443CF"/>
    <w:rsid w:val="009464EA"/>
    <w:rsid w:val="00947820"/>
    <w:rsid w:val="00947F1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82C42"/>
    <w:rsid w:val="009852C1"/>
    <w:rsid w:val="00986ACE"/>
    <w:rsid w:val="00986C82"/>
    <w:rsid w:val="00990CF5"/>
    <w:rsid w:val="00993534"/>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4D46"/>
    <w:rsid w:val="009E70CC"/>
    <w:rsid w:val="009F2165"/>
    <w:rsid w:val="009F7574"/>
    <w:rsid w:val="009F79AA"/>
    <w:rsid w:val="00A01B1E"/>
    <w:rsid w:val="00A04307"/>
    <w:rsid w:val="00A109FC"/>
    <w:rsid w:val="00A14C3B"/>
    <w:rsid w:val="00A15ADC"/>
    <w:rsid w:val="00A21DFB"/>
    <w:rsid w:val="00A242B7"/>
    <w:rsid w:val="00A30764"/>
    <w:rsid w:val="00A3127A"/>
    <w:rsid w:val="00A34191"/>
    <w:rsid w:val="00A432D4"/>
    <w:rsid w:val="00A4489A"/>
    <w:rsid w:val="00A45754"/>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38BF"/>
    <w:rsid w:val="00AE4005"/>
    <w:rsid w:val="00AE4ABC"/>
    <w:rsid w:val="00AE7ABC"/>
    <w:rsid w:val="00AF3418"/>
    <w:rsid w:val="00AF3925"/>
    <w:rsid w:val="00AF5CF2"/>
    <w:rsid w:val="00AF6234"/>
    <w:rsid w:val="00B00C70"/>
    <w:rsid w:val="00B02442"/>
    <w:rsid w:val="00B12F1E"/>
    <w:rsid w:val="00B30006"/>
    <w:rsid w:val="00B33B1E"/>
    <w:rsid w:val="00B33EB1"/>
    <w:rsid w:val="00B35665"/>
    <w:rsid w:val="00B42156"/>
    <w:rsid w:val="00B44457"/>
    <w:rsid w:val="00B44E25"/>
    <w:rsid w:val="00B45130"/>
    <w:rsid w:val="00B46DA5"/>
    <w:rsid w:val="00B471B3"/>
    <w:rsid w:val="00B50EAD"/>
    <w:rsid w:val="00B51C48"/>
    <w:rsid w:val="00B61061"/>
    <w:rsid w:val="00B667F9"/>
    <w:rsid w:val="00B754B0"/>
    <w:rsid w:val="00B80A50"/>
    <w:rsid w:val="00B853EE"/>
    <w:rsid w:val="00B863A2"/>
    <w:rsid w:val="00B97D75"/>
    <w:rsid w:val="00BA0984"/>
    <w:rsid w:val="00BA09A1"/>
    <w:rsid w:val="00BA0AB7"/>
    <w:rsid w:val="00BA173E"/>
    <w:rsid w:val="00BA1850"/>
    <w:rsid w:val="00BB03F9"/>
    <w:rsid w:val="00BB233A"/>
    <w:rsid w:val="00BC2A7C"/>
    <w:rsid w:val="00BC373F"/>
    <w:rsid w:val="00BC39C2"/>
    <w:rsid w:val="00BC4757"/>
    <w:rsid w:val="00BC5E86"/>
    <w:rsid w:val="00BD09FF"/>
    <w:rsid w:val="00BD1F42"/>
    <w:rsid w:val="00BD29A8"/>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010F"/>
    <w:rsid w:val="00C12C7F"/>
    <w:rsid w:val="00C1440D"/>
    <w:rsid w:val="00C14AA9"/>
    <w:rsid w:val="00C14D48"/>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71B3"/>
    <w:rsid w:val="00C573A4"/>
    <w:rsid w:val="00C577E6"/>
    <w:rsid w:val="00C66EE9"/>
    <w:rsid w:val="00C7276F"/>
    <w:rsid w:val="00C76F69"/>
    <w:rsid w:val="00C77F13"/>
    <w:rsid w:val="00C80692"/>
    <w:rsid w:val="00C81A31"/>
    <w:rsid w:val="00C82318"/>
    <w:rsid w:val="00C83805"/>
    <w:rsid w:val="00C863F5"/>
    <w:rsid w:val="00C9108B"/>
    <w:rsid w:val="00C92F81"/>
    <w:rsid w:val="00C95CD4"/>
    <w:rsid w:val="00CA690D"/>
    <w:rsid w:val="00CA6C8A"/>
    <w:rsid w:val="00CB1B63"/>
    <w:rsid w:val="00CB59C3"/>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CF7B4E"/>
    <w:rsid w:val="00D00766"/>
    <w:rsid w:val="00D11BC1"/>
    <w:rsid w:val="00D134FB"/>
    <w:rsid w:val="00D146E1"/>
    <w:rsid w:val="00D27579"/>
    <w:rsid w:val="00D27683"/>
    <w:rsid w:val="00D3206D"/>
    <w:rsid w:val="00D3489C"/>
    <w:rsid w:val="00D375C0"/>
    <w:rsid w:val="00D4251F"/>
    <w:rsid w:val="00D433DF"/>
    <w:rsid w:val="00D64977"/>
    <w:rsid w:val="00D64EA9"/>
    <w:rsid w:val="00D66B01"/>
    <w:rsid w:val="00D77AFC"/>
    <w:rsid w:val="00D82A34"/>
    <w:rsid w:val="00D86D03"/>
    <w:rsid w:val="00D91E2C"/>
    <w:rsid w:val="00D92C7C"/>
    <w:rsid w:val="00D938CE"/>
    <w:rsid w:val="00D944E3"/>
    <w:rsid w:val="00D94FBD"/>
    <w:rsid w:val="00D9565A"/>
    <w:rsid w:val="00D95FE4"/>
    <w:rsid w:val="00DA07F4"/>
    <w:rsid w:val="00DA1E23"/>
    <w:rsid w:val="00DA7146"/>
    <w:rsid w:val="00DB5CBF"/>
    <w:rsid w:val="00DB6EAC"/>
    <w:rsid w:val="00DC0F21"/>
    <w:rsid w:val="00DC3206"/>
    <w:rsid w:val="00DC6E9A"/>
    <w:rsid w:val="00DD5A7F"/>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141CB"/>
    <w:rsid w:val="00E17A66"/>
    <w:rsid w:val="00E20603"/>
    <w:rsid w:val="00E2328D"/>
    <w:rsid w:val="00E23574"/>
    <w:rsid w:val="00E271B9"/>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A7D51"/>
    <w:rsid w:val="00EB00F8"/>
    <w:rsid w:val="00ED0968"/>
    <w:rsid w:val="00ED2376"/>
    <w:rsid w:val="00ED44A8"/>
    <w:rsid w:val="00ED4669"/>
    <w:rsid w:val="00EE2543"/>
    <w:rsid w:val="00EE3A88"/>
    <w:rsid w:val="00EE3E27"/>
    <w:rsid w:val="00EE5E83"/>
    <w:rsid w:val="00EE5EB0"/>
    <w:rsid w:val="00EF19F5"/>
    <w:rsid w:val="00EF6D74"/>
    <w:rsid w:val="00EF71DD"/>
    <w:rsid w:val="00F00FE7"/>
    <w:rsid w:val="00F02C90"/>
    <w:rsid w:val="00F03443"/>
    <w:rsid w:val="00F102F0"/>
    <w:rsid w:val="00F10ACE"/>
    <w:rsid w:val="00F204D3"/>
    <w:rsid w:val="00F23ECD"/>
    <w:rsid w:val="00F24035"/>
    <w:rsid w:val="00F269B7"/>
    <w:rsid w:val="00F27F1F"/>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47C"/>
    <w:rsid w:val="00F7166A"/>
    <w:rsid w:val="00F721F3"/>
    <w:rsid w:val="00F72447"/>
    <w:rsid w:val="00F72C04"/>
    <w:rsid w:val="00F73857"/>
    <w:rsid w:val="00F76258"/>
    <w:rsid w:val="00F77A11"/>
    <w:rsid w:val="00F80535"/>
    <w:rsid w:val="00F81325"/>
    <w:rsid w:val="00F821A1"/>
    <w:rsid w:val="00F85C8C"/>
    <w:rsid w:val="00F867C8"/>
    <w:rsid w:val="00F9018D"/>
    <w:rsid w:val="00F91289"/>
    <w:rsid w:val="00F91F7B"/>
    <w:rsid w:val="00F92753"/>
    <w:rsid w:val="00F94E38"/>
    <w:rsid w:val="00F977E8"/>
    <w:rsid w:val="00FA1419"/>
    <w:rsid w:val="00FA504A"/>
    <w:rsid w:val="00FA69E0"/>
    <w:rsid w:val="00FA6C22"/>
    <w:rsid w:val="00FB0878"/>
    <w:rsid w:val="00FB21E9"/>
    <w:rsid w:val="00FB2FE9"/>
    <w:rsid w:val="00FB6821"/>
    <w:rsid w:val="00FB6FA0"/>
    <w:rsid w:val="00FB7F37"/>
    <w:rsid w:val="00FC24F6"/>
    <w:rsid w:val="00FC39E4"/>
    <w:rsid w:val="00FD597F"/>
    <w:rsid w:val="00FD6702"/>
    <w:rsid w:val="00FD68D3"/>
    <w:rsid w:val="00FE07BA"/>
    <w:rsid w:val="00FF0B1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C73684"/>
  <w15:docId w15:val="{E51E2C66-F212-4485-9036-BC1CF256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F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atamis-1928.my.site.com/ProSpend__CustomCommunitiesLogin?locale=uk" TargetMode="Externa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alderhey.com/RLCH/home.as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ohn.glenn@alderhey.nhs.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http://www.alderhey.com/RLCH/assets/rlch_logo.gi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c24148e6-17c8-4183-8d69-836cceffce21">
      <Terms xmlns="http://schemas.microsoft.com/office/infopath/2007/PartnerControls"/>
    </lcf76f155ced4ddcb4097134ff3c332f>
    <MediaLengthInSeconds xmlns="c24148e6-17c8-4183-8d69-836cceffc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57D495A67574EB59BED519515C184" ma:contentTypeVersion="11" ma:contentTypeDescription="Create a new document." ma:contentTypeScope="" ma:versionID="467a42cf81d0642cfdd56c20ea3cae25">
  <xsd:schema xmlns:xsd="http://www.w3.org/2001/XMLSchema" xmlns:xs="http://www.w3.org/2001/XMLSchema" xmlns:p="http://schemas.microsoft.com/office/2006/metadata/properties" xmlns:ns2="c24148e6-17c8-4183-8d69-836cceffce21" xmlns:ns3="cccaf3ac-2de9-44d4-aa31-54302fceb5f7" targetNamespace="http://schemas.microsoft.com/office/2006/metadata/properties" ma:root="true" ma:fieldsID="8db9ceb8e41c49cf2c1491a04e8f647a" ns2:_="" ns3:_="">
    <xsd:import namespace="c24148e6-17c8-4183-8d69-836cceffce21"/>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148e6-17c8-4183-8d69-836cceffc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 ds:uri="cccaf3ac-2de9-44d4-aa31-54302fceb5f7"/>
    <ds:schemaRef ds:uri="c24148e6-17c8-4183-8d69-836cceffce21"/>
  </ds:schemaRefs>
</ds:datastoreItem>
</file>

<file path=customXml/itemProps2.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3.xml><?xml version="1.0" encoding="utf-8"?>
<ds:datastoreItem xmlns:ds="http://schemas.openxmlformats.org/officeDocument/2006/customXml" ds:itemID="{B8846CC9-00F0-4CB2-A01C-AA991B08E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148e6-17c8-4183-8d69-836cceffce2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2642A-6164-4493-ACA4-70D94046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Foot Anstey (MS3)</dc:creator>
  <cp:lastModifiedBy>WILLIAMS, Jasmine (THE WALTON CENTRE NHS FOUNDATION TRUST)</cp:lastModifiedBy>
  <cp:revision>3</cp:revision>
  <cp:lastPrinted>2025-02-04T17:39:00Z</cp:lastPrinted>
  <dcterms:created xsi:type="dcterms:W3CDTF">2025-02-19T11:33:00Z</dcterms:created>
  <dcterms:modified xsi:type="dcterms:W3CDTF">2025-02-19T15:22:00Z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0x0101005AB57D495A67574EB59BED519515C184</vt:lpwstr>
  </property>
  <property fmtid="{D5CDD505-2E9C-101B-9397-08002B2CF9AE}" pid="11" name="Order">
    <vt:r8>741000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