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C3B" w14:textId="77777777" w:rsidR="00910EB9" w:rsidRDefault="006E4A1B">
      <w:r>
        <w:rPr>
          <w:noProof/>
        </w:rPr>
        <w:drawing>
          <wp:anchor distT="0" distB="0" distL="114300" distR="114300" simplePos="0" relativeHeight="251658240" behindDoc="0" locked="0" layoutInCell="1" allowOverlap="1" wp14:anchorId="496C1F5A" wp14:editId="02E12C3C">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02E12C3C" w14:textId="77777777" w:rsidR="00910EB9" w:rsidRDefault="00910EB9">
      <w:pPr>
        <w:pStyle w:val="Heading1"/>
      </w:pPr>
      <w:bookmarkStart w:id="0" w:name="_Toc32303547"/>
    </w:p>
    <w:p w14:paraId="02E12C3D" w14:textId="77777777" w:rsidR="00910EB9" w:rsidRDefault="00910EB9">
      <w:pPr>
        <w:pStyle w:val="Heading1"/>
      </w:pPr>
    </w:p>
    <w:p w14:paraId="02E12C3E" w14:textId="77777777" w:rsidR="00910EB9" w:rsidRDefault="00910EB9">
      <w:pPr>
        <w:pStyle w:val="Heading1"/>
      </w:pPr>
    </w:p>
    <w:p w14:paraId="02E12C3F" w14:textId="77777777" w:rsidR="00910EB9" w:rsidRDefault="006E4A1B">
      <w:pPr>
        <w:pStyle w:val="Heading1"/>
      </w:pPr>
      <w:bookmarkStart w:id="1" w:name="_Toc33176231"/>
      <w:bookmarkStart w:id="2" w:name="_Toc85461043"/>
      <w:r>
        <w:t>G-Cloud 12 Call-Off Contract</w:t>
      </w:r>
      <w:bookmarkEnd w:id="0"/>
      <w:bookmarkEnd w:id="1"/>
      <w:bookmarkEnd w:id="2"/>
    </w:p>
    <w:p w14:paraId="02E12C40" w14:textId="77777777" w:rsidR="00910EB9" w:rsidRDefault="00910EB9">
      <w:pPr>
        <w:rPr>
          <w:sz w:val="28"/>
          <w:szCs w:val="28"/>
        </w:rPr>
      </w:pPr>
    </w:p>
    <w:p w14:paraId="02E12C41" w14:textId="77777777" w:rsidR="00910EB9" w:rsidRDefault="00910EB9">
      <w:pPr>
        <w:rPr>
          <w:sz w:val="28"/>
          <w:szCs w:val="28"/>
        </w:rPr>
      </w:pPr>
    </w:p>
    <w:p w14:paraId="02E12C42" w14:textId="77777777" w:rsidR="00910EB9" w:rsidRPr="008107CD" w:rsidRDefault="006E4A1B">
      <w:pPr>
        <w:rPr>
          <w:rFonts w:eastAsia="Times New Roman"/>
          <w:lang w:eastAsia="en-US"/>
        </w:rPr>
      </w:pPr>
      <w:r w:rsidRPr="008107CD">
        <w:rPr>
          <w:rFonts w:eastAsia="Times New Roman"/>
          <w:lang w:eastAsia="en-US"/>
        </w:rPr>
        <w:t>This Call-Off Contract for the G-Cloud 12 Framework Agreement (RM1557.12) includes:</w:t>
      </w:r>
    </w:p>
    <w:p w14:paraId="12647777" w14:textId="1DBD1DB6" w:rsidR="008107CD" w:rsidRPr="008107CD" w:rsidRDefault="006E4A1B">
      <w:pPr>
        <w:pStyle w:val="TOC1"/>
        <w:rPr>
          <w:rFonts w:ascii="Arial" w:eastAsiaTheme="minorEastAsia" w:hAnsi="Arial" w:cs="Arial"/>
          <w:b w:val="0"/>
          <w:bCs w:val="0"/>
          <w:i w:val="0"/>
          <w:iCs w:val="0"/>
          <w:noProof/>
          <w:sz w:val="22"/>
          <w:szCs w:val="22"/>
        </w:rPr>
      </w:pPr>
      <w:r w:rsidRPr="008107CD">
        <w:rPr>
          <w:rFonts w:ascii="Arial" w:eastAsia="Arial" w:hAnsi="Arial" w:cs="Arial"/>
          <w:b w:val="0"/>
          <w:bCs w:val="0"/>
          <w:i w:val="0"/>
          <w:iCs w:val="0"/>
          <w:sz w:val="22"/>
          <w:szCs w:val="22"/>
        </w:rPr>
        <w:fldChar w:fldCharType="begin"/>
      </w:r>
      <w:r w:rsidRPr="008107CD">
        <w:rPr>
          <w:rFonts w:ascii="Arial" w:hAnsi="Arial" w:cs="Arial"/>
          <w:sz w:val="22"/>
          <w:szCs w:val="22"/>
        </w:rPr>
        <w:instrText xml:space="preserve"> TOC \o "1-2" \u \h </w:instrText>
      </w:r>
      <w:r w:rsidRPr="008107CD">
        <w:rPr>
          <w:rFonts w:ascii="Arial" w:eastAsia="Arial" w:hAnsi="Arial" w:cs="Arial"/>
          <w:b w:val="0"/>
          <w:bCs w:val="0"/>
          <w:i w:val="0"/>
          <w:iCs w:val="0"/>
          <w:sz w:val="22"/>
          <w:szCs w:val="22"/>
        </w:rPr>
        <w:fldChar w:fldCharType="separate"/>
      </w:r>
      <w:hyperlink w:anchor="_Toc85461043" w:history="1">
        <w:r w:rsidR="008107CD" w:rsidRPr="008107CD">
          <w:rPr>
            <w:rStyle w:val="Hyperlink"/>
            <w:rFonts w:ascii="Arial" w:hAnsi="Arial" w:cs="Arial"/>
            <w:noProof/>
            <w:sz w:val="22"/>
            <w:szCs w:val="22"/>
          </w:rPr>
          <w:t>G-Cloud 12 Call-Off Contract</w:t>
        </w:r>
        <w:r w:rsidR="008107CD" w:rsidRPr="008107CD">
          <w:rPr>
            <w:rFonts w:ascii="Arial" w:hAnsi="Arial" w:cs="Arial"/>
            <w:noProof/>
            <w:sz w:val="22"/>
            <w:szCs w:val="22"/>
          </w:rPr>
          <w:tab/>
        </w:r>
        <w:r w:rsidR="008107CD" w:rsidRPr="008107CD">
          <w:rPr>
            <w:rFonts w:ascii="Arial" w:hAnsi="Arial" w:cs="Arial"/>
            <w:noProof/>
            <w:sz w:val="22"/>
            <w:szCs w:val="22"/>
          </w:rPr>
          <w:fldChar w:fldCharType="begin"/>
        </w:r>
        <w:r w:rsidR="008107CD" w:rsidRPr="008107CD">
          <w:rPr>
            <w:rFonts w:ascii="Arial" w:hAnsi="Arial" w:cs="Arial"/>
            <w:noProof/>
            <w:sz w:val="22"/>
            <w:szCs w:val="22"/>
          </w:rPr>
          <w:instrText xml:space="preserve"> PAGEREF _Toc85461043 \h </w:instrText>
        </w:r>
        <w:r w:rsidR="008107CD" w:rsidRPr="008107CD">
          <w:rPr>
            <w:rFonts w:ascii="Arial" w:hAnsi="Arial" w:cs="Arial"/>
            <w:noProof/>
            <w:sz w:val="22"/>
            <w:szCs w:val="22"/>
          </w:rPr>
        </w:r>
        <w:r w:rsidR="008107CD" w:rsidRPr="008107CD">
          <w:rPr>
            <w:rFonts w:ascii="Arial" w:hAnsi="Arial" w:cs="Arial"/>
            <w:noProof/>
            <w:sz w:val="22"/>
            <w:szCs w:val="22"/>
          </w:rPr>
          <w:fldChar w:fldCharType="separate"/>
        </w:r>
        <w:r w:rsidR="008F3D79">
          <w:rPr>
            <w:rFonts w:ascii="Arial" w:hAnsi="Arial" w:cs="Arial"/>
            <w:noProof/>
            <w:sz w:val="22"/>
            <w:szCs w:val="22"/>
          </w:rPr>
          <w:t>1</w:t>
        </w:r>
        <w:r w:rsidR="008107CD" w:rsidRPr="008107CD">
          <w:rPr>
            <w:rFonts w:ascii="Arial" w:hAnsi="Arial" w:cs="Arial"/>
            <w:noProof/>
            <w:sz w:val="22"/>
            <w:szCs w:val="22"/>
          </w:rPr>
          <w:fldChar w:fldCharType="end"/>
        </w:r>
      </w:hyperlink>
    </w:p>
    <w:p w14:paraId="3347BF83" w14:textId="0BE20E3A" w:rsidR="008107CD" w:rsidRPr="008107CD" w:rsidRDefault="00611140">
      <w:pPr>
        <w:pStyle w:val="TOC2"/>
        <w:rPr>
          <w:rFonts w:ascii="Arial" w:eastAsiaTheme="minorEastAsia" w:hAnsi="Arial" w:cs="Arial"/>
          <w:b w:val="0"/>
          <w:bCs w:val="0"/>
          <w:noProof/>
        </w:rPr>
      </w:pPr>
      <w:hyperlink w:anchor="_Toc85461044" w:history="1">
        <w:r w:rsidR="008107CD" w:rsidRPr="008107CD">
          <w:rPr>
            <w:rStyle w:val="Hyperlink"/>
            <w:rFonts w:ascii="Arial" w:hAnsi="Arial" w:cs="Arial"/>
            <w:noProof/>
          </w:rPr>
          <w:t>Part A: Order Form</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_Toc85461044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2</w:t>
        </w:r>
        <w:r w:rsidR="008107CD" w:rsidRPr="008107CD">
          <w:rPr>
            <w:rFonts w:ascii="Arial" w:hAnsi="Arial" w:cs="Arial"/>
            <w:noProof/>
          </w:rPr>
          <w:fldChar w:fldCharType="end"/>
        </w:r>
      </w:hyperlink>
    </w:p>
    <w:p w14:paraId="628ACFAB" w14:textId="0327AB47" w:rsidR="008107CD" w:rsidRPr="008107CD" w:rsidRDefault="00611140">
      <w:pPr>
        <w:pStyle w:val="TOC2"/>
        <w:rPr>
          <w:rFonts w:ascii="Arial" w:eastAsiaTheme="minorEastAsia" w:hAnsi="Arial" w:cs="Arial"/>
          <w:b w:val="0"/>
          <w:bCs w:val="0"/>
          <w:noProof/>
        </w:rPr>
      </w:pPr>
      <w:hyperlink w:anchor="_Toc85461045" w:history="1">
        <w:r w:rsidR="008107CD" w:rsidRPr="008107CD">
          <w:rPr>
            <w:rStyle w:val="Hyperlink"/>
            <w:rFonts w:ascii="Arial" w:hAnsi="Arial" w:cs="Arial"/>
            <w:noProof/>
          </w:rPr>
          <w:t>Schedule 1: Services</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_Toc85461045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13</w:t>
        </w:r>
        <w:r w:rsidR="008107CD" w:rsidRPr="008107CD">
          <w:rPr>
            <w:rFonts w:ascii="Arial" w:hAnsi="Arial" w:cs="Arial"/>
            <w:noProof/>
          </w:rPr>
          <w:fldChar w:fldCharType="end"/>
        </w:r>
      </w:hyperlink>
    </w:p>
    <w:p w14:paraId="024DAD1D" w14:textId="625A27C8" w:rsidR="008107CD" w:rsidRPr="008107CD" w:rsidRDefault="00611140">
      <w:pPr>
        <w:pStyle w:val="TOC1"/>
        <w:tabs>
          <w:tab w:val="left" w:pos="440"/>
        </w:tabs>
        <w:rPr>
          <w:rFonts w:ascii="Arial" w:eastAsiaTheme="minorEastAsia" w:hAnsi="Arial" w:cs="Arial"/>
          <w:b w:val="0"/>
          <w:bCs w:val="0"/>
          <w:i w:val="0"/>
          <w:iCs w:val="0"/>
          <w:noProof/>
          <w:sz w:val="22"/>
          <w:szCs w:val="22"/>
        </w:rPr>
      </w:pPr>
      <w:hyperlink w:anchor="_Toc85461046" w:history="1">
        <w:r w:rsidR="008107CD" w:rsidRPr="008107CD">
          <w:rPr>
            <w:rStyle w:val="Hyperlink"/>
            <w:rFonts w:ascii="Arial" w:hAnsi="Arial" w:cs="Arial"/>
            <w:noProof/>
            <w:sz w:val="22"/>
            <w:szCs w:val="22"/>
          </w:rPr>
          <w:t>1.</w:t>
        </w:r>
        <w:r w:rsidR="008107CD" w:rsidRPr="008107CD">
          <w:rPr>
            <w:rFonts w:ascii="Arial" w:eastAsiaTheme="minorEastAsia" w:hAnsi="Arial" w:cs="Arial"/>
            <w:b w:val="0"/>
            <w:bCs w:val="0"/>
            <w:i w:val="0"/>
            <w:iCs w:val="0"/>
            <w:noProof/>
            <w:sz w:val="22"/>
            <w:szCs w:val="22"/>
          </w:rPr>
          <w:tab/>
        </w:r>
        <w:r w:rsidR="008107CD" w:rsidRPr="008107CD">
          <w:rPr>
            <w:rStyle w:val="Hyperlink"/>
            <w:rFonts w:ascii="Arial" w:hAnsi="Arial" w:cs="Arial"/>
            <w:noProof/>
            <w:sz w:val="22"/>
            <w:szCs w:val="22"/>
          </w:rPr>
          <w:t>Background</w:t>
        </w:r>
        <w:r w:rsidR="008107CD" w:rsidRPr="008107CD">
          <w:rPr>
            <w:rFonts w:ascii="Arial" w:hAnsi="Arial" w:cs="Arial"/>
            <w:noProof/>
            <w:sz w:val="22"/>
            <w:szCs w:val="22"/>
          </w:rPr>
          <w:tab/>
        </w:r>
        <w:r w:rsidR="008107CD" w:rsidRPr="008107CD">
          <w:rPr>
            <w:rFonts w:ascii="Arial" w:hAnsi="Arial" w:cs="Arial"/>
            <w:noProof/>
            <w:sz w:val="22"/>
            <w:szCs w:val="22"/>
          </w:rPr>
          <w:fldChar w:fldCharType="begin"/>
        </w:r>
        <w:r w:rsidR="008107CD" w:rsidRPr="008107CD">
          <w:rPr>
            <w:rFonts w:ascii="Arial" w:hAnsi="Arial" w:cs="Arial"/>
            <w:noProof/>
            <w:sz w:val="22"/>
            <w:szCs w:val="22"/>
          </w:rPr>
          <w:instrText xml:space="preserve"> PAGEREF _Toc85461046 \h </w:instrText>
        </w:r>
        <w:r w:rsidR="008107CD" w:rsidRPr="008107CD">
          <w:rPr>
            <w:rFonts w:ascii="Arial" w:hAnsi="Arial" w:cs="Arial"/>
            <w:noProof/>
            <w:sz w:val="22"/>
            <w:szCs w:val="22"/>
          </w:rPr>
        </w:r>
        <w:r w:rsidR="008107CD" w:rsidRPr="008107CD">
          <w:rPr>
            <w:rFonts w:ascii="Arial" w:hAnsi="Arial" w:cs="Arial"/>
            <w:noProof/>
            <w:sz w:val="22"/>
            <w:szCs w:val="22"/>
          </w:rPr>
          <w:fldChar w:fldCharType="separate"/>
        </w:r>
        <w:r w:rsidR="008F3D79">
          <w:rPr>
            <w:rFonts w:ascii="Arial" w:hAnsi="Arial" w:cs="Arial"/>
            <w:noProof/>
            <w:sz w:val="22"/>
            <w:szCs w:val="22"/>
          </w:rPr>
          <w:t>13</w:t>
        </w:r>
        <w:r w:rsidR="008107CD" w:rsidRPr="008107CD">
          <w:rPr>
            <w:rFonts w:ascii="Arial" w:hAnsi="Arial" w:cs="Arial"/>
            <w:noProof/>
            <w:sz w:val="22"/>
            <w:szCs w:val="22"/>
          </w:rPr>
          <w:fldChar w:fldCharType="end"/>
        </w:r>
      </w:hyperlink>
    </w:p>
    <w:p w14:paraId="78F6EAC7" w14:textId="7C2A5072" w:rsidR="008107CD" w:rsidRPr="008107CD" w:rsidRDefault="00611140">
      <w:pPr>
        <w:pStyle w:val="TOC1"/>
        <w:tabs>
          <w:tab w:val="left" w:pos="440"/>
        </w:tabs>
        <w:rPr>
          <w:rFonts w:ascii="Arial" w:eastAsiaTheme="minorEastAsia" w:hAnsi="Arial" w:cs="Arial"/>
          <w:b w:val="0"/>
          <w:bCs w:val="0"/>
          <w:i w:val="0"/>
          <w:iCs w:val="0"/>
          <w:noProof/>
          <w:sz w:val="22"/>
          <w:szCs w:val="22"/>
        </w:rPr>
      </w:pPr>
      <w:hyperlink w:anchor="_Toc85461047" w:history="1">
        <w:r w:rsidR="008107CD" w:rsidRPr="008107CD">
          <w:rPr>
            <w:rStyle w:val="Hyperlink"/>
            <w:rFonts w:ascii="Arial" w:hAnsi="Arial" w:cs="Arial"/>
            <w:noProof/>
            <w:sz w:val="22"/>
            <w:szCs w:val="22"/>
          </w:rPr>
          <w:t>2.</w:t>
        </w:r>
        <w:r w:rsidR="008107CD" w:rsidRPr="008107CD">
          <w:rPr>
            <w:rFonts w:ascii="Arial" w:eastAsiaTheme="minorEastAsia" w:hAnsi="Arial" w:cs="Arial"/>
            <w:b w:val="0"/>
            <w:bCs w:val="0"/>
            <w:i w:val="0"/>
            <w:iCs w:val="0"/>
            <w:noProof/>
            <w:sz w:val="22"/>
            <w:szCs w:val="22"/>
          </w:rPr>
          <w:tab/>
        </w:r>
        <w:r w:rsidR="008107CD" w:rsidRPr="008107CD">
          <w:rPr>
            <w:rStyle w:val="Hyperlink"/>
            <w:rFonts w:ascii="Arial" w:hAnsi="Arial" w:cs="Arial"/>
            <w:noProof/>
            <w:sz w:val="22"/>
            <w:szCs w:val="22"/>
          </w:rPr>
          <w:t>Aims and objectives</w:t>
        </w:r>
        <w:r w:rsidR="008107CD" w:rsidRPr="008107CD">
          <w:rPr>
            <w:rFonts w:ascii="Arial" w:hAnsi="Arial" w:cs="Arial"/>
            <w:noProof/>
            <w:sz w:val="22"/>
            <w:szCs w:val="22"/>
          </w:rPr>
          <w:tab/>
        </w:r>
        <w:r w:rsidR="008107CD" w:rsidRPr="008107CD">
          <w:rPr>
            <w:rFonts w:ascii="Arial" w:hAnsi="Arial" w:cs="Arial"/>
            <w:noProof/>
            <w:sz w:val="22"/>
            <w:szCs w:val="22"/>
          </w:rPr>
          <w:fldChar w:fldCharType="begin"/>
        </w:r>
        <w:r w:rsidR="008107CD" w:rsidRPr="008107CD">
          <w:rPr>
            <w:rFonts w:ascii="Arial" w:hAnsi="Arial" w:cs="Arial"/>
            <w:noProof/>
            <w:sz w:val="22"/>
            <w:szCs w:val="22"/>
          </w:rPr>
          <w:instrText xml:space="preserve"> PAGEREF _Toc85461047 \h </w:instrText>
        </w:r>
        <w:r w:rsidR="008107CD" w:rsidRPr="008107CD">
          <w:rPr>
            <w:rFonts w:ascii="Arial" w:hAnsi="Arial" w:cs="Arial"/>
            <w:noProof/>
            <w:sz w:val="22"/>
            <w:szCs w:val="22"/>
          </w:rPr>
        </w:r>
        <w:r w:rsidR="008107CD" w:rsidRPr="008107CD">
          <w:rPr>
            <w:rFonts w:ascii="Arial" w:hAnsi="Arial" w:cs="Arial"/>
            <w:noProof/>
            <w:sz w:val="22"/>
            <w:szCs w:val="22"/>
          </w:rPr>
          <w:fldChar w:fldCharType="separate"/>
        </w:r>
        <w:r w:rsidR="008F3D79">
          <w:rPr>
            <w:rFonts w:ascii="Arial" w:hAnsi="Arial" w:cs="Arial"/>
            <w:noProof/>
            <w:sz w:val="22"/>
            <w:szCs w:val="22"/>
          </w:rPr>
          <w:t>13</w:t>
        </w:r>
        <w:r w:rsidR="008107CD" w:rsidRPr="008107CD">
          <w:rPr>
            <w:rFonts w:ascii="Arial" w:hAnsi="Arial" w:cs="Arial"/>
            <w:noProof/>
            <w:sz w:val="22"/>
            <w:szCs w:val="22"/>
          </w:rPr>
          <w:fldChar w:fldCharType="end"/>
        </w:r>
      </w:hyperlink>
    </w:p>
    <w:p w14:paraId="3399CBCF" w14:textId="169E561E" w:rsidR="008107CD" w:rsidRPr="008107CD" w:rsidRDefault="00611140">
      <w:pPr>
        <w:pStyle w:val="TOC2"/>
        <w:rPr>
          <w:rFonts w:ascii="Arial" w:eastAsiaTheme="minorEastAsia" w:hAnsi="Arial" w:cs="Arial"/>
          <w:b w:val="0"/>
          <w:bCs w:val="0"/>
          <w:noProof/>
        </w:rPr>
      </w:pPr>
      <w:hyperlink w:anchor="_Toc85461048" w:history="1">
        <w:r w:rsidR="008107CD" w:rsidRPr="008107CD">
          <w:rPr>
            <w:rStyle w:val="Hyperlink"/>
            <w:rFonts w:ascii="Arial" w:hAnsi="Arial" w:cs="Arial"/>
            <w:noProof/>
          </w:rPr>
          <w:t>Schedule 2: Call-Off Contract charges</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_Toc85461048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16</w:t>
        </w:r>
        <w:r w:rsidR="008107CD" w:rsidRPr="008107CD">
          <w:rPr>
            <w:rFonts w:ascii="Arial" w:hAnsi="Arial" w:cs="Arial"/>
            <w:noProof/>
          </w:rPr>
          <w:fldChar w:fldCharType="end"/>
        </w:r>
      </w:hyperlink>
    </w:p>
    <w:p w14:paraId="2E2C83D1" w14:textId="1AAA3E4F" w:rsidR="008107CD" w:rsidRPr="008107CD" w:rsidRDefault="00611140">
      <w:pPr>
        <w:pStyle w:val="TOC2"/>
        <w:rPr>
          <w:rFonts w:ascii="Arial" w:eastAsiaTheme="minorEastAsia" w:hAnsi="Arial" w:cs="Arial"/>
          <w:b w:val="0"/>
          <w:bCs w:val="0"/>
          <w:noProof/>
        </w:rPr>
      </w:pPr>
      <w:hyperlink w:anchor="_Toc85461049" w:history="1">
        <w:r w:rsidR="008107CD" w:rsidRPr="008107CD">
          <w:rPr>
            <w:rStyle w:val="Hyperlink"/>
            <w:rFonts w:ascii="Arial" w:hAnsi="Arial" w:cs="Arial"/>
            <w:noProof/>
          </w:rPr>
          <w:t>Part B: Terms and conditions</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_Toc85461049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20</w:t>
        </w:r>
        <w:r w:rsidR="008107CD" w:rsidRPr="008107CD">
          <w:rPr>
            <w:rFonts w:ascii="Arial" w:hAnsi="Arial" w:cs="Arial"/>
            <w:noProof/>
          </w:rPr>
          <w:fldChar w:fldCharType="end"/>
        </w:r>
      </w:hyperlink>
    </w:p>
    <w:p w14:paraId="7CC9A491" w14:textId="2357BA64" w:rsidR="008107CD" w:rsidRPr="008107CD" w:rsidRDefault="00611140">
      <w:pPr>
        <w:pStyle w:val="TOC2"/>
        <w:rPr>
          <w:rFonts w:ascii="Arial" w:eastAsiaTheme="minorEastAsia" w:hAnsi="Arial" w:cs="Arial"/>
          <w:b w:val="0"/>
          <w:bCs w:val="0"/>
          <w:noProof/>
        </w:rPr>
      </w:pPr>
      <w:hyperlink w:anchor="_Toc85461050" w:history="1">
        <w:r w:rsidR="008107CD" w:rsidRPr="008107CD">
          <w:rPr>
            <w:rStyle w:val="Hyperlink"/>
            <w:rFonts w:ascii="Arial" w:hAnsi="Arial" w:cs="Arial"/>
            <w:noProof/>
          </w:rPr>
          <w:t>Schedule 3: Collaboration agreement</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_Toc85461050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38</w:t>
        </w:r>
        <w:r w:rsidR="008107CD" w:rsidRPr="008107CD">
          <w:rPr>
            <w:rFonts w:ascii="Arial" w:hAnsi="Arial" w:cs="Arial"/>
            <w:noProof/>
          </w:rPr>
          <w:fldChar w:fldCharType="end"/>
        </w:r>
      </w:hyperlink>
    </w:p>
    <w:p w14:paraId="5EBB3EFE" w14:textId="1FDB706B" w:rsidR="008107CD" w:rsidRPr="008107CD" w:rsidRDefault="00611140">
      <w:pPr>
        <w:pStyle w:val="TOC2"/>
        <w:rPr>
          <w:rFonts w:ascii="Arial" w:eastAsiaTheme="minorEastAsia" w:hAnsi="Arial" w:cs="Arial"/>
          <w:b w:val="0"/>
          <w:bCs w:val="0"/>
          <w:noProof/>
        </w:rPr>
      </w:pPr>
      <w:hyperlink w:anchor="_Toc85461051" w:history="1">
        <w:r w:rsidR="008107CD" w:rsidRPr="008107CD">
          <w:rPr>
            <w:rStyle w:val="Hyperlink"/>
            <w:rFonts w:ascii="Arial" w:hAnsi="Arial" w:cs="Arial"/>
            <w:noProof/>
          </w:rPr>
          <w:t>Schedule 4: Alternative clauses</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_Toc85461051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50</w:t>
        </w:r>
        <w:r w:rsidR="008107CD" w:rsidRPr="008107CD">
          <w:rPr>
            <w:rFonts w:ascii="Arial" w:hAnsi="Arial" w:cs="Arial"/>
            <w:noProof/>
          </w:rPr>
          <w:fldChar w:fldCharType="end"/>
        </w:r>
      </w:hyperlink>
    </w:p>
    <w:p w14:paraId="506C7AE7" w14:textId="378FC49D" w:rsidR="008107CD" w:rsidRPr="008107CD" w:rsidRDefault="00611140">
      <w:pPr>
        <w:pStyle w:val="TOC2"/>
        <w:rPr>
          <w:rFonts w:ascii="Arial" w:eastAsiaTheme="minorEastAsia" w:hAnsi="Arial" w:cs="Arial"/>
          <w:b w:val="0"/>
          <w:bCs w:val="0"/>
          <w:noProof/>
        </w:rPr>
      </w:pPr>
      <w:hyperlink w:anchor="_Toc85461052" w:history="1">
        <w:r w:rsidR="008107CD" w:rsidRPr="008107CD">
          <w:rPr>
            <w:rStyle w:val="Hyperlink"/>
            <w:rFonts w:ascii="Arial" w:hAnsi="Arial" w:cs="Arial"/>
            <w:noProof/>
          </w:rPr>
          <w:t>Schedule 5: Guarantee</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_Toc85461052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55</w:t>
        </w:r>
        <w:r w:rsidR="008107CD" w:rsidRPr="008107CD">
          <w:rPr>
            <w:rFonts w:ascii="Arial" w:hAnsi="Arial" w:cs="Arial"/>
            <w:noProof/>
          </w:rPr>
          <w:fldChar w:fldCharType="end"/>
        </w:r>
      </w:hyperlink>
    </w:p>
    <w:p w14:paraId="6CB3C795" w14:textId="10F9E801" w:rsidR="008107CD" w:rsidRPr="008107CD" w:rsidRDefault="00611140">
      <w:pPr>
        <w:pStyle w:val="TOC2"/>
        <w:rPr>
          <w:rFonts w:ascii="Arial" w:eastAsiaTheme="minorEastAsia" w:hAnsi="Arial" w:cs="Arial"/>
          <w:b w:val="0"/>
          <w:bCs w:val="0"/>
          <w:noProof/>
        </w:rPr>
      </w:pPr>
      <w:hyperlink w:anchor="_Toc85461053" w:history="1">
        <w:r w:rsidR="008107CD" w:rsidRPr="008107CD">
          <w:rPr>
            <w:rStyle w:val="Hyperlink"/>
            <w:rFonts w:ascii="Arial" w:hAnsi="Arial" w:cs="Arial"/>
            <w:noProof/>
          </w:rPr>
          <w:t>Schedule 6: Glossary and interpretations</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_Toc85461053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63</w:t>
        </w:r>
        <w:r w:rsidR="008107CD" w:rsidRPr="008107CD">
          <w:rPr>
            <w:rFonts w:ascii="Arial" w:hAnsi="Arial" w:cs="Arial"/>
            <w:noProof/>
          </w:rPr>
          <w:fldChar w:fldCharType="end"/>
        </w:r>
      </w:hyperlink>
    </w:p>
    <w:p w14:paraId="47FC8CE6" w14:textId="1DAD30E6" w:rsidR="008107CD" w:rsidRPr="008107CD" w:rsidRDefault="00611140">
      <w:pPr>
        <w:pStyle w:val="TOC2"/>
        <w:rPr>
          <w:rFonts w:ascii="Arial" w:eastAsiaTheme="minorEastAsia" w:hAnsi="Arial" w:cs="Arial"/>
          <w:b w:val="0"/>
          <w:bCs w:val="0"/>
          <w:noProof/>
        </w:rPr>
      </w:pPr>
      <w:hyperlink w:anchor="_Toc85461054" w:history="1">
        <w:r w:rsidR="008107CD" w:rsidRPr="008107CD">
          <w:rPr>
            <w:rStyle w:val="Hyperlink"/>
            <w:rFonts w:ascii="Arial" w:hAnsi="Arial" w:cs="Arial"/>
            <w:noProof/>
          </w:rPr>
          <w:t>Schedule 7: GDPR Information</w:t>
        </w:r>
        <w:r w:rsidR="008107CD" w:rsidRPr="008107CD">
          <w:rPr>
            <w:rFonts w:ascii="Arial" w:hAnsi="Arial" w:cs="Arial"/>
            <w:noProof/>
          </w:rPr>
          <w:tab/>
        </w:r>
        <w:r w:rsidR="008107CD" w:rsidRPr="008107CD">
          <w:rPr>
            <w:rFonts w:ascii="Arial" w:hAnsi="Arial" w:cs="Arial"/>
            <w:noProof/>
          </w:rPr>
          <w:fldChar w:fldCharType="begin"/>
        </w:r>
        <w:r w:rsidR="008107CD" w:rsidRPr="008107CD">
          <w:rPr>
            <w:rFonts w:ascii="Arial" w:hAnsi="Arial" w:cs="Arial"/>
            <w:noProof/>
          </w:rPr>
          <w:instrText xml:space="preserve"> PAGEREF _Toc85461054 \h </w:instrText>
        </w:r>
        <w:r w:rsidR="008107CD" w:rsidRPr="008107CD">
          <w:rPr>
            <w:rFonts w:ascii="Arial" w:hAnsi="Arial" w:cs="Arial"/>
            <w:noProof/>
          </w:rPr>
        </w:r>
        <w:r w:rsidR="008107CD" w:rsidRPr="008107CD">
          <w:rPr>
            <w:rFonts w:ascii="Arial" w:hAnsi="Arial" w:cs="Arial"/>
            <w:noProof/>
          </w:rPr>
          <w:fldChar w:fldCharType="separate"/>
        </w:r>
        <w:r w:rsidR="008F3D79">
          <w:rPr>
            <w:rFonts w:ascii="Arial" w:hAnsi="Arial" w:cs="Arial"/>
            <w:noProof/>
          </w:rPr>
          <w:t>74</w:t>
        </w:r>
        <w:r w:rsidR="008107CD" w:rsidRPr="008107CD">
          <w:rPr>
            <w:rFonts w:ascii="Arial" w:hAnsi="Arial" w:cs="Arial"/>
            <w:noProof/>
          </w:rPr>
          <w:fldChar w:fldCharType="end"/>
        </w:r>
      </w:hyperlink>
    </w:p>
    <w:p w14:paraId="02E12C4D" w14:textId="3EB63171" w:rsidR="00910EB9" w:rsidRDefault="006E4A1B">
      <w:pPr>
        <w:pageBreakBefore/>
      </w:pPr>
      <w:r w:rsidRPr="008107CD">
        <w:rPr>
          <w:rFonts w:eastAsia="Cambria"/>
          <w:b/>
          <w:bCs/>
        </w:rPr>
        <w:lastRenderedPageBreak/>
        <w:fldChar w:fldCharType="end"/>
      </w:r>
    </w:p>
    <w:p w14:paraId="02E12C4E" w14:textId="77777777" w:rsidR="00910EB9" w:rsidRDefault="006E4A1B">
      <w:pPr>
        <w:pStyle w:val="Heading2"/>
      </w:pPr>
      <w:bookmarkStart w:id="3" w:name="_Toc33176232"/>
      <w:bookmarkStart w:id="4" w:name="_Toc85461044"/>
      <w:r>
        <w:t>Part A: Order Form</w:t>
      </w:r>
      <w:bookmarkEnd w:id="3"/>
      <w:bookmarkEnd w:id="4"/>
    </w:p>
    <w:p w14:paraId="02E12C4F" w14:textId="77777777" w:rsidR="00910EB9" w:rsidRDefault="006E4A1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910EB9" w14:paraId="02E12C5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50" w14:textId="77777777" w:rsidR="00910EB9" w:rsidRDefault="006E4A1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51" w14:textId="77777777" w:rsidR="00910EB9" w:rsidRDefault="006E4A1B">
            <w:pPr>
              <w:spacing w:before="240"/>
            </w:pPr>
            <w:r>
              <w:t>205412401867510</w:t>
            </w:r>
          </w:p>
          <w:p w14:paraId="02E12C52" w14:textId="77777777" w:rsidR="00910EB9" w:rsidRDefault="006E4A1B">
            <w:pPr>
              <w:spacing w:before="240"/>
            </w:pPr>
            <w:r>
              <w:t>205412401867510</w:t>
            </w:r>
          </w:p>
          <w:p w14:paraId="02E12C53" w14:textId="77777777" w:rsidR="00910EB9" w:rsidRDefault="006E4A1B">
            <w:pPr>
              <w:spacing w:before="240"/>
            </w:pPr>
            <w:r>
              <w:t>310915857745646</w:t>
            </w:r>
          </w:p>
        </w:tc>
      </w:tr>
      <w:tr w:rsidR="00910EB9" w14:paraId="02E12C57" w14:textId="77777777" w:rsidTr="00020B34">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55" w14:textId="77777777" w:rsidR="00910EB9" w:rsidRDefault="006E4A1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02E12C56" w14:textId="349C64D8" w:rsidR="00910EB9" w:rsidRPr="00020B34" w:rsidRDefault="006E4A1B" w:rsidP="00020B34">
            <w:pPr>
              <w:suppressAutoHyphens w:val="0"/>
            </w:pPr>
            <w:r w:rsidRPr="00020B34">
              <w:t xml:space="preserve">TRN </w:t>
            </w:r>
            <w:r w:rsidR="00020B34" w:rsidRPr="00020B34">
              <w:rPr>
                <w:color w:val="242424"/>
                <w:shd w:val="clear" w:color="auto" w:fill="FFFFFF"/>
              </w:rPr>
              <w:t>5452/10/2021</w:t>
            </w:r>
          </w:p>
        </w:tc>
      </w:tr>
      <w:tr w:rsidR="00910EB9" w14:paraId="02E12C5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58" w14:textId="77777777" w:rsidR="00910EB9" w:rsidRDefault="006E4A1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59" w14:textId="77777777" w:rsidR="00910EB9" w:rsidRDefault="006E4A1B">
            <w:pPr>
              <w:spacing w:before="240"/>
            </w:pPr>
            <w:r>
              <w:t xml:space="preserve">Provision of Investment Information to the Investment Security Unit </w:t>
            </w:r>
          </w:p>
        </w:tc>
      </w:tr>
      <w:tr w:rsidR="00910EB9" w14:paraId="02E12C5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5B" w14:textId="77777777" w:rsidR="00910EB9" w:rsidRDefault="006E4A1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5C" w14:textId="3FAC6D3E" w:rsidR="00910EB9" w:rsidRDefault="006E4A1B">
            <w:pPr>
              <w:spacing w:before="240"/>
            </w:pPr>
            <w:r>
              <w:t xml:space="preserve">The Department for Business, </w:t>
            </w:r>
            <w:proofErr w:type="gramStart"/>
            <w:r>
              <w:t>Energy</w:t>
            </w:r>
            <w:proofErr w:type="gramEnd"/>
            <w:r>
              <w:t xml:space="preserve"> and Industrial Strategy (BEIS) shall be provided with access to the Supplier’s pre-existing online platforms on a subscription basis, as set out in the description of the Digital Marketplace services, which meets the needs set out in BEIS’</w:t>
            </w:r>
            <w:r w:rsidR="00BB1091">
              <w:t>s</w:t>
            </w:r>
            <w:r>
              <w:t xml:space="preserve"> proposal at Schedule 1.</w:t>
            </w:r>
          </w:p>
        </w:tc>
      </w:tr>
      <w:tr w:rsidR="00910EB9" w14:paraId="02E12C6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5E" w14:textId="77777777" w:rsidR="00910EB9" w:rsidRDefault="006E4A1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5F" w14:textId="39CB9A7B" w:rsidR="00910EB9" w:rsidRDefault="00C8591B">
            <w:pPr>
              <w:spacing w:before="240"/>
            </w:pPr>
            <w:r>
              <w:t>1</w:t>
            </w:r>
            <w:r w:rsidRPr="008340CF">
              <w:rPr>
                <w:vertAlign w:val="superscript"/>
              </w:rPr>
              <w:t>st</w:t>
            </w:r>
            <w:r>
              <w:t xml:space="preserve"> November 2021</w:t>
            </w:r>
          </w:p>
        </w:tc>
      </w:tr>
      <w:tr w:rsidR="00910EB9" w14:paraId="02E12C6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61" w14:textId="77777777" w:rsidR="00910EB9" w:rsidRDefault="006E4A1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62" w14:textId="3193BA2A" w:rsidR="00910EB9" w:rsidRDefault="00C8591B">
            <w:pPr>
              <w:spacing w:before="240"/>
            </w:pPr>
            <w:r>
              <w:t>31</w:t>
            </w:r>
            <w:r w:rsidRPr="008340CF">
              <w:rPr>
                <w:vertAlign w:val="superscript"/>
              </w:rPr>
              <w:t>st</w:t>
            </w:r>
            <w:r>
              <w:t xml:space="preserve"> October 2023 </w:t>
            </w:r>
          </w:p>
        </w:tc>
      </w:tr>
      <w:tr w:rsidR="00910EB9" w14:paraId="02E12C6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64" w14:textId="77777777" w:rsidR="00910EB9" w:rsidRDefault="006E4A1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65" w14:textId="6212E25E" w:rsidR="00910EB9" w:rsidRDefault="00B97FAE">
            <w:pPr>
              <w:spacing w:before="240"/>
            </w:pPr>
            <w:r>
              <w:t>£1,900,000</w:t>
            </w:r>
            <w:r w:rsidR="00693C30">
              <w:t xml:space="preserve"> (excluding VAT, including all</w:t>
            </w:r>
            <w:r w:rsidR="00DE789A">
              <w:t xml:space="preserve"> possible extension periods</w:t>
            </w:r>
            <w:r w:rsidR="001917F2">
              <w:t>)</w:t>
            </w:r>
          </w:p>
        </w:tc>
      </w:tr>
      <w:tr w:rsidR="00910EB9" w14:paraId="02E12C6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67" w14:textId="77777777" w:rsidR="00910EB9" w:rsidRDefault="006E4A1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68" w14:textId="77777777" w:rsidR="00910EB9" w:rsidRDefault="006E4A1B">
            <w:pPr>
              <w:spacing w:before="240"/>
            </w:pPr>
            <w:r>
              <w:t>BACS transfer</w:t>
            </w:r>
          </w:p>
        </w:tc>
      </w:tr>
      <w:tr w:rsidR="00910EB9" w14:paraId="02E12C6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6A" w14:textId="77777777" w:rsidR="00910EB9" w:rsidRDefault="006E4A1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6B" w14:textId="77777777" w:rsidR="00910EB9" w:rsidRDefault="006E4A1B">
            <w:pPr>
              <w:spacing w:before="240"/>
            </w:pPr>
            <w:r>
              <w:t>To be provided following contract signature</w:t>
            </w:r>
          </w:p>
        </w:tc>
      </w:tr>
    </w:tbl>
    <w:p w14:paraId="02E12C6D" w14:textId="77777777" w:rsidR="00910EB9" w:rsidRDefault="006E4A1B">
      <w:pPr>
        <w:spacing w:before="240"/>
      </w:pPr>
      <w:r>
        <w:t xml:space="preserve"> </w:t>
      </w:r>
    </w:p>
    <w:p w14:paraId="02E12C6E" w14:textId="77777777" w:rsidR="00910EB9" w:rsidRDefault="006E4A1B">
      <w:pPr>
        <w:spacing w:before="240" w:after="240"/>
      </w:pPr>
      <w:r>
        <w:t>This Order Form is issued under the G-Cloud 12 Framework Agreement (RM1557.12).</w:t>
      </w:r>
    </w:p>
    <w:p w14:paraId="02E12C6F" w14:textId="77777777" w:rsidR="00910EB9" w:rsidRDefault="006E4A1B">
      <w:pPr>
        <w:spacing w:before="240"/>
      </w:pPr>
      <w:r>
        <w:t>Buyers can use this Order Form to specify their G-Cloud service requirements when placing an Order.</w:t>
      </w:r>
    </w:p>
    <w:p w14:paraId="02E12C70" w14:textId="77777777" w:rsidR="00910EB9" w:rsidRDefault="006E4A1B">
      <w:pPr>
        <w:spacing w:before="240"/>
      </w:pPr>
      <w:r>
        <w:lastRenderedPageBreak/>
        <w:t>The Order Form cannot be used to alter existing terms or add any extra terms that materially change the Deliverables offered by the Supplier and defined in the Application.</w:t>
      </w:r>
    </w:p>
    <w:p w14:paraId="02E12C71" w14:textId="77777777" w:rsidR="00910EB9" w:rsidRDefault="006E4A1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910EB9" w14:paraId="02E12C78"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72" w14:textId="77777777" w:rsidR="00910EB9" w:rsidRDefault="006E4A1B">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73" w14:textId="77777777" w:rsidR="00910EB9" w:rsidRDefault="006E4A1B">
            <w:pPr>
              <w:spacing w:before="240"/>
            </w:pPr>
            <w:r>
              <w:t xml:space="preserve">The Department for Business, </w:t>
            </w:r>
            <w:proofErr w:type="gramStart"/>
            <w:r>
              <w:t>Energy</w:t>
            </w:r>
            <w:proofErr w:type="gramEnd"/>
            <w:r>
              <w:t xml:space="preserve"> and Industrial Strategy (BEIS)</w:t>
            </w:r>
          </w:p>
          <w:p w14:paraId="02E12C74" w14:textId="77777777" w:rsidR="00910EB9" w:rsidRDefault="006E4A1B">
            <w:pPr>
              <w:spacing w:before="240"/>
            </w:pPr>
            <w:r>
              <w:t>1 Victoria Street</w:t>
            </w:r>
          </w:p>
          <w:p w14:paraId="02E12C75" w14:textId="77777777" w:rsidR="00910EB9" w:rsidRDefault="006E4A1B">
            <w:pPr>
              <w:spacing w:before="240"/>
            </w:pPr>
            <w:r>
              <w:t>London</w:t>
            </w:r>
          </w:p>
          <w:p w14:paraId="02E12C76" w14:textId="77777777" w:rsidR="00910EB9" w:rsidRDefault="006E4A1B">
            <w:pPr>
              <w:spacing w:before="240"/>
            </w:pPr>
            <w:r>
              <w:t>SW1H 0ET</w:t>
            </w:r>
          </w:p>
          <w:p w14:paraId="02E12C77" w14:textId="77777777" w:rsidR="00910EB9" w:rsidRDefault="00910EB9">
            <w:pPr>
              <w:spacing w:before="240"/>
            </w:pPr>
          </w:p>
        </w:tc>
      </w:tr>
      <w:tr w:rsidR="00910EB9" w:rsidRPr="004C2582" w14:paraId="02E12C80"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79" w14:textId="77777777" w:rsidR="00910EB9" w:rsidRDefault="006E4A1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7A" w14:textId="77777777" w:rsidR="00910EB9" w:rsidRDefault="006E4A1B">
            <w:pPr>
              <w:spacing w:before="240"/>
            </w:pPr>
            <w:r>
              <w:t>Bureau Van Dijk Electronic Publishing Ltd</w:t>
            </w:r>
          </w:p>
          <w:p w14:paraId="02E12C7B" w14:textId="77777777" w:rsidR="00910EB9" w:rsidRPr="00476EC1" w:rsidRDefault="006E4A1B">
            <w:pPr>
              <w:spacing w:before="240"/>
              <w:rPr>
                <w:lang w:val="it-IT"/>
              </w:rPr>
            </w:pPr>
            <w:r w:rsidRPr="00476EC1">
              <w:rPr>
                <w:lang w:val="it-IT"/>
              </w:rPr>
              <w:t>020 7549 5000</w:t>
            </w:r>
          </w:p>
          <w:p w14:paraId="02E12C7C" w14:textId="77777777" w:rsidR="00910EB9" w:rsidRPr="00476EC1" w:rsidRDefault="006E4A1B">
            <w:pPr>
              <w:spacing w:before="240"/>
              <w:rPr>
                <w:lang w:val="it-IT"/>
              </w:rPr>
            </w:pPr>
            <w:r w:rsidRPr="00476EC1">
              <w:rPr>
                <w:lang w:val="it-IT"/>
              </w:rPr>
              <w:t xml:space="preserve">1 Canada </w:t>
            </w:r>
            <w:proofErr w:type="spellStart"/>
            <w:r w:rsidRPr="00476EC1">
              <w:rPr>
                <w:lang w:val="it-IT"/>
              </w:rPr>
              <w:t>Square</w:t>
            </w:r>
            <w:proofErr w:type="spellEnd"/>
          </w:p>
          <w:p w14:paraId="02E12C7D" w14:textId="77777777" w:rsidR="00910EB9" w:rsidRPr="00476EC1" w:rsidRDefault="006E4A1B">
            <w:pPr>
              <w:spacing w:before="240"/>
              <w:rPr>
                <w:lang w:val="it-IT"/>
              </w:rPr>
            </w:pPr>
            <w:proofErr w:type="spellStart"/>
            <w:r w:rsidRPr="00476EC1">
              <w:rPr>
                <w:lang w:val="it-IT"/>
              </w:rPr>
              <w:t>London</w:t>
            </w:r>
            <w:proofErr w:type="spellEnd"/>
          </w:p>
          <w:p w14:paraId="02E12C7E" w14:textId="77777777" w:rsidR="00910EB9" w:rsidRPr="00476EC1" w:rsidRDefault="006E4A1B">
            <w:pPr>
              <w:spacing w:before="240"/>
              <w:rPr>
                <w:lang w:val="it-IT"/>
              </w:rPr>
            </w:pPr>
            <w:r w:rsidRPr="00476EC1">
              <w:rPr>
                <w:lang w:val="it-IT"/>
              </w:rPr>
              <w:t>E14 5FA</w:t>
            </w:r>
          </w:p>
          <w:p w14:paraId="02E12C7F" w14:textId="77777777" w:rsidR="00910EB9" w:rsidRPr="00476EC1" w:rsidRDefault="006E4A1B">
            <w:pPr>
              <w:spacing w:before="240"/>
              <w:rPr>
                <w:lang w:val="it-IT"/>
              </w:rPr>
            </w:pPr>
            <w:r w:rsidRPr="00476EC1">
              <w:rPr>
                <w:lang w:val="it-IT"/>
              </w:rPr>
              <w:t xml:space="preserve">Company </w:t>
            </w:r>
            <w:proofErr w:type="spellStart"/>
            <w:r w:rsidRPr="00476EC1">
              <w:rPr>
                <w:lang w:val="it-IT"/>
              </w:rPr>
              <w:t>number</w:t>
            </w:r>
            <w:proofErr w:type="spellEnd"/>
            <w:r w:rsidRPr="00476EC1">
              <w:rPr>
                <w:lang w:val="it-IT"/>
              </w:rPr>
              <w:t>: 02323741</w:t>
            </w:r>
          </w:p>
        </w:tc>
      </w:tr>
      <w:tr w:rsidR="00910EB9" w14:paraId="02E12C8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81" w14:textId="77777777" w:rsidR="00910EB9" w:rsidRDefault="006E4A1B">
            <w:pPr>
              <w:spacing w:before="240" w:after="240"/>
              <w:rPr>
                <w:b/>
              </w:rPr>
            </w:pPr>
            <w:r>
              <w:rPr>
                <w:b/>
              </w:rPr>
              <w:t>Together the ‘Parties’</w:t>
            </w:r>
          </w:p>
        </w:tc>
      </w:tr>
    </w:tbl>
    <w:p w14:paraId="02E12C84" w14:textId="77777777" w:rsidR="00910EB9" w:rsidRDefault="006E4A1B">
      <w:pPr>
        <w:pStyle w:val="Heading3"/>
        <w:rPr>
          <w:color w:val="auto"/>
        </w:rPr>
      </w:pPr>
      <w:r>
        <w:rPr>
          <w:color w:val="auto"/>
        </w:rPr>
        <w:t>Principal contact details</w:t>
      </w:r>
    </w:p>
    <w:p w14:paraId="02E12C85" w14:textId="77777777" w:rsidR="00910EB9" w:rsidRDefault="006E4A1B">
      <w:pPr>
        <w:spacing w:before="240" w:after="120" w:line="480" w:lineRule="auto"/>
        <w:rPr>
          <w:b/>
        </w:rPr>
      </w:pPr>
      <w:r>
        <w:rPr>
          <w:b/>
        </w:rPr>
        <w:t>For the Buyer:</w:t>
      </w:r>
    </w:p>
    <w:p w14:paraId="02E12C86" w14:textId="26EF457C" w:rsidR="00910EB9" w:rsidRDefault="006E4A1B">
      <w:pPr>
        <w:spacing w:after="120"/>
      </w:pPr>
      <w:r>
        <w:t>Title:</w:t>
      </w:r>
      <w:r w:rsidR="009B4213">
        <w:t xml:space="preserve"> </w:t>
      </w:r>
      <w:r w:rsidR="00483A98">
        <w:t>[Redacted]</w:t>
      </w:r>
    </w:p>
    <w:p w14:paraId="02E12C87" w14:textId="347F67F7" w:rsidR="00910EB9" w:rsidRDefault="006E4A1B">
      <w:pPr>
        <w:spacing w:after="120" w:line="240" w:lineRule="auto"/>
      </w:pPr>
      <w:r>
        <w:t xml:space="preserve">Name: </w:t>
      </w:r>
      <w:r w:rsidR="00483A98">
        <w:t>[Redacted]</w:t>
      </w:r>
    </w:p>
    <w:p w14:paraId="02E12C88" w14:textId="02604361" w:rsidR="00910EB9" w:rsidRDefault="006E4A1B">
      <w:pPr>
        <w:spacing w:after="120" w:line="240" w:lineRule="auto"/>
      </w:pPr>
      <w:r>
        <w:t xml:space="preserve">Email: </w:t>
      </w:r>
      <w:r w:rsidR="00483A98">
        <w:t>[Redacted]</w:t>
      </w:r>
    </w:p>
    <w:p w14:paraId="02E12C89" w14:textId="6C11B8DE" w:rsidR="00910EB9" w:rsidRDefault="006E4A1B">
      <w:pPr>
        <w:spacing w:after="120" w:line="360" w:lineRule="auto"/>
      </w:pPr>
      <w:r>
        <w:t xml:space="preserve">Phone: </w:t>
      </w:r>
      <w:r w:rsidR="00483A98">
        <w:t>[Redacted]</w:t>
      </w:r>
    </w:p>
    <w:p w14:paraId="02E12C8A" w14:textId="77777777" w:rsidR="00910EB9" w:rsidRDefault="00910EB9">
      <w:pPr>
        <w:rPr>
          <w:b/>
        </w:rPr>
      </w:pPr>
    </w:p>
    <w:p w14:paraId="02E12C8B" w14:textId="77777777" w:rsidR="00910EB9" w:rsidRDefault="006E4A1B">
      <w:pPr>
        <w:spacing w:line="480" w:lineRule="auto"/>
        <w:rPr>
          <w:b/>
        </w:rPr>
      </w:pPr>
      <w:r>
        <w:rPr>
          <w:b/>
        </w:rPr>
        <w:t>For the Supplier:</w:t>
      </w:r>
    </w:p>
    <w:p w14:paraId="02E12C8C" w14:textId="0C4951D0" w:rsidR="00910EB9" w:rsidRDefault="006E4A1B">
      <w:pPr>
        <w:spacing w:after="120" w:line="240" w:lineRule="auto"/>
      </w:pPr>
      <w:r>
        <w:t xml:space="preserve">Title: </w:t>
      </w:r>
      <w:r w:rsidR="00483A98">
        <w:t>[Redacted]</w:t>
      </w:r>
    </w:p>
    <w:p w14:paraId="02E12C8D" w14:textId="499E7451" w:rsidR="00910EB9" w:rsidRDefault="006E4A1B">
      <w:pPr>
        <w:spacing w:after="120" w:line="240" w:lineRule="auto"/>
      </w:pPr>
      <w:r>
        <w:t>Name:</w:t>
      </w:r>
      <w:r w:rsidR="00483A98">
        <w:t xml:space="preserve"> </w:t>
      </w:r>
      <w:r w:rsidR="00483A98">
        <w:t>[Redacted]</w:t>
      </w:r>
    </w:p>
    <w:p w14:paraId="02E12C8E" w14:textId="381A010E" w:rsidR="00910EB9" w:rsidRDefault="006E4A1B">
      <w:pPr>
        <w:spacing w:after="120" w:line="240" w:lineRule="auto"/>
      </w:pPr>
      <w:r>
        <w:t>Email:</w:t>
      </w:r>
      <w:r w:rsidR="00483A98">
        <w:t xml:space="preserve"> </w:t>
      </w:r>
      <w:r w:rsidR="00483A98">
        <w:t>[Redacted]</w:t>
      </w:r>
      <w:r w:rsidR="00C8591B">
        <w:t xml:space="preserve"> </w:t>
      </w:r>
    </w:p>
    <w:p w14:paraId="02E12C8F" w14:textId="254A8D6D" w:rsidR="00910EB9" w:rsidRDefault="006E4A1B">
      <w:pPr>
        <w:spacing w:after="120" w:line="240" w:lineRule="auto"/>
      </w:pPr>
      <w:r>
        <w:t xml:space="preserve">Phone: </w:t>
      </w:r>
      <w:r w:rsidR="00483A98">
        <w:t>[Redacted]</w:t>
      </w:r>
    </w:p>
    <w:p w14:paraId="02E12C90" w14:textId="77777777" w:rsidR="00910EB9" w:rsidRDefault="00910EB9">
      <w:pPr>
        <w:spacing w:before="240" w:after="240"/>
      </w:pPr>
    </w:p>
    <w:p w14:paraId="02E12C91" w14:textId="77777777" w:rsidR="00910EB9" w:rsidRDefault="006E4A1B">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10EB9" w14:paraId="02E12C95"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92" w14:textId="77777777" w:rsidR="00910EB9" w:rsidRDefault="006E4A1B">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93" w14:textId="0602DF7A" w:rsidR="00910EB9" w:rsidRDefault="006E4A1B">
            <w:pPr>
              <w:spacing w:before="240"/>
            </w:pPr>
            <w:r>
              <w:t xml:space="preserve">This Call-Off Contract Starts on </w:t>
            </w:r>
            <w:r w:rsidR="00C8591B">
              <w:t>1</w:t>
            </w:r>
            <w:r w:rsidR="00C8591B" w:rsidRPr="008340CF">
              <w:rPr>
                <w:vertAlign w:val="superscript"/>
              </w:rPr>
              <w:t>st</w:t>
            </w:r>
            <w:r w:rsidR="00C8591B">
              <w:t xml:space="preserve"> November 2021</w:t>
            </w:r>
            <w:r>
              <w:rPr>
                <w:b/>
              </w:rPr>
              <w:t xml:space="preserve"> </w:t>
            </w:r>
            <w:r>
              <w:t xml:space="preserve">and is valid for </w:t>
            </w:r>
            <w:r>
              <w:rPr>
                <w:b/>
              </w:rPr>
              <w:t>24 months</w:t>
            </w:r>
            <w:r>
              <w:t>.</w:t>
            </w:r>
          </w:p>
          <w:p w14:paraId="02E12C94" w14:textId="77777777" w:rsidR="00910EB9" w:rsidRDefault="00910EB9">
            <w:pPr>
              <w:spacing w:before="240"/>
            </w:pPr>
          </w:p>
        </w:tc>
      </w:tr>
      <w:tr w:rsidR="00910EB9" w14:paraId="02E12C9B"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96" w14:textId="77777777" w:rsidR="00910EB9" w:rsidRDefault="006E4A1B">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97" w14:textId="77777777" w:rsidR="00910EB9" w:rsidRDefault="006E4A1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2C8ED21B" w14:textId="22BB25A7" w:rsidR="00910EB9" w:rsidRDefault="006E4A1B">
            <w:pPr>
              <w:spacing w:before="240"/>
            </w:pPr>
            <w:r>
              <w:t xml:space="preserve">The notice period for the Buyer is a maximum of </w:t>
            </w:r>
            <w:r w:rsidR="00930AD7">
              <w:rPr>
                <w:b/>
              </w:rPr>
              <w:t>30</w:t>
            </w:r>
            <w:r>
              <w:t xml:space="preserve"> days from the date of written notice for Ending without cause (as per clause 18.1).</w:t>
            </w:r>
          </w:p>
          <w:p w14:paraId="02E12C9A" w14:textId="1BFD181B" w:rsidR="00493308" w:rsidRDefault="00493308">
            <w:pPr>
              <w:spacing w:before="240"/>
            </w:pPr>
            <w:r>
              <w:t>If the Buyer requests a partial termination, the Parties shall discuss and agree which aspects of the Services continue beyond this partial termination and the adjustment in pricing</w:t>
            </w:r>
            <w:r w:rsidR="006B0315">
              <w:t xml:space="preserve"> in accordance with Schedule 2.</w:t>
            </w:r>
          </w:p>
        </w:tc>
      </w:tr>
      <w:tr w:rsidR="00910EB9" w14:paraId="02E12CA0"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9C" w14:textId="77777777" w:rsidR="00910EB9" w:rsidRDefault="006E4A1B">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904DE45" w14:textId="1DA6DFB8" w:rsidR="00681EA6" w:rsidRDefault="006E4A1B">
            <w:pPr>
              <w:spacing w:before="240"/>
            </w:pPr>
            <w:r>
              <w:t xml:space="preserve">This Call-off Contract can be extended by the Buyer for </w:t>
            </w:r>
            <w:r w:rsidR="00493308">
              <w:t>1</w:t>
            </w:r>
            <w:r>
              <w:t xml:space="preserve"> period of up to 12 months, by giving the Supplier </w:t>
            </w:r>
            <w:r>
              <w:rPr>
                <w:b/>
              </w:rPr>
              <w:t>2 months’</w:t>
            </w:r>
            <w:r>
              <w:t xml:space="preserve"> written notice before its expiry. The extension period </w:t>
            </w:r>
            <w:r w:rsidR="007734DA">
              <w:t>is</w:t>
            </w:r>
            <w:r>
              <w:t xml:space="preserve"> subject to clauses 1.3 and 1.4 in Part B below.</w:t>
            </w:r>
          </w:p>
          <w:p w14:paraId="02E12C9E" w14:textId="77777777" w:rsidR="00910EB9" w:rsidRDefault="006E4A1B">
            <w:pPr>
              <w:spacing w:before="240"/>
            </w:pPr>
            <w:r>
              <w:t>Extensions which extend the Term beyond 24 months are only permitted if the Supplier complies with the additional exit plan requirements at clauses 21.3 to 21.8.</w:t>
            </w:r>
          </w:p>
          <w:p w14:paraId="02E12C9F" w14:textId="77777777" w:rsidR="00910EB9" w:rsidRDefault="00910EB9">
            <w:pPr>
              <w:spacing w:before="240"/>
            </w:pPr>
          </w:p>
        </w:tc>
      </w:tr>
    </w:tbl>
    <w:p w14:paraId="02E12CA1" w14:textId="77777777" w:rsidR="00910EB9" w:rsidRDefault="006E4A1B">
      <w:pPr>
        <w:pStyle w:val="Heading3"/>
        <w:rPr>
          <w:color w:val="auto"/>
        </w:rPr>
      </w:pPr>
      <w:r>
        <w:rPr>
          <w:color w:val="auto"/>
        </w:rPr>
        <w:lastRenderedPageBreak/>
        <w:t>Buyer contractual details</w:t>
      </w:r>
    </w:p>
    <w:p w14:paraId="02E12CA2" w14:textId="77777777" w:rsidR="00910EB9" w:rsidRDefault="006E4A1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910EB9" w14:paraId="02E12CA6"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A3" w14:textId="77777777" w:rsidR="00910EB9" w:rsidRDefault="006E4A1B">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A4" w14:textId="77777777" w:rsidR="00910EB9" w:rsidRDefault="006E4A1B">
            <w:pPr>
              <w:spacing w:before="240"/>
            </w:pPr>
            <w:r>
              <w:t>This Call-Off Contract is for the provision of Services under:</w:t>
            </w:r>
          </w:p>
          <w:p w14:paraId="02E12CA5" w14:textId="77777777" w:rsidR="00910EB9" w:rsidRDefault="006E4A1B">
            <w:pPr>
              <w:pStyle w:val="ListParagraph"/>
              <w:spacing w:before="240"/>
            </w:pPr>
            <w:r>
              <w:t>Lot 2: Cloud software</w:t>
            </w:r>
          </w:p>
        </w:tc>
      </w:tr>
      <w:tr w:rsidR="00910EB9" w14:paraId="02E12CAE"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A7" w14:textId="77777777" w:rsidR="00910EB9" w:rsidRDefault="006E4A1B">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E12CA8" w14:textId="77777777" w:rsidR="00910EB9" w:rsidRDefault="006E4A1B">
            <w:pPr>
              <w:spacing w:before="240"/>
            </w:pPr>
            <w:r>
              <w:t>The Services to be provided by the Supplier under the above Lot are listed in Framework Section 2 and outlined below:</w:t>
            </w:r>
          </w:p>
          <w:p w14:paraId="02E12CA9" w14:textId="77777777" w:rsidR="00910EB9" w:rsidRDefault="006E4A1B">
            <w:pPr>
              <w:pStyle w:val="ListParagraph"/>
              <w:numPr>
                <w:ilvl w:val="0"/>
                <w:numId w:val="1"/>
              </w:numPr>
              <w:rPr>
                <w:b/>
              </w:rPr>
            </w:pPr>
            <w:r>
              <w:rPr>
                <w:b/>
              </w:rPr>
              <w:t>Provision of access to the Supplier-owned platforms detailed in the Service Descriptions</w:t>
            </w:r>
          </w:p>
          <w:p w14:paraId="02E12CAB" w14:textId="78B4DC72" w:rsidR="00910EB9" w:rsidRPr="008340CF" w:rsidRDefault="006E4A1B" w:rsidP="00C8591B">
            <w:pPr>
              <w:pStyle w:val="ListParagraph"/>
              <w:numPr>
                <w:ilvl w:val="0"/>
                <w:numId w:val="1"/>
              </w:numPr>
              <w:rPr>
                <w:b/>
              </w:rPr>
            </w:pPr>
            <w:r>
              <w:rPr>
                <w:b/>
              </w:rPr>
              <w:t>It is anticipated</w:t>
            </w:r>
            <w:r w:rsidR="00C8591B">
              <w:rPr>
                <w:b/>
              </w:rPr>
              <w:t xml:space="preserve"> that for</w:t>
            </w:r>
            <w:r>
              <w:rPr>
                <w:b/>
              </w:rPr>
              <w:t xml:space="preserve"> </w:t>
            </w:r>
            <w:r w:rsidR="00C8591B">
              <w:rPr>
                <w:b/>
              </w:rPr>
              <w:t xml:space="preserve">the </w:t>
            </w:r>
            <w:r>
              <w:rPr>
                <w:b/>
              </w:rPr>
              <w:t xml:space="preserve">first </w:t>
            </w:r>
            <w:r w:rsidR="00D72DAE">
              <w:rPr>
                <w:b/>
              </w:rPr>
              <w:t>5</w:t>
            </w:r>
            <w:r>
              <w:rPr>
                <w:b/>
              </w:rPr>
              <w:t xml:space="preserve"> months of the Contract</w:t>
            </w:r>
            <w:r w:rsidR="00C8591B">
              <w:rPr>
                <w:b/>
              </w:rPr>
              <w:t>,</w:t>
            </w:r>
            <w:r w:rsidR="00E43B86">
              <w:rPr>
                <w:b/>
              </w:rPr>
              <w:t xml:space="preserve"> </w:t>
            </w:r>
            <w:r>
              <w:rPr>
                <w:b/>
              </w:rPr>
              <w:t xml:space="preserve">the number of users shall be </w:t>
            </w:r>
            <w:r w:rsidR="00D72DAE">
              <w:rPr>
                <w:b/>
              </w:rPr>
              <w:t>10</w:t>
            </w:r>
            <w:r w:rsidR="00C8591B">
              <w:rPr>
                <w:b/>
              </w:rPr>
              <w:t xml:space="preserve">, but this </w:t>
            </w:r>
            <w:r w:rsidR="00C8591B" w:rsidRPr="00333B0B">
              <w:rPr>
                <w:b/>
              </w:rPr>
              <w:t xml:space="preserve">may then be </w:t>
            </w:r>
            <w:proofErr w:type="gramStart"/>
            <w:r w:rsidR="00C8591B">
              <w:rPr>
                <w:b/>
              </w:rPr>
              <w:t xml:space="preserve">changed </w:t>
            </w:r>
            <w:r w:rsidR="00C8591B" w:rsidRPr="00333B0B">
              <w:rPr>
                <w:b/>
              </w:rPr>
              <w:t xml:space="preserve"> and</w:t>
            </w:r>
            <w:proofErr w:type="gramEnd"/>
            <w:r w:rsidR="00C8591B" w:rsidRPr="00333B0B">
              <w:rPr>
                <w:b/>
              </w:rPr>
              <w:t xml:space="preserve"> charged for in accordance with the Charges detailed in Schedule 2.</w:t>
            </w:r>
          </w:p>
          <w:p w14:paraId="02E12CAC" w14:textId="77777777" w:rsidR="00910EB9" w:rsidRDefault="006E4A1B">
            <w:pPr>
              <w:pStyle w:val="ListParagraph"/>
              <w:numPr>
                <w:ilvl w:val="0"/>
                <w:numId w:val="1"/>
              </w:numPr>
              <w:rPr>
                <w:b/>
              </w:rPr>
            </w:pPr>
            <w:r>
              <w:rPr>
                <w:b/>
              </w:rPr>
              <w:t xml:space="preserve">The Buyer may adjust the number of users down on an annual basis. </w:t>
            </w:r>
          </w:p>
          <w:p w14:paraId="02E12CAD" w14:textId="77777777" w:rsidR="00910EB9" w:rsidRDefault="00910EB9">
            <w:pPr>
              <w:spacing w:before="240"/>
            </w:pPr>
          </w:p>
        </w:tc>
      </w:tr>
      <w:tr w:rsidR="00910EB9" w14:paraId="02E12CB2"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AF" w14:textId="77777777" w:rsidR="00910EB9" w:rsidRDefault="006E4A1B">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E12CB0" w14:textId="77777777" w:rsidR="00910EB9" w:rsidRDefault="006E4A1B">
            <w:pPr>
              <w:spacing w:before="240"/>
            </w:pPr>
            <w:r>
              <w:rPr>
                <w:b/>
              </w:rPr>
              <w:t>N/A</w:t>
            </w:r>
          </w:p>
          <w:p w14:paraId="02E12CB1" w14:textId="77777777" w:rsidR="00910EB9" w:rsidRDefault="00910EB9">
            <w:pPr>
              <w:spacing w:before="240"/>
            </w:pPr>
          </w:p>
        </w:tc>
      </w:tr>
      <w:tr w:rsidR="00910EB9" w14:paraId="02E12CB6"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B3" w14:textId="77777777" w:rsidR="00910EB9" w:rsidRDefault="006E4A1B">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E12CB4" w14:textId="19085E25" w:rsidR="00910EB9" w:rsidRDefault="006E4A1B">
            <w:pPr>
              <w:spacing w:before="240"/>
            </w:pPr>
            <w:r>
              <w:t>The Services will be delivered remotely</w:t>
            </w:r>
            <w:r w:rsidR="00210E79">
              <w:t xml:space="preserve"> to the</w:t>
            </w:r>
            <w:r w:rsidR="008A5822">
              <w:t xml:space="preserve"> </w:t>
            </w:r>
            <w:r w:rsidR="00A83272">
              <w:t xml:space="preserve">employees, </w:t>
            </w:r>
            <w:proofErr w:type="gramStart"/>
            <w:r w:rsidR="00A83272">
              <w:t>agents</w:t>
            </w:r>
            <w:proofErr w:type="gramEnd"/>
            <w:r w:rsidR="00A83272">
              <w:t xml:space="preserve"> or contractors of BEIS contributing to the work </w:t>
            </w:r>
            <w:r w:rsidR="00210E79">
              <w:t>of the Investment S</w:t>
            </w:r>
            <w:r w:rsidR="008723A7">
              <w:t>ecurity</w:t>
            </w:r>
            <w:r w:rsidR="00210E79">
              <w:t xml:space="preserve"> Unit (ISU)</w:t>
            </w:r>
            <w:r w:rsidR="00A83272">
              <w:t>.</w:t>
            </w:r>
          </w:p>
          <w:p w14:paraId="02E12CB5" w14:textId="77777777" w:rsidR="00910EB9" w:rsidRDefault="00910EB9">
            <w:pPr>
              <w:spacing w:before="240"/>
            </w:pPr>
          </w:p>
        </w:tc>
      </w:tr>
      <w:tr w:rsidR="00910EB9" w14:paraId="02E12CBA"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B7" w14:textId="77777777" w:rsidR="00910EB9" w:rsidRDefault="006E4A1B">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B8" w14:textId="77777777" w:rsidR="00910EB9" w:rsidRDefault="006E4A1B">
            <w:pPr>
              <w:spacing w:before="240"/>
            </w:pPr>
            <w:r>
              <w:t xml:space="preserve">The quality standards required for this Call-Off Contract are as set out in the Specification at Schedule 1. </w:t>
            </w:r>
          </w:p>
        </w:tc>
        <w:tc>
          <w:tcPr>
            <w:tcW w:w="46" w:type="dxa"/>
            <w:shd w:val="clear" w:color="auto" w:fill="auto"/>
            <w:tcMar>
              <w:top w:w="0" w:type="dxa"/>
              <w:left w:w="10" w:type="dxa"/>
              <w:bottom w:w="0" w:type="dxa"/>
              <w:right w:w="10" w:type="dxa"/>
            </w:tcMar>
          </w:tcPr>
          <w:p w14:paraId="02E12CB9" w14:textId="77777777" w:rsidR="00910EB9" w:rsidRDefault="00910EB9">
            <w:pPr>
              <w:spacing w:before="240"/>
            </w:pPr>
          </w:p>
        </w:tc>
      </w:tr>
      <w:tr w:rsidR="00910EB9" w14:paraId="02E12CBF"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BB" w14:textId="77777777" w:rsidR="00910EB9" w:rsidRDefault="006E4A1B">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BC" w14:textId="77777777" w:rsidR="00910EB9" w:rsidRDefault="006E4A1B">
            <w:pPr>
              <w:spacing w:before="240"/>
            </w:pPr>
            <w:r>
              <w:t>The technical standards used as a requirement for this Call-Off Contract are as set out in the Specification at Schedule 1.</w:t>
            </w:r>
          </w:p>
          <w:p w14:paraId="02E12CBD" w14:textId="77777777" w:rsidR="00910EB9" w:rsidRDefault="00910EB9">
            <w:pPr>
              <w:spacing w:before="240"/>
            </w:pPr>
          </w:p>
        </w:tc>
        <w:tc>
          <w:tcPr>
            <w:tcW w:w="46" w:type="dxa"/>
            <w:shd w:val="clear" w:color="auto" w:fill="auto"/>
            <w:tcMar>
              <w:top w:w="0" w:type="dxa"/>
              <w:left w:w="10" w:type="dxa"/>
              <w:bottom w:w="0" w:type="dxa"/>
              <w:right w:w="10" w:type="dxa"/>
            </w:tcMar>
          </w:tcPr>
          <w:p w14:paraId="02E12CBE" w14:textId="77777777" w:rsidR="00910EB9" w:rsidRDefault="00910EB9">
            <w:pPr>
              <w:spacing w:before="240"/>
            </w:pPr>
          </w:p>
        </w:tc>
      </w:tr>
      <w:tr w:rsidR="00910EB9" w14:paraId="02E12CC4"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C0" w14:textId="77777777" w:rsidR="00910EB9" w:rsidRDefault="006E4A1B">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C1" w14:textId="77777777" w:rsidR="00910EB9" w:rsidRDefault="006E4A1B">
            <w:pPr>
              <w:spacing w:before="240"/>
            </w:pPr>
            <w:r>
              <w:t>The service level and availability criteria required for this Call-Off Contract are:</w:t>
            </w:r>
          </w:p>
          <w:p w14:paraId="02E12CC2" w14:textId="77777777" w:rsidR="00910EB9" w:rsidRDefault="006E4A1B">
            <w:pPr>
              <w:pStyle w:val="ListParagraph"/>
              <w:numPr>
                <w:ilvl w:val="0"/>
                <w:numId w:val="2"/>
              </w:numPr>
            </w:pPr>
            <w:r>
              <w:t>99.5% availability</w:t>
            </w:r>
          </w:p>
        </w:tc>
        <w:tc>
          <w:tcPr>
            <w:tcW w:w="46" w:type="dxa"/>
            <w:shd w:val="clear" w:color="auto" w:fill="auto"/>
            <w:tcMar>
              <w:top w:w="0" w:type="dxa"/>
              <w:left w:w="10" w:type="dxa"/>
              <w:bottom w:w="0" w:type="dxa"/>
              <w:right w:w="10" w:type="dxa"/>
            </w:tcMar>
          </w:tcPr>
          <w:p w14:paraId="02E12CC3" w14:textId="77777777" w:rsidR="00910EB9" w:rsidRDefault="00910EB9">
            <w:pPr>
              <w:pStyle w:val="ListParagraph"/>
            </w:pPr>
          </w:p>
        </w:tc>
      </w:tr>
      <w:tr w:rsidR="00910EB9" w14:paraId="02E12CC8"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C5" w14:textId="77777777" w:rsidR="00910EB9" w:rsidRDefault="006E4A1B">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C6" w14:textId="7082B04A" w:rsidR="00910EB9" w:rsidRDefault="006E4A1B">
            <w:pPr>
              <w:spacing w:before="240"/>
            </w:pPr>
            <w:r>
              <w:t xml:space="preserve">The onboarding plan for this Call-Off Contract is </w:t>
            </w:r>
            <w:r>
              <w:rPr>
                <w:bCs/>
              </w:rPr>
              <w:t>for the Buyer to provide details of those individuals requiring access to the platforms, and for the Supplier</w:t>
            </w:r>
            <w:r w:rsidR="00CF0B53">
              <w:rPr>
                <w:bCs/>
              </w:rPr>
              <w:t xml:space="preserve"> within 3 Working Days</w:t>
            </w:r>
            <w:r>
              <w:rPr>
                <w:bCs/>
              </w:rPr>
              <w:t xml:space="preserve"> to establish log in credentials</w:t>
            </w:r>
            <w:r w:rsidR="007A5B4F">
              <w:rPr>
                <w:bCs/>
              </w:rPr>
              <w:t>,</w:t>
            </w:r>
            <w:r>
              <w:rPr>
                <w:bCs/>
              </w:rPr>
              <w:t xml:space="preserve"> provide training </w:t>
            </w:r>
            <w:r w:rsidR="007A5B4F">
              <w:rPr>
                <w:bCs/>
              </w:rPr>
              <w:t xml:space="preserve">within </w:t>
            </w:r>
            <w:r w:rsidR="001A2AB3">
              <w:rPr>
                <w:bCs/>
              </w:rPr>
              <w:t xml:space="preserve">5 Working Days, </w:t>
            </w:r>
            <w:r>
              <w:rPr>
                <w:bCs/>
              </w:rPr>
              <w:t>and aftersales support</w:t>
            </w:r>
            <w:r w:rsidR="001A2AB3">
              <w:rPr>
                <w:bCs/>
              </w:rPr>
              <w:t xml:space="preserve"> throughout the term of the Contract</w:t>
            </w:r>
            <w:r>
              <w:rPr>
                <w:bCs/>
              </w:rPr>
              <w:t xml:space="preserve"> as set out in the Service Offering on the Digital Marketplace.</w:t>
            </w:r>
          </w:p>
        </w:tc>
        <w:tc>
          <w:tcPr>
            <w:tcW w:w="46" w:type="dxa"/>
            <w:shd w:val="clear" w:color="auto" w:fill="auto"/>
            <w:tcMar>
              <w:top w:w="0" w:type="dxa"/>
              <w:left w:w="10" w:type="dxa"/>
              <w:bottom w:w="0" w:type="dxa"/>
              <w:right w:w="10" w:type="dxa"/>
            </w:tcMar>
          </w:tcPr>
          <w:p w14:paraId="02E12CC7" w14:textId="77777777" w:rsidR="00910EB9" w:rsidRDefault="00910EB9">
            <w:pPr>
              <w:pStyle w:val="ListParagraph"/>
            </w:pPr>
          </w:p>
        </w:tc>
      </w:tr>
      <w:tr w:rsidR="00910EB9" w14:paraId="02E12CCC"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C9" w14:textId="77777777" w:rsidR="00910EB9" w:rsidRDefault="006E4A1B">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CA" w14:textId="77777777" w:rsidR="00910EB9" w:rsidRDefault="006E4A1B">
            <w:pPr>
              <w:spacing w:before="240"/>
            </w:pPr>
            <w:r>
              <w:t xml:space="preserve">The offboarding plan for this Call-Off Contract is for platform access to be revoked on the final day of the Contract as determined by and in accordance with the Terms and Conditions. </w:t>
            </w:r>
          </w:p>
        </w:tc>
        <w:tc>
          <w:tcPr>
            <w:tcW w:w="46" w:type="dxa"/>
            <w:shd w:val="clear" w:color="auto" w:fill="auto"/>
            <w:tcMar>
              <w:top w:w="0" w:type="dxa"/>
              <w:left w:w="10" w:type="dxa"/>
              <w:bottom w:w="0" w:type="dxa"/>
              <w:right w:w="10" w:type="dxa"/>
            </w:tcMar>
          </w:tcPr>
          <w:p w14:paraId="02E12CCB" w14:textId="77777777" w:rsidR="00910EB9" w:rsidRDefault="00910EB9">
            <w:pPr>
              <w:pStyle w:val="ListParagraph"/>
            </w:pPr>
          </w:p>
        </w:tc>
      </w:tr>
      <w:tr w:rsidR="00910EB9" w14:paraId="02E12CD1"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CD" w14:textId="77777777" w:rsidR="00910EB9" w:rsidRDefault="006E4A1B">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CE" w14:textId="77777777" w:rsidR="00910EB9" w:rsidRDefault="006E4A1B">
            <w:pPr>
              <w:spacing w:before="240"/>
            </w:pPr>
            <w:r>
              <w:t>N/A</w:t>
            </w:r>
          </w:p>
          <w:p w14:paraId="02E12CCF" w14:textId="77777777" w:rsidR="00910EB9" w:rsidRDefault="00910EB9">
            <w:pPr>
              <w:spacing w:before="240"/>
            </w:pPr>
          </w:p>
        </w:tc>
        <w:tc>
          <w:tcPr>
            <w:tcW w:w="46" w:type="dxa"/>
            <w:shd w:val="clear" w:color="auto" w:fill="auto"/>
            <w:tcMar>
              <w:top w:w="0" w:type="dxa"/>
              <w:left w:w="10" w:type="dxa"/>
              <w:bottom w:w="0" w:type="dxa"/>
              <w:right w:w="10" w:type="dxa"/>
            </w:tcMar>
          </w:tcPr>
          <w:p w14:paraId="02E12CD0" w14:textId="77777777" w:rsidR="00910EB9" w:rsidRDefault="00910EB9">
            <w:pPr>
              <w:spacing w:before="240"/>
            </w:pPr>
          </w:p>
        </w:tc>
      </w:tr>
      <w:tr w:rsidR="00910EB9" w14:paraId="02E12CD7"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D2" w14:textId="77777777" w:rsidR="00910EB9" w:rsidRDefault="006E4A1B">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D3" w14:textId="77777777" w:rsidR="00910EB9" w:rsidRDefault="006E4A1B">
            <w:pPr>
              <w:spacing w:before="240"/>
            </w:pPr>
            <w:r>
              <w:t xml:space="preserve">The annual total liability of either Party for all Property Defaults will not exceed </w:t>
            </w:r>
            <w:r>
              <w:rPr>
                <w:b/>
              </w:rPr>
              <w:t>£100,000.</w:t>
            </w:r>
          </w:p>
          <w:p w14:paraId="02E12CD4" w14:textId="77777777" w:rsidR="00910EB9" w:rsidRDefault="006E4A1B">
            <w:pPr>
              <w:spacing w:before="240"/>
            </w:pPr>
            <w:r>
              <w:t>The annual total liability for Buyer Data Defaults will not exceed £1,000,000 or 100% of the Charges payable by the Buyer to the Supplier during the Call-Off Contract Term (whichever is the greater).</w:t>
            </w:r>
          </w:p>
          <w:p w14:paraId="02E12CD5" w14:textId="52505A3A" w:rsidR="00910EB9" w:rsidRDefault="006E4A1B">
            <w:pPr>
              <w:spacing w:before="240"/>
            </w:pPr>
            <w:r>
              <w:t xml:space="preserve">The annual total liability for all other Defaults will not exceed the greater of </w:t>
            </w:r>
            <w:r>
              <w:rPr>
                <w:b/>
              </w:rPr>
              <w:t>£1,</w:t>
            </w:r>
            <w:r w:rsidR="00660AFA">
              <w:rPr>
                <w:b/>
              </w:rPr>
              <w:t>0</w:t>
            </w:r>
            <w:r>
              <w:rPr>
                <w:b/>
              </w:rPr>
              <w:t xml:space="preserve">00,000 </w:t>
            </w:r>
            <w:r>
              <w:t>or 100%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02E12CD6" w14:textId="77777777" w:rsidR="00910EB9" w:rsidRDefault="00910EB9">
            <w:pPr>
              <w:spacing w:before="240"/>
            </w:pPr>
          </w:p>
        </w:tc>
      </w:tr>
      <w:tr w:rsidR="00910EB9" w14:paraId="02E12CDE"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D8" w14:textId="77777777" w:rsidR="00910EB9" w:rsidRDefault="006E4A1B">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D9" w14:textId="77777777" w:rsidR="00910EB9" w:rsidRDefault="006E4A1B">
            <w:pPr>
              <w:spacing w:before="240"/>
            </w:pPr>
            <w:r>
              <w:t>The insurance(s) required will be:</w:t>
            </w:r>
          </w:p>
          <w:p w14:paraId="02E12CDA" w14:textId="77777777" w:rsidR="00910EB9" w:rsidRDefault="006E4A1B">
            <w:pPr>
              <w:numPr>
                <w:ilvl w:val="0"/>
                <w:numId w:val="3"/>
              </w:numPr>
            </w:pPr>
            <w:r>
              <w:rPr>
                <w:sz w:val="14"/>
                <w:szCs w:val="14"/>
              </w:rPr>
              <w:t xml:space="preserve"> </w:t>
            </w:r>
            <w:r>
              <w:t>a minimum insurance period of 1 year following the expiration or Ending of this Call-Off Contract.</w:t>
            </w:r>
          </w:p>
          <w:p w14:paraId="02E12CDB" w14:textId="77777777" w:rsidR="00910EB9" w:rsidRDefault="006E4A1B">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2E12CDC" w14:textId="77777777" w:rsidR="00910EB9" w:rsidRDefault="006E4A1B">
            <w:pPr>
              <w:numPr>
                <w:ilvl w:val="0"/>
                <w:numId w:val="3"/>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02E12CDD" w14:textId="77777777" w:rsidR="00910EB9" w:rsidRDefault="00910EB9">
            <w:pPr>
              <w:spacing w:before="240"/>
            </w:pPr>
          </w:p>
        </w:tc>
      </w:tr>
      <w:tr w:rsidR="00910EB9" w14:paraId="02E12CE2"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DF" w14:textId="77777777" w:rsidR="00910EB9" w:rsidRDefault="006E4A1B">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E0" w14:textId="77777777" w:rsidR="00910EB9" w:rsidRDefault="006E4A1B">
            <w:pPr>
              <w:spacing w:before="240"/>
            </w:pPr>
            <w:r>
              <w:t>A Party may End this Call-Off Contract if the Other Party is affected by a Force Majeure Event that lasts for more than 20 consecutive days.</w:t>
            </w:r>
          </w:p>
        </w:tc>
        <w:tc>
          <w:tcPr>
            <w:tcW w:w="46" w:type="dxa"/>
            <w:shd w:val="clear" w:color="auto" w:fill="auto"/>
            <w:tcMar>
              <w:top w:w="0" w:type="dxa"/>
              <w:left w:w="10" w:type="dxa"/>
              <w:bottom w:w="0" w:type="dxa"/>
              <w:right w:w="10" w:type="dxa"/>
            </w:tcMar>
          </w:tcPr>
          <w:p w14:paraId="02E12CE1" w14:textId="77777777" w:rsidR="00910EB9" w:rsidRDefault="00910EB9">
            <w:pPr>
              <w:spacing w:before="240"/>
            </w:pPr>
          </w:p>
        </w:tc>
      </w:tr>
      <w:tr w:rsidR="00910EB9" w14:paraId="02E12CE7"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E3" w14:textId="77777777" w:rsidR="00910EB9" w:rsidRDefault="006E4A1B">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E4" w14:textId="77777777" w:rsidR="00910EB9" w:rsidRDefault="006E4A1B">
            <w:pPr>
              <w:spacing w:before="240"/>
            </w:pPr>
            <w:r>
              <w:t>The following Framework Agreement audit provisions will be incorporated under clause 2.1 of this Call-Off Contract to enable the Buyer to carry out audits:</w:t>
            </w:r>
          </w:p>
          <w:p w14:paraId="02E12CE5" w14:textId="77777777" w:rsidR="00910EB9" w:rsidRDefault="006E4A1B">
            <w:pPr>
              <w:spacing w:before="240"/>
            </w:pPr>
            <w:r>
              <w:t xml:space="preserve">7.4 to 7.13 </w:t>
            </w:r>
            <w:proofErr w:type="gramStart"/>
            <w:r>
              <w:t>inclusive, but</w:t>
            </w:r>
            <w:proofErr w:type="gramEnd"/>
            <w:r>
              <w:t xml:space="preserve"> excluding 7.6.</w:t>
            </w:r>
          </w:p>
        </w:tc>
        <w:tc>
          <w:tcPr>
            <w:tcW w:w="46" w:type="dxa"/>
            <w:shd w:val="clear" w:color="auto" w:fill="auto"/>
            <w:tcMar>
              <w:top w:w="0" w:type="dxa"/>
              <w:left w:w="10" w:type="dxa"/>
              <w:bottom w:w="0" w:type="dxa"/>
              <w:right w:w="10" w:type="dxa"/>
            </w:tcMar>
          </w:tcPr>
          <w:p w14:paraId="02E12CE6" w14:textId="77777777" w:rsidR="00910EB9" w:rsidRDefault="00910EB9">
            <w:pPr>
              <w:spacing w:before="240"/>
            </w:pPr>
          </w:p>
        </w:tc>
      </w:tr>
      <w:tr w:rsidR="00910EB9" w14:paraId="02E12CE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E8" w14:textId="77777777" w:rsidR="00910EB9" w:rsidRDefault="006E4A1B">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E9" w14:textId="77777777" w:rsidR="00910EB9" w:rsidRDefault="006E4A1B">
            <w:pPr>
              <w:spacing w:before="240"/>
            </w:pPr>
            <w:r>
              <w:t xml:space="preserve">The Buyer is responsible for </w:t>
            </w:r>
            <w:r>
              <w:rPr>
                <w:bCs/>
              </w:rPr>
              <w:t>providing the information needed by the Supplier to set up and maintain log in credentials to the number agreed.</w:t>
            </w:r>
          </w:p>
        </w:tc>
        <w:tc>
          <w:tcPr>
            <w:tcW w:w="46" w:type="dxa"/>
            <w:shd w:val="clear" w:color="auto" w:fill="auto"/>
            <w:tcMar>
              <w:top w:w="0" w:type="dxa"/>
              <w:left w:w="10" w:type="dxa"/>
              <w:bottom w:w="0" w:type="dxa"/>
              <w:right w:w="10" w:type="dxa"/>
            </w:tcMar>
          </w:tcPr>
          <w:p w14:paraId="02E12CEA" w14:textId="77777777" w:rsidR="00910EB9" w:rsidRDefault="00910EB9">
            <w:pPr>
              <w:spacing w:before="240"/>
            </w:pPr>
          </w:p>
        </w:tc>
      </w:tr>
      <w:tr w:rsidR="00910EB9" w14:paraId="02E12CEF"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EC" w14:textId="77777777" w:rsidR="00910EB9" w:rsidRDefault="006E4A1B">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2E12CED" w14:textId="77777777" w:rsidR="00910EB9" w:rsidRDefault="006E4A1B">
            <w:pPr>
              <w:spacing w:before="240"/>
            </w:pPr>
            <w:r>
              <w:t>N/A</w:t>
            </w:r>
          </w:p>
        </w:tc>
        <w:tc>
          <w:tcPr>
            <w:tcW w:w="46" w:type="dxa"/>
            <w:shd w:val="clear" w:color="auto" w:fill="auto"/>
            <w:tcMar>
              <w:top w:w="0" w:type="dxa"/>
              <w:left w:w="10" w:type="dxa"/>
              <w:bottom w:w="0" w:type="dxa"/>
              <w:right w:w="10" w:type="dxa"/>
            </w:tcMar>
          </w:tcPr>
          <w:p w14:paraId="02E12CEE" w14:textId="77777777" w:rsidR="00910EB9" w:rsidRDefault="00910EB9">
            <w:pPr>
              <w:spacing w:before="240"/>
            </w:pPr>
          </w:p>
        </w:tc>
      </w:tr>
    </w:tbl>
    <w:p w14:paraId="02E12CF0" w14:textId="77777777" w:rsidR="00910EB9" w:rsidRDefault="00910EB9">
      <w:pPr>
        <w:spacing w:before="240" w:after="120"/>
      </w:pPr>
    </w:p>
    <w:p w14:paraId="02E12CF1" w14:textId="77777777" w:rsidR="00910EB9" w:rsidRDefault="006E4A1B">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910EB9" w14:paraId="02E12CF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2" w14:textId="77777777" w:rsidR="00910EB9" w:rsidRDefault="006E4A1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3" w14:textId="77777777" w:rsidR="00910EB9" w:rsidRDefault="006E4A1B">
            <w:pPr>
              <w:spacing w:before="240"/>
            </w:pPr>
            <w:r>
              <w:t>N/A</w:t>
            </w:r>
          </w:p>
        </w:tc>
      </w:tr>
    </w:tbl>
    <w:p w14:paraId="02E12CF5" w14:textId="77777777" w:rsidR="00910EB9" w:rsidRDefault="00910EB9">
      <w:pPr>
        <w:spacing w:before="240" w:after="120"/>
      </w:pPr>
    </w:p>
    <w:p w14:paraId="02E12CF6" w14:textId="77777777" w:rsidR="00910EB9" w:rsidRDefault="006E4A1B">
      <w:pPr>
        <w:pStyle w:val="Heading3"/>
        <w:rPr>
          <w:color w:val="auto"/>
        </w:rPr>
      </w:pPr>
      <w:r>
        <w:rPr>
          <w:color w:val="auto"/>
        </w:rPr>
        <w:t>Call-Off Contract charges and payment</w:t>
      </w:r>
    </w:p>
    <w:p w14:paraId="02E12CF7" w14:textId="77777777" w:rsidR="00910EB9" w:rsidRDefault="006E4A1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10EB9" w14:paraId="02E12CF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8" w14:textId="77777777" w:rsidR="00910EB9" w:rsidRDefault="006E4A1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9" w14:textId="77777777" w:rsidR="00910EB9" w:rsidRDefault="006E4A1B">
            <w:pPr>
              <w:spacing w:before="240"/>
            </w:pPr>
            <w:r>
              <w:t xml:space="preserve">The payment method for this Call-Off Contract is </w:t>
            </w:r>
            <w:r>
              <w:rPr>
                <w:b/>
              </w:rPr>
              <w:t>by BACS transfer</w:t>
            </w:r>
          </w:p>
        </w:tc>
      </w:tr>
      <w:tr w:rsidR="00910EB9" w14:paraId="02E12CFD"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B" w14:textId="77777777" w:rsidR="00910EB9" w:rsidRDefault="006E4A1B">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C" w14:textId="2054F682" w:rsidR="00910EB9" w:rsidRDefault="006E4A1B">
            <w:pPr>
              <w:spacing w:before="240"/>
            </w:pPr>
            <w:r>
              <w:t xml:space="preserve">The payment profile for this Call-Off Contract is </w:t>
            </w:r>
            <w:r w:rsidR="00426A84">
              <w:t>as set out in the invoice frequency section below.</w:t>
            </w:r>
          </w:p>
        </w:tc>
      </w:tr>
      <w:tr w:rsidR="00910EB9" w14:paraId="02E12D00"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E" w14:textId="77777777" w:rsidR="00910EB9" w:rsidRDefault="006E4A1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CFF" w14:textId="76818BCD" w:rsidR="00910EB9" w:rsidRDefault="006E4A1B">
            <w:pPr>
              <w:spacing w:before="240"/>
            </w:pPr>
            <w:r>
              <w:t>The Supplier will issue electronic invoices in arrears</w:t>
            </w:r>
            <w:r w:rsidR="00570B19">
              <w:t xml:space="preserve"> in accordance with the frequency set out below</w:t>
            </w:r>
            <w:r>
              <w:t xml:space="preserve">. The Buyer will pay the Supplier within </w:t>
            </w:r>
            <w:r>
              <w:rPr>
                <w:b/>
              </w:rPr>
              <w:t>30</w:t>
            </w:r>
            <w:r>
              <w:t xml:space="preserve"> days of receipt of a valid invoice.</w:t>
            </w:r>
          </w:p>
        </w:tc>
      </w:tr>
      <w:tr w:rsidR="00910EB9" w14:paraId="02E12D03"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1" w14:textId="77777777" w:rsidR="00910EB9" w:rsidRDefault="006E4A1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2" w14:textId="46A93044" w:rsidR="00910EB9" w:rsidRDefault="006E4A1B">
            <w:pPr>
              <w:spacing w:before="240"/>
            </w:pPr>
            <w:r>
              <w:t>Invoices will be sent to</w:t>
            </w:r>
            <w:r>
              <w:rPr>
                <w:b/>
              </w:rPr>
              <w:t xml:space="preserve"> </w:t>
            </w:r>
            <w:r w:rsidR="0059486C">
              <w:rPr>
                <w:bCs/>
              </w:rPr>
              <w:t>the Buyer Princ</w:t>
            </w:r>
            <w:r w:rsidRPr="009B4213">
              <w:rPr>
                <w:bCs/>
              </w:rPr>
              <w:t>i</w:t>
            </w:r>
            <w:r w:rsidR="0059486C">
              <w:rPr>
                <w:bCs/>
              </w:rPr>
              <w:t>pal Contact (details listed on page 3 of this Contract)</w:t>
            </w:r>
            <w:r>
              <w:t>.</w:t>
            </w:r>
          </w:p>
        </w:tc>
      </w:tr>
      <w:tr w:rsidR="00910EB9" w14:paraId="02E12D06"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4" w14:textId="77777777" w:rsidR="00910EB9" w:rsidRDefault="006E4A1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5" w14:textId="77777777" w:rsidR="00910EB9" w:rsidRDefault="006E4A1B">
            <w:pPr>
              <w:spacing w:before="240"/>
            </w:pPr>
            <w:r>
              <w:t xml:space="preserve">All invoices must include the TRN number and the Purchase Order </w:t>
            </w:r>
            <w:proofErr w:type="gramStart"/>
            <w:r>
              <w:t>Number, and</w:t>
            </w:r>
            <w:proofErr w:type="gramEnd"/>
            <w:r>
              <w:t xml:space="preserve"> come accompanied with a breakdown of the Charges.</w:t>
            </w:r>
          </w:p>
        </w:tc>
      </w:tr>
      <w:tr w:rsidR="00910EB9" w14:paraId="02E12D09"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7" w14:textId="77777777" w:rsidR="00910EB9" w:rsidRDefault="006E4A1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8" w14:textId="1BB8F3DD" w:rsidR="00910EB9" w:rsidRDefault="009E4D4F">
            <w:pPr>
              <w:spacing w:before="240"/>
            </w:pPr>
            <w:r>
              <w:t>The first invoice shall b</w:t>
            </w:r>
            <w:r w:rsidR="00FF6208">
              <w:t xml:space="preserve">e for services used from the Contract Start Date until 31 December 2021. Thereafter, invoices will be quarterly. </w:t>
            </w:r>
            <w:r w:rsidR="006E4A1B">
              <w:t>Invoice</w:t>
            </w:r>
            <w:r w:rsidR="00FF6208">
              <w:t>s</w:t>
            </w:r>
            <w:r w:rsidR="006E4A1B">
              <w:t xml:space="preserve"> will be sent to the Buyer</w:t>
            </w:r>
            <w:r w:rsidR="00570B19">
              <w:t xml:space="preserve"> </w:t>
            </w:r>
            <w:r w:rsidR="00693498">
              <w:t xml:space="preserve">on or before </w:t>
            </w:r>
            <w:r w:rsidR="00FE67FE">
              <w:t>an</w:t>
            </w:r>
            <w:r w:rsidR="00693498">
              <w:t xml:space="preserve"> Invoice Date, which is </w:t>
            </w:r>
            <w:r w:rsidR="00393287">
              <w:t>the first Monday</w:t>
            </w:r>
            <w:r w:rsidR="00B647C1">
              <w:t xml:space="preserve"> following a full</w:t>
            </w:r>
            <w:r w:rsidR="005D2D34">
              <w:t xml:space="preserve"> quarterly period</w:t>
            </w:r>
            <w:r w:rsidR="00B647C1">
              <w:t xml:space="preserve"> since the previous Invoice Date</w:t>
            </w:r>
            <w:r w:rsidR="00693498">
              <w:t xml:space="preserve">. If the Invoice Date falls on a Bank Holiday, it shall be the </w:t>
            </w:r>
            <w:r w:rsidR="008F1D73">
              <w:t>first</w:t>
            </w:r>
            <w:r w:rsidR="00693498">
              <w:t xml:space="preserve"> Tuesday</w:t>
            </w:r>
            <w:r w:rsidR="008F1D73">
              <w:t xml:space="preserve"> </w:t>
            </w:r>
            <w:r w:rsidR="009627CC">
              <w:t xml:space="preserve">immediately </w:t>
            </w:r>
            <w:r w:rsidR="008F1D73">
              <w:t>afterward</w:t>
            </w:r>
            <w:r w:rsidR="00FE67FE">
              <w:t>s</w:t>
            </w:r>
            <w:r w:rsidR="00693498">
              <w:t>.</w:t>
            </w:r>
            <w:r w:rsidR="005D2D34">
              <w:t xml:space="preserve"> </w:t>
            </w:r>
          </w:p>
        </w:tc>
      </w:tr>
      <w:tr w:rsidR="00910EB9" w14:paraId="02E12D0C"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A" w14:textId="77777777" w:rsidR="00910EB9" w:rsidRDefault="006E4A1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B" w14:textId="75A4DE33" w:rsidR="00910EB9" w:rsidRDefault="006E4A1B">
            <w:pPr>
              <w:spacing w:before="240"/>
            </w:pPr>
            <w:r>
              <w:t>The total value of this Call-Off Contract is</w:t>
            </w:r>
            <w:r w:rsidR="00D51BCF">
              <w:t xml:space="preserve"> £1.9m (including extension option and excluding VAT)</w:t>
            </w:r>
          </w:p>
        </w:tc>
      </w:tr>
      <w:tr w:rsidR="00910EB9" w14:paraId="02E12D0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D" w14:textId="77777777" w:rsidR="00910EB9" w:rsidRDefault="006E4A1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0E" w14:textId="77777777" w:rsidR="00910EB9" w:rsidRDefault="006E4A1B">
            <w:pPr>
              <w:spacing w:before="240"/>
            </w:pPr>
            <w:r>
              <w:t>The breakdown of the Charges is found at Schedule 2.</w:t>
            </w:r>
          </w:p>
        </w:tc>
      </w:tr>
    </w:tbl>
    <w:p w14:paraId="02E12D10" w14:textId="77777777" w:rsidR="00910EB9" w:rsidRDefault="00910EB9"/>
    <w:p w14:paraId="02E12D11" w14:textId="77777777" w:rsidR="00910EB9" w:rsidRDefault="006E4A1B">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910EB9" w14:paraId="02E12D18"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12" w14:textId="77777777" w:rsidR="00910EB9" w:rsidRDefault="006E4A1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13" w14:textId="77777777" w:rsidR="00910EB9" w:rsidRDefault="006E4A1B">
            <w:pPr>
              <w:pStyle w:val="ListParagraph"/>
              <w:numPr>
                <w:ilvl w:val="0"/>
                <w:numId w:val="4"/>
              </w:numPr>
              <w:spacing w:before="240"/>
            </w:pPr>
            <w:r>
              <w:t xml:space="preserve">Establish log in credentials for users named by the Buyer as soon as practicable following receipt of the information near the Contract Start </w:t>
            </w:r>
            <w:proofErr w:type="gramStart"/>
            <w:r>
              <w:t>Date;</w:t>
            </w:r>
            <w:proofErr w:type="gramEnd"/>
          </w:p>
          <w:p w14:paraId="02E12D14" w14:textId="77777777" w:rsidR="00910EB9" w:rsidRDefault="006E4A1B">
            <w:pPr>
              <w:pStyle w:val="ListParagraph"/>
              <w:numPr>
                <w:ilvl w:val="0"/>
                <w:numId w:val="4"/>
              </w:numPr>
              <w:spacing w:before="240"/>
            </w:pPr>
            <w:r>
              <w:t xml:space="preserve">Work effectively to onboard and train users to be able to make full use of the </w:t>
            </w:r>
            <w:proofErr w:type="gramStart"/>
            <w:r>
              <w:t>platforms;</w:t>
            </w:r>
            <w:proofErr w:type="gramEnd"/>
          </w:p>
          <w:p w14:paraId="02E12D15" w14:textId="77777777" w:rsidR="00910EB9" w:rsidRDefault="006E4A1B">
            <w:pPr>
              <w:pStyle w:val="ListParagraph"/>
              <w:numPr>
                <w:ilvl w:val="0"/>
                <w:numId w:val="4"/>
              </w:numPr>
              <w:spacing w:before="240"/>
            </w:pPr>
            <w:r>
              <w:lastRenderedPageBreak/>
              <w:t xml:space="preserve">Respond promptly to requests as and when additional users are </w:t>
            </w:r>
            <w:proofErr w:type="gramStart"/>
            <w:r>
              <w:t>required;</w:t>
            </w:r>
            <w:proofErr w:type="gramEnd"/>
          </w:p>
          <w:p w14:paraId="02E12D16" w14:textId="77777777" w:rsidR="00910EB9" w:rsidRDefault="006E4A1B">
            <w:pPr>
              <w:pStyle w:val="ListParagraph"/>
              <w:numPr>
                <w:ilvl w:val="0"/>
                <w:numId w:val="4"/>
              </w:numPr>
              <w:spacing w:before="240"/>
            </w:pPr>
            <w:r>
              <w:t xml:space="preserve">Work effectively to onboard and train new users during the Contract Term, to enable them to make full use of the </w:t>
            </w:r>
            <w:proofErr w:type="gramStart"/>
            <w:r>
              <w:t>platforms;</w:t>
            </w:r>
            <w:proofErr w:type="gramEnd"/>
            <w:r>
              <w:t xml:space="preserve"> </w:t>
            </w:r>
          </w:p>
          <w:p w14:paraId="02E12D17" w14:textId="77777777" w:rsidR="00910EB9" w:rsidRDefault="006E4A1B">
            <w:pPr>
              <w:pStyle w:val="ListParagraph"/>
              <w:numPr>
                <w:ilvl w:val="0"/>
                <w:numId w:val="4"/>
              </w:numPr>
              <w:spacing w:before="240"/>
            </w:pPr>
            <w:r>
              <w:t>Respond promptly to questions and requests for help from users throughout the Contract Term.</w:t>
            </w:r>
          </w:p>
        </w:tc>
      </w:tr>
      <w:tr w:rsidR="00910EB9" w14:paraId="02E12D1C"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19" w14:textId="77777777" w:rsidR="00910EB9" w:rsidRDefault="006E4A1B">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1A" w14:textId="77777777" w:rsidR="00910EB9" w:rsidRDefault="006E4A1B">
            <w:pPr>
              <w:spacing w:before="240"/>
            </w:pPr>
            <w:r>
              <w:t>N/A</w:t>
            </w:r>
          </w:p>
          <w:p w14:paraId="02E12D1B" w14:textId="77777777" w:rsidR="00910EB9" w:rsidRDefault="00910EB9">
            <w:pPr>
              <w:spacing w:before="240"/>
            </w:pPr>
          </w:p>
        </w:tc>
      </w:tr>
      <w:tr w:rsidR="00910EB9" w14:paraId="02E12D1F"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1D" w14:textId="77777777" w:rsidR="00910EB9" w:rsidRDefault="006E4A1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1E" w14:textId="77777777" w:rsidR="00910EB9" w:rsidRDefault="006E4A1B">
            <w:pPr>
              <w:spacing w:before="240"/>
            </w:pPr>
            <w:r>
              <w:t>N/A</w:t>
            </w:r>
          </w:p>
        </w:tc>
      </w:tr>
      <w:tr w:rsidR="00910EB9" w14:paraId="02E12D22"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0" w14:textId="77777777" w:rsidR="00910EB9" w:rsidRDefault="006E4A1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1" w14:textId="77777777" w:rsidR="00910EB9" w:rsidRDefault="006E4A1B">
            <w:pPr>
              <w:spacing w:before="240"/>
            </w:pPr>
            <w:r>
              <w:t>N/A</w:t>
            </w:r>
          </w:p>
        </w:tc>
      </w:tr>
      <w:tr w:rsidR="00910EB9" w14:paraId="02E12D25"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3" w14:textId="77777777" w:rsidR="00910EB9" w:rsidRDefault="006E4A1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4" w14:textId="77777777" w:rsidR="00910EB9" w:rsidRDefault="006E4A1B">
            <w:pPr>
              <w:spacing w:before="240"/>
            </w:pPr>
            <w:r>
              <w:t>N/A</w:t>
            </w:r>
          </w:p>
        </w:tc>
      </w:tr>
      <w:tr w:rsidR="00910EB9" w14:paraId="02E12D28"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6" w14:textId="77777777" w:rsidR="00910EB9" w:rsidRDefault="006E4A1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7" w14:textId="77777777" w:rsidR="00910EB9" w:rsidRDefault="006E4A1B">
            <w:pPr>
              <w:spacing w:before="240"/>
            </w:pPr>
            <w:r>
              <w:t>N/A</w:t>
            </w:r>
          </w:p>
        </w:tc>
      </w:tr>
      <w:tr w:rsidR="00910EB9" w14:paraId="02E12D2B"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9" w14:textId="77777777" w:rsidR="00910EB9" w:rsidRDefault="006E4A1B">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A" w14:textId="77777777" w:rsidR="00910EB9" w:rsidRDefault="006E4A1B">
            <w:pPr>
              <w:spacing w:before="240"/>
            </w:pPr>
            <w:r>
              <w:t>N/A</w:t>
            </w:r>
          </w:p>
        </w:tc>
      </w:tr>
      <w:tr w:rsidR="00910EB9" w14:paraId="02E12D2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C" w14:textId="77777777" w:rsidR="00910EB9" w:rsidRDefault="006E4A1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2D" w14:textId="77777777" w:rsidR="00910EB9" w:rsidRDefault="006E4A1B">
            <w:pPr>
              <w:spacing w:before="240"/>
            </w:pPr>
            <w:r>
              <w:t>Annex 1 of Schedule 7 applies</w:t>
            </w:r>
          </w:p>
        </w:tc>
      </w:tr>
    </w:tbl>
    <w:p w14:paraId="02E12D2F" w14:textId="77777777" w:rsidR="00910EB9" w:rsidRDefault="006E4A1B">
      <w:pPr>
        <w:spacing w:before="240" w:after="240"/>
      </w:pPr>
      <w:r>
        <w:t xml:space="preserve"> </w:t>
      </w:r>
    </w:p>
    <w:p w14:paraId="02E12D30" w14:textId="77777777" w:rsidR="00910EB9" w:rsidRDefault="006E4A1B">
      <w:pPr>
        <w:pStyle w:val="Heading3"/>
        <w:rPr>
          <w:color w:val="auto"/>
        </w:rPr>
      </w:pPr>
      <w:r>
        <w:rPr>
          <w:color w:val="auto"/>
        </w:rPr>
        <w:t xml:space="preserve">1. </w:t>
      </w:r>
      <w:r>
        <w:rPr>
          <w:color w:val="auto"/>
        </w:rPr>
        <w:tab/>
        <w:t>Formation of contract</w:t>
      </w:r>
    </w:p>
    <w:p w14:paraId="02E12D31" w14:textId="77777777" w:rsidR="00910EB9" w:rsidRDefault="006E4A1B">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02E12D32" w14:textId="77777777" w:rsidR="00910EB9" w:rsidRDefault="00910EB9">
      <w:pPr>
        <w:ind w:firstLine="720"/>
      </w:pPr>
    </w:p>
    <w:p w14:paraId="02E12D33" w14:textId="77777777" w:rsidR="00910EB9" w:rsidRDefault="006E4A1B">
      <w:pPr>
        <w:ind w:left="720" w:hanging="720"/>
      </w:pPr>
      <w:r>
        <w:t>1.2</w:t>
      </w:r>
      <w:r>
        <w:tab/>
        <w:t>The Parties agree that they have read the Order Form (Part A) and the Call-Off Contract terms and by signing below agree to be bound by this Call-Off Contract.</w:t>
      </w:r>
    </w:p>
    <w:p w14:paraId="02E12D34" w14:textId="77777777" w:rsidR="00910EB9" w:rsidRDefault="00910EB9">
      <w:pPr>
        <w:ind w:firstLine="720"/>
      </w:pPr>
    </w:p>
    <w:p w14:paraId="02E12D35" w14:textId="77777777" w:rsidR="00910EB9" w:rsidRDefault="006E4A1B">
      <w:pPr>
        <w:ind w:left="720" w:hanging="720"/>
      </w:pPr>
      <w:r>
        <w:t>1.3</w:t>
      </w:r>
      <w:r>
        <w:tab/>
        <w:t>This Call-Off Contract will be formed when the Buyer acknowledges receipt of the signed copy of the Order Form from the Supplier.</w:t>
      </w:r>
    </w:p>
    <w:p w14:paraId="02E12D36" w14:textId="77777777" w:rsidR="00910EB9" w:rsidRDefault="00910EB9">
      <w:pPr>
        <w:ind w:firstLine="720"/>
      </w:pPr>
    </w:p>
    <w:p w14:paraId="02E12D37" w14:textId="77777777" w:rsidR="00910EB9" w:rsidRDefault="006E4A1B">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02E12D38" w14:textId="77777777" w:rsidR="00910EB9" w:rsidRDefault="00910EB9"/>
    <w:p w14:paraId="02E12D39" w14:textId="77777777" w:rsidR="00910EB9" w:rsidRDefault="006E4A1B">
      <w:pPr>
        <w:pStyle w:val="Heading3"/>
        <w:rPr>
          <w:color w:val="auto"/>
        </w:rPr>
      </w:pPr>
      <w:r>
        <w:rPr>
          <w:color w:val="auto"/>
        </w:rPr>
        <w:t xml:space="preserve">2. </w:t>
      </w:r>
      <w:r>
        <w:rPr>
          <w:color w:val="auto"/>
        </w:rPr>
        <w:tab/>
        <w:t>Background to the agreement</w:t>
      </w:r>
    </w:p>
    <w:p w14:paraId="02E12D3A" w14:textId="77777777" w:rsidR="00910EB9" w:rsidRDefault="006E4A1B">
      <w:pPr>
        <w:ind w:left="720" w:hanging="720"/>
      </w:pPr>
      <w:r>
        <w:t>2.1</w:t>
      </w:r>
      <w:r>
        <w:tab/>
        <w:t>The Supplier is a provider of G-Cloud Services and agreed to provide the Services under the terms of Framework Agreement number RM1557.12.</w:t>
      </w:r>
    </w:p>
    <w:p w14:paraId="02E12D3B" w14:textId="77777777" w:rsidR="00910EB9" w:rsidRDefault="00910EB9">
      <w:pPr>
        <w:ind w:left="720"/>
      </w:pPr>
    </w:p>
    <w:p w14:paraId="02E12D3C" w14:textId="77777777" w:rsidR="00910EB9" w:rsidRDefault="006E4A1B">
      <w:r>
        <w:t>2.2</w:t>
      </w:r>
      <w:r>
        <w:tab/>
        <w:t>The Buyer provided an Order Form for Services to the Supplier.</w:t>
      </w:r>
    </w:p>
    <w:p w14:paraId="02E12D3D" w14:textId="77777777" w:rsidR="00910EB9" w:rsidRDefault="00910EB9"/>
    <w:p w14:paraId="02E12D3E" w14:textId="77777777" w:rsidR="00910EB9" w:rsidRDefault="00910EB9">
      <w:pPr>
        <w:pageBreakBefore/>
      </w:pPr>
    </w:p>
    <w:p w14:paraId="02E12D3F" w14:textId="77777777" w:rsidR="00910EB9" w:rsidRDefault="00910EB9"/>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910EB9" w14:paraId="02E12D4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0" w14:textId="77777777" w:rsidR="00910EB9" w:rsidRDefault="006E4A1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1" w14:textId="77777777" w:rsidR="00910EB9" w:rsidRDefault="006E4A1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2" w14:textId="77777777" w:rsidR="00910EB9" w:rsidRDefault="006E4A1B">
            <w:pPr>
              <w:spacing w:before="240"/>
            </w:pPr>
            <w:r>
              <w:t>Buyer</w:t>
            </w:r>
          </w:p>
        </w:tc>
      </w:tr>
      <w:tr w:rsidR="00910EB9" w14:paraId="02E12D4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4" w14:textId="77777777" w:rsidR="00910EB9" w:rsidRDefault="006E4A1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5" w14:textId="382062E5" w:rsidR="00910EB9" w:rsidRDefault="00483A98">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6" w14:textId="4D7EABEE" w:rsidR="00910EB9" w:rsidRDefault="009B4213">
            <w:pPr>
              <w:spacing w:before="240"/>
            </w:pPr>
            <w:r w:rsidDel="009B4213">
              <w:t xml:space="preserve"> </w:t>
            </w:r>
            <w:r w:rsidR="00483A98">
              <w:t>[Redacted]</w:t>
            </w:r>
          </w:p>
        </w:tc>
      </w:tr>
      <w:tr w:rsidR="00910EB9" w14:paraId="02E12D4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8" w14:textId="77777777" w:rsidR="00910EB9" w:rsidRDefault="006E4A1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9" w14:textId="0F96A0E8" w:rsidR="00910EB9" w:rsidRDefault="00483A98">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A" w14:textId="20A796C9" w:rsidR="00910EB9" w:rsidRDefault="00483A98">
            <w:pPr>
              <w:spacing w:before="240"/>
            </w:pPr>
            <w:r>
              <w:t>[Redacted]</w:t>
            </w:r>
          </w:p>
        </w:tc>
      </w:tr>
      <w:tr w:rsidR="00910EB9" w14:paraId="02E12D4F"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C" w14:textId="77777777" w:rsidR="00910EB9" w:rsidRDefault="006E4A1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D" w14:textId="585060D4" w:rsidR="00910EB9" w:rsidRDefault="00483A98">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4E" w14:textId="1E9F8D9E" w:rsidR="00910EB9" w:rsidRDefault="00483A98">
            <w:pPr>
              <w:widowControl w:val="0"/>
            </w:pPr>
            <w:r>
              <w:t>[Redacted]</w:t>
            </w:r>
          </w:p>
        </w:tc>
      </w:tr>
      <w:tr w:rsidR="00910EB9" w14:paraId="02E12D5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50" w14:textId="77777777" w:rsidR="00910EB9" w:rsidRDefault="006E4A1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51" w14:textId="2D044C46" w:rsidR="00910EB9" w:rsidRDefault="00483A98">
            <w:pPr>
              <w:spacing w:before="240"/>
            </w:pPr>
            <w:r>
              <w:t>29 October 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2D52" w14:textId="601AA26C" w:rsidR="00910EB9" w:rsidRDefault="00483A98">
            <w:pPr>
              <w:spacing w:before="240"/>
            </w:pPr>
            <w:r>
              <w:t>29 October 2021</w:t>
            </w:r>
          </w:p>
        </w:tc>
      </w:tr>
    </w:tbl>
    <w:p w14:paraId="02E12D54" w14:textId="77777777" w:rsidR="00910EB9" w:rsidRDefault="006E4A1B">
      <w:pPr>
        <w:spacing w:before="240"/>
        <w:rPr>
          <w:b/>
        </w:rPr>
      </w:pPr>
      <w:r>
        <w:rPr>
          <w:b/>
        </w:rPr>
        <w:t xml:space="preserve"> </w:t>
      </w:r>
    </w:p>
    <w:p w14:paraId="7DBFE22C" w14:textId="77777777" w:rsidR="00FD7C2F" w:rsidRDefault="00FD7C2F">
      <w:pPr>
        <w:suppressAutoHyphens w:val="0"/>
        <w:rPr>
          <w:sz w:val="32"/>
          <w:szCs w:val="32"/>
        </w:rPr>
      </w:pPr>
      <w:bookmarkStart w:id="5" w:name="_Toc33176233"/>
      <w:r>
        <w:br w:type="page"/>
      </w:r>
    </w:p>
    <w:p w14:paraId="02E12D56" w14:textId="41E3A1F9" w:rsidR="00910EB9" w:rsidRDefault="006E4A1B" w:rsidP="009B4213">
      <w:pPr>
        <w:pStyle w:val="Heading2"/>
      </w:pPr>
      <w:bookmarkStart w:id="6" w:name="_Toc85461045"/>
      <w:r>
        <w:lastRenderedPageBreak/>
        <w:t>Schedule 1: Services</w:t>
      </w:r>
      <w:bookmarkEnd w:id="5"/>
      <w:bookmarkEnd w:id="6"/>
    </w:p>
    <w:p w14:paraId="712367FC" w14:textId="1133EB57" w:rsidR="00922DA5" w:rsidRDefault="00172EBC">
      <w:pPr>
        <w:spacing w:before="240"/>
      </w:pPr>
      <w:r>
        <w:t xml:space="preserve">Having satisfied the Supplier’s service requirements, set out below, </w:t>
      </w:r>
      <w:r w:rsidR="000803B7">
        <w:t xml:space="preserve">the Buyer will provide the Supplier with subscription access </w:t>
      </w:r>
      <w:r w:rsidR="006E4A1B">
        <w:t xml:space="preserve">through the Digital Marketplace </w:t>
      </w:r>
      <w:r w:rsidR="000803B7">
        <w:t>to the following four products</w:t>
      </w:r>
      <w:r w:rsidR="006E4A1B">
        <w:t>:</w:t>
      </w:r>
    </w:p>
    <w:p w14:paraId="0396460C" w14:textId="00361C9E" w:rsidR="000803B7" w:rsidRDefault="000803B7" w:rsidP="009B4213">
      <w:pPr>
        <w:pStyle w:val="ListParagraph"/>
        <w:numPr>
          <w:ilvl w:val="0"/>
          <w:numId w:val="40"/>
        </w:numPr>
        <w:spacing w:before="120" w:after="120" w:line="240" w:lineRule="auto"/>
        <w:ind w:left="714" w:hanging="357"/>
      </w:pPr>
      <w:r>
        <w:t>Orbis</w:t>
      </w:r>
    </w:p>
    <w:p w14:paraId="36F481DC" w14:textId="13121C18" w:rsidR="00ED18ED" w:rsidRDefault="00ED18ED" w:rsidP="009B4213">
      <w:pPr>
        <w:pStyle w:val="ListParagraph"/>
        <w:numPr>
          <w:ilvl w:val="0"/>
          <w:numId w:val="40"/>
        </w:numPr>
        <w:spacing w:before="120" w:after="120" w:line="240" w:lineRule="auto"/>
        <w:ind w:left="714" w:hanging="357"/>
      </w:pPr>
      <w:r>
        <w:t xml:space="preserve">Orbis </w:t>
      </w:r>
      <w:proofErr w:type="spellStart"/>
      <w:r>
        <w:t>Crossborder</w:t>
      </w:r>
      <w:proofErr w:type="spellEnd"/>
      <w:r>
        <w:t xml:space="preserve"> Investment</w:t>
      </w:r>
    </w:p>
    <w:p w14:paraId="38CC8981" w14:textId="71C42DAF" w:rsidR="00ED18ED" w:rsidRDefault="00ED18ED" w:rsidP="009B4213">
      <w:pPr>
        <w:pStyle w:val="ListParagraph"/>
        <w:numPr>
          <w:ilvl w:val="0"/>
          <w:numId w:val="40"/>
        </w:numPr>
        <w:spacing w:before="120" w:after="120" w:line="240" w:lineRule="auto"/>
        <w:ind w:left="714" w:hanging="357"/>
      </w:pPr>
      <w:r>
        <w:t>Orbis Intellectual Property</w:t>
      </w:r>
    </w:p>
    <w:p w14:paraId="0E198824" w14:textId="2BE07A65" w:rsidR="00ED18ED" w:rsidRDefault="00ED18ED" w:rsidP="009B4213">
      <w:pPr>
        <w:pStyle w:val="ListParagraph"/>
        <w:numPr>
          <w:ilvl w:val="0"/>
          <w:numId w:val="40"/>
        </w:numPr>
        <w:spacing w:before="120" w:after="120" w:line="240" w:lineRule="auto"/>
        <w:ind w:left="714" w:hanging="357"/>
      </w:pPr>
      <w:r>
        <w:t>Zephyr</w:t>
      </w:r>
    </w:p>
    <w:p w14:paraId="282C754B" w14:textId="79C587F4" w:rsidR="00922DA5" w:rsidRPr="009B4213" w:rsidRDefault="00922DA5" w:rsidP="009B4213">
      <w:pPr>
        <w:spacing w:after="120" w:line="240" w:lineRule="auto"/>
        <w:rPr>
          <w:b/>
          <w:bCs/>
        </w:rPr>
      </w:pPr>
      <w:r w:rsidRPr="009B4213">
        <w:rPr>
          <w:b/>
          <w:bCs/>
        </w:rPr>
        <w:t>Summary of requirements</w:t>
      </w:r>
    </w:p>
    <w:p w14:paraId="4A4F6CCF" w14:textId="77777777" w:rsidR="00922DA5" w:rsidRPr="009B4213" w:rsidRDefault="00922DA5" w:rsidP="009B4213">
      <w:pPr>
        <w:spacing w:after="120" w:line="240" w:lineRule="auto"/>
        <w:jc w:val="both"/>
      </w:pPr>
      <w:r w:rsidRPr="009B4213">
        <w:t xml:space="preserve">The Department for Business, </w:t>
      </w:r>
      <w:proofErr w:type="gramStart"/>
      <w:r w:rsidRPr="009B4213">
        <w:t>Energy</w:t>
      </w:r>
      <w:proofErr w:type="gramEnd"/>
      <w:r w:rsidRPr="009B4213">
        <w:t xml:space="preserve"> and Industrial Strategy (“the Department”) is seeking to enhance the government’s existing analytical capability for identifying and examining foreign direct investment that presents national security concerns for the UK. This note set out the requirements for the provision of a Worldwide Investments Screening Platform to support this work. The Department has issued an invitation to tender (</w:t>
      </w:r>
      <w:hyperlink r:id="rId13" w:history="1">
        <w:r w:rsidRPr="009B4213">
          <w:rPr>
            <w:rStyle w:val="Hyperlink"/>
          </w:rPr>
          <w:t>here</w:t>
        </w:r>
      </w:hyperlink>
      <w:r w:rsidRPr="009B4213">
        <w:t>) for other similar services in parallel to exploring services available under the G-Cloud 12 framework.</w:t>
      </w:r>
    </w:p>
    <w:p w14:paraId="640E192A" w14:textId="77777777" w:rsidR="00922DA5" w:rsidRPr="009B4213" w:rsidRDefault="00922DA5" w:rsidP="009B4213">
      <w:pPr>
        <w:pStyle w:val="Heading1"/>
        <w:numPr>
          <w:ilvl w:val="0"/>
          <w:numId w:val="39"/>
        </w:numPr>
        <w:tabs>
          <w:tab w:val="num" w:pos="360"/>
        </w:tabs>
        <w:spacing w:before="0" w:line="240" w:lineRule="auto"/>
        <w:ind w:left="357" w:hanging="357"/>
        <w:rPr>
          <w:b/>
          <w:bCs/>
          <w:sz w:val="22"/>
          <w:szCs w:val="22"/>
        </w:rPr>
      </w:pPr>
      <w:bookmarkStart w:id="7" w:name="_Ref357535668"/>
      <w:bookmarkStart w:id="8" w:name="_Toc381969507"/>
      <w:bookmarkStart w:id="9" w:name="_Toc405888456"/>
      <w:bookmarkStart w:id="10" w:name="_Toc84256187"/>
      <w:bookmarkStart w:id="11" w:name="_Toc85461046"/>
      <w:r w:rsidRPr="009B4213">
        <w:rPr>
          <w:b/>
          <w:bCs/>
          <w:sz w:val="22"/>
          <w:szCs w:val="22"/>
        </w:rPr>
        <w:t>Background</w:t>
      </w:r>
      <w:bookmarkEnd w:id="7"/>
      <w:bookmarkEnd w:id="8"/>
      <w:bookmarkEnd w:id="9"/>
      <w:bookmarkEnd w:id="10"/>
      <w:bookmarkEnd w:id="11"/>
    </w:p>
    <w:p w14:paraId="0BE8438B" w14:textId="77777777" w:rsidR="00922DA5" w:rsidRPr="009B4213" w:rsidRDefault="00922DA5" w:rsidP="009B4213">
      <w:pPr>
        <w:spacing w:after="120" w:line="240" w:lineRule="auto"/>
        <w:jc w:val="both"/>
      </w:pPr>
      <w:r w:rsidRPr="009B4213">
        <w:t>The UK is a world-leading destination for foreign investment. The government is committed to maintaining this while at the same time ensuring that it protects the UK’s national security. The National Security &amp; Investment Act 2021 (‘the Act’) will come into force on 4 January 2022 and enhance the government’s existing capabilities for examining and intervening to stop certain acquisitions that could harm the UK’s national security. The government will be able to impose certain conditions on an acquisition and, in rare instances, unwind or block an acquisition completely. The Act is administered by the Investment Security Unit (ISU) within the Department.</w:t>
      </w:r>
    </w:p>
    <w:p w14:paraId="6873D275" w14:textId="77777777" w:rsidR="00922DA5" w:rsidRPr="009B4213" w:rsidRDefault="00922DA5" w:rsidP="009B4213">
      <w:pPr>
        <w:spacing w:after="120" w:line="240" w:lineRule="auto"/>
        <w:jc w:val="both"/>
      </w:pPr>
      <w:r w:rsidRPr="009B4213">
        <w:t>The Act applies to acquisitions of certain entities and assets (known as ‘qualifying entities’ and ‘qualifying assets’). Parties to acquisitions of qualifying entities in 17 defined sensitive areas of the economy may be legally required to notify the government about the acquisition so that the government can assess any potential national security harms created by the transaction</w:t>
      </w:r>
      <w:r w:rsidRPr="009B4213">
        <w:rPr>
          <w:rStyle w:val="FootnoteReference"/>
        </w:rPr>
        <w:footnoteReference w:id="2"/>
      </w:r>
      <w:r w:rsidRPr="009B4213">
        <w:t>.</w:t>
      </w:r>
    </w:p>
    <w:p w14:paraId="3E5DBDBA" w14:textId="77777777" w:rsidR="00922DA5" w:rsidRPr="009B4213" w:rsidRDefault="00922DA5" w:rsidP="009B4213">
      <w:pPr>
        <w:spacing w:after="120" w:line="240" w:lineRule="auto"/>
        <w:jc w:val="both"/>
      </w:pPr>
      <w:r w:rsidRPr="009B4213">
        <w:t xml:space="preserve">Acquisitions of assets and acquisitions of qualifying entities outside these 17 sectors do not need to be notified to the government. </w:t>
      </w:r>
    </w:p>
    <w:p w14:paraId="2D445FA3" w14:textId="77777777" w:rsidR="00922DA5" w:rsidRPr="009B4213" w:rsidRDefault="00922DA5" w:rsidP="009B4213">
      <w:pPr>
        <w:spacing w:after="120" w:line="240" w:lineRule="auto"/>
        <w:jc w:val="both"/>
      </w:pPr>
      <w:r w:rsidRPr="009B4213">
        <w:t xml:space="preserve">More information about the Act can be found at: </w:t>
      </w:r>
      <w:hyperlink r:id="rId14" w:history="1">
        <w:r w:rsidRPr="009B4213">
          <w:rPr>
            <w:rStyle w:val="Hyperlink"/>
          </w:rPr>
          <w:t>https://www.gov.uk/government/publications/national-security-and-investment-act-prepare-for-new-rules-about-acquisitions</w:t>
        </w:r>
      </w:hyperlink>
      <w:r w:rsidRPr="009B4213">
        <w:t>.</w:t>
      </w:r>
    </w:p>
    <w:p w14:paraId="3315CC9A" w14:textId="77777777" w:rsidR="00922DA5" w:rsidRPr="009B4213" w:rsidRDefault="00922DA5" w:rsidP="009B4213">
      <w:pPr>
        <w:pStyle w:val="Heading1"/>
        <w:numPr>
          <w:ilvl w:val="0"/>
          <w:numId w:val="39"/>
        </w:numPr>
        <w:tabs>
          <w:tab w:val="num" w:pos="360"/>
        </w:tabs>
        <w:spacing w:before="0" w:line="240" w:lineRule="auto"/>
        <w:ind w:left="357" w:hanging="357"/>
        <w:rPr>
          <w:b/>
          <w:bCs/>
          <w:sz w:val="22"/>
          <w:szCs w:val="22"/>
        </w:rPr>
      </w:pPr>
      <w:bookmarkStart w:id="12" w:name="_Ref357535689"/>
      <w:bookmarkStart w:id="13" w:name="_Toc381969508"/>
      <w:bookmarkStart w:id="14" w:name="_Toc405888457"/>
      <w:bookmarkStart w:id="15" w:name="_Toc84256188"/>
      <w:bookmarkStart w:id="16" w:name="_Toc85461047"/>
      <w:r w:rsidRPr="009B4213">
        <w:rPr>
          <w:b/>
          <w:bCs/>
          <w:sz w:val="22"/>
          <w:szCs w:val="22"/>
        </w:rPr>
        <w:t xml:space="preserve">Aims and </w:t>
      </w:r>
      <w:bookmarkEnd w:id="12"/>
      <w:bookmarkEnd w:id="13"/>
      <w:bookmarkEnd w:id="14"/>
      <w:r w:rsidRPr="009B4213">
        <w:rPr>
          <w:b/>
          <w:bCs/>
          <w:sz w:val="22"/>
          <w:szCs w:val="22"/>
        </w:rPr>
        <w:t>objectives</w:t>
      </w:r>
      <w:bookmarkEnd w:id="15"/>
      <w:bookmarkEnd w:id="16"/>
    </w:p>
    <w:p w14:paraId="6657085C" w14:textId="77777777" w:rsidR="00922DA5" w:rsidRPr="009B4213" w:rsidRDefault="00922DA5" w:rsidP="009B4213">
      <w:pPr>
        <w:spacing w:after="120" w:line="240" w:lineRule="auto"/>
        <w:jc w:val="both"/>
      </w:pPr>
      <w:r w:rsidRPr="009B4213">
        <w:t>The aim of this work is to enhance the government’s existing analytical capability to identify and assess national security risks related to foreign investment coming into the UK.</w:t>
      </w:r>
    </w:p>
    <w:p w14:paraId="33E89826" w14:textId="77777777" w:rsidR="00922DA5" w:rsidRPr="009B4213" w:rsidRDefault="00922DA5" w:rsidP="009B4213">
      <w:pPr>
        <w:spacing w:after="120" w:line="240" w:lineRule="auto"/>
        <w:jc w:val="both"/>
      </w:pPr>
      <w:r w:rsidRPr="009B4213">
        <w:t>This Department is seeking commercial products to support the project’s aim. The following table sets out the requirements of the services sought under the G-Cloud 12 framework on Digital Marketplace.</w:t>
      </w:r>
    </w:p>
    <w:p w14:paraId="7D21C4C4" w14:textId="77777777" w:rsidR="00922DA5" w:rsidRPr="009B4213" w:rsidRDefault="00922DA5" w:rsidP="009B4213">
      <w:pPr>
        <w:pStyle w:val="ListParagraph"/>
        <w:numPr>
          <w:ilvl w:val="0"/>
          <w:numId w:val="39"/>
        </w:numPr>
        <w:suppressAutoHyphens w:val="0"/>
        <w:autoSpaceDN/>
        <w:spacing w:after="120" w:line="240" w:lineRule="auto"/>
        <w:textAlignment w:val="auto"/>
        <w:rPr>
          <w:b/>
          <w:bCs/>
        </w:rPr>
      </w:pPr>
      <w:r w:rsidRPr="009B4213">
        <w:rPr>
          <w:b/>
          <w:bCs/>
        </w:rPr>
        <w:t>Product requirements</w:t>
      </w:r>
    </w:p>
    <w:tbl>
      <w:tblPr>
        <w:tblStyle w:val="GridTable4-Accent1"/>
        <w:tblW w:w="5000" w:type="pct"/>
        <w:tblLook w:val="0400" w:firstRow="0" w:lastRow="0" w:firstColumn="0" w:lastColumn="0" w:noHBand="0" w:noVBand="1"/>
      </w:tblPr>
      <w:tblGrid>
        <w:gridCol w:w="9631"/>
      </w:tblGrid>
      <w:tr w:rsidR="00922DA5" w:rsidRPr="00922DA5" w14:paraId="2A032EDC" w14:textId="77777777" w:rsidTr="00C8591B">
        <w:trPr>
          <w:cnfStyle w:val="000000100000" w:firstRow="0" w:lastRow="0" w:firstColumn="0" w:lastColumn="0" w:oddVBand="0" w:evenVBand="0" w:oddHBand="1" w:evenHBand="0" w:firstRowFirstColumn="0" w:firstRowLastColumn="0" w:lastRowFirstColumn="0" w:lastRowLastColumn="0"/>
        </w:trPr>
        <w:tc>
          <w:tcPr>
            <w:tcW w:w="5000" w:type="pct"/>
          </w:tcPr>
          <w:p w14:paraId="138680AD" w14:textId="77777777" w:rsidR="00922DA5" w:rsidRPr="009B4213" w:rsidRDefault="00922DA5" w:rsidP="009B4213">
            <w:pPr>
              <w:spacing w:after="120"/>
              <w:rPr>
                <w:rFonts w:ascii="Arial" w:hAnsi="Arial" w:cs="Arial"/>
                <w:b/>
                <w:bCs/>
                <w:sz w:val="22"/>
                <w:szCs w:val="22"/>
              </w:rPr>
            </w:pPr>
            <w:r w:rsidRPr="009B4213">
              <w:rPr>
                <w:b/>
                <w:bCs/>
                <w:sz w:val="22"/>
                <w:szCs w:val="22"/>
              </w:rPr>
              <w:t>Product Type:</w:t>
            </w:r>
          </w:p>
        </w:tc>
      </w:tr>
      <w:tr w:rsidR="00922DA5" w:rsidRPr="00922DA5" w14:paraId="6F6F73D4" w14:textId="77777777" w:rsidTr="00C8591B">
        <w:tc>
          <w:tcPr>
            <w:tcW w:w="5000" w:type="pct"/>
          </w:tcPr>
          <w:p w14:paraId="572988BC" w14:textId="77777777" w:rsidR="00922DA5" w:rsidRPr="009B4213" w:rsidRDefault="00922DA5" w:rsidP="009B4213">
            <w:pPr>
              <w:spacing w:after="120"/>
              <w:rPr>
                <w:rFonts w:ascii="Arial" w:hAnsi="Arial" w:cs="Arial"/>
                <w:sz w:val="22"/>
                <w:szCs w:val="22"/>
              </w:rPr>
            </w:pPr>
            <w:r w:rsidRPr="009B4213">
              <w:rPr>
                <w:sz w:val="22"/>
                <w:szCs w:val="22"/>
              </w:rPr>
              <w:t>Worldwide Investments Screening Platform</w:t>
            </w:r>
          </w:p>
        </w:tc>
      </w:tr>
      <w:tr w:rsidR="00922DA5" w:rsidRPr="00922DA5" w14:paraId="30A64D32" w14:textId="77777777" w:rsidTr="00C8591B">
        <w:trPr>
          <w:cnfStyle w:val="000000100000" w:firstRow="0" w:lastRow="0" w:firstColumn="0" w:lastColumn="0" w:oddVBand="0" w:evenVBand="0" w:oddHBand="1" w:evenHBand="0" w:firstRowFirstColumn="0" w:firstRowLastColumn="0" w:lastRowFirstColumn="0" w:lastRowLastColumn="0"/>
        </w:trPr>
        <w:tc>
          <w:tcPr>
            <w:tcW w:w="5000" w:type="pct"/>
          </w:tcPr>
          <w:p w14:paraId="21BB7C8F" w14:textId="77777777" w:rsidR="00922DA5" w:rsidRPr="009B4213" w:rsidRDefault="00922DA5" w:rsidP="009B4213">
            <w:pPr>
              <w:spacing w:after="120"/>
              <w:rPr>
                <w:rFonts w:ascii="Arial" w:hAnsi="Arial" w:cs="Arial"/>
                <w:b/>
                <w:bCs/>
                <w:sz w:val="22"/>
                <w:szCs w:val="22"/>
              </w:rPr>
            </w:pPr>
            <w:r w:rsidRPr="009B4213">
              <w:rPr>
                <w:b/>
                <w:bCs/>
                <w:sz w:val="22"/>
                <w:szCs w:val="22"/>
              </w:rPr>
              <w:t>Product Description:</w:t>
            </w:r>
          </w:p>
        </w:tc>
      </w:tr>
      <w:tr w:rsidR="00922DA5" w:rsidRPr="00922DA5" w14:paraId="21294D04" w14:textId="77777777" w:rsidTr="00C8591B">
        <w:tc>
          <w:tcPr>
            <w:tcW w:w="5000" w:type="pct"/>
          </w:tcPr>
          <w:p w14:paraId="76EC496F" w14:textId="77777777" w:rsidR="00922DA5" w:rsidRPr="009B4213" w:rsidRDefault="00922DA5" w:rsidP="009B4213">
            <w:pPr>
              <w:spacing w:after="120"/>
              <w:rPr>
                <w:rFonts w:ascii="Arial" w:hAnsi="Arial" w:cs="Arial"/>
                <w:sz w:val="22"/>
                <w:szCs w:val="22"/>
              </w:rPr>
            </w:pPr>
            <w:r w:rsidRPr="009B4213">
              <w:rPr>
                <w:sz w:val="22"/>
                <w:szCs w:val="22"/>
              </w:rPr>
              <w:lastRenderedPageBreak/>
              <w:t>This product provides very broad coverage of different types of foreign investments across all regions. It will also provide good depth of information on those investments.</w:t>
            </w:r>
          </w:p>
          <w:p w14:paraId="61CA1218" w14:textId="77777777" w:rsidR="00922DA5" w:rsidRPr="009B4213" w:rsidRDefault="00922DA5" w:rsidP="009B4213">
            <w:pPr>
              <w:spacing w:after="120"/>
              <w:rPr>
                <w:rFonts w:ascii="Arial" w:hAnsi="Arial" w:cs="Arial"/>
                <w:sz w:val="22"/>
                <w:szCs w:val="22"/>
              </w:rPr>
            </w:pPr>
            <w:r w:rsidRPr="009B4213">
              <w:rPr>
                <w:sz w:val="22"/>
                <w:szCs w:val="22"/>
              </w:rPr>
              <w:t xml:space="preserve">The Department may wish to re-present data provided by this product </w:t>
            </w:r>
            <w:proofErr w:type="gramStart"/>
            <w:r w:rsidRPr="009B4213">
              <w:rPr>
                <w:sz w:val="22"/>
                <w:szCs w:val="22"/>
              </w:rPr>
              <w:t>in order to</w:t>
            </w:r>
            <w:proofErr w:type="gramEnd"/>
            <w:r w:rsidRPr="009B4213">
              <w:rPr>
                <w:sz w:val="22"/>
                <w:szCs w:val="22"/>
              </w:rPr>
              <w:t xml:space="preserve"> share it with partners in other government departments.</w:t>
            </w:r>
          </w:p>
          <w:p w14:paraId="20251CC7" w14:textId="77777777" w:rsidR="00922DA5" w:rsidRPr="009B4213" w:rsidRDefault="00922DA5" w:rsidP="009B4213">
            <w:pPr>
              <w:spacing w:after="120"/>
              <w:rPr>
                <w:rFonts w:ascii="Arial" w:hAnsi="Arial" w:cs="Arial"/>
                <w:sz w:val="22"/>
                <w:szCs w:val="22"/>
              </w:rPr>
            </w:pPr>
            <w:r w:rsidRPr="009B4213">
              <w:rPr>
                <w:sz w:val="22"/>
                <w:szCs w:val="22"/>
              </w:rPr>
              <w:t>The supplier will have developed a proprietary platform that is available privately online. The platform will deliver the following two outputs.</w:t>
            </w:r>
          </w:p>
          <w:p w14:paraId="4ACDD403" w14:textId="77777777" w:rsidR="00922DA5" w:rsidRPr="009B4213" w:rsidRDefault="00922DA5" w:rsidP="009B4213">
            <w:pPr>
              <w:pStyle w:val="ListParagraph"/>
              <w:numPr>
                <w:ilvl w:val="0"/>
                <w:numId w:val="35"/>
              </w:numPr>
              <w:suppressAutoHyphens w:val="0"/>
              <w:spacing w:after="120"/>
              <w:rPr>
                <w:rFonts w:ascii="Arial" w:hAnsi="Arial" w:cs="Arial"/>
                <w:sz w:val="22"/>
                <w:szCs w:val="22"/>
                <w:u w:val="single"/>
              </w:rPr>
            </w:pPr>
            <w:r w:rsidRPr="009B4213">
              <w:rPr>
                <w:sz w:val="22"/>
                <w:szCs w:val="22"/>
                <w:u w:val="single"/>
              </w:rPr>
              <w:t xml:space="preserve">A database of UK-inbound foreign investments </w:t>
            </w:r>
          </w:p>
          <w:p w14:paraId="554B4923" w14:textId="77777777" w:rsidR="00922DA5" w:rsidRPr="009B4213" w:rsidRDefault="00922DA5" w:rsidP="009B4213">
            <w:pPr>
              <w:pStyle w:val="ListParagraph"/>
              <w:numPr>
                <w:ilvl w:val="0"/>
                <w:numId w:val="36"/>
              </w:numPr>
              <w:suppressAutoHyphens w:val="0"/>
              <w:spacing w:after="120"/>
              <w:rPr>
                <w:rFonts w:ascii="Arial" w:hAnsi="Arial" w:cs="Arial"/>
                <w:sz w:val="22"/>
                <w:szCs w:val="22"/>
              </w:rPr>
            </w:pPr>
            <w:r w:rsidRPr="009B4213">
              <w:rPr>
                <w:sz w:val="22"/>
                <w:szCs w:val="22"/>
              </w:rPr>
              <w:t>The platform will enable the Department to track and be alerted to new transactions according to the Department’s search criteria. The platform will also include historical transactions.</w:t>
            </w:r>
          </w:p>
          <w:p w14:paraId="44419995" w14:textId="77777777" w:rsidR="00922DA5" w:rsidRPr="009B4213" w:rsidRDefault="00922DA5" w:rsidP="009B4213">
            <w:pPr>
              <w:pStyle w:val="ListParagraph"/>
              <w:numPr>
                <w:ilvl w:val="0"/>
                <w:numId w:val="36"/>
              </w:numPr>
              <w:suppressAutoHyphens w:val="0"/>
              <w:spacing w:after="120"/>
              <w:rPr>
                <w:rFonts w:ascii="Arial" w:hAnsi="Arial" w:cs="Arial"/>
                <w:sz w:val="22"/>
                <w:szCs w:val="22"/>
              </w:rPr>
            </w:pPr>
            <w:r w:rsidRPr="009B4213">
              <w:rPr>
                <w:sz w:val="22"/>
                <w:szCs w:val="22"/>
              </w:rPr>
              <w:t>At a minimum, the platform will cover the high priority types of investments set out in the table at the bottom of this box under the heading “Other relevant information”.</w:t>
            </w:r>
          </w:p>
          <w:p w14:paraId="23ADC91D" w14:textId="77777777" w:rsidR="00922DA5" w:rsidRPr="009B4213" w:rsidRDefault="00922DA5" w:rsidP="009B4213">
            <w:pPr>
              <w:pStyle w:val="ListParagraph"/>
              <w:numPr>
                <w:ilvl w:val="0"/>
                <w:numId w:val="36"/>
              </w:numPr>
              <w:suppressAutoHyphens w:val="0"/>
              <w:spacing w:after="120"/>
              <w:rPr>
                <w:rFonts w:ascii="Arial" w:hAnsi="Arial" w:cs="Arial"/>
                <w:sz w:val="22"/>
                <w:szCs w:val="22"/>
              </w:rPr>
            </w:pPr>
            <w:r w:rsidRPr="009B4213">
              <w:rPr>
                <w:sz w:val="22"/>
                <w:szCs w:val="22"/>
              </w:rPr>
              <w:t xml:space="preserve">The platform will cover investments across the entire economy, but </w:t>
            </w:r>
            <w:proofErr w:type="gramStart"/>
            <w:r w:rsidRPr="009B4213">
              <w:rPr>
                <w:sz w:val="22"/>
                <w:szCs w:val="22"/>
              </w:rPr>
              <w:t>in particular in</w:t>
            </w:r>
            <w:proofErr w:type="gramEnd"/>
            <w:r w:rsidRPr="009B4213">
              <w:rPr>
                <w:sz w:val="22"/>
                <w:szCs w:val="22"/>
              </w:rPr>
              <w:t xml:space="preserve"> the 17 sensitive areas set out above.</w:t>
            </w:r>
          </w:p>
          <w:p w14:paraId="5D092B29" w14:textId="77777777" w:rsidR="00922DA5" w:rsidRPr="009B4213" w:rsidRDefault="00922DA5" w:rsidP="009B4213">
            <w:pPr>
              <w:pStyle w:val="ListParagraph"/>
              <w:numPr>
                <w:ilvl w:val="0"/>
                <w:numId w:val="35"/>
              </w:numPr>
              <w:suppressAutoHyphens w:val="0"/>
              <w:spacing w:after="120"/>
              <w:rPr>
                <w:rFonts w:ascii="Arial" w:hAnsi="Arial" w:cs="Arial"/>
                <w:sz w:val="22"/>
                <w:szCs w:val="22"/>
                <w:u w:val="single"/>
              </w:rPr>
            </w:pPr>
            <w:r w:rsidRPr="009B4213">
              <w:rPr>
                <w:sz w:val="22"/>
                <w:szCs w:val="22"/>
                <w:u w:val="single"/>
              </w:rPr>
              <w:t>A database of detailed information on private and public companies</w:t>
            </w:r>
          </w:p>
          <w:p w14:paraId="43C9A4A1" w14:textId="77777777" w:rsidR="00922DA5" w:rsidRPr="009B4213" w:rsidRDefault="00922DA5" w:rsidP="009B4213">
            <w:pPr>
              <w:pStyle w:val="ListParagraph"/>
              <w:numPr>
                <w:ilvl w:val="0"/>
                <w:numId w:val="37"/>
              </w:numPr>
              <w:suppressAutoHyphens w:val="0"/>
              <w:spacing w:after="120"/>
              <w:rPr>
                <w:rFonts w:ascii="Arial" w:hAnsi="Arial" w:cs="Arial"/>
                <w:sz w:val="22"/>
                <w:szCs w:val="22"/>
              </w:rPr>
            </w:pPr>
            <w:r w:rsidRPr="009B4213">
              <w:rPr>
                <w:sz w:val="22"/>
                <w:szCs w:val="22"/>
              </w:rPr>
              <w:t xml:space="preserve">The platform should provide detailed information on the private or public companies involved in the investments identified on the platform. </w:t>
            </w:r>
          </w:p>
          <w:p w14:paraId="29BD7B13" w14:textId="77777777" w:rsidR="00922DA5" w:rsidRPr="009B4213" w:rsidRDefault="00922DA5" w:rsidP="009B4213">
            <w:pPr>
              <w:pStyle w:val="ListParagraph"/>
              <w:numPr>
                <w:ilvl w:val="0"/>
                <w:numId w:val="37"/>
              </w:numPr>
              <w:suppressAutoHyphens w:val="0"/>
              <w:spacing w:after="120"/>
              <w:rPr>
                <w:rFonts w:ascii="Arial" w:hAnsi="Arial" w:cs="Arial"/>
                <w:sz w:val="22"/>
                <w:szCs w:val="22"/>
              </w:rPr>
            </w:pPr>
            <w:r w:rsidRPr="009B4213">
              <w:rPr>
                <w:sz w:val="22"/>
                <w:szCs w:val="22"/>
              </w:rPr>
              <w:t>At a minimum, detailed information should be provided on the location, corporate ownership structure (including beneficial ownership) and investment activities of:</w:t>
            </w:r>
          </w:p>
          <w:p w14:paraId="65273F6C" w14:textId="77777777" w:rsidR="00922DA5" w:rsidRPr="009B4213" w:rsidRDefault="00922DA5" w:rsidP="009B4213">
            <w:pPr>
              <w:pStyle w:val="ListParagraph"/>
              <w:numPr>
                <w:ilvl w:val="1"/>
                <w:numId w:val="37"/>
              </w:numPr>
              <w:suppressAutoHyphens w:val="0"/>
              <w:spacing w:after="120"/>
              <w:rPr>
                <w:rFonts w:ascii="Arial" w:hAnsi="Arial" w:cs="Arial"/>
                <w:sz w:val="22"/>
                <w:szCs w:val="22"/>
              </w:rPr>
            </w:pPr>
            <w:r w:rsidRPr="009B4213">
              <w:rPr>
                <w:sz w:val="22"/>
                <w:szCs w:val="22"/>
              </w:rPr>
              <w:t>the entity or asset being acquired in the investment; and</w:t>
            </w:r>
          </w:p>
          <w:p w14:paraId="2DB902EE" w14:textId="77777777" w:rsidR="00922DA5" w:rsidRPr="009B4213" w:rsidRDefault="00922DA5" w:rsidP="009B4213">
            <w:pPr>
              <w:pStyle w:val="ListParagraph"/>
              <w:numPr>
                <w:ilvl w:val="1"/>
                <w:numId w:val="37"/>
              </w:numPr>
              <w:suppressAutoHyphens w:val="0"/>
              <w:spacing w:after="120"/>
              <w:rPr>
                <w:rFonts w:ascii="Arial" w:hAnsi="Arial" w:cs="Arial"/>
                <w:sz w:val="22"/>
                <w:szCs w:val="22"/>
              </w:rPr>
            </w:pPr>
            <w:r w:rsidRPr="009B4213">
              <w:rPr>
                <w:sz w:val="22"/>
                <w:szCs w:val="22"/>
              </w:rPr>
              <w:t>the acquiring entity in the investment.</w:t>
            </w:r>
          </w:p>
          <w:p w14:paraId="2DB21F22" w14:textId="77777777" w:rsidR="00922DA5" w:rsidRPr="009B4213" w:rsidRDefault="00922DA5" w:rsidP="009B4213">
            <w:pPr>
              <w:spacing w:after="120"/>
              <w:rPr>
                <w:rFonts w:ascii="Arial" w:hAnsi="Arial" w:cs="Arial"/>
                <w:sz w:val="22"/>
                <w:szCs w:val="22"/>
              </w:rPr>
            </w:pPr>
            <w:r w:rsidRPr="009B4213">
              <w:rPr>
                <w:sz w:val="22"/>
                <w:szCs w:val="22"/>
              </w:rPr>
              <w:t>The data provided on the platform should be available for the Department to download in .pdf and .csv formats. Where this is not possible, the Department will be able to ask for data available on the platform to be sent in .csv format to allow the Department the conduct its own analysis.</w:t>
            </w:r>
          </w:p>
          <w:p w14:paraId="25611772" w14:textId="77777777" w:rsidR="00922DA5" w:rsidRPr="009B4213" w:rsidRDefault="00922DA5" w:rsidP="009B4213">
            <w:pPr>
              <w:spacing w:after="120"/>
              <w:rPr>
                <w:rFonts w:ascii="Arial" w:hAnsi="Arial" w:cs="Arial"/>
                <w:sz w:val="22"/>
                <w:szCs w:val="22"/>
              </w:rPr>
            </w:pPr>
            <w:r w:rsidRPr="009B4213">
              <w:rPr>
                <w:sz w:val="22"/>
                <w:szCs w:val="22"/>
              </w:rPr>
              <w:t>The supplier will provide a dedicated point of contact for the Department on questions related to the platform. The Department will have priority access to supplier analysts for queries related to data and topics covered in Department deliverables.</w:t>
            </w:r>
          </w:p>
          <w:p w14:paraId="18CD3DD1" w14:textId="77777777" w:rsidR="00922DA5" w:rsidRPr="009B4213" w:rsidRDefault="00922DA5" w:rsidP="009B4213">
            <w:pPr>
              <w:spacing w:after="120"/>
              <w:rPr>
                <w:rFonts w:ascii="Arial" w:hAnsi="Arial" w:cs="Arial"/>
                <w:sz w:val="22"/>
                <w:szCs w:val="22"/>
              </w:rPr>
            </w:pPr>
            <w:r w:rsidRPr="009B4213">
              <w:rPr>
                <w:sz w:val="22"/>
                <w:szCs w:val="22"/>
              </w:rPr>
              <w:t>The Department will require a minimum of 10 users of the platform for the duration of the contract. During the contract (likely at the end of the first four months), the Department may need to expand its userbase significantly. It may also need to add a single user or a small number of new users at later points in the contract. The supplier will therefore need to provide the price of an annual license for:</w:t>
            </w:r>
          </w:p>
          <w:p w14:paraId="14C946C2" w14:textId="77777777" w:rsidR="00922DA5" w:rsidRPr="009B4213" w:rsidRDefault="00922DA5" w:rsidP="009B4213">
            <w:pPr>
              <w:pStyle w:val="ListParagraph"/>
              <w:numPr>
                <w:ilvl w:val="0"/>
                <w:numId w:val="38"/>
              </w:numPr>
              <w:suppressAutoHyphens w:val="0"/>
              <w:spacing w:after="120"/>
              <w:rPr>
                <w:rFonts w:ascii="Arial" w:hAnsi="Arial" w:cs="Arial"/>
                <w:sz w:val="22"/>
                <w:szCs w:val="22"/>
              </w:rPr>
            </w:pPr>
            <w:r w:rsidRPr="009B4213">
              <w:rPr>
                <w:sz w:val="22"/>
                <w:szCs w:val="22"/>
              </w:rPr>
              <w:t xml:space="preserve">1 to 10 </w:t>
            </w:r>
            <w:proofErr w:type="gramStart"/>
            <w:r w:rsidRPr="009B4213">
              <w:rPr>
                <w:sz w:val="22"/>
                <w:szCs w:val="22"/>
              </w:rPr>
              <w:t>users;</w:t>
            </w:r>
            <w:proofErr w:type="gramEnd"/>
          </w:p>
          <w:p w14:paraId="08AC2D10" w14:textId="77777777" w:rsidR="00922DA5" w:rsidRPr="009B4213" w:rsidRDefault="00922DA5" w:rsidP="009B4213">
            <w:pPr>
              <w:pStyle w:val="ListParagraph"/>
              <w:numPr>
                <w:ilvl w:val="0"/>
                <w:numId w:val="38"/>
              </w:numPr>
              <w:suppressAutoHyphens w:val="0"/>
              <w:spacing w:after="120"/>
              <w:rPr>
                <w:rFonts w:ascii="Arial" w:hAnsi="Arial" w:cs="Arial"/>
                <w:sz w:val="22"/>
                <w:szCs w:val="22"/>
              </w:rPr>
            </w:pPr>
            <w:r w:rsidRPr="009B4213">
              <w:rPr>
                <w:sz w:val="22"/>
                <w:szCs w:val="22"/>
              </w:rPr>
              <w:t xml:space="preserve">11 to 20 </w:t>
            </w:r>
            <w:proofErr w:type="gramStart"/>
            <w:r w:rsidRPr="009B4213">
              <w:rPr>
                <w:sz w:val="22"/>
                <w:szCs w:val="22"/>
              </w:rPr>
              <w:t>users;</w:t>
            </w:r>
            <w:proofErr w:type="gramEnd"/>
          </w:p>
          <w:p w14:paraId="50497536" w14:textId="77777777" w:rsidR="00922DA5" w:rsidRPr="009B4213" w:rsidRDefault="00922DA5" w:rsidP="009B4213">
            <w:pPr>
              <w:pStyle w:val="ListParagraph"/>
              <w:numPr>
                <w:ilvl w:val="0"/>
                <w:numId w:val="38"/>
              </w:numPr>
              <w:suppressAutoHyphens w:val="0"/>
              <w:spacing w:after="120"/>
              <w:rPr>
                <w:rFonts w:ascii="Arial" w:hAnsi="Arial" w:cs="Arial"/>
                <w:sz w:val="22"/>
                <w:szCs w:val="22"/>
              </w:rPr>
            </w:pPr>
            <w:r w:rsidRPr="009B4213">
              <w:rPr>
                <w:sz w:val="22"/>
                <w:szCs w:val="22"/>
              </w:rPr>
              <w:t xml:space="preserve">21 to 30 </w:t>
            </w:r>
            <w:proofErr w:type="gramStart"/>
            <w:r w:rsidRPr="009B4213">
              <w:rPr>
                <w:sz w:val="22"/>
                <w:szCs w:val="22"/>
              </w:rPr>
              <w:t>users;</w:t>
            </w:r>
            <w:proofErr w:type="gramEnd"/>
          </w:p>
          <w:p w14:paraId="2D226D83" w14:textId="77777777" w:rsidR="00922DA5" w:rsidRPr="009B4213" w:rsidRDefault="00922DA5" w:rsidP="009B4213">
            <w:pPr>
              <w:pStyle w:val="ListParagraph"/>
              <w:numPr>
                <w:ilvl w:val="0"/>
                <w:numId w:val="38"/>
              </w:numPr>
              <w:suppressAutoHyphens w:val="0"/>
              <w:spacing w:after="120"/>
              <w:rPr>
                <w:rFonts w:ascii="Arial" w:hAnsi="Arial" w:cs="Arial"/>
                <w:sz w:val="22"/>
                <w:szCs w:val="22"/>
              </w:rPr>
            </w:pPr>
            <w:r w:rsidRPr="009B4213">
              <w:rPr>
                <w:sz w:val="22"/>
                <w:szCs w:val="22"/>
              </w:rPr>
              <w:t xml:space="preserve">31 to 40 </w:t>
            </w:r>
            <w:proofErr w:type="gramStart"/>
            <w:r w:rsidRPr="009B4213">
              <w:rPr>
                <w:sz w:val="22"/>
                <w:szCs w:val="22"/>
              </w:rPr>
              <w:t>users;</w:t>
            </w:r>
            <w:proofErr w:type="gramEnd"/>
          </w:p>
          <w:p w14:paraId="1CD00CB7" w14:textId="77777777" w:rsidR="00922DA5" w:rsidRPr="009B4213" w:rsidRDefault="00922DA5" w:rsidP="009B4213">
            <w:pPr>
              <w:pStyle w:val="ListParagraph"/>
              <w:numPr>
                <w:ilvl w:val="0"/>
                <w:numId w:val="38"/>
              </w:numPr>
              <w:suppressAutoHyphens w:val="0"/>
              <w:spacing w:after="120"/>
              <w:rPr>
                <w:rFonts w:ascii="Arial" w:hAnsi="Arial" w:cs="Arial"/>
                <w:sz w:val="22"/>
                <w:szCs w:val="22"/>
              </w:rPr>
            </w:pPr>
            <w:r w:rsidRPr="009B4213">
              <w:rPr>
                <w:sz w:val="22"/>
                <w:szCs w:val="22"/>
              </w:rPr>
              <w:t>41 to 50 users; and</w:t>
            </w:r>
          </w:p>
          <w:p w14:paraId="74847EF3" w14:textId="77777777" w:rsidR="00922DA5" w:rsidRPr="009B4213" w:rsidRDefault="00922DA5" w:rsidP="009B4213">
            <w:pPr>
              <w:pStyle w:val="ListParagraph"/>
              <w:numPr>
                <w:ilvl w:val="0"/>
                <w:numId w:val="38"/>
              </w:numPr>
              <w:suppressAutoHyphens w:val="0"/>
              <w:spacing w:after="120"/>
              <w:rPr>
                <w:rFonts w:ascii="Arial" w:hAnsi="Arial" w:cs="Arial"/>
                <w:sz w:val="22"/>
                <w:szCs w:val="22"/>
              </w:rPr>
            </w:pPr>
            <w:r w:rsidRPr="009B4213">
              <w:rPr>
                <w:sz w:val="22"/>
                <w:szCs w:val="22"/>
              </w:rPr>
              <w:t>a single user if the total number of users exceeds 50.</w:t>
            </w:r>
          </w:p>
          <w:p w14:paraId="1A073281" w14:textId="77777777" w:rsidR="00922DA5" w:rsidRPr="009B4213" w:rsidRDefault="00922DA5" w:rsidP="009B4213">
            <w:pPr>
              <w:spacing w:after="120"/>
              <w:rPr>
                <w:rFonts w:ascii="Arial" w:hAnsi="Arial" w:cs="Arial"/>
                <w:sz w:val="22"/>
                <w:szCs w:val="22"/>
              </w:rPr>
            </w:pPr>
            <w:r w:rsidRPr="009B4213">
              <w:rPr>
                <w:sz w:val="22"/>
                <w:szCs w:val="22"/>
              </w:rPr>
              <w:t>The Department will be given access to the platform from the contract start date.</w:t>
            </w:r>
          </w:p>
        </w:tc>
      </w:tr>
      <w:tr w:rsidR="00922DA5" w:rsidRPr="00922DA5" w14:paraId="652B8F42" w14:textId="77777777" w:rsidTr="00C8591B">
        <w:trPr>
          <w:cnfStyle w:val="000000100000" w:firstRow="0" w:lastRow="0" w:firstColumn="0" w:lastColumn="0" w:oddVBand="0" w:evenVBand="0" w:oddHBand="1" w:evenHBand="0" w:firstRowFirstColumn="0" w:firstRowLastColumn="0" w:lastRowFirstColumn="0" w:lastRowLastColumn="0"/>
        </w:trPr>
        <w:tc>
          <w:tcPr>
            <w:tcW w:w="5000" w:type="pct"/>
          </w:tcPr>
          <w:p w14:paraId="487C573D" w14:textId="77777777" w:rsidR="00922DA5" w:rsidRPr="009B4213" w:rsidRDefault="00922DA5" w:rsidP="009B4213">
            <w:pPr>
              <w:spacing w:after="120"/>
              <w:rPr>
                <w:rFonts w:ascii="Arial" w:hAnsi="Arial" w:cs="Arial"/>
                <w:b/>
                <w:bCs/>
                <w:sz w:val="22"/>
                <w:szCs w:val="22"/>
              </w:rPr>
            </w:pPr>
            <w:r w:rsidRPr="009B4213">
              <w:rPr>
                <w:b/>
                <w:bCs/>
                <w:sz w:val="22"/>
                <w:szCs w:val="22"/>
              </w:rPr>
              <w:t>Geographical Coverage:</w:t>
            </w:r>
          </w:p>
        </w:tc>
      </w:tr>
      <w:tr w:rsidR="00922DA5" w:rsidRPr="00922DA5" w14:paraId="4DCE7E3D" w14:textId="77777777" w:rsidTr="00C8591B">
        <w:tc>
          <w:tcPr>
            <w:tcW w:w="5000" w:type="pct"/>
          </w:tcPr>
          <w:p w14:paraId="5323B77C" w14:textId="77777777" w:rsidR="00922DA5" w:rsidRPr="009B4213" w:rsidRDefault="00922DA5" w:rsidP="009B4213">
            <w:pPr>
              <w:spacing w:after="120"/>
              <w:rPr>
                <w:rFonts w:ascii="Arial" w:hAnsi="Arial" w:cs="Arial"/>
                <w:sz w:val="22"/>
                <w:szCs w:val="22"/>
              </w:rPr>
            </w:pPr>
            <w:r w:rsidRPr="009B4213">
              <w:rPr>
                <w:sz w:val="22"/>
                <w:szCs w:val="22"/>
              </w:rPr>
              <w:t xml:space="preserve">Worldwide. </w:t>
            </w:r>
          </w:p>
          <w:p w14:paraId="1C42E817" w14:textId="77777777" w:rsidR="00922DA5" w:rsidRPr="009B4213" w:rsidRDefault="00922DA5" w:rsidP="009B4213">
            <w:pPr>
              <w:spacing w:after="120"/>
              <w:rPr>
                <w:rFonts w:ascii="Arial" w:hAnsi="Arial" w:cs="Arial"/>
                <w:sz w:val="22"/>
                <w:szCs w:val="22"/>
              </w:rPr>
            </w:pPr>
            <w:r w:rsidRPr="009B4213">
              <w:rPr>
                <w:sz w:val="22"/>
                <w:szCs w:val="22"/>
              </w:rPr>
              <w:lastRenderedPageBreak/>
              <w:t>Where full worldwide coverage is not possible, the platform should cover at least the top 10 largest, and top 10 fastest growing, sources of UK-inbound foreign investment.</w:t>
            </w:r>
            <w:r w:rsidRPr="009B4213">
              <w:rPr>
                <w:rStyle w:val="FootnoteReference"/>
                <w:sz w:val="22"/>
                <w:szCs w:val="22"/>
              </w:rPr>
              <w:footnoteReference w:id="3"/>
            </w:r>
          </w:p>
        </w:tc>
      </w:tr>
      <w:tr w:rsidR="00922DA5" w:rsidRPr="00922DA5" w14:paraId="4526A02B" w14:textId="77777777" w:rsidTr="00C8591B">
        <w:trPr>
          <w:cnfStyle w:val="000000100000" w:firstRow="0" w:lastRow="0" w:firstColumn="0" w:lastColumn="0" w:oddVBand="0" w:evenVBand="0" w:oddHBand="1" w:evenHBand="0" w:firstRowFirstColumn="0" w:firstRowLastColumn="0" w:lastRowFirstColumn="0" w:lastRowLastColumn="0"/>
        </w:trPr>
        <w:tc>
          <w:tcPr>
            <w:tcW w:w="5000" w:type="pct"/>
          </w:tcPr>
          <w:p w14:paraId="05CDD9BB" w14:textId="77777777" w:rsidR="00922DA5" w:rsidRPr="009B4213" w:rsidRDefault="00922DA5" w:rsidP="009B4213">
            <w:pPr>
              <w:spacing w:after="120"/>
              <w:rPr>
                <w:rFonts w:ascii="Arial" w:hAnsi="Arial" w:cs="Arial"/>
                <w:b/>
                <w:bCs/>
                <w:sz w:val="22"/>
                <w:szCs w:val="22"/>
              </w:rPr>
            </w:pPr>
            <w:r w:rsidRPr="009B4213">
              <w:rPr>
                <w:b/>
                <w:bCs/>
                <w:sz w:val="22"/>
                <w:szCs w:val="22"/>
              </w:rPr>
              <w:lastRenderedPageBreak/>
              <w:t>Other relevant information:</w:t>
            </w:r>
          </w:p>
        </w:tc>
      </w:tr>
      <w:tr w:rsidR="00922DA5" w:rsidRPr="00922DA5" w14:paraId="526E70CD" w14:textId="77777777" w:rsidTr="00C8591B">
        <w:tc>
          <w:tcPr>
            <w:tcW w:w="5000" w:type="pct"/>
          </w:tcPr>
          <w:p w14:paraId="75DB652A" w14:textId="77777777" w:rsidR="00922DA5" w:rsidRPr="009B4213" w:rsidRDefault="00922DA5" w:rsidP="009B4213">
            <w:pPr>
              <w:spacing w:after="120"/>
              <w:jc w:val="both"/>
              <w:rPr>
                <w:rFonts w:ascii="Arial" w:hAnsi="Arial" w:cs="Arial"/>
                <w:sz w:val="22"/>
                <w:szCs w:val="22"/>
              </w:rPr>
            </w:pPr>
            <w:r w:rsidRPr="009B4213">
              <w:rPr>
                <w:sz w:val="22"/>
                <w:szCs w:val="22"/>
              </w:rPr>
              <w:t xml:space="preserve">The following table sets out the relative priority of different types of investments that will be supplied by the product. The supplier must have coverage of all high priority investments. The extent to which suppliers can also provide coverage of medium priority and low priority types of investments will be </w:t>
            </w:r>
            <w:proofErr w:type="gramStart"/>
            <w:r w:rsidRPr="009B4213">
              <w:rPr>
                <w:sz w:val="22"/>
                <w:szCs w:val="22"/>
              </w:rPr>
              <w:t>taken into account</w:t>
            </w:r>
            <w:proofErr w:type="gramEnd"/>
            <w:r w:rsidRPr="009B4213">
              <w:rPr>
                <w:sz w:val="22"/>
                <w:szCs w:val="22"/>
              </w:rPr>
              <w:t xml:space="preserve"> as part of the evaluation of services.</w:t>
            </w:r>
          </w:p>
          <w:tbl>
            <w:tblPr>
              <w:tblStyle w:val="ListTable4-Accent1"/>
              <w:tblW w:w="3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024"/>
              <w:gridCol w:w="1985"/>
            </w:tblGrid>
            <w:tr w:rsidR="00922DA5" w:rsidRPr="00922DA5" w14:paraId="14A7F3B1" w14:textId="77777777" w:rsidTr="00C8591B">
              <w:trPr>
                <w:cnfStyle w:val="100000000000" w:firstRow="1" w:lastRow="0" w:firstColumn="0" w:lastColumn="0" w:oddVBand="0" w:evenVBand="0" w:oddHBand="0" w:evenHBand="0" w:firstRowFirstColumn="0" w:firstRowLastColumn="0" w:lastRowFirstColumn="0" w:lastRowLastColumn="0"/>
                <w:trHeight w:val="264"/>
              </w:trPr>
              <w:tc>
                <w:tcPr>
                  <w:tcW w:w="3584" w:type="pct"/>
                  <w:vAlign w:val="center"/>
                  <w:hideMark/>
                </w:tcPr>
                <w:p w14:paraId="7CC4EA66" w14:textId="77777777" w:rsidR="00922DA5" w:rsidRPr="009B4213" w:rsidRDefault="00922DA5" w:rsidP="009B4213">
                  <w:pPr>
                    <w:spacing w:after="120"/>
                    <w:jc w:val="center"/>
                    <w:rPr>
                      <w:rFonts w:ascii="Arial" w:hAnsi="Arial" w:cs="Arial"/>
                    </w:rPr>
                  </w:pPr>
                  <w:r w:rsidRPr="009B4213">
                    <w:t>Type of investment</w:t>
                  </w:r>
                </w:p>
              </w:tc>
              <w:tc>
                <w:tcPr>
                  <w:tcW w:w="1416" w:type="pct"/>
                  <w:vAlign w:val="center"/>
                  <w:hideMark/>
                </w:tcPr>
                <w:p w14:paraId="29614BDC" w14:textId="77777777" w:rsidR="00922DA5" w:rsidRPr="009B4213" w:rsidRDefault="00922DA5" w:rsidP="009B4213">
                  <w:pPr>
                    <w:spacing w:after="120"/>
                    <w:jc w:val="center"/>
                    <w:rPr>
                      <w:rFonts w:ascii="Arial" w:hAnsi="Arial" w:cs="Arial"/>
                    </w:rPr>
                  </w:pPr>
                  <w:r w:rsidRPr="009B4213">
                    <w:t>Priority</w:t>
                  </w:r>
                </w:p>
              </w:tc>
            </w:tr>
            <w:tr w:rsidR="00922DA5" w:rsidRPr="00922DA5" w14:paraId="7F9D58BB" w14:textId="77777777" w:rsidTr="00C8591B">
              <w:trPr>
                <w:cnfStyle w:val="000000100000" w:firstRow="0" w:lastRow="0" w:firstColumn="0" w:lastColumn="0" w:oddVBand="0" w:evenVBand="0" w:oddHBand="1" w:evenHBand="0" w:firstRowFirstColumn="0" w:firstRowLastColumn="0" w:lastRowFirstColumn="0" w:lastRowLastColumn="0"/>
                <w:trHeight w:val="264"/>
              </w:trPr>
              <w:tc>
                <w:tcPr>
                  <w:tcW w:w="3584" w:type="pct"/>
                  <w:vAlign w:val="center"/>
                  <w:hideMark/>
                </w:tcPr>
                <w:p w14:paraId="0A3C8CB2" w14:textId="77777777" w:rsidR="00922DA5" w:rsidRPr="009B4213" w:rsidRDefault="00922DA5" w:rsidP="009B4213">
                  <w:pPr>
                    <w:spacing w:after="120"/>
                    <w:jc w:val="center"/>
                    <w:rPr>
                      <w:rFonts w:ascii="Arial" w:hAnsi="Arial" w:cs="Arial"/>
                    </w:rPr>
                  </w:pPr>
                  <w:r w:rsidRPr="009B4213">
                    <w:t>Mergers and acquisitions</w:t>
                  </w:r>
                </w:p>
              </w:tc>
              <w:tc>
                <w:tcPr>
                  <w:tcW w:w="1416" w:type="pct"/>
                  <w:vAlign w:val="center"/>
                  <w:hideMark/>
                </w:tcPr>
                <w:p w14:paraId="4FEE2F67" w14:textId="77777777" w:rsidR="00922DA5" w:rsidRPr="009B4213" w:rsidRDefault="00922DA5" w:rsidP="009B4213">
                  <w:pPr>
                    <w:spacing w:after="120"/>
                    <w:jc w:val="center"/>
                    <w:rPr>
                      <w:rFonts w:ascii="Arial" w:hAnsi="Arial" w:cs="Arial"/>
                    </w:rPr>
                  </w:pPr>
                  <w:r w:rsidRPr="009B4213">
                    <w:t>High</w:t>
                  </w:r>
                </w:p>
              </w:tc>
            </w:tr>
            <w:tr w:rsidR="00922DA5" w:rsidRPr="00922DA5" w14:paraId="4BB9BF3B" w14:textId="77777777" w:rsidTr="00C8591B">
              <w:trPr>
                <w:trHeight w:val="264"/>
              </w:trPr>
              <w:tc>
                <w:tcPr>
                  <w:tcW w:w="3584" w:type="pct"/>
                  <w:vAlign w:val="center"/>
                  <w:hideMark/>
                </w:tcPr>
                <w:p w14:paraId="526207BA" w14:textId="77777777" w:rsidR="00922DA5" w:rsidRPr="009B4213" w:rsidRDefault="00922DA5" w:rsidP="009B4213">
                  <w:pPr>
                    <w:spacing w:after="120"/>
                    <w:jc w:val="center"/>
                    <w:rPr>
                      <w:rFonts w:ascii="Arial" w:hAnsi="Arial" w:cs="Arial"/>
                    </w:rPr>
                  </w:pPr>
                  <w:r w:rsidRPr="009B4213">
                    <w:t>Greenfield investments</w:t>
                  </w:r>
                </w:p>
              </w:tc>
              <w:tc>
                <w:tcPr>
                  <w:tcW w:w="1416" w:type="pct"/>
                  <w:vAlign w:val="center"/>
                  <w:hideMark/>
                </w:tcPr>
                <w:p w14:paraId="15CF45E9" w14:textId="77777777" w:rsidR="00922DA5" w:rsidRPr="009B4213" w:rsidRDefault="00922DA5" w:rsidP="009B4213">
                  <w:pPr>
                    <w:spacing w:after="120"/>
                    <w:jc w:val="center"/>
                    <w:rPr>
                      <w:rFonts w:ascii="Arial" w:hAnsi="Arial" w:cs="Arial"/>
                    </w:rPr>
                  </w:pPr>
                  <w:r w:rsidRPr="009B4213">
                    <w:t>High</w:t>
                  </w:r>
                </w:p>
              </w:tc>
            </w:tr>
            <w:tr w:rsidR="00922DA5" w:rsidRPr="00922DA5" w14:paraId="71423ACC" w14:textId="77777777" w:rsidTr="00C8591B">
              <w:trPr>
                <w:cnfStyle w:val="000000100000" w:firstRow="0" w:lastRow="0" w:firstColumn="0" w:lastColumn="0" w:oddVBand="0" w:evenVBand="0" w:oddHBand="1" w:evenHBand="0" w:firstRowFirstColumn="0" w:firstRowLastColumn="0" w:lastRowFirstColumn="0" w:lastRowLastColumn="0"/>
                <w:trHeight w:val="264"/>
              </w:trPr>
              <w:tc>
                <w:tcPr>
                  <w:tcW w:w="3584" w:type="pct"/>
                  <w:vAlign w:val="center"/>
                  <w:hideMark/>
                </w:tcPr>
                <w:p w14:paraId="2FEA0E21" w14:textId="77777777" w:rsidR="00922DA5" w:rsidRPr="009B4213" w:rsidRDefault="00922DA5" w:rsidP="009B4213">
                  <w:pPr>
                    <w:spacing w:after="120"/>
                    <w:jc w:val="center"/>
                    <w:rPr>
                      <w:rFonts w:ascii="Arial" w:hAnsi="Arial" w:cs="Arial"/>
                    </w:rPr>
                  </w:pPr>
                  <w:r w:rsidRPr="009B4213">
                    <w:t>Joint Ventures</w:t>
                  </w:r>
                </w:p>
              </w:tc>
              <w:tc>
                <w:tcPr>
                  <w:tcW w:w="1416" w:type="pct"/>
                  <w:vAlign w:val="center"/>
                  <w:hideMark/>
                </w:tcPr>
                <w:p w14:paraId="412CDDB5" w14:textId="77777777" w:rsidR="00922DA5" w:rsidRPr="009B4213" w:rsidRDefault="00922DA5" w:rsidP="009B4213">
                  <w:pPr>
                    <w:spacing w:after="120"/>
                    <w:jc w:val="center"/>
                    <w:rPr>
                      <w:rFonts w:ascii="Arial" w:hAnsi="Arial" w:cs="Arial"/>
                    </w:rPr>
                  </w:pPr>
                  <w:r w:rsidRPr="009B4213">
                    <w:t>High</w:t>
                  </w:r>
                </w:p>
              </w:tc>
            </w:tr>
            <w:tr w:rsidR="00922DA5" w:rsidRPr="00922DA5" w14:paraId="7CCC7338" w14:textId="77777777" w:rsidTr="00C8591B">
              <w:trPr>
                <w:trHeight w:val="264"/>
              </w:trPr>
              <w:tc>
                <w:tcPr>
                  <w:tcW w:w="3584" w:type="pct"/>
                  <w:vAlign w:val="center"/>
                  <w:hideMark/>
                </w:tcPr>
                <w:p w14:paraId="14D6A058" w14:textId="77777777" w:rsidR="00922DA5" w:rsidRPr="009B4213" w:rsidRDefault="00922DA5" w:rsidP="009B4213">
                  <w:pPr>
                    <w:spacing w:after="120"/>
                    <w:jc w:val="center"/>
                    <w:rPr>
                      <w:rFonts w:ascii="Arial" w:hAnsi="Arial" w:cs="Arial"/>
                    </w:rPr>
                  </w:pPr>
                  <w:r w:rsidRPr="009B4213">
                    <w:t>Venture capital</w:t>
                  </w:r>
                </w:p>
              </w:tc>
              <w:tc>
                <w:tcPr>
                  <w:tcW w:w="1416" w:type="pct"/>
                  <w:vAlign w:val="center"/>
                  <w:hideMark/>
                </w:tcPr>
                <w:p w14:paraId="08D209BE" w14:textId="77777777" w:rsidR="00922DA5" w:rsidRPr="009B4213" w:rsidRDefault="00922DA5" w:rsidP="009B4213">
                  <w:pPr>
                    <w:spacing w:after="120"/>
                    <w:jc w:val="center"/>
                    <w:rPr>
                      <w:rFonts w:ascii="Arial" w:hAnsi="Arial" w:cs="Arial"/>
                    </w:rPr>
                  </w:pPr>
                  <w:r w:rsidRPr="009B4213">
                    <w:t>High</w:t>
                  </w:r>
                </w:p>
              </w:tc>
            </w:tr>
            <w:tr w:rsidR="00922DA5" w:rsidRPr="00922DA5" w14:paraId="573587A2" w14:textId="77777777" w:rsidTr="00C8591B">
              <w:trPr>
                <w:cnfStyle w:val="000000100000" w:firstRow="0" w:lastRow="0" w:firstColumn="0" w:lastColumn="0" w:oddVBand="0" w:evenVBand="0" w:oddHBand="1" w:evenHBand="0" w:firstRowFirstColumn="0" w:firstRowLastColumn="0" w:lastRowFirstColumn="0" w:lastRowLastColumn="0"/>
                <w:trHeight w:val="264"/>
              </w:trPr>
              <w:tc>
                <w:tcPr>
                  <w:tcW w:w="3584" w:type="pct"/>
                  <w:vAlign w:val="center"/>
                  <w:hideMark/>
                </w:tcPr>
                <w:p w14:paraId="4A6D2A32" w14:textId="77777777" w:rsidR="00922DA5" w:rsidRPr="009B4213" w:rsidRDefault="00922DA5" w:rsidP="009B4213">
                  <w:pPr>
                    <w:spacing w:after="120"/>
                    <w:jc w:val="center"/>
                    <w:rPr>
                      <w:rFonts w:ascii="Arial" w:hAnsi="Arial" w:cs="Arial"/>
                    </w:rPr>
                  </w:pPr>
                  <w:r w:rsidRPr="009B4213">
                    <w:t>Major portfolio stakes</w:t>
                  </w:r>
                </w:p>
              </w:tc>
              <w:tc>
                <w:tcPr>
                  <w:tcW w:w="1416" w:type="pct"/>
                  <w:vAlign w:val="center"/>
                  <w:hideMark/>
                </w:tcPr>
                <w:p w14:paraId="58F8ADEF" w14:textId="77777777" w:rsidR="00922DA5" w:rsidRPr="009B4213" w:rsidRDefault="00922DA5" w:rsidP="009B4213">
                  <w:pPr>
                    <w:spacing w:after="120"/>
                    <w:jc w:val="center"/>
                    <w:rPr>
                      <w:rFonts w:ascii="Arial" w:hAnsi="Arial" w:cs="Arial"/>
                    </w:rPr>
                  </w:pPr>
                  <w:r w:rsidRPr="009B4213">
                    <w:t>High</w:t>
                  </w:r>
                </w:p>
              </w:tc>
            </w:tr>
            <w:tr w:rsidR="00922DA5" w:rsidRPr="00922DA5" w14:paraId="050038AC" w14:textId="77777777" w:rsidTr="00C8591B">
              <w:trPr>
                <w:trHeight w:val="264"/>
              </w:trPr>
              <w:tc>
                <w:tcPr>
                  <w:tcW w:w="3584" w:type="pct"/>
                  <w:vAlign w:val="center"/>
                </w:tcPr>
                <w:p w14:paraId="3BA13B93" w14:textId="77777777" w:rsidR="00922DA5" w:rsidRPr="009B4213" w:rsidRDefault="00922DA5" w:rsidP="009B4213">
                  <w:pPr>
                    <w:spacing w:after="120"/>
                    <w:jc w:val="center"/>
                    <w:rPr>
                      <w:rFonts w:ascii="Arial" w:hAnsi="Arial" w:cs="Arial"/>
                    </w:rPr>
                  </w:pPr>
                  <w:r w:rsidRPr="009B4213">
                    <w:t>Patent reassignments</w:t>
                  </w:r>
                </w:p>
              </w:tc>
              <w:tc>
                <w:tcPr>
                  <w:tcW w:w="1416" w:type="pct"/>
                  <w:vAlign w:val="center"/>
                </w:tcPr>
                <w:p w14:paraId="33775B8E" w14:textId="77777777" w:rsidR="00922DA5" w:rsidRPr="009B4213" w:rsidRDefault="00922DA5" w:rsidP="009B4213">
                  <w:pPr>
                    <w:spacing w:after="120"/>
                    <w:jc w:val="center"/>
                    <w:rPr>
                      <w:rFonts w:ascii="Arial" w:hAnsi="Arial" w:cs="Arial"/>
                    </w:rPr>
                  </w:pPr>
                  <w:r w:rsidRPr="009B4213">
                    <w:t>Medium</w:t>
                  </w:r>
                </w:p>
              </w:tc>
            </w:tr>
            <w:tr w:rsidR="00922DA5" w:rsidRPr="00922DA5" w14:paraId="05A4CC1D" w14:textId="77777777" w:rsidTr="00C8591B">
              <w:trPr>
                <w:cnfStyle w:val="000000100000" w:firstRow="0" w:lastRow="0" w:firstColumn="0" w:lastColumn="0" w:oddVBand="0" w:evenVBand="0" w:oddHBand="1" w:evenHBand="0" w:firstRowFirstColumn="0" w:firstRowLastColumn="0" w:lastRowFirstColumn="0" w:lastRowLastColumn="0"/>
                <w:trHeight w:val="264"/>
              </w:trPr>
              <w:tc>
                <w:tcPr>
                  <w:tcW w:w="3584" w:type="pct"/>
                  <w:vAlign w:val="center"/>
                </w:tcPr>
                <w:p w14:paraId="748AC90A" w14:textId="77777777" w:rsidR="00922DA5" w:rsidRPr="009B4213" w:rsidRDefault="00922DA5" w:rsidP="009B4213">
                  <w:pPr>
                    <w:spacing w:after="120"/>
                    <w:jc w:val="center"/>
                    <w:rPr>
                      <w:rFonts w:ascii="Arial" w:hAnsi="Arial" w:cs="Arial"/>
                    </w:rPr>
                  </w:pPr>
                  <w:r w:rsidRPr="009B4213">
                    <w:t>Research &amp; Development partnerships</w:t>
                  </w:r>
                </w:p>
              </w:tc>
              <w:tc>
                <w:tcPr>
                  <w:tcW w:w="1416" w:type="pct"/>
                  <w:vAlign w:val="center"/>
                </w:tcPr>
                <w:p w14:paraId="0B4F8B6F" w14:textId="77777777" w:rsidR="00922DA5" w:rsidRPr="009B4213" w:rsidRDefault="00922DA5" w:rsidP="009B4213">
                  <w:pPr>
                    <w:spacing w:after="120"/>
                    <w:jc w:val="center"/>
                    <w:rPr>
                      <w:rFonts w:ascii="Arial" w:hAnsi="Arial" w:cs="Arial"/>
                    </w:rPr>
                  </w:pPr>
                  <w:r w:rsidRPr="009B4213">
                    <w:t>Medium</w:t>
                  </w:r>
                </w:p>
              </w:tc>
            </w:tr>
            <w:tr w:rsidR="00922DA5" w:rsidRPr="00922DA5" w14:paraId="3B083415" w14:textId="77777777" w:rsidTr="00C8591B">
              <w:trPr>
                <w:trHeight w:val="264"/>
              </w:trPr>
              <w:tc>
                <w:tcPr>
                  <w:tcW w:w="3584" w:type="pct"/>
                  <w:vAlign w:val="center"/>
                </w:tcPr>
                <w:p w14:paraId="1E371D26" w14:textId="77777777" w:rsidR="00922DA5" w:rsidRPr="009B4213" w:rsidRDefault="00922DA5" w:rsidP="009B4213">
                  <w:pPr>
                    <w:spacing w:after="120"/>
                    <w:jc w:val="center"/>
                    <w:rPr>
                      <w:rFonts w:ascii="Arial" w:hAnsi="Arial" w:cs="Arial"/>
                    </w:rPr>
                  </w:pPr>
                  <w:r w:rsidRPr="009B4213">
                    <w:t>Academic partnerships</w:t>
                  </w:r>
                </w:p>
              </w:tc>
              <w:tc>
                <w:tcPr>
                  <w:tcW w:w="1416" w:type="pct"/>
                  <w:vAlign w:val="center"/>
                </w:tcPr>
                <w:p w14:paraId="4365FF84" w14:textId="77777777" w:rsidR="00922DA5" w:rsidRPr="009B4213" w:rsidRDefault="00922DA5" w:rsidP="009B4213">
                  <w:pPr>
                    <w:spacing w:after="120"/>
                    <w:jc w:val="center"/>
                    <w:rPr>
                      <w:rFonts w:ascii="Arial" w:hAnsi="Arial" w:cs="Arial"/>
                    </w:rPr>
                  </w:pPr>
                  <w:r w:rsidRPr="009B4213">
                    <w:t>Medium</w:t>
                  </w:r>
                </w:p>
              </w:tc>
            </w:tr>
            <w:tr w:rsidR="00922DA5" w:rsidRPr="00922DA5" w14:paraId="4AEC4E59" w14:textId="77777777" w:rsidTr="00C8591B">
              <w:trPr>
                <w:cnfStyle w:val="000000100000" w:firstRow="0" w:lastRow="0" w:firstColumn="0" w:lastColumn="0" w:oddVBand="0" w:evenVBand="0" w:oddHBand="1" w:evenHBand="0" w:firstRowFirstColumn="0" w:firstRowLastColumn="0" w:lastRowFirstColumn="0" w:lastRowLastColumn="0"/>
                <w:trHeight w:val="264"/>
              </w:trPr>
              <w:tc>
                <w:tcPr>
                  <w:tcW w:w="3584" w:type="pct"/>
                  <w:vAlign w:val="center"/>
                  <w:hideMark/>
                </w:tcPr>
                <w:p w14:paraId="44C2EE42" w14:textId="77777777" w:rsidR="00922DA5" w:rsidRPr="009B4213" w:rsidRDefault="00922DA5" w:rsidP="009B4213">
                  <w:pPr>
                    <w:spacing w:after="120"/>
                    <w:jc w:val="center"/>
                    <w:rPr>
                      <w:rFonts w:ascii="Arial" w:hAnsi="Arial" w:cs="Arial"/>
                    </w:rPr>
                  </w:pPr>
                  <w:r w:rsidRPr="009B4213">
                    <w:t>Patent grants</w:t>
                  </w:r>
                </w:p>
              </w:tc>
              <w:tc>
                <w:tcPr>
                  <w:tcW w:w="1416" w:type="pct"/>
                  <w:vAlign w:val="center"/>
                  <w:hideMark/>
                </w:tcPr>
                <w:p w14:paraId="053B31A6" w14:textId="77777777" w:rsidR="00922DA5" w:rsidRPr="009B4213" w:rsidRDefault="00922DA5" w:rsidP="009B4213">
                  <w:pPr>
                    <w:spacing w:after="120"/>
                    <w:jc w:val="center"/>
                    <w:rPr>
                      <w:rFonts w:ascii="Arial" w:hAnsi="Arial" w:cs="Arial"/>
                    </w:rPr>
                  </w:pPr>
                  <w:r w:rsidRPr="009B4213">
                    <w:t>Low</w:t>
                  </w:r>
                </w:p>
              </w:tc>
            </w:tr>
          </w:tbl>
          <w:p w14:paraId="66868A24" w14:textId="77777777" w:rsidR="00922DA5" w:rsidRPr="009B4213" w:rsidRDefault="00922DA5" w:rsidP="009B4213">
            <w:pPr>
              <w:spacing w:after="120"/>
              <w:rPr>
                <w:rFonts w:ascii="Arial" w:hAnsi="Arial" w:cs="Arial"/>
                <w:sz w:val="22"/>
                <w:szCs w:val="22"/>
              </w:rPr>
            </w:pPr>
          </w:p>
        </w:tc>
      </w:tr>
    </w:tbl>
    <w:p w14:paraId="71EA4DA0" w14:textId="77777777" w:rsidR="00922DA5" w:rsidRPr="009B4213" w:rsidRDefault="00922DA5" w:rsidP="009B4213">
      <w:pPr>
        <w:spacing w:after="120" w:line="240" w:lineRule="auto"/>
      </w:pPr>
    </w:p>
    <w:p w14:paraId="02E12D58" w14:textId="28977E0E" w:rsidR="00910EB9" w:rsidRDefault="00910EB9">
      <w:pPr>
        <w:spacing w:before="240"/>
        <w:rPr>
          <w:b/>
        </w:rPr>
      </w:pPr>
    </w:p>
    <w:p w14:paraId="5C47B890" w14:textId="77777777" w:rsidR="00FD7C2F" w:rsidRDefault="00FD7C2F">
      <w:pPr>
        <w:suppressAutoHyphens w:val="0"/>
        <w:rPr>
          <w:sz w:val="32"/>
          <w:szCs w:val="32"/>
        </w:rPr>
      </w:pPr>
      <w:bookmarkStart w:id="17" w:name="_Toc33176234"/>
      <w:r>
        <w:br w:type="page"/>
      </w:r>
    </w:p>
    <w:p w14:paraId="02E12D59" w14:textId="4554AB98" w:rsidR="00910EB9" w:rsidRDefault="006E4A1B">
      <w:pPr>
        <w:pStyle w:val="Heading2"/>
      </w:pPr>
      <w:bookmarkStart w:id="18" w:name="_Toc85461048"/>
      <w:r>
        <w:lastRenderedPageBreak/>
        <w:t>Schedule 2: Call-Off Contract charges</w:t>
      </w:r>
      <w:bookmarkEnd w:id="17"/>
      <w:bookmarkEnd w:id="18"/>
    </w:p>
    <w:p w14:paraId="02E12D5A" w14:textId="56CBA79E" w:rsidR="00910EB9" w:rsidRDefault="006E4A1B">
      <w:pPr>
        <w:spacing w:before="240"/>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t>
      </w:r>
      <w:r w:rsidR="000934F4">
        <w:t>are as follows</w:t>
      </w:r>
      <w:r>
        <w:t>:</w:t>
      </w:r>
    </w:p>
    <w:p w14:paraId="03331BF8" w14:textId="77777777" w:rsidR="000934F4" w:rsidRDefault="000934F4" w:rsidP="000934F4">
      <w:pPr>
        <w:suppressAutoHyphens w:val="0"/>
        <w:autoSpaceDN/>
        <w:spacing w:line="240" w:lineRule="auto"/>
        <w:textAlignment w:val="auto"/>
        <w:rPr>
          <w:rFonts w:ascii="Calibri" w:eastAsia="Times New Roman" w:hAnsi="Calibri" w:cs="Calibri"/>
          <w:color w:val="444444"/>
          <w:shd w:val="clear" w:color="auto" w:fill="FFFFFF"/>
        </w:rPr>
      </w:pPr>
    </w:p>
    <w:p w14:paraId="51768F43" w14:textId="305F48E7" w:rsidR="00B601E4" w:rsidRDefault="000934F4" w:rsidP="000934F4">
      <w:pPr>
        <w:suppressAutoHyphens w:val="0"/>
        <w:autoSpaceDN/>
        <w:spacing w:line="240" w:lineRule="auto"/>
        <w:textAlignment w:val="auto"/>
        <w:rPr>
          <w:rFonts w:eastAsia="Times New Roman"/>
          <w:color w:val="000000" w:themeColor="text1"/>
          <w:shd w:val="clear" w:color="auto" w:fill="FFFFFF"/>
        </w:rPr>
      </w:pPr>
      <w:r w:rsidRPr="008340CF">
        <w:rPr>
          <w:rFonts w:eastAsia="Times New Roman"/>
          <w:color w:val="000000" w:themeColor="text1"/>
          <w:shd w:val="clear" w:color="auto" w:fill="FFFFFF"/>
        </w:rPr>
        <w:t xml:space="preserve">The </w:t>
      </w:r>
      <w:r w:rsidR="009F3E9F">
        <w:rPr>
          <w:rFonts w:eastAsia="Times New Roman"/>
          <w:color w:val="000000" w:themeColor="text1"/>
          <w:shd w:val="clear" w:color="auto" w:fill="FFFFFF"/>
        </w:rPr>
        <w:t>Buyer’s</w:t>
      </w:r>
      <w:r w:rsidRPr="008340CF">
        <w:rPr>
          <w:rFonts w:eastAsia="Times New Roman"/>
          <w:color w:val="000000" w:themeColor="text1"/>
          <w:shd w:val="clear" w:color="auto" w:fill="FFFFFF"/>
        </w:rPr>
        <w:t xml:space="preserve"> initial commitment will be to subscribe to all four Supplier products set out in Schedule 1, at unrestricted report volumes, for 1 to 10 users. The price for this is £662,400 per annum (ex. VAT, see Table 1). There are options to terminate, or partially terminate and continue with a reduced number of services and/or user numbers, at the end of March 2022, and each year from the contract start date. </w:t>
      </w:r>
    </w:p>
    <w:p w14:paraId="0EAE51E9" w14:textId="50890EF1" w:rsidR="007075F0" w:rsidRDefault="007075F0" w:rsidP="000934F4">
      <w:pPr>
        <w:suppressAutoHyphens w:val="0"/>
        <w:autoSpaceDN/>
        <w:spacing w:line="240" w:lineRule="auto"/>
        <w:textAlignment w:val="auto"/>
        <w:rPr>
          <w:rFonts w:eastAsia="Times New Roman"/>
          <w:color w:val="000000" w:themeColor="text1"/>
          <w:shd w:val="clear" w:color="auto" w:fill="FFFFFF"/>
        </w:rPr>
      </w:pPr>
    </w:p>
    <w:p w14:paraId="350F0F57" w14:textId="3E1BA164" w:rsidR="007075F0" w:rsidRDefault="006D3D40" w:rsidP="000934F4">
      <w:pPr>
        <w:suppressAutoHyphens w:val="0"/>
        <w:autoSpaceDN/>
        <w:spacing w:line="240" w:lineRule="auto"/>
        <w:textAlignment w:val="auto"/>
        <w:rPr>
          <w:rFonts w:eastAsia="Times New Roman"/>
          <w:color w:val="000000" w:themeColor="text1"/>
          <w:shd w:val="clear" w:color="auto" w:fill="FFFFFF"/>
        </w:rPr>
      </w:pPr>
      <w:r>
        <w:rPr>
          <w:rFonts w:eastAsia="Times New Roman"/>
          <w:color w:val="000000" w:themeColor="text1"/>
          <w:shd w:val="clear" w:color="auto" w:fill="FFFFFF"/>
        </w:rPr>
        <w:t>T</w:t>
      </w:r>
      <w:r w:rsidR="007075F0">
        <w:rPr>
          <w:rFonts w:eastAsia="Times New Roman"/>
          <w:color w:val="000000" w:themeColor="text1"/>
          <w:shd w:val="clear" w:color="auto" w:fill="FFFFFF"/>
        </w:rPr>
        <w:t>ables</w:t>
      </w:r>
      <w:r>
        <w:rPr>
          <w:rFonts w:eastAsia="Times New Roman"/>
          <w:color w:val="000000" w:themeColor="text1"/>
          <w:shd w:val="clear" w:color="auto" w:fill="FFFFFF"/>
        </w:rPr>
        <w:t xml:space="preserve"> 1-3</w:t>
      </w:r>
      <w:r w:rsidR="007075F0">
        <w:rPr>
          <w:rFonts w:eastAsia="Times New Roman"/>
          <w:color w:val="000000" w:themeColor="text1"/>
          <w:shd w:val="clear" w:color="auto" w:fill="FFFFFF"/>
        </w:rPr>
        <w:t xml:space="preserve"> set out the pricing in each Contract Year</w:t>
      </w:r>
      <w:r w:rsidR="009F3E9F">
        <w:rPr>
          <w:rFonts w:eastAsia="Times New Roman"/>
          <w:color w:val="000000" w:themeColor="text1"/>
          <w:shd w:val="clear" w:color="auto" w:fill="FFFFFF"/>
        </w:rPr>
        <w:t xml:space="preserve"> (a Contract Year being 12 months from the Contract Start Date),</w:t>
      </w:r>
      <w:r w:rsidR="007075F0">
        <w:rPr>
          <w:rFonts w:eastAsia="Times New Roman"/>
          <w:color w:val="000000" w:themeColor="text1"/>
          <w:shd w:val="clear" w:color="auto" w:fill="FFFFFF"/>
        </w:rPr>
        <w:t xml:space="preserve"> for the four products at different user bands at unrestricted volumes of reports, all excluding VAT</w:t>
      </w:r>
      <w:r w:rsidR="00B601E4">
        <w:rPr>
          <w:rFonts w:eastAsia="Times New Roman"/>
          <w:color w:val="000000" w:themeColor="text1"/>
          <w:shd w:val="clear" w:color="auto" w:fill="FFFFFF"/>
        </w:rPr>
        <w:t xml:space="preserve">. </w:t>
      </w:r>
    </w:p>
    <w:p w14:paraId="0C41C71E" w14:textId="77777777" w:rsidR="006D3D40" w:rsidRPr="008340CF" w:rsidRDefault="006D3D40" w:rsidP="000934F4">
      <w:pPr>
        <w:suppressAutoHyphens w:val="0"/>
        <w:autoSpaceDN/>
        <w:spacing w:line="240" w:lineRule="auto"/>
        <w:textAlignment w:val="auto"/>
        <w:rPr>
          <w:rFonts w:eastAsia="Times New Roman"/>
          <w:color w:val="000000" w:themeColor="text1"/>
          <w:shd w:val="clear" w:color="auto" w:fill="FFFFFF"/>
        </w:rPr>
      </w:pPr>
    </w:p>
    <w:p w14:paraId="777B813B" w14:textId="45A44763" w:rsidR="000934F4" w:rsidRDefault="006D3D40" w:rsidP="000934F4">
      <w:pPr>
        <w:suppressAutoHyphens w:val="0"/>
        <w:autoSpaceDN/>
        <w:spacing w:line="240" w:lineRule="auto"/>
        <w:textAlignment w:val="auto"/>
        <w:rPr>
          <w:rFonts w:eastAsia="Times New Roman"/>
          <w:i/>
          <w:iCs/>
        </w:rPr>
      </w:pPr>
      <w:r w:rsidRPr="008340CF">
        <w:rPr>
          <w:rFonts w:eastAsia="Times New Roman"/>
          <w:i/>
          <w:iCs/>
        </w:rPr>
        <w:t>Table 1</w:t>
      </w:r>
    </w:p>
    <w:p w14:paraId="36AD41A2" w14:textId="77777777" w:rsidR="00AE5F40" w:rsidRDefault="00AE5F40" w:rsidP="000934F4">
      <w:pPr>
        <w:suppressAutoHyphens w:val="0"/>
        <w:autoSpaceDN/>
        <w:spacing w:line="240" w:lineRule="auto"/>
        <w:textAlignment w:val="auto"/>
        <w:rPr>
          <w:rFonts w:eastAsia="Times New Roman"/>
        </w:rPr>
      </w:pPr>
    </w:p>
    <w:p w14:paraId="4A538AEA" w14:textId="311967BB" w:rsidR="00AE5F40" w:rsidRPr="00AE5F40" w:rsidRDefault="00AE5F40" w:rsidP="000934F4">
      <w:pPr>
        <w:suppressAutoHyphens w:val="0"/>
        <w:autoSpaceDN/>
        <w:spacing w:line="240" w:lineRule="auto"/>
        <w:textAlignment w:val="auto"/>
        <w:rPr>
          <w:rFonts w:eastAsia="Times New Roman"/>
        </w:rPr>
      </w:pPr>
      <w:r>
        <w:rPr>
          <w:rFonts w:eastAsia="Times New Roman"/>
        </w:rPr>
        <w:t>[Redacted]</w:t>
      </w:r>
    </w:p>
    <w:p w14:paraId="4F602F49" w14:textId="4E43F9AC" w:rsidR="007075F0" w:rsidRDefault="006D3D40">
      <w:pPr>
        <w:spacing w:before="240"/>
        <w:rPr>
          <w:bCs/>
          <w:i/>
          <w:iCs/>
        </w:rPr>
      </w:pPr>
      <w:r w:rsidRPr="008340CF">
        <w:rPr>
          <w:bCs/>
          <w:i/>
          <w:iCs/>
        </w:rPr>
        <w:t>Table 2</w:t>
      </w:r>
    </w:p>
    <w:p w14:paraId="23C20108" w14:textId="77777777" w:rsidR="00AE5F40" w:rsidRDefault="00AE5F40" w:rsidP="00AE5F40">
      <w:pPr>
        <w:suppressAutoHyphens w:val="0"/>
        <w:autoSpaceDN/>
        <w:spacing w:line="240" w:lineRule="auto"/>
        <w:textAlignment w:val="auto"/>
        <w:rPr>
          <w:rFonts w:eastAsia="Times New Roman"/>
        </w:rPr>
      </w:pPr>
    </w:p>
    <w:p w14:paraId="20CE28BB" w14:textId="487AA2BD" w:rsidR="00AE5F40" w:rsidRPr="00AE5F40" w:rsidRDefault="00AE5F40" w:rsidP="00AE5F40">
      <w:pPr>
        <w:suppressAutoHyphens w:val="0"/>
        <w:autoSpaceDN/>
        <w:spacing w:line="240" w:lineRule="auto"/>
        <w:textAlignment w:val="auto"/>
        <w:rPr>
          <w:rFonts w:eastAsia="Times New Roman"/>
        </w:rPr>
      </w:pPr>
      <w:r>
        <w:rPr>
          <w:rFonts w:eastAsia="Times New Roman"/>
        </w:rPr>
        <w:t>[Redacted]</w:t>
      </w:r>
    </w:p>
    <w:p w14:paraId="647C5B5B" w14:textId="64AE579C" w:rsidR="007075F0" w:rsidRDefault="006D3D40">
      <w:pPr>
        <w:spacing w:before="240"/>
        <w:rPr>
          <w:bCs/>
          <w:i/>
          <w:iCs/>
        </w:rPr>
      </w:pPr>
      <w:r w:rsidRPr="008340CF">
        <w:rPr>
          <w:bCs/>
          <w:i/>
          <w:iCs/>
        </w:rPr>
        <w:t>Table 3</w:t>
      </w:r>
    </w:p>
    <w:p w14:paraId="16A2DF79" w14:textId="77777777" w:rsidR="00AE5F40" w:rsidRDefault="00AE5F40" w:rsidP="00AE5F40">
      <w:pPr>
        <w:suppressAutoHyphens w:val="0"/>
        <w:autoSpaceDN/>
        <w:spacing w:line="240" w:lineRule="auto"/>
        <w:textAlignment w:val="auto"/>
        <w:rPr>
          <w:rFonts w:eastAsia="Times New Roman"/>
        </w:rPr>
      </w:pPr>
    </w:p>
    <w:p w14:paraId="0F63F55C" w14:textId="3A98E556" w:rsidR="00AE5F40" w:rsidRPr="00AE5F40" w:rsidRDefault="00AE5F40" w:rsidP="00AE5F40">
      <w:pPr>
        <w:suppressAutoHyphens w:val="0"/>
        <w:autoSpaceDN/>
        <w:spacing w:line="240" w:lineRule="auto"/>
        <w:textAlignment w:val="auto"/>
        <w:rPr>
          <w:rFonts w:eastAsia="Times New Roman"/>
        </w:rPr>
      </w:pPr>
      <w:r>
        <w:rPr>
          <w:rFonts w:eastAsia="Times New Roman"/>
        </w:rPr>
        <w:t>[Redacted]</w:t>
      </w:r>
    </w:p>
    <w:p w14:paraId="2F064BA9" w14:textId="51EF6774" w:rsidR="007075F0" w:rsidRDefault="009F3E9F">
      <w:pPr>
        <w:spacing w:before="240"/>
        <w:rPr>
          <w:bCs/>
        </w:rPr>
      </w:pPr>
      <w:r>
        <w:rPr>
          <w:bCs/>
        </w:rPr>
        <w:t>The Buyer may increase the user numbers at any time during the Contract</w:t>
      </w:r>
      <w:r w:rsidR="00FC0532">
        <w:rPr>
          <w:bCs/>
        </w:rPr>
        <w:t xml:space="preserve">, except in the week prior to an </w:t>
      </w:r>
      <w:r w:rsidR="008F1D73">
        <w:rPr>
          <w:bCs/>
        </w:rPr>
        <w:t>I</w:t>
      </w:r>
      <w:r w:rsidR="00FC0532">
        <w:rPr>
          <w:bCs/>
        </w:rPr>
        <w:t xml:space="preserve">nvoice </w:t>
      </w:r>
      <w:r w:rsidR="008F1D73">
        <w:rPr>
          <w:bCs/>
        </w:rPr>
        <w:t>D</w:t>
      </w:r>
      <w:r w:rsidR="00FC0532">
        <w:rPr>
          <w:bCs/>
        </w:rPr>
        <w:t xml:space="preserve">ate, in accordance with the invoice frequency section on page </w:t>
      </w:r>
      <w:r w:rsidR="00DD5D21">
        <w:rPr>
          <w:bCs/>
        </w:rPr>
        <w:t>9</w:t>
      </w:r>
      <w:r>
        <w:rPr>
          <w:bCs/>
        </w:rPr>
        <w:t xml:space="preserve">. This shall be done by the Buyer Representative emailing the Supplier Representative with the required additional number of users. The Buyer may only increase users by a whole band or more (for example, if at 10 users and an additional 3 are required, the price for this additional 3 is as set out in the ’11 to 15’ band of the relevant Contract Year. This also means that the Buyer could add an additional 2 users (in the same Contract Year) </w:t>
      </w:r>
      <w:proofErr w:type="gramStart"/>
      <w:r>
        <w:rPr>
          <w:bCs/>
        </w:rPr>
        <w:t>at a later date</w:t>
      </w:r>
      <w:proofErr w:type="gramEnd"/>
      <w:r>
        <w:rPr>
          <w:bCs/>
        </w:rPr>
        <w:t xml:space="preserve"> for no additional charge.  </w:t>
      </w:r>
    </w:p>
    <w:p w14:paraId="2284FB12" w14:textId="2F4496F2" w:rsidR="006D3D40" w:rsidRDefault="00F00AE4" w:rsidP="006D3D40">
      <w:pPr>
        <w:spacing w:before="240"/>
        <w:rPr>
          <w:bCs/>
        </w:rPr>
      </w:pPr>
      <w:r>
        <w:rPr>
          <w:bCs/>
        </w:rPr>
        <w:t xml:space="preserve">Tables 4-6 set out the pricing where the volume of reports accessible via Orbis is restricted, to either 3000 across all users per month, or 1000 across all users per month, all excluding VAT. Volumes of reports in relation to the other three products shall </w:t>
      </w:r>
      <w:proofErr w:type="gramStart"/>
      <w:r>
        <w:rPr>
          <w:bCs/>
        </w:rPr>
        <w:t>remain unlimited at all times</w:t>
      </w:r>
      <w:proofErr w:type="gramEnd"/>
      <w:r>
        <w:rPr>
          <w:bCs/>
        </w:rPr>
        <w:t>:</w:t>
      </w:r>
    </w:p>
    <w:p w14:paraId="708F53AE" w14:textId="6474389D" w:rsidR="00AE5F40" w:rsidRDefault="00F00AE4" w:rsidP="006D3D40">
      <w:pPr>
        <w:spacing w:before="240"/>
        <w:rPr>
          <w:bCs/>
          <w:i/>
          <w:iCs/>
        </w:rPr>
      </w:pPr>
      <w:r w:rsidRPr="008340CF">
        <w:rPr>
          <w:bCs/>
          <w:i/>
          <w:iCs/>
        </w:rPr>
        <w:t>Table 4</w:t>
      </w:r>
    </w:p>
    <w:p w14:paraId="029E9182" w14:textId="77777777" w:rsidR="00AE5F40" w:rsidRDefault="00AE5F40" w:rsidP="00AE5F40">
      <w:pPr>
        <w:suppressAutoHyphens w:val="0"/>
        <w:autoSpaceDN/>
        <w:spacing w:line="240" w:lineRule="auto"/>
        <w:textAlignment w:val="auto"/>
        <w:rPr>
          <w:rFonts w:eastAsia="Times New Roman"/>
        </w:rPr>
      </w:pPr>
    </w:p>
    <w:p w14:paraId="52C454F8" w14:textId="50FC859C" w:rsidR="00AE5F40" w:rsidRPr="00AE5F40" w:rsidRDefault="00AE5F40" w:rsidP="00AE5F40">
      <w:pPr>
        <w:suppressAutoHyphens w:val="0"/>
        <w:autoSpaceDN/>
        <w:spacing w:line="240" w:lineRule="auto"/>
        <w:textAlignment w:val="auto"/>
        <w:rPr>
          <w:rFonts w:eastAsia="Times New Roman"/>
        </w:rPr>
      </w:pPr>
      <w:r>
        <w:rPr>
          <w:rFonts w:eastAsia="Times New Roman"/>
        </w:rPr>
        <w:t>[Redacted]</w:t>
      </w:r>
    </w:p>
    <w:p w14:paraId="0F89D175" w14:textId="1840E7EB" w:rsidR="00F00AE4" w:rsidRDefault="00F00AE4" w:rsidP="006D3D40">
      <w:pPr>
        <w:spacing w:before="240"/>
        <w:rPr>
          <w:bCs/>
          <w:i/>
          <w:iCs/>
        </w:rPr>
      </w:pPr>
      <w:r w:rsidRPr="008340CF">
        <w:rPr>
          <w:bCs/>
          <w:i/>
          <w:iCs/>
        </w:rPr>
        <w:t>Table 5</w:t>
      </w:r>
    </w:p>
    <w:p w14:paraId="2D07363B" w14:textId="77777777" w:rsidR="00AE5F40" w:rsidRDefault="00AE5F40" w:rsidP="00AE5F40">
      <w:pPr>
        <w:suppressAutoHyphens w:val="0"/>
        <w:autoSpaceDN/>
        <w:spacing w:line="240" w:lineRule="auto"/>
        <w:textAlignment w:val="auto"/>
        <w:rPr>
          <w:rFonts w:eastAsia="Times New Roman"/>
        </w:rPr>
      </w:pPr>
    </w:p>
    <w:p w14:paraId="0D0DE4FD" w14:textId="08B852A6" w:rsidR="00AE5F40" w:rsidRPr="00AE5F40" w:rsidRDefault="00AE5F40" w:rsidP="00AE5F40">
      <w:pPr>
        <w:suppressAutoHyphens w:val="0"/>
        <w:autoSpaceDN/>
        <w:spacing w:line="240" w:lineRule="auto"/>
        <w:textAlignment w:val="auto"/>
        <w:rPr>
          <w:rFonts w:eastAsia="Times New Roman"/>
        </w:rPr>
      </w:pPr>
      <w:r>
        <w:rPr>
          <w:rFonts w:eastAsia="Times New Roman"/>
        </w:rPr>
        <w:t>[Redacted]</w:t>
      </w:r>
    </w:p>
    <w:p w14:paraId="0E17198D" w14:textId="22475C49" w:rsidR="00F00AE4" w:rsidRDefault="00F00AE4" w:rsidP="006D3D40">
      <w:pPr>
        <w:spacing w:before="240"/>
        <w:rPr>
          <w:bCs/>
          <w:i/>
          <w:iCs/>
        </w:rPr>
      </w:pPr>
      <w:r w:rsidRPr="008340CF">
        <w:rPr>
          <w:bCs/>
          <w:i/>
          <w:iCs/>
        </w:rPr>
        <w:t>Table 6</w:t>
      </w:r>
    </w:p>
    <w:p w14:paraId="2BC2839A" w14:textId="77777777" w:rsidR="00AE5F40" w:rsidRDefault="00AE5F40" w:rsidP="00AE5F40">
      <w:pPr>
        <w:suppressAutoHyphens w:val="0"/>
        <w:autoSpaceDN/>
        <w:spacing w:line="240" w:lineRule="auto"/>
        <w:textAlignment w:val="auto"/>
        <w:rPr>
          <w:rFonts w:eastAsia="Times New Roman"/>
        </w:rPr>
      </w:pPr>
    </w:p>
    <w:p w14:paraId="26AC15EB" w14:textId="603F6D08" w:rsidR="00AE5F40" w:rsidRPr="00AE5F40" w:rsidRDefault="00AE5F40" w:rsidP="00AE5F40">
      <w:pPr>
        <w:suppressAutoHyphens w:val="0"/>
        <w:autoSpaceDN/>
        <w:spacing w:line="240" w:lineRule="auto"/>
        <w:textAlignment w:val="auto"/>
        <w:rPr>
          <w:rFonts w:eastAsia="Times New Roman"/>
        </w:rPr>
      </w:pPr>
      <w:r>
        <w:rPr>
          <w:rFonts w:eastAsia="Times New Roman"/>
        </w:rPr>
        <w:t>[Redacted]</w:t>
      </w:r>
    </w:p>
    <w:p w14:paraId="4B42F070" w14:textId="7CFDF51B" w:rsidR="006D3D40" w:rsidRDefault="006D3D40" w:rsidP="006D3D40">
      <w:pPr>
        <w:spacing w:before="240"/>
        <w:rPr>
          <w:bCs/>
        </w:rPr>
      </w:pPr>
      <w:r w:rsidRPr="006D3D40">
        <w:rPr>
          <w:bCs/>
        </w:rPr>
        <w:t>BEIS can increase the number of users and/or report volume at any point during the contract</w:t>
      </w:r>
      <w:r w:rsidR="00160884">
        <w:rPr>
          <w:bCs/>
        </w:rPr>
        <w:t xml:space="preserve">, except in the week prior to an expected invoice issue date, in accordance with the invoice </w:t>
      </w:r>
      <w:r w:rsidR="00160884">
        <w:rPr>
          <w:bCs/>
        </w:rPr>
        <w:lastRenderedPageBreak/>
        <w:t>frequency section on page 10</w:t>
      </w:r>
      <w:r w:rsidRPr="006D3D40">
        <w:rPr>
          <w:bCs/>
        </w:rPr>
        <w:t xml:space="preserve">. However, </w:t>
      </w:r>
      <w:r w:rsidR="00063BDA">
        <w:rPr>
          <w:bCs/>
        </w:rPr>
        <w:t>the Buyer</w:t>
      </w:r>
      <w:r w:rsidRPr="006D3D40">
        <w:rPr>
          <w:bCs/>
        </w:rPr>
        <w:t xml:space="preserve"> can only decrease the number of users </w:t>
      </w:r>
      <w:r w:rsidR="00665AF5">
        <w:rPr>
          <w:bCs/>
        </w:rPr>
        <w:t xml:space="preserve">(at whole bands only) </w:t>
      </w:r>
      <w:r w:rsidRPr="006D3D40">
        <w:rPr>
          <w:bCs/>
        </w:rPr>
        <w:t xml:space="preserve">and/or report volume at the end of </w:t>
      </w:r>
      <w:r w:rsidR="000108E7">
        <w:rPr>
          <w:bCs/>
        </w:rPr>
        <w:t xml:space="preserve">March 2022 </w:t>
      </w:r>
      <w:r w:rsidRPr="006D3D40">
        <w:rPr>
          <w:bCs/>
        </w:rPr>
        <w:t>or at the year anniver</w:t>
      </w:r>
      <w:r>
        <w:rPr>
          <w:bCs/>
        </w:rPr>
        <w:t>s</w:t>
      </w:r>
      <w:r w:rsidRPr="006D3D40">
        <w:rPr>
          <w:bCs/>
        </w:rPr>
        <w:t xml:space="preserve">aries of the </w:t>
      </w:r>
      <w:r w:rsidR="00160884">
        <w:rPr>
          <w:bCs/>
        </w:rPr>
        <w:t>C</w:t>
      </w:r>
      <w:r w:rsidRPr="006D3D40">
        <w:rPr>
          <w:bCs/>
        </w:rPr>
        <w:t>ontract</w:t>
      </w:r>
      <w:r w:rsidR="00160884">
        <w:rPr>
          <w:bCs/>
        </w:rPr>
        <w:t xml:space="preserve"> Start Date</w:t>
      </w:r>
      <w:r w:rsidRPr="006D3D40">
        <w:rPr>
          <w:bCs/>
        </w:rPr>
        <w:t xml:space="preserve"> (</w:t>
      </w:r>
      <w:proofErr w:type="gramStart"/>
      <w:r w:rsidRPr="006D3D40">
        <w:rPr>
          <w:bCs/>
        </w:rPr>
        <w:t>i.e.</w:t>
      </w:r>
      <w:proofErr w:type="gramEnd"/>
      <w:r w:rsidRPr="006D3D40">
        <w:rPr>
          <w:bCs/>
        </w:rPr>
        <w:t xml:space="preserve"> at the end of </w:t>
      </w:r>
      <w:r w:rsidR="000108E7">
        <w:rPr>
          <w:bCs/>
        </w:rPr>
        <w:t xml:space="preserve">November </w:t>
      </w:r>
      <w:r w:rsidRPr="006D3D40">
        <w:rPr>
          <w:bCs/>
        </w:rPr>
        <w:t>2022 and 2023</w:t>
      </w:r>
      <w:r w:rsidR="000108E7">
        <w:rPr>
          <w:bCs/>
        </w:rPr>
        <w:t>)</w:t>
      </w:r>
      <w:r w:rsidR="00160884">
        <w:rPr>
          <w:bCs/>
        </w:rPr>
        <w:t>,</w:t>
      </w:r>
      <w:r w:rsidRPr="006D3D40">
        <w:rPr>
          <w:bCs/>
        </w:rPr>
        <w:t xml:space="preserve"> </w:t>
      </w:r>
      <w:r w:rsidR="00160884">
        <w:rPr>
          <w:bCs/>
        </w:rPr>
        <w:t>The Supplier must be notified by the Buyer of any reduction in either user numbers or volume restrictions at least one week prior</w:t>
      </w:r>
      <w:r w:rsidR="00E079DD">
        <w:rPr>
          <w:bCs/>
        </w:rPr>
        <w:t xml:space="preserve"> to the end of </w:t>
      </w:r>
      <w:r w:rsidR="00656712">
        <w:rPr>
          <w:bCs/>
        </w:rPr>
        <w:t xml:space="preserve">March 2022 </w:t>
      </w:r>
      <w:r w:rsidR="00E079DD">
        <w:rPr>
          <w:bCs/>
        </w:rPr>
        <w:t>or year anniversaries of the Contract Start Date</w:t>
      </w:r>
      <w:r w:rsidR="00160884">
        <w:rPr>
          <w:bCs/>
        </w:rPr>
        <w:t xml:space="preserve">. </w:t>
      </w:r>
    </w:p>
    <w:p w14:paraId="55391C2D" w14:textId="5CBB3207" w:rsidR="00063BDA" w:rsidRDefault="00063BDA" w:rsidP="006D3D40">
      <w:pPr>
        <w:spacing w:before="240"/>
        <w:rPr>
          <w:bCs/>
        </w:rPr>
      </w:pPr>
      <w:r>
        <w:rPr>
          <w:bCs/>
        </w:rPr>
        <w:t>For the avoidance of doubt, any reduction in accordance with the above (whether report volume or number of users</w:t>
      </w:r>
      <w:r w:rsidR="0063666C">
        <w:rPr>
          <w:bCs/>
        </w:rPr>
        <w:t xml:space="preserve"> or both</w:t>
      </w:r>
      <w:r>
        <w:rPr>
          <w:bCs/>
        </w:rPr>
        <w:t xml:space="preserve">) will mean that the Supplier is only entitled to charge the Buyer for access to the platform at the number of users and volumes </w:t>
      </w:r>
      <w:r w:rsidR="00E76AAC">
        <w:rPr>
          <w:bCs/>
        </w:rPr>
        <w:t>used up to that point, with no additional charges pertaining to the difference between the previous volume (reports o</w:t>
      </w:r>
      <w:r w:rsidR="0063666C">
        <w:rPr>
          <w:bCs/>
        </w:rPr>
        <w:t xml:space="preserve">r users or both) and the new volume (reports or users or both) </w:t>
      </w:r>
      <w:r w:rsidR="00E76AAC">
        <w:rPr>
          <w:bCs/>
        </w:rPr>
        <w:t>payable.</w:t>
      </w:r>
    </w:p>
    <w:p w14:paraId="1D86491A" w14:textId="14D479E9" w:rsidR="00F00AE4" w:rsidRPr="008340CF" w:rsidRDefault="00F00AE4" w:rsidP="006D3D40">
      <w:pPr>
        <w:spacing w:before="240"/>
        <w:rPr>
          <w:b/>
        </w:rPr>
      </w:pPr>
      <w:r w:rsidRPr="008340CF">
        <w:rPr>
          <w:b/>
        </w:rPr>
        <w:t>Other potential Charges</w:t>
      </w:r>
    </w:p>
    <w:p w14:paraId="4F98C9A6" w14:textId="40AAA5BF" w:rsidR="00F00AE4" w:rsidRPr="00AE5F40" w:rsidRDefault="00F00AE4" w:rsidP="00AE5F40">
      <w:pPr>
        <w:suppressAutoHyphens w:val="0"/>
        <w:autoSpaceDN/>
        <w:spacing w:line="240" w:lineRule="auto"/>
        <w:textAlignment w:val="auto"/>
        <w:rPr>
          <w:rFonts w:eastAsia="Times New Roman"/>
        </w:rPr>
      </w:pPr>
      <w:r>
        <w:rPr>
          <w:bCs/>
        </w:rPr>
        <w:t xml:space="preserve">If the number of users increases above 50 users, and the volume of Orbis reports is unrestricted, for each additional user above 50 users, </w:t>
      </w:r>
      <w:r w:rsidR="00AE5F40">
        <w:rPr>
          <w:rFonts w:eastAsia="Times New Roman"/>
        </w:rPr>
        <w:t>[Redacted]</w:t>
      </w:r>
      <w:r w:rsidR="00AE5F40">
        <w:rPr>
          <w:rFonts w:eastAsia="Times New Roman"/>
        </w:rPr>
        <w:t xml:space="preserve"> </w:t>
      </w:r>
      <w:r>
        <w:rPr>
          <w:bCs/>
        </w:rPr>
        <w:t xml:space="preserve">per year (excluding VAT) shall be chargeable. </w:t>
      </w:r>
    </w:p>
    <w:p w14:paraId="510EF2CA" w14:textId="74DEB614" w:rsidR="00F00AE4" w:rsidRDefault="00F00AE4" w:rsidP="00F00AE4">
      <w:pPr>
        <w:spacing w:before="240"/>
        <w:rPr>
          <w:bCs/>
        </w:rPr>
      </w:pPr>
      <w:r>
        <w:rPr>
          <w:bCs/>
        </w:rPr>
        <w:t xml:space="preserve">If the number of users increases above 50 users, and the volume of Orbis reports is restricted to 3000 reports across all users per month, for each additional user above 50 users, </w:t>
      </w:r>
      <w:r w:rsidR="00AE5F40">
        <w:rPr>
          <w:bCs/>
        </w:rPr>
        <w:t>[Redacted]</w:t>
      </w:r>
      <w:r>
        <w:rPr>
          <w:bCs/>
        </w:rPr>
        <w:t xml:space="preserve"> per year (excluding VAT) shall be chargeable. </w:t>
      </w:r>
    </w:p>
    <w:p w14:paraId="0050D1B1" w14:textId="7FADA1B9" w:rsidR="00F00AE4" w:rsidRDefault="00F00AE4" w:rsidP="00F00AE4">
      <w:pPr>
        <w:spacing w:before="240"/>
        <w:rPr>
          <w:bCs/>
        </w:rPr>
      </w:pPr>
      <w:r>
        <w:rPr>
          <w:bCs/>
        </w:rPr>
        <w:t xml:space="preserve">If the number of users increases above 50 users, and the volume of Orbis reports is restricted </w:t>
      </w:r>
      <w:proofErr w:type="gramStart"/>
      <w:r>
        <w:rPr>
          <w:bCs/>
        </w:rPr>
        <w:t>to  1000</w:t>
      </w:r>
      <w:proofErr w:type="gramEnd"/>
      <w:r>
        <w:rPr>
          <w:bCs/>
        </w:rPr>
        <w:t xml:space="preserve"> reports across all users per month, for each additional user above 50 users, </w:t>
      </w:r>
      <w:r w:rsidR="00AE5F40">
        <w:rPr>
          <w:bCs/>
        </w:rPr>
        <w:t>[Redacted]</w:t>
      </w:r>
      <w:r>
        <w:rPr>
          <w:bCs/>
        </w:rPr>
        <w:t xml:space="preserve"> per year (excluding VAT) shall be chargeable. </w:t>
      </w:r>
    </w:p>
    <w:p w14:paraId="7D5C029B" w14:textId="4626364B" w:rsidR="00F00AE4" w:rsidRDefault="00F00AE4" w:rsidP="006D3D40">
      <w:pPr>
        <w:spacing w:before="240"/>
        <w:rPr>
          <w:bCs/>
        </w:rPr>
      </w:pPr>
      <w:r>
        <w:rPr>
          <w:bCs/>
        </w:rPr>
        <w:t xml:space="preserve">If the Buyer has opted to have a restricted volume of Orbis reports (either 1000 reports across all users per month, or 3000 reports across all users per month), the additional cost of each report in a period until the limit refreshes in the following month shall be </w:t>
      </w:r>
      <w:r w:rsidR="00AE5F40">
        <w:rPr>
          <w:bCs/>
        </w:rPr>
        <w:t>[Redacted]</w:t>
      </w:r>
      <w:r>
        <w:rPr>
          <w:bCs/>
        </w:rPr>
        <w:t xml:space="preserve"> </w:t>
      </w:r>
      <w:r w:rsidR="00C84326">
        <w:rPr>
          <w:bCs/>
        </w:rPr>
        <w:t xml:space="preserve">excluding VAT </w:t>
      </w:r>
      <w:r>
        <w:rPr>
          <w:bCs/>
        </w:rPr>
        <w:t>per report.</w:t>
      </w:r>
    </w:p>
    <w:p w14:paraId="56187755" w14:textId="77777777" w:rsidR="006D3D40" w:rsidRPr="008340CF" w:rsidRDefault="006D3D40" w:rsidP="006D3D40">
      <w:pPr>
        <w:spacing w:before="240"/>
        <w:rPr>
          <w:b/>
        </w:rPr>
      </w:pPr>
      <w:r w:rsidRPr="008340CF">
        <w:rPr>
          <w:b/>
        </w:rPr>
        <w:t>Example scenario 1</w:t>
      </w:r>
    </w:p>
    <w:p w14:paraId="280C0B0E" w14:textId="30B1AFD7" w:rsidR="006D3D40" w:rsidRPr="008340CF" w:rsidRDefault="006D3D40" w:rsidP="006D3D40">
      <w:pPr>
        <w:spacing w:before="240"/>
        <w:rPr>
          <w:bCs/>
        </w:rPr>
      </w:pPr>
      <w:r>
        <w:rPr>
          <w:bCs/>
        </w:rPr>
        <w:t>If the Buyer adds users part way through a Contract Year, the charge for these users will be pro-rated according to how far through the year the users are added. For example, if 5 users are added in addition to the original ten for all four products, 6 months through the 1</w:t>
      </w:r>
      <w:r w:rsidRPr="005375EA">
        <w:rPr>
          <w:bCs/>
          <w:vertAlign w:val="superscript"/>
        </w:rPr>
        <w:t>st</w:t>
      </w:r>
      <w:r>
        <w:rPr>
          <w:bCs/>
        </w:rPr>
        <w:t xml:space="preserve"> Contract Year, the charge for these users would be </w:t>
      </w:r>
      <w:r w:rsidR="00AE5F40">
        <w:rPr>
          <w:bCs/>
        </w:rPr>
        <w:t>[Redacted]</w:t>
      </w:r>
      <w:r>
        <w:rPr>
          <w:bCs/>
        </w:rPr>
        <w:t xml:space="preserve"> (half of the difference between the ‘11 to 15 users’ Year 1 charge, and the ‘1 to 10 users’ Year 1 charge). </w:t>
      </w:r>
    </w:p>
    <w:p w14:paraId="56009CC0" w14:textId="20D21F2A" w:rsidR="006D3D40" w:rsidRPr="008340CF" w:rsidRDefault="006D3D40" w:rsidP="006D3D40">
      <w:pPr>
        <w:spacing w:before="240"/>
        <w:rPr>
          <w:b/>
        </w:rPr>
      </w:pPr>
      <w:r w:rsidRPr="008340CF">
        <w:rPr>
          <w:b/>
        </w:rPr>
        <w:t>Example scenario 2</w:t>
      </w:r>
    </w:p>
    <w:p w14:paraId="708A56AD" w14:textId="4AE307FC" w:rsidR="006D3D40" w:rsidRPr="006D3D40" w:rsidRDefault="006D3D40" w:rsidP="006D3D40">
      <w:pPr>
        <w:spacing w:before="240"/>
        <w:rPr>
          <w:bCs/>
        </w:rPr>
      </w:pPr>
      <w:r w:rsidRPr="006D3D40">
        <w:rPr>
          <w:bCs/>
        </w:rPr>
        <w:t>In January 2022, BEIS is subscribed to all four products with 1 to 10 users. BEIS decides at the end of March 2022 to:</w:t>
      </w:r>
    </w:p>
    <w:p w14:paraId="062C29DB" w14:textId="2823435A" w:rsidR="006D3D40" w:rsidRPr="00F00AE4" w:rsidRDefault="006D3D40" w:rsidP="007237D9">
      <w:pPr>
        <w:pStyle w:val="ListParagraph"/>
        <w:numPr>
          <w:ilvl w:val="0"/>
          <w:numId w:val="41"/>
        </w:numPr>
        <w:spacing w:before="120"/>
        <w:ind w:left="714" w:hanging="357"/>
        <w:rPr>
          <w:bCs/>
        </w:rPr>
      </w:pPr>
      <w:r w:rsidRPr="00F00AE4">
        <w:rPr>
          <w:bCs/>
        </w:rPr>
        <w:t xml:space="preserve">continue its subscription to all four </w:t>
      </w:r>
      <w:r w:rsidR="007237D9">
        <w:rPr>
          <w:bCs/>
        </w:rPr>
        <w:t>Supplier</w:t>
      </w:r>
      <w:r w:rsidRPr="00F00AE4">
        <w:rPr>
          <w:bCs/>
        </w:rPr>
        <w:t xml:space="preserve"> products</w:t>
      </w:r>
    </w:p>
    <w:p w14:paraId="05E525F0" w14:textId="4460982A" w:rsidR="006D3D40" w:rsidRPr="00F00AE4" w:rsidRDefault="006D3D40" w:rsidP="007237D9">
      <w:pPr>
        <w:pStyle w:val="ListParagraph"/>
        <w:numPr>
          <w:ilvl w:val="0"/>
          <w:numId w:val="41"/>
        </w:numPr>
        <w:spacing w:before="120"/>
        <w:ind w:left="714" w:hanging="357"/>
        <w:rPr>
          <w:bCs/>
        </w:rPr>
      </w:pPr>
      <w:r w:rsidRPr="00F00AE4">
        <w:rPr>
          <w:bCs/>
        </w:rPr>
        <w:t>continue with 1 to 10 users</w:t>
      </w:r>
    </w:p>
    <w:p w14:paraId="459A34B3" w14:textId="44856698" w:rsidR="006D3D40" w:rsidRPr="00F00AE4" w:rsidRDefault="006D3D40" w:rsidP="007237D9">
      <w:pPr>
        <w:pStyle w:val="ListParagraph"/>
        <w:numPr>
          <w:ilvl w:val="0"/>
          <w:numId w:val="41"/>
        </w:numPr>
        <w:spacing w:before="120"/>
        <w:ind w:left="714" w:hanging="357"/>
        <w:rPr>
          <w:bCs/>
        </w:rPr>
      </w:pPr>
      <w:r w:rsidRPr="00F00AE4">
        <w:rPr>
          <w:bCs/>
        </w:rPr>
        <w:t xml:space="preserve">change its Orbis subscription from unrestricted volumes to 3,000 reports per month. </w:t>
      </w:r>
    </w:p>
    <w:p w14:paraId="77282EF7" w14:textId="0CBE73CD" w:rsidR="006D3D40" w:rsidRPr="00AE5F40" w:rsidRDefault="006D3D40" w:rsidP="00AE5F40">
      <w:pPr>
        <w:suppressAutoHyphens w:val="0"/>
        <w:autoSpaceDN/>
        <w:spacing w:line="240" w:lineRule="auto"/>
        <w:textAlignment w:val="auto"/>
        <w:rPr>
          <w:rFonts w:eastAsia="Times New Roman"/>
        </w:rPr>
      </w:pPr>
      <w:r w:rsidRPr="006D3D40">
        <w:rPr>
          <w:bCs/>
        </w:rPr>
        <w:t>The cost from April 2022 onwards would be calculated as the Y</w:t>
      </w:r>
      <w:r w:rsidR="00560068">
        <w:rPr>
          <w:bCs/>
        </w:rPr>
        <w:t xml:space="preserve">ear </w:t>
      </w:r>
      <w:r w:rsidRPr="006D3D40">
        <w:rPr>
          <w:bCs/>
        </w:rPr>
        <w:t>1 cost of OCI, Zephyr and Orbis IP at the Y</w:t>
      </w:r>
      <w:r w:rsidR="00554B63">
        <w:rPr>
          <w:bCs/>
        </w:rPr>
        <w:t xml:space="preserve">ear 1 prices </w:t>
      </w:r>
      <w:r w:rsidR="00E07E21">
        <w:rPr>
          <w:bCs/>
        </w:rPr>
        <w:t>as set out in Table 1</w:t>
      </w:r>
      <w:r w:rsidRPr="006D3D40">
        <w:rPr>
          <w:bCs/>
        </w:rPr>
        <w:t xml:space="preserve"> </w:t>
      </w:r>
      <w:r w:rsidR="00AE5F40">
        <w:rPr>
          <w:rFonts w:eastAsia="Times New Roman"/>
        </w:rPr>
        <w:t>[Redacted]</w:t>
      </w:r>
      <w:r w:rsidR="00AE5F40">
        <w:rPr>
          <w:rFonts w:eastAsia="Times New Roman"/>
        </w:rPr>
        <w:t xml:space="preserve"> </w:t>
      </w:r>
      <w:r w:rsidRPr="006D3D40">
        <w:rPr>
          <w:bCs/>
        </w:rPr>
        <w:t>plus the Y</w:t>
      </w:r>
      <w:r w:rsidR="00E07E21">
        <w:rPr>
          <w:bCs/>
        </w:rPr>
        <w:t xml:space="preserve">ear </w:t>
      </w:r>
      <w:r w:rsidRPr="006D3D40">
        <w:rPr>
          <w:bCs/>
        </w:rPr>
        <w:t xml:space="preserve">1 cost of Orbis with 3,000 reports as set out in Table </w:t>
      </w:r>
      <w:r w:rsidR="00F71C0D">
        <w:rPr>
          <w:bCs/>
        </w:rPr>
        <w:t>4</w:t>
      </w:r>
      <w:r w:rsidRPr="006D3D40">
        <w:rPr>
          <w:bCs/>
        </w:rPr>
        <w:t xml:space="preserve"> </w:t>
      </w:r>
      <w:r w:rsidR="00AE5F40">
        <w:rPr>
          <w:rFonts w:eastAsia="Times New Roman"/>
        </w:rPr>
        <w:t>[Redacted]</w:t>
      </w:r>
      <w:r w:rsidRPr="006D3D40">
        <w:rPr>
          <w:bCs/>
        </w:rPr>
        <w:t>. Th</w:t>
      </w:r>
      <w:r w:rsidR="00ED3522">
        <w:rPr>
          <w:bCs/>
        </w:rPr>
        <w:t>e total</w:t>
      </w:r>
      <w:r w:rsidR="004B0EF9">
        <w:rPr>
          <w:bCs/>
        </w:rPr>
        <w:t xml:space="preserve"> cost for the Contract Year under this scenario would </w:t>
      </w:r>
      <w:r w:rsidR="00155DE0">
        <w:rPr>
          <w:bCs/>
        </w:rPr>
        <w:t xml:space="preserve">therefore </w:t>
      </w:r>
      <w:r w:rsidR="004B0EF9">
        <w:rPr>
          <w:bCs/>
        </w:rPr>
        <w:t xml:space="preserve">be calculated by </w:t>
      </w:r>
      <w:r w:rsidR="00F805EB">
        <w:rPr>
          <w:bCs/>
        </w:rPr>
        <w:t xml:space="preserve">adding together the cost of services used </w:t>
      </w:r>
      <w:r w:rsidR="00F67598">
        <w:rPr>
          <w:bCs/>
        </w:rPr>
        <w:t>from November 2021 to March 2022 and the cost of services used from April 2022 to November 2022</w:t>
      </w:r>
      <w:r w:rsidR="007F0911">
        <w:rPr>
          <w:bCs/>
        </w:rPr>
        <w:t xml:space="preserve">, as set out in </w:t>
      </w:r>
      <w:r w:rsidRPr="006D3D40">
        <w:rPr>
          <w:bCs/>
        </w:rPr>
        <w:t xml:space="preserve">is cost would be prorated to the end of the end of the year of the contract, </w:t>
      </w:r>
      <w:proofErr w:type="gramStart"/>
      <w:r w:rsidRPr="006D3D40">
        <w:rPr>
          <w:bCs/>
        </w:rPr>
        <w:t>i.e.</w:t>
      </w:r>
      <w:proofErr w:type="gramEnd"/>
      <w:r w:rsidRPr="006D3D40">
        <w:rPr>
          <w:bCs/>
        </w:rPr>
        <w:t xml:space="preserve"> from April to November 2022.</w:t>
      </w:r>
    </w:p>
    <w:p w14:paraId="26D34495" w14:textId="77777777" w:rsidR="00AE5F40" w:rsidRDefault="00071C21" w:rsidP="00AE5F40">
      <w:pPr>
        <w:spacing w:before="240"/>
        <w:rPr>
          <w:bCs/>
        </w:rPr>
      </w:pPr>
      <w:r>
        <w:rPr>
          <w:bCs/>
          <w:i/>
          <w:iCs/>
        </w:rPr>
        <w:t>Table 7</w:t>
      </w:r>
    </w:p>
    <w:p w14:paraId="308C7881" w14:textId="139DC675" w:rsidR="00AE5F40" w:rsidRPr="00AE5F40" w:rsidRDefault="00AE5F40" w:rsidP="00AE5F40">
      <w:pPr>
        <w:spacing w:before="240"/>
        <w:rPr>
          <w:bCs/>
        </w:rPr>
      </w:pPr>
      <w:r>
        <w:rPr>
          <w:rFonts w:eastAsia="Times New Roman"/>
        </w:rPr>
        <w:lastRenderedPageBreak/>
        <w:t>[Redacted]</w:t>
      </w:r>
    </w:p>
    <w:p w14:paraId="12DFD8CA" w14:textId="77777777" w:rsidR="00AE5F40" w:rsidRDefault="00AE5F40">
      <w:pPr>
        <w:spacing w:before="240"/>
        <w:rPr>
          <w:bCs/>
        </w:rPr>
      </w:pPr>
    </w:p>
    <w:p w14:paraId="101503C4" w14:textId="38024555" w:rsidR="00210E79" w:rsidRDefault="008B2431">
      <w:pPr>
        <w:rPr>
          <w:b/>
          <w:bCs/>
        </w:rPr>
      </w:pPr>
      <w:r w:rsidRPr="008340CF">
        <w:rPr>
          <w:b/>
          <w:bCs/>
        </w:rPr>
        <w:t>User Changes</w:t>
      </w:r>
    </w:p>
    <w:p w14:paraId="2D24D28B" w14:textId="77777777" w:rsidR="0065338E" w:rsidRPr="008340CF" w:rsidRDefault="0065338E">
      <w:pPr>
        <w:rPr>
          <w:b/>
          <w:bCs/>
        </w:rPr>
      </w:pPr>
    </w:p>
    <w:p w14:paraId="196D02E7" w14:textId="38432127" w:rsidR="00210E79" w:rsidRPr="00477FCB" w:rsidRDefault="00210E79">
      <w:pPr>
        <w:rPr>
          <w:bCs/>
        </w:rPr>
      </w:pPr>
      <w:r w:rsidRPr="00477FCB">
        <w:rPr>
          <w:bCs/>
        </w:rPr>
        <w:t xml:space="preserve">Within a </w:t>
      </w:r>
      <w:proofErr w:type="gramStart"/>
      <w:r w:rsidRPr="00477FCB">
        <w:rPr>
          <w:bCs/>
        </w:rPr>
        <w:t>three month</w:t>
      </w:r>
      <w:proofErr w:type="gramEnd"/>
      <w:r w:rsidRPr="00477FCB">
        <w:rPr>
          <w:bCs/>
        </w:rPr>
        <w:t xml:space="preserve"> period, BEIS </w:t>
      </w:r>
      <w:r w:rsidR="008B2431" w:rsidRPr="00477FCB">
        <w:rPr>
          <w:bCs/>
        </w:rPr>
        <w:t xml:space="preserve">may </w:t>
      </w:r>
      <w:r w:rsidRPr="00477FCB">
        <w:rPr>
          <w:bCs/>
        </w:rPr>
        <w:t>change up to five named users</w:t>
      </w:r>
      <w:r w:rsidR="00180CF7">
        <w:rPr>
          <w:bCs/>
        </w:rPr>
        <w:t xml:space="preserve"> (not including users changed for the reason of a licence holder leaving the employment of BEIS)</w:t>
      </w:r>
      <w:r w:rsidR="008723A7" w:rsidRPr="00477FCB">
        <w:rPr>
          <w:bCs/>
        </w:rPr>
        <w:t xml:space="preserve">. Once a licence holder </w:t>
      </w:r>
      <w:r w:rsidRPr="00477FCB">
        <w:rPr>
          <w:bCs/>
        </w:rPr>
        <w:t xml:space="preserve">is </w:t>
      </w:r>
      <w:r w:rsidR="008723A7" w:rsidRPr="00477FCB">
        <w:rPr>
          <w:bCs/>
        </w:rPr>
        <w:t>removed,</w:t>
      </w:r>
      <w:r w:rsidRPr="00477FCB">
        <w:rPr>
          <w:bCs/>
        </w:rPr>
        <w:t xml:space="preserve"> </w:t>
      </w:r>
      <w:r w:rsidR="008723A7" w:rsidRPr="00477FCB">
        <w:rPr>
          <w:bCs/>
        </w:rPr>
        <w:t>the</w:t>
      </w:r>
      <w:r w:rsidRPr="00477FCB">
        <w:rPr>
          <w:bCs/>
        </w:rPr>
        <w:t xml:space="preserve"> user cannot be reinstated within a </w:t>
      </w:r>
      <w:proofErr w:type="gramStart"/>
      <w:r w:rsidR="008340CF">
        <w:rPr>
          <w:bCs/>
        </w:rPr>
        <w:t>three</w:t>
      </w:r>
      <w:r w:rsidRPr="00477FCB">
        <w:rPr>
          <w:bCs/>
        </w:rPr>
        <w:t xml:space="preserve"> month</w:t>
      </w:r>
      <w:proofErr w:type="gramEnd"/>
      <w:r w:rsidRPr="00477FCB">
        <w:rPr>
          <w:bCs/>
        </w:rPr>
        <w:t xml:space="preserve"> period</w:t>
      </w:r>
      <w:r w:rsidR="005B0A3E">
        <w:rPr>
          <w:bCs/>
        </w:rPr>
        <w:t>, unless part of an increase in overall user numbers.</w:t>
      </w:r>
      <w:r w:rsidRPr="00477FCB">
        <w:rPr>
          <w:bCs/>
        </w:rPr>
        <w:t xml:space="preserve"> </w:t>
      </w:r>
    </w:p>
    <w:p w14:paraId="02E12D62" w14:textId="77777777" w:rsidR="00910EB9" w:rsidRDefault="00910EB9">
      <w:bookmarkStart w:id="19" w:name="_Toc33176235"/>
    </w:p>
    <w:p w14:paraId="02E12D63" w14:textId="77777777" w:rsidR="00910EB9" w:rsidRDefault="006E4A1B">
      <w:pPr>
        <w:pStyle w:val="Heading2"/>
        <w:pageBreakBefore/>
      </w:pPr>
      <w:bookmarkStart w:id="20" w:name="_Toc85461049"/>
      <w:r>
        <w:lastRenderedPageBreak/>
        <w:t>Part B: Terms and conditions</w:t>
      </w:r>
      <w:bookmarkEnd w:id="19"/>
      <w:bookmarkEnd w:id="20"/>
    </w:p>
    <w:p w14:paraId="02E12D64" w14:textId="77777777" w:rsidR="00910EB9" w:rsidRDefault="006E4A1B">
      <w:pPr>
        <w:pStyle w:val="Heading3"/>
        <w:spacing w:before="0" w:after="100"/>
        <w:rPr>
          <w:color w:val="auto"/>
        </w:rPr>
      </w:pPr>
      <w:r>
        <w:rPr>
          <w:color w:val="auto"/>
        </w:rPr>
        <w:t>1.</w:t>
      </w:r>
      <w:r>
        <w:rPr>
          <w:color w:val="auto"/>
        </w:rPr>
        <w:tab/>
        <w:t>Call-Off Contract Start date and length</w:t>
      </w:r>
    </w:p>
    <w:p w14:paraId="02E12D65" w14:textId="77777777" w:rsidR="00910EB9" w:rsidRDefault="006E4A1B">
      <w:r>
        <w:t>1.1</w:t>
      </w:r>
      <w:r>
        <w:tab/>
        <w:t>The Supplier must start providing the Services on the date specified in the Order Form.</w:t>
      </w:r>
    </w:p>
    <w:p w14:paraId="02E12D66" w14:textId="77777777" w:rsidR="00910EB9" w:rsidRDefault="00910EB9">
      <w:pPr>
        <w:ind w:firstLine="720"/>
      </w:pPr>
    </w:p>
    <w:p w14:paraId="02E12D67" w14:textId="77777777" w:rsidR="00910EB9" w:rsidRDefault="006E4A1B">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02E12D68" w14:textId="77777777" w:rsidR="00910EB9" w:rsidRDefault="00910EB9">
      <w:pPr>
        <w:ind w:left="720"/>
      </w:pPr>
    </w:p>
    <w:p w14:paraId="02E12D69" w14:textId="77777777" w:rsidR="00910EB9" w:rsidRDefault="006E4A1B">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02E12D6A" w14:textId="77777777" w:rsidR="00910EB9" w:rsidRDefault="00910EB9">
      <w:pPr>
        <w:ind w:left="720"/>
      </w:pPr>
    </w:p>
    <w:p w14:paraId="02E12D6B" w14:textId="77777777" w:rsidR="00910EB9" w:rsidRDefault="006E4A1B">
      <w:pPr>
        <w:ind w:left="720" w:hanging="720"/>
      </w:pPr>
      <w:r>
        <w:t>1.4</w:t>
      </w:r>
      <w:r>
        <w:tab/>
        <w:t>The Parties must comply with the requirements under clauses 21.3 to 21.8 if the Buyer reserves the right in the Order Form to extend the contract beyond 24 months.</w:t>
      </w:r>
    </w:p>
    <w:p w14:paraId="02E12D6C" w14:textId="77777777" w:rsidR="00910EB9" w:rsidRDefault="00910EB9">
      <w:pPr>
        <w:spacing w:before="240" w:after="240"/>
      </w:pPr>
    </w:p>
    <w:p w14:paraId="02E12D6D" w14:textId="77777777" w:rsidR="00910EB9" w:rsidRDefault="006E4A1B">
      <w:pPr>
        <w:pStyle w:val="Heading3"/>
        <w:spacing w:before="0" w:after="100"/>
        <w:rPr>
          <w:color w:val="auto"/>
        </w:rPr>
      </w:pPr>
      <w:r>
        <w:rPr>
          <w:color w:val="auto"/>
        </w:rPr>
        <w:t>2.</w:t>
      </w:r>
      <w:r>
        <w:rPr>
          <w:color w:val="auto"/>
        </w:rPr>
        <w:tab/>
        <w:t>Incorporation of terms</w:t>
      </w:r>
    </w:p>
    <w:p w14:paraId="02E12D6E" w14:textId="77777777" w:rsidR="00910EB9" w:rsidRDefault="006E4A1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2E12D6F" w14:textId="77777777" w:rsidR="00910EB9" w:rsidRDefault="006E4A1B">
      <w:pPr>
        <w:pStyle w:val="ListParagraph"/>
        <w:numPr>
          <w:ilvl w:val="0"/>
          <w:numId w:val="6"/>
        </w:numPr>
      </w:pPr>
      <w:r>
        <w:rPr>
          <w:sz w:val="14"/>
          <w:szCs w:val="14"/>
        </w:rPr>
        <w:t xml:space="preserve"> </w:t>
      </w:r>
      <w:r>
        <w:t>4.1 (Warranties and representations)</w:t>
      </w:r>
    </w:p>
    <w:p w14:paraId="02E12D70" w14:textId="77777777" w:rsidR="00910EB9" w:rsidRDefault="006E4A1B">
      <w:pPr>
        <w:pStyle w:val="ListParagraph"/>
        <w:numPr>
          <w:ilvl w:val="0"/>
          <w:numId w:val="6"/>
        </w:numPr>
      </w:pPr>
      <w:r>
        <w:t>4.2 to 4.7 (Liability)</w:t>
      </w:r>
    </w:p>
    <w:p w14:paraId="02E12D71" w14:textId="77777777" w:rsidR="00910EB9" w:rsidRDefault="006E4A1B">
      <w:pPr>
        <w:pStyle w:val="ListParagraph"/>
        <w:numPr>
          <w:ilvl w:val="0"/>
          <w:numId w:val="6"/>
        </w:numPr>
      </w:pPr>
      <w:r>
        <w:t>4.11 to 4.12 (IR35)</w:t>
      </w:r>
    </w:p>
    <w:p w14:paraId="02E12D72" w14:textId="77777777" w:rsidR="00910EB9" w:rsidRDefault="006E4A1B">
      <w:pPr>
        <w:pStyle w:val="ListParagraph"/>
        <w:numPr>
          <w:ilvl w:val="0"/>
          <w:numId w:val="6"/>
        </w:numPr>
      </w:pPr>
      <w:r>
        <w:t>5.4 to 5.5 (Force majeure)</w:t>
      </w:r>
    </w:p>
    <w:p w14:paraId="02E12D73" w14:textId="77777777" w:rsidR="00910EB9" w:rsidRDefault="006E4A1B">
      <w:pPr>
        <w:pStyle w:val="ListParagraph"/>
        <w:numPr>
          <w:ilvl w:val="0"/>
          <w:numId w:val="6"/>
        </w:numPr>
      </w:pPr>
      <w:r>
        <w:t>5.8 (Continuing rights)</w:t>
      </w:r>
    </w:p>
    <w:p w14:paraId="02E12D74" w14:textId="77777777" w:rsidR="00910EB9" w:rsidRDefault="006E4A1B">
      <w:pPr>
        <w:pStyle w:val="ListParagraph"/>
        <w:numPr>
          <w:ilvl w:val="0"/>
          <w:numId w:val="6"/>
        </w:numPr>
      </w:pPr>
      <w:r>
        <w:t>5.9 to 5.11 (Change of control)</w:t>
      </w:r>
    </w:p>
    <w:p w14:paraId="02E12D75" w14:textId="77777777" w:rsidR="00910EB9" w:rsidRDefault="006E4A1B">
      <w:pPr>
        <w:pStyle w:val="ListParagraph"/>
        <w:numPr>
          <w:ilvl w:val="0"/>
          <w:numId w:val="6"/>
        </w:numPr>
      </w:pPr>
      <w:r>
        <w:t>5.12 (Fraud)</w:t>
      </w:r>
    </w:p>
    <w:p w14:paraId="02E12D76" w14:textId="77777777" w:rsidR="00910EB9" w:rsidRDefault="006E4A1B">
      <w:pPr>
        <w:pStyle w:val="ListParagraph"/>
        <w:numPr>
          <w:ilvl w:val="0"/>
          <w:numId w:val="6"/>
        </w:numPr>
      </w:pPr>
      <w:r>
        <w:t>5.13 (Notice of fraud)</w:t>
      </w:r>
    </w:p>
    <w:p w14:paraId="02E12D77" w14:textId="77777777" w:rsidR="00910EB9" w:rsidRDefault="006E4A1B">
      <w:pPr>
        <w:pStyle w:val="ListParagraph"/>
        <w:numPr>
          <w:ilvl w:val="0"/>
          <w:numId w:val="6"/>
        </w:numPr>
      </w:pPr>
      <w:r>
        <w:t>7.1 to 7.2 (Transparency)</w:t>
      </w:r>
    </w:p>
    <w:p w14:paraId="02E12D78" w14:textId="77777777" w:rsidR="00910EB9" w:rsidRDefault="006E4A1B">
      <w:pPr>
        <w:pStyle w:val="ListParagraph"/>
        <w:numPr>
          <w:ilvl w:val="0"/>
          <w:numId w:val="6"/>
        </w:numPr>
      </w:pPr>
      <w:r>
        <w:t>8.3 (Order of precedence)</w:t>
      </w:r>
    </w:p>
    <w:p w14:paraId="02E12D79" w14:textId="77777777" w:rsidR="00910EB9" w:rsidRDefault="006E4A1B">
      <w:pPr>
        <w:pStyle w:val="ListParagraph"/>
        <w:numPr>
          <w:ilvl w:val="0"/>
          <w:numId w:val="6"/>
        </w:numPr>
      </w:pPr>
      <w:r>
        <w:t>8.6 (Relationship)</w:t>
      </w:r>
    </w:p>
    <w:p w14:paraId="02E12D7A" w14:textId="77777777" w:rsidR="00910EB9" w:rsidRDefault="006E4A1B">
      <w:pPr>
        <w:pStyle w:val="ListParagraph"/>
        <w:numPr>
          <w:ilvl w:val="0"/>
          <w:numId w:val="6"/>
        </w:numPr>
      </w:pPr>
      <w:r>
        <w:t>8.9 to 8.11 (Entire agreement)</w:t>
      </w:r>
    </w:p>
    <w:p w14:paraId="02E12D7B" w14:textId="77777777" w:rsidR="00910EB9" w:rsidRDefault="006E4A1B">
      <w:pPr>
        <w:pStyle w:val="ListParagraph"/>
        <w:numPr>
          <w:ilvl w:val="0"/>
          <w:numId w:val="6"/>
        </w:numPr>
      </w:pPr>
      <w:r>
        <w:t>8.12 (Law and jurisdiction)</w:t>
      </w:r>
    </w:p>
    <w:p w14:paraId="02E12D7C" w14:textId="77777777" w:rsidR="00910EB9" w:rsidRDefault="006E4A1B">
      <w:pPr>
        <w:pStyle w:val="ListParagraph"/>
        <w:numPr>
          <w:ilvl w:val="0"/>
          <w:numId w:val="6"/>
        </w:numPr>
      </w:pPr>
      <w:r>
        <w:t>8.13 to 8.14 (Legislative change)</w:t>
      </w:r>
    </w:p>
    <w:p w14:paraId="02E12D7D" w14:textId="77777777" w:rsidR="00910EB9" w:rsidRDefault="006E4A1B">
      <w:pPr>
        <w:pStyle w:val="ListParagraph"/>
        <w:numPr>
          <w:ilvl w:val="0"/>
          <w:numId w:val="6"/>
        </w:numPr>
      </w:pPr>
      <w:r>
        <w:t>8.15 to 8.19 (Bribery and corruption)</w:t>
      </w:r>
    </w:p>
    <w:p w14:paraId="02E12D7E" w14:textId="77777777" w:rsidR="00910EB9" w:rsidRDefault="006E4A1B">
      <w:pPr>
        <w:pStyle w:val="ListParagraph"/>
        <w:numPr>
          <w:ilvl w:val="0"/>
          <w:numId w:val="6"/>
        </w:numPr>
      </w:pPr>
      <w:r>
        <w:t>8.20 to 8.29 (Freedom of Information Act)</w:t>
      </w:r>
    </w:p>
    <w:p w14:paraId="02E12D7F" w14:textId="77777777" w:rsidR="00910EB9" w:rsidRDefault="006E4A1B">
      <w:pPr>
        <w:pStyle w:val="ListParagraph"/>
        <w:numPr>
          <w:ilvl w:val="0"/>
          <w:numId w:val="6"/>
        </w:numPr>
      </w:pPr>
      <w:r>
        <w:t>8.30 to 8.31 (Promoting tax compliance)</w:t>
      </w:r>
    </w:p>
    <w:p w14:paraId="02E12D80" w14:textId="77777777" w:rsidR="00910EB9" w:rsidRDefault="006E4A1B">
      <w:pPr>
        <w:pStyle w:val="ListParagraph"/>
        <w:numPr>
          <w:ilvl w:val="0"/>
          <w:numId w:val="6"/>
        </w:numPr>
      </w:pPr>
      <w:r>
        <w:t>8.32 to 8.33 (Official Secrets Act)</w:t>
      </w:r>
    </w:p>
    <w:p w14:paraId="02E12D81" w14:textId="77777777" w:rsidR="00910EB9" w:rsidRDefault="006E4A1B">
      <w:pPr>
        <w:pStyle w:val="ListParagraph"/>
        <w:numPr>
          <w:ilvl w:val="0"/>
          <w:numId w:val="6"/>
        </w:numPr>
      </w:pPr>
      <w:r>
        <w:t>8.34 to 8.37 (Transfer and subcontracting)</w:t>
      </w:r>
    </w:p>
    <w:p w14:paraId="02E12D82" w14:textId="77777777" w:rsidR="00910EB9" w:rsidRDefault="006E4A1B">
      <w:pPr>
        <w:pStyle w:val="ListParagraph"/>
        <w:numPr>
          <w:ilvl w:val="0"/>
          <w:numId w:val="6"/>
        </w:numPr>
      </w:pPr>
      <w:r>
        <w:t>8.40 to 8.43 (Complaints handling and resolution)</w:t>
      </w:r>
    </w:p>
    <w:p w14:paraId="02E12D83" w14:textId="77777777" w:rsidR="00910EB9" w:rsidRDefault="006E4A1B">
      <w:pPr>
        <w:pStyle w:val="ListParagraph"/>
        <w:numPr>
          <w:ilvl w:val="0"/>
          <w:numId w:val="6"/>
        </w:numPr>
      </w:pPr>
      <w:r>
        <w:t>8.44 to 8.50 (Conflicts of interest and ethical walls)</w:t>
      </w:r>
    </w:p>
    <w:p w14:paraId="02E12D84" w14:textId="77777777" w:rsidR="00910EB9" w:rsidRDefault="006E4A1B">
      <w:pPr>
        <w:pStyle w:val="ListParagraph"/>
        <w:numPr>
          <w:ilvl w:val="0"/>
          <w:numId w:val="6"/>
        </w:numPr>
      </w:pPr>
      <w:r>
        <w:t>8.51 to 8.53 (Publicity and branding)</w:t>
      </w:r>
    </w:p>
    <w:p w14:paraId="02E12D85" w14:textId="77777777" w:rsidR="00910EB9" w:rsidRDefault="006E4A1B">
      <w:pPr>
        <w:pStyle w:val="ListParagraph"/>
        <w:numPr>
          <w:ilvl w:val="0"/>
          <w:numId w:val="6"/>
        </w:numPr>
      </w:pPr>
      <w:r>
        <w:t>8.54 to 8.56 (Equality and diversity)</w:t>
      </w:r>
    </w:p>
    <w:p w14:paraId="02E12D86" w14:textId="77777777" w:rsidR="00910EB9" w:rsidRDefault="006E4A1B">
      <w:pPr>
        <w:pStyle w:val="ListParagraph"/>
        <w:numPr>
          <w:ilvl w:val="0"/>
          <w:numId w:val="6"/>
        </w:numPr>
      </w:pPr>
      <w:r>
        <w:t>8.59 to 8.60 (Data protection</w:t>
      </w:r>
    </w:p>
    <w:p w14:paraId="02E12D87" w14:textId="77777777" w:rsidR="00910EB9" w:rsidRDefault="006E4A1B">
      <w:pPr>
        <w:pStyle w:val="ListParagraph"/>
        <w:numPr>
          <w:ilvl w:val="0"/>
          <w:numId w:val="6"/>
        </w:numPr>
      </w:pPr>
      <w:r>
        <w:t>8.64 to 8.65 (Severability)</w:t>
      </w:r>
    </w:p>
    <w:p w14:paraId="02E12D88" w14:textId="77777777" w:rsidR="00910EB9" w:rsidRDefault="006E4A1B">
      <w:pPr>
        <w:pStyle w:val="ListParagraph"/>
        <w:numPr>
          <w:ilvl w:val="0"/>
          <w:numId w:val="6"/>
        </w:numPr>
      </w:pPr>
      <w:r>
        <w:t>8.66 to 8.69 (Managing disputes and Mediation)</w:t>
      </w:r>
    </w:p>
    <w:p w14:paraId="02E12D89" w14:textId="77777777" w:rsidR="00910EB9" w:rsidRDefault="006E4A1B">
      <w:pPr>
        <w:pStyle w:val="ListParagraph"/>
        <w:numPr>
          <w:ilvl w:val="0"/>
          <w:numId w:val="6"/>
        </w:numPr>
      </w:pPr>
      <w:r>
        <w:lastRenderedPageBreak/>
        <w:t>8.80 to 8.88 (Confidentiality)</w:t>
      </w:r>
    </w:p>
    <w:p w14:paraId="02E12D8A" w14:textId="77777777" w:rsidR="00910EB9" w:rsidRDefault="006E4A1B">
      <w:pPr>
        <w:pStyle w:val="ListParagraph"/>
        <w:numPr>
          <w:ilvl w:val="0"/>
          <w:numId w:val="6"/>
        </w:numPr>
      </w:pPr>
      <w:r>
        <w:t>8.89 to 8.90 (Waiver and cumulative remedies)</w:t>
      </w:r>
    </w:p>
    <w:p w14:paraId="02E12D8B" w14:textId="77777777" w:rsidR="00910EB9" w:rsidRDefault="006E4A1B">
      <w:pPr>
        <w:pStyle w:val="ListParagraph"/>
        <w:numPr>
          <w:ilvl w:val="0"/>
          <w:numId w:val="6"/>
        </w:numPr>
      </w:pPr>
      <w:r>
        <w:t>8.91 to 8.101 (Corporate Social Responsibility)</w:t>
      </w:r>
    </w:p>
    <w:p w14:paraId="02E12D8C" w14:textId="77777777" w:rsidR="00910EB9" w:rsidRDefault="006E4A1B">
      <w:pPr>
        <w:pStyle w:val="ListParagraph"/>
        <w:numPr>
          <w:ilvl w:val="0"/>
          <w:numId w:val="6"/>
        </w:numPr>
      </w:pPr>
      <w:r>
        <w:t>paragraphs 1 to 10 of the Framework Agreement glossary and interpretation</w:t>
      </w:r>
    </w:p>
    <w:p w14:paraId="02E12D8D" w14:textId="77777777" w:rsidR="00910EB9" w:rsidRDefault="006E4A1B">
      <w:pPr>
        <w:pStyle w:val="ListParagraph"/>
        <w:numPr>
          <w:ilvl w:val="0"/>
          <w:numId w:val="7"/>
        </w:numPr>
      </w:pPr>
      <w:r>
        <w:t>any audit provisions from the Framework Agreement set out by the Buyer in the Order Form</w:t>
      </w:r>
    </w:p>
    <w:p w14:paraId="02E12D8E" w14:textId="77777777" w:rsidR="00910EB9" w:rsidRDefault="006E4A1B">
      <w:pPr>
        <w:ind w:left="720"/>
      </w:pPr>
      <w:r>
        <w:t xml:space="preserve"> </w:t>
      </w:r>
    </w:p>
    <w:p w14:paraId="02E12D8F" w14:textId="77777777" w:rsidR="00910EB9" w:rsidRDefault="006E4A1B">
      <w:pPr>
        <w:spacing w:after="240"/>
      </w:pPr>
      <w:r>
        <w:t>2.2</w:t>
      </w:r>
      <w:r>
        <w:tab/>
        <w:t>The Framework Agreement provisions in clause 2.1 will be modified as follows:</w:t>
      </w:r>
    </w:p>
    <w:p w14:paraId="02E12D90" w14:textId="77777777" w:rsidR="00910EB9" w:rsidRDefault="006E4A1B">
      <w:pPr>
        <w:ind w:left="1440" w:hanging="720"/>
      </w:pPr>
      <w:r>
        <w:t>2.2.1</w:t>
      </w:r>
      <w:r>
        <w:tab/>
        <w:t>a reference to the ‘Framework Agreement’ will be a reference to the ‘Call-Off Contract’</w:t>
      </w:r>
    </w:p>
    <w:p w14:paraId="02E12D91" w14:textId="77777777" w:rsidR="00910EB9" w:rsidRDefault="006E4A1B">
      <w:pPr>
        <w:ind w:firstLine="720"/>
      </w:pPr>
      <w:r>
        <w:t>2.2.2</w:t>
      </w:r>
      <w:r>
        <w:tab/>
        <w:t>a reference to ‘CCS’ will be a reference to ‘the Buyer’</w:t>
      </w:r>
    </w:p>
    <w:p w14:paraId="02E12D92" w14:textId="77777777" w:rsidR="00910EB9" w:rsidRDefault="006E4A1B">
      <w:pPr>
        <w:ind w:left="1440" w:hanging="720"/>
      </w:pPr>
      <w:r>
        <w:t>2.2.3</w:t>
      </w:r>
      <w:r>
        <w:tab/>
        <w:t>a reference to the ‘Parties’ and a ‘Party’ will be a reference to the Buyer and Supplier as Parties under this Call-Off Contract</w:t>
      </w:r>
    </w:p>
    <w:p w14:paraId="02E12D93" w14:textId="77777777" w:rsidR="00910EB9" w:rsidRDefault="00910EB9"/>
    <w:p w14:paraId="02E12D94" w14:textId="77777777" w:rsidR="00910EB9" w:rsidRDefault="006E4A1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2E12D95" w14:textId="77777777" w:rsidR="00910EB9" w:rsidRDefault="00910EB9">
      <w:pPr>
        <w:ind w:left="720"/>
      </w:pPr>
    </w:p>
    <w:p w14:paraId="02E12D96" w14:textId="77777777" w:rsidR="00910EB9" w:rsidRDefault="006E4A1B">
      <w:pPr>
        <w:ind w:left="720" w:hanging="720"/>
      </w:pPr>
      <w:r>
        <w:t>2.4</w:t>
      </w:r>
      <w:r>
        <w:tab/>
        <w:t>The Framework Agreement incorporated clauses will be referred to as incorporated Framework clause ‘XX’, where ‘XX’ is the Framework Agreement clause number.</w:t>
      </w:r>
    </w:p>
    <w:p w14:paraId="02E12D97" w14:textId="77777777" w:rsidR="00910EB9" w:rsidRDefault="00910EB9">
      <w:pPr>
        <w:ind w:firstLine="720"/>
      </w:pPr>
    </w:p>
    <w:p w14:paraId="02E12D98" w14:textId="77777777" w:rsidR="00910EB9" w:rsidRDefault="006E4A1B">
      <w:pPr>
        <w:ind w:left="720" w:hanging="720"/>
      </w:pPr>
      <w:r>
        <w:t>2.5</w:t>
      </w:r>
      <w:r>
        <w:tab/>
        <w:t>When an Order Form is signed, the terms and conditions agreed in it will be incorporated into this Call-Off Contract.</w:t>
      </w:r>
    </w:p>
    <w:p w14:paraId="02E12D99" w14:textId="77777777" w:rsidR="00910EB9" w:rsidRDefault="00910EB9"/>
    <w:p w14:paraId="02E12D9A" w14:textId="77777777" w:rsidR="00910EB9" w:rsidRDefault="006E4A1B">
      <w:pPr>
        <w:pStyle w:val="Heading3"/>
        <w:spacing w:before="0" w:after="100"/>
        <w:rPr>
          <w:color w:val="auto"/>
        </w:rPr>
      </w:pPr>
      <w:r>
        <w:rPr>
          <w:color w:val="auto"/>
        </w:rPr>
        <w:t>3.</w:t>
      </w:r>
      <w:r>
        <w:rPr>
          <w:color w:val="auto"/>
        </w:rPr>
        <w:tab/>
        <w:t>Supply of services</w:t>
      </w:r>
    </w:p>
    <w:p w14:paraId="02E12D9B" w14:textId="77777777" w:rsidR="00910EB9" w:rsidRDefault="006E4A1B">
      <w:pPr>
        <w:spacing w:before="240" w:after="240"/>
        <w:ind w:left="720" w:hanging="720"/>
      </w:pPr>
      <w:r>
        <w:t>3.1</w:t>
      </w:r>
      <w:r>
        <w:tab/>
        <w:t>The Supplier agrees to supply the G-Cloud Services and any Additional Services under the terms of the Call-Off Contract and the Supplier’s Application.</w:t>
      </w:r>
    </w:p>
    <w:p w14:paraId="02E12D9C" w14:textId="77777777" w:rsidR="00910EB9" w:rsidRDefault="006E4A1B">
      <w:pPr>
        <w:ind w:left="720" w:hanging="720"/>
      </w:pPr>
      <w:r>
        <w:t>3.2</w:t>
      </w:r>
      <w:r>
        <w:tab/>
        <w:t>The Supplier undertakes that each G-Cloud Service will meet the Buyer’s acceptance criteria, as defined in the Order Form.</w:t>
      </w:r>
    </w:p>
    <w:p w14:paraId="02E12D9D" w14:textId="77777777" w:rsidR="00910EB9" w:rsidRDefault="00910EB9"/>
    <w:p w14:paraId="02E12D9E" w14:textId="77777777" w:rsidR="00910EB9" w:rsidRDefault="006E4A1B">
      <w:pPr>
        <w:pStyle w:val="Heading3"/>
        <w:spacing w:before="0" w:after="100"/>
        <w:rPr>
          <w:color w:val="auto"/>
        </w:rPr>
      </w:pPr>
      <w:r>
        <w:rPr>
          <w:color w:val="auto"/>
        </w:rPr>
        <w:t>4.</w:t>
      </w:r>
      <w:r>
        <w:rPr>
          <w:color w:val="auto"/>
        </w:rPr>
        <w:tab/>
        <w:t>Supplier staff</w:t>
      </w:r>
    </w:p>
    <w:p w14:paraId="02E12D9F" w14:textId="77777777" w:rsidR="00910EB9" w:rsidRDefault="006E4A1B">
      <w:pPr>
        <w:spacing w:before="240" w:after="240"/>
      </w:pPr>
      <w:r>
        <w:t>4.1</w:t>
      </w:r>
      <w:r>
        <w:tab/>
        <w:t>The Supplier Staff must:</w:t>
      </w:r>
    </w:p>
    <w:p w14:paraId="02E12DA0" w14:textId="77777777" w:rsidR="00910EB9" w:rsidRDefault="006E4A1B">
      <w:pPr>
        <w:ind w:firstLine="720"/>
      </w:pPr>
      <w:r>
        <w:t>4.1.1</w:t>
      </w:r>
      <w:r>
        <w:tab/>
        <w:t xml:space="preserve">be appropriately experienced, </w:t>
      </w:r>
      <w:proofErr w:type="gramStart"/>
      <w:r>
        <w:t>qualified</w:t>
      </w:r>
      <w:proofErr w:type="gramEnd"/>
      <w:r>
        <w:t xml:space="preserve"> and trained to supply the Services</w:t>
      </w:r>
    </w:p>
    <w:p w14:paraId="02E12DA1" w14:textId="77777777" w:rsidR="00910EB9" w:rsidRDefault="00910EB9"/>
    <w:p w14:paraId="02E12DA2" w14:textId="77777777" w:rsidR="00910EB9" w:rsidRDefault="006E4A1B">
      <w:pPr>
        <w:ind w:firstLine="720"/>
      </w:pPr>
      <w:r>
        <w:t>4.1.2</w:t>
      </w:r>
      <w:r>
        <w:tab/>
        <w:t xml:space="preserve">apply all due skill, </w:t>
      </w:r>
      <w:proofErr w:type="gramStart"/>
      <w:r>
        <w:t>care</w:t>
      </w:r>
      <w:proofErr w:type="gramEnd"/>
      <w:r>
        <w:t xml:space="preserve"> and diligence in faithfully performing those duties</w:t>
      </w:r>
    </w:p>
    <w:p w14:paraId="02E12DA3" w14:textId="77777777" w:rsidR="00910EB9" w:rsidRDefault="00910EB9"/>
    <w:p w14:paraId="02E12DA4" w14:textId="77777777" w:rsidR="00910EB9" w:rsidRDefault="006E4A1B">
      <w:pPr>
        <w:ind w:left="720"/>
      </w:pPr>
      <w:r>
        <w:t>4.1.3</w:t>
      </w:r>
      <w:r>
        <w:tab/>
        <w:t>obey all lawful instructions and reasonable directions of the Buyer and provide the Services to the reasonable satisfaction of the Buyer</w:t>
      </w:r>
    </w:p>
    <w:p w14:paraId="02E12DA5" w14:textId="77777777" w:rsidR="00910EB9" w:rsidRDefault="00910EB9"/>
    <w:p w14:paraId="02E12DA6" w14:textId="77777777" w:rsidR="00910EB9" w:rsidRDefault="006E4A1B">
      <w:pPr>
        <w:ind w:firstLine="720"/>
      </w:pPr>
      <w:r>
        <w:t>4.1.4</w:t>
      </w:r>
      <w:r>
        <w:tab/>
        <w:t>respond to any enquiries about the Services as soon as reasonably possible</w:t>
      </w:r>
    </w:p>
    <w:p w14:paraId="02E12DA7" w14:textId="77777777" w:rsidR="00910EB9" w:rsidRDefault="00910EB9"/>
    <w:p w14:paraId="02E12DA8" w14:textId="77777777" w:rsidR="00910EB9" w:rsidRDefault="006E4A1B">
      <w:pPr>
        <w:ind w:firstLine="720"/>
      </w:pPr>
      <w:r>
        <w:t>4.1.5</w:t>
      </w:r>
      <w:r>
        <w:tab/>
        <w:t>complete any necessary Supplier Staff vetting as specified by the Buyer</w:t>
      </w:r>
    </w:p>
    <w:p w14:paraId="02E12DA9" w14:textId="77777777" w:rsidR="00910EB9" w:rsidRDefault="00910EB9"/>
    <w:p w14:paraId="02E12DAA" w14:textId="77777777" w:rsidR="00910EB9" w:rsidRDefault="006E4A1B">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2E12DAB" w14:textId="77777777" w:rsidR="00910EB9" w:rsidRDefault="00910EB9">
      <w:pPr>
        <w:ind w:firstLine="720"/>
      </w:pPr>
    </w:p>
    <w:p w14:paraId="02E12DAC" w14:textId="77777777" w:rsidR="00910EB9" w:rsidRDefault="006E4A1B">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2E12DAD" w14:textId="77777777" w:rsidR="00910EB9" w:rsidRDefault="00910EB9">
      <w:pPr>
        <w:ind w:firstLine="720"/>
      </w:pPr>
    </w:p>
    <w:p w14:paraId="02E12DAE" w14:textId="77777777" w:rsidR="00910EB9" w:rsidRDefault="006E4A1B">
      <w:pPr>
        <w:ind w:left="720" w:hanging="720"/>
      </w:pPr>
      <w:r>
        <w:t>4.4</w:t>
      </w:r>
      <w:r>
        <w:tab/>
        <w:t>The Buyer may conduct IR35 Assessments using the ESI tool to assess whether the Supplier’s engagement under the Call-Off Contract is Inside or Outside IR35.</w:t>
      </w:r>
    </w:p>
    <w:p w14:paraId="02E12DAF" w14:textId="77777777" w:rsidR="00910EB9" w:rsidRDefault="00910EB9">
      <w:pPr>
        <w:ind w:firstLine="720"/>
      </w:pPr>
    </w:p>
    <w:p w14:paraId="02E12DB0" w14:textId="77777777" w:rsidR="00910EB9" w:rsidRDefault="006E4A1B">
      <w:pPr>
        <w:ind w:left="720" w:hanging="720"/>
      </w:pPr>
      <w:r>
        <w:t>4.5</w:t>
      </w:r>
      <w:r>
        <w:tab/>
        <w:t>The Buyer may End this Call-Off Contract for Material Breach as per clause 18.5 hereunder if the Supplier is delivering the Services Inside IR35.</w:t>
      </w:r>
    </w:p>
    <w:p w14:paraId="02E12DB1" w14:textId="77777777" w:rsidR="00910EB9" w:rsidRDefault="00910EB9">
      <w:pPr>
        <w:ind w:firstLine="720"/>
      </w:pPr>
    </w:p>
    <w:p w14:paraId="02E12DB2" w14:textId="77777777" w:rsidR="00910EB9" w:rsidRDefault="006E4A1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2E12DB3" w14:textId="77777777" w:rsidR="00910EB9" w:rsidRDefault="00910EB9">
      <w:pPr>
        <w:ind w:left="720"/>
      </w:pPr>
    </w:p>
    <w:p w14:paraId="02E12DB4" w14:textId="77777777" w:rsidR="00910EB9" w:rsidRDefault="006E4A1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2E12DB5" w14:textId="77777777" w:rsidR="00910EB9" w:rsidRDefault="00910EB9">
      <w:pPr>
        <w:ind w:left="720"/>
      </w:pPr>
    </w:p>
    <w:p w14:paraId="02E12DB6" w14:textId="77777777" w:rsidR="00910EB9" w:rsidRDefault="006E4A1B">
      <w:pPr>
        <w:ind w:left="720" w:hanging="720"/>
      </w:pPr>
      <w:r>
        <w:t>4.8</w:t>
      </w:r>
      <w:r>
        <w:tab/>
        <w:t>If it is determined by the Buyer that the Supplier is Outside IR35, the Buyer will provide the ESI reference number and a copy of the PDF to the Supplier.</w:t>
      </w:r>
    </w:p>
    <w:p w14:paraId="02E12DB7" w14:textId="77777777" w:rsidR="00910EB9" w:rsidRDefault="00910EB9">
      <w:pPr>
        <w:spacing w:before="240" w:after="240"/>
        <w:ind w:left="720"/>
      </w:pPr>
    </w:p>
    <w:p w14:paraId="02E12DB8" w14:textId="77777777" w:rsidR="00910EB9" w:rsidRDefault="006E4A1B">
      <w:pPr>
        <w:pStyle w:val="Heading3"/>
        <w:spacing w:before="0" w:after="100"/>
        <w:rPr>
          <w:color w:val="auto"/>
        </w:rPr>
      </w:pPr>
      <w:r>
        <w:rPr>
          <w:color w:val="auto"/>
        </w:rPr>
        <w:t>5.</w:t>
      </w:r>
      <w:r>
        <w:rPr>
          <w:color w:val="auto"/>
        </w:rPr>
        <w:tab/>
        <w:t>Due diligence</w:t>
      </w:r>
    </w:p>
    <w:p w14:paraId="02E12DB9" w14:textId="77777777" w:rsidR="00910EB9" w:rsidRDefault="006E4A1B">
      <w:pPr>
        <w:spacing w:before="240" w:after="120"/>
      </w:pPr>
      <w:r>
        <w:t xml:space="preserve"> 5.1</w:t>
      </w:r>
      <w:r>
        <w:tab/>
        <w:t xml:space="preserve">Both Parties agree that when </w:t>
      </w:r>
      <w:proofErr w:type="gramStart"/>
      <w:r>
        <w:t>entering into</w:t>
      </w:r>
      <w:proofErr w:type="gramEnd"/>
      <w:r>
        <w:t xml:space="preserve"> a Call-Off Contract they:</w:t>
      </w:r>
    </w:p>
    <w:p w14:paraId="02E12DBA" w14:textId="77777777" w:rsidR="00910EB9" w:rsidRDefault="006E4A1B">
      <w:pPr>
        <w:spacing w:after="120"/>
        <w:ind w:left="1440" w:hanging="720"/>
      </w:pPr>
      <w:r>
        <w:t>5.1.1</w:t>
      </w:r>
      <w:r>
        <w:tab/>
        <w:t>have made their own enquiries and are satisfied by the accuracy of any information supplied by the other Party</w:t>
      </w:r>
    </w:p>
    <w:p w14:paraId="02E12DBB" w14:textId="77777777" w:rsidR="00910EB9" w:rsidRDefault="006E4A1B">
      <w:pPr>
        <w:spacing w:after="120"/>
        <w:ind w:left="1440" w:hanging="720"/>
      </w:pPr>
      <w:r>
        <w:t>5.1.2</w:t>
      </w:r>
      <w:r>
        <w:tab/>
        <w:t>are confident that they can fulfil their obligations according to the Call-Off Contract terms</w:t>
      </w:r>
    </w:p>
    <w:p w14:paraId="02E12DBC" w14:textId="77777777" w:rsidR="00910EB9" w:rsidRDefault="006E4A1B">
      <w:pPr>
        <w:spacing w:after="120"/>
        <w:ind w:firstLine="720"/>
      </w:pPr>
      <w:r>
        <w:t>5.1.3</w:t>
      </w:r>
      <w:r>
        <w:tab/>
        <w:t>have raised all due diligence questions before signing the Call-Off Contract</w:t>
      </w:r>
    </w:p>
    <w:p w14:paraId="02E12DBD" w14:textId="77777777" w:rsidR="00910EB9" w:rsidRDefault="006E4A1B">
      <w:pPr>
        <w:ind w:firstLine="720"/>
      </w:pPr>
      <w:r>
        <w:t>5.1.4</w:t>
      </w:r>
      <w:r>
        <w:tab/>
        <w:t xml:space="preserve">have </w:t>
      </w:r>
      <w:proofErr w:type="gramStart"/>
      <w:r>
        <w:t>entered into</w:t>
      </w:r>
      <w:proofErr w:type="gramEnd"/>
      <w:r>
        <w:t xml:space="preserve"> the Call-Off Contract relying on its own due diligence</w:t>
      </w:r>
    </w:p>
    <w:p w14:paraId="02E12DBE" w14:textId="77777777" w:rsidR="00910EB9" w:rsidRDefault="00910EB9">
      <w:pPr>
        <w:spacing w:before="240"/>
      </w:pPr>
    </w:p>
    <w:p w14:paraId="02E12DBF" w14:textId="77777777" w:rsidR="00910EB9" w:rsidRDefault="006E4A1B">
      <w:pPr>
        <w:pStyle w:val="Heading3"/>
        <w:spacing w:before="0" w:after="100"/>
        <w:rPr>
          <w:color w:val="auto"/>
        </w:rPr>
      </w:pPr>
      <w:r>
        <w:rPr>
          <w:color w:val="auto"/>
        </w:rPr>
        <w:t xml:space="preserve">6. </w:t>
      </w:r>
      <w:r>
        <w:rPr>
          <w:color w:val="auto"/>
        </w:rPr>
        <w:tab/>
        <w:t>Business continuity and disaster recovery</w:t>
      </w:r>
    </w:p>
    <w:p w14:paraId="02E12DC0" w14:textId="77777777" w:rsidR="00910EB9" w:rsidRDefault="006E4A1B">
      <w:pPr>
        <w:ind w:left="720" w:hanging="720"/>
      </w:pPr>
      <w:r>
        <w:t>6.1</w:t>
      </w:r>
      <w:r>
        <w:tab/>
        <w:t>The Supplier will have a clear business continuity and disaster recovery plan in their service descriptions.</w:t>
      </w:r>
    </w:p>
    <w:p w14:paraId="02E12DC1" w14:textId="77777777" w:rsidR="00910EB9" w:rsidRDefault="00910EB9"/>
    <w:p w14:paraId="02E12DC2" w14:textId="77777777" w:rsidR="00910EB9" w:rsidRDefault="006E4A1B">
      <w:pPr>
        <w:ind w:left="720" w:hanging="720"/>
      </w:pPr>
      <w:r>
        <w:t>6.2</w:t>
      </w:r>
      <w:r>
        <w:tab/>
        <w:t>The Supplier’s business continuity and disaster recovery services are part of the Services and will be performed by the Supplier when required.</w:t>
      </w:r>
    </w:p>
    <w:p w14:paraId="02E12DC3" w14:textId="77777777" w:rsidR="00910EB9" w:rsidRDefault="006E4A1B">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02E12DC4" w14:textId="77777777" w:rsidR="00910EB9" w:rsidRDefault="00910EB9"/>
    <w:p w14:paraId="02E12DC5" w14:textId="77777777" w:rsidR="00910EB9" w:rsidRDefault="006E4A1B">
      <w:pPr>
        <w:pStyle w:val="Heading3"/>
        <w:spacing w:before="0" w:after="100"/>
        <w:rPr>
          <w:color w:val="auto"/>
        </w:rPr>
      </w:pPr>
      <w:r>
        <w:rPr>
          <w:color w:val="auto"/>
        </w:rPr>
        <w:lastRenderedPageBreak/>
        <w:t>7.</w:t>
      </w:r>
      <w:r>
        <w:rPr>
          <w:color w:val="auto"/>
        </w:rPr>
        <w:tab/>
        <w:t>Payment, VAT and Call-Off Contract charges</w:t>
      </w:r>
    </w:p>
    <w:p w14:paraId="02E12DC6" w14:textId="77777777" w:rsidR="00910EB9" w:rsidRDefault="006E4A1B">
      <w:pPr>
        <w:spacing w:after="120"/>
        <w:ind w:left="720" w:hanging="720"/>
      </w:pPr>
      <w:r>
        <w:t>7.1</w:t>
      </w:r>
      <w:r>
        <w:tab/>
        <w:t>The Buyer must pay the Charges following clauses 7.2 to 7.11 for the Supplier’s delivery of the Services.</w:t>
      </w:r>
    </w:p>
    <w:p w14:paraId="02E12DC7" w14:textId="77777777" w:rsidR="00910EB9" w:rsidRDefault="006E4A1B">
      <w:pPr>
        <w:ind w:left="720" w:hanging="720"/>
      </w:pPr>
      <w:r>
        <w:t>7.2</w:t>
      </w:r>
      <w:r>
        <w:tab/>
        <w:t>The Buyer will pay the Supplier within the number of days specified in the Order Form on receipt of a valid invoice.</w:t>
      </w:r>
    </w:p>
    <w:p w14:paraId="02E12DC8" w14:textId="77777777" w:rsidR="00910EB9" w:rsidRDefault="006E4A1B">
      <w:pPr>
        <w:spacing w:after="120"/>
        <w:ind w:left="720" w:hanging="720"/>
      </w:pPr>
      <w:r>
        <w:t>7.3</w:t>
      </w:r>
      <w:r>
        <w:tab/>
        <w:t>The Call-Off Contract Charges include all Charges for payment Processing. All invoices submitted to the Buyer for the Services will be exclusive of any Management Charge.</w:t>
      </w:r>
    </w:p>
    <w:p w14:paraId="02E12DC9" w14:textId="77777777" w:rsidR="00910EB9" w:rsidRDefault="006E4A1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2E12DCA" w14:textId="77777777" w:rsidR="00910EB9" w:rsidRDefault="006E4A1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2E12DCB" w14:textId="77777777" w:rsidR="00910EB9" w:rsidRDefault="006E4A1B">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02E12DCC" w14:textId="77777777" w:rsidR="00910EB9" w:rsidRDefault="006E4A1B">
      <w:pPr>
        <w:spacing w:after="120"/>
      </w:pPr>
      <w:r>
        <w:t>7.7</w:t>
      </w:r>
      <w:r>
        <w:tab/>
        <w:t>All Charges payable by the Buyer to the Supplier will include VAT at the appropriate Rate.</w:t>
      </w:r>
    </w:p>
    <w:p w14:paraId="02E12DCD" w14:textId="77777777" w:rsidR="00910EB9" w:rsidRDefault="006E4A1B">
      <w:pPr>
        <w:spacing w:after="120"/>
        <w:ind w:left="720" w:hanging="720"/>
      </w:pPr>
      <w:r>
        <w:t>7.8</w:t>
      </w:r>
      <w:r>
        <w:tab/>
        <w:t>The Supplier must add VAT to the Charges at the appropriate rate with visibility of the amount as a separate line item.</w:t>
      </w:r>
    </w:p>
    <w:p w14:paraId="02E12DCE" w14:textId="77777777" w:rsidR="00910EB9" w:rsidRDefault="006E4A1B" w:rsidP="00304AF9">
      <w:pPr>
        <w:spacing w:after="120"/>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2E12DCF" w14:textId="77777777" w:rsidR="00910EB9" w:rsidRDefault="006E4A1B" w:rsidP="00304AF9">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2E12DD0" w14:textId="0D2936D9" w:rsidR="00910EB9" w:rsidRDefault="006E4A1B">
      <w:pPr>
        <w:spacing w:after="120"/>
        <w:ind w:left="720" w:hanging="720"/>
      </w:pPr>
      <w:r>
        <w:t>7.11</w:t>
      </w:r>
      <w:r>
        <w:tab/>
        <w:t xml:space="preserve">If there’s an invoice dispute, the Buyer must pay the undisputed portion of the amount and return the invoice within 10 Working Days of the </w:t>
      </w:r>
      <w:r w:rsidR="008F1D73">
        <w:t>I</w:t>
      </w:r>
      <w:r>
        <w:t xml:space="preserve">nvoice </w:t>
      </w:r>
      <w:r w:rsidR="008F1D73">
        <w:t>D</w:t>
      </w:r>
      <w:r>
        <w:t>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2E12DD1" w14:textId="77777777" w:rsidR="00910EB9" w:rsidRDefault="006E4A1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2E12DD2" w14:textId="77777777" w:rsidR="00910EB9" w:rsidRDefault="00910EB9">
      <w:pPr>
        <w:ind w:left="720"/>
      </w:pPr>
    </w:p>
    <w:p w14:paraId="02E12DD3" w14:textId="77777777" w:rsidR="00910EB9" w:rsidRDefault="006E4A1B">
      <w:pPr>
        <w:pStyle w:val="Heading3"/>
        <w:rPr>
          <w:color w:val="auto"/>
        </w:rPr>
      </w:pPr>
      <w:r>
        <w:rPr>
          <w:color w:val="auto"/>
        </w:rPr>
        <w:t>8.</w:t>
      </w:r>
      <w:r>
        <w:rPr>
          <w:color w:val="auto"/>
        </w:rPr>
        <w:tab/>
        <w:t>Recovery of sums due and right of set-off</w:t>
      </w:r>
    </w:p>
    <w:p w14:paraId="02E12DD4" w14:textId="77777777" w:rsidR="00910EB9" w:rsidRDefault="006E4A1B">
      <w:pPr>
        <w:spacing w:before="240" w:after="240"/>
        <w:ind w:left="720" w:hanging="720"/>
      </w:pPr>
      <w:r>
        <w:t>8.1</w:t>
      </w:r>
      <w:r>
        <w:tab/>
        <w:t>If a Supplier owes money to the Buyer, the Buyer may deduct that sum from the Call-Off Contract Charges.</w:t>
      </w:r>
    </w:p>
    <w:p w14:paraId="02E12DD5" w14:textId="77777777" w:rsidR="00910EB9" w:rsidRDefault="00910EB9">
      <w:pPr>
        <w:spacing w:before="240" w:after="240"/>
        <w:ind w:left="720" w:hanging="720"/>
      </w:pPr>
    </w:p>
    <w:p w14:paraId="02E12DD6" w14:textId="77777777" w:rsidR="00910EB9" w:rsidRDefault="006E4A1B">
      <w:pPr>
        <w:pStyle w:val="Heading3"/>
        <w:rPr>
          <w:color w:val="auto"/>
        </w:rPr>
      </w:pPr>
      <w:r>
        <w:rPr>
          <w:color w:val="auto"/>
        </w:rPr>
        <w:lastRenderedPageBreak/>
        <w:t>9.</w:t>
      </w:r>
      <w:r>
        <w:rPr>
          <w:color w:val="auto"/>
        </w:rPr>
        <w:tab/>
        <w:t>Insurance</w:t>
      </w:r>
    </w:p>
    <w:p w14:paraId="02E12DD7" w14:textId="77777777" w:rsidR="00910EB9" w:rsidRDefault="006E4A1B">
      <w:pPr>
        <w:spacing w:before="240" w:after="240"/>
        <w:ind w:left="660" w:hanging="660"/>
      </w:pPr>
      <w:r>
        <w:t>9.1</w:t>
      </w:r>
      <w:r>
        <w:tab/>
        <w:t>The Supplier will maintain the insurances required by the Buyer including those in this clause.</w:t>
      </w:r>
    </w:p>
    <w:p w14:paraId="02E12DD8" w14:textId="77777777" w:rsidR="00910EB9" w:rsidRDefault="006E4A1B">
      <w:r>
        <w:t>9.2</w:t>
      </w:r>
      <w:r>
        <w:tab/>
        <w:t>The Supplier will ensure that:</w:t>
      </w:r>
    </w:p>
    <w:p w14:paraId="02E12DD9" w14:textId="77777777" w:rsidR="00910EB9" w:rsidRDefault="00910EB9"/>
    <w:p w14:paraId="02E12DDA" w14:textId="77777777" w:rsidR="00910EB9" w:rsidRDefault="006E4A1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2E12DDB" w14:textId="77777777" w:rsidR="00910EB9" w:rsidRDefault="00910EB9">
      <w:pPr>
        <w:ind w:firstLine="720"/>
      </w:pPr>
    </w:p>
    <w:p w14:paraId="02E12DDC" w14:textId="77777777" w:rsidR="00910EB9" w:rsidRDefault="006E4A1B">
      <w:pPr>
        <w:ind w:left="1440" w:hanging="720"/>
      </w:pPr>
      <w:r>
        <w:t>9.2.2</w:t>
      </w:r>
      <w:r>
        <w:tab/>
        <w:t>the third-party public and products liability insurance contains an ‘indemnity to principals’ clause for the Buyer’s benefit</w:t>
      </w:r>
    </w:p>
    <w:p w14:paraId="02E12DDD" w14:textId="77777777" w:rsidR="00910EB9" w:rsidRDefault="00910EB9">
      <w:pPr>
        <w:ind w:firstLine="720"/>
      </w:pPr>
    </w:p>
    <w:p w14:paraId="02E12DDE" w14:textId="77777777" w:rsidR="00910EB9" w:rsidRDefault="006E4A1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2E12DDF" w14:textId="77777777" w:rsidR="00910EB9" w:rsidRDefault="00910EB9">
      <w:pPr>
        <w:ind w:firstLine="720"/>
      </w:pPr>
    </w:p>
    <w:p w14:paraId="02E12DE0" w14:textId="77777777" w:rsidR="00910EB9" w:rsidRDefault="006E4A1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2E12DE1" w14:textId="77777777" w:rsidR="00910EB9" w:rsidRDefault="00910EB9">
      <w:pPr>
        <w:ind w:left="720"/>
      </w:pPr>
    </w:p>
    <w:p w14:paraId="02E12DE2" w14:textId="77777777" w:rsidR="00910EB9" w:rsidRDefault="006E4A1B">
      <w:pPr>
        <w:ind w:left="720" w:hanging="720"/>
      </w:pPr>
      <w:r>
        <w:t>9.3</w:t>
      </w:r>
      <w:r>
        <w:tab/>
        <w:t>If requested by the Buyer, the Supplier will obtain additional insurance policies, or extend existing policies bought under the Framework Agreement.</w:t>
      </w:r>
    </w:p>
    <w:p w14:paraId="02E12DE3" w14:textId="77777777" w:rsidR="00910EB9" w:rsidRDefault="00910EB9">
      <w:pPr>
        <w:ind w:left="720" w:firstLine="720"/>
      </w:pPr>
    </w:p>
    <w:p w14:paraId="02E12DE4" w14:textId="77777777" w:rsidR="00910EB9" w:rsidRDefault="006E4A1B">
      <w:pPr>
        <w:ind w:left="720" w:hanging="720"/>
      </w:pPr>
      <w:r>
        <w:t>9.4</w:t>
      </w:r>
      <w:r>
        <w:tab/>
        <w:t>If requested by the Buyer, the Supplier will provide the following to show compliance with this clause:</w:t>
      </w:r>
    </w:p>
    <w:p w14:paraId="02E12DE5" w14:textId="77777777" w:rsidR="00910EB9" w:rsidRDefault="00910EB9">
      <w:pPr>
        <w:ind w:firstLine="720"/>
      </w:pPr>
    </w:p>
    <w:p w14:paraId="02E12DE6" w14:textId="77777777" w:rsidR="00910EB9" w:rsidRDefault="006E4A1B">
      <w:pPr>
        <w:ind w:firstLine="720"/>
      </w:pPr>
      <w:r>
        <w:t>9.4.1</w:t>
      </w:r>
      <w:r>
        <w:tab/>
        <w:t>a broker's verification of insurance</w:t>
      </w:r>
    </w:p>
    <w:p w14:paraId="02E12DE7" w14:textId="77777777" w:rsidR="00910EB9" w:rsidRDefault="00910EB9">
      <w:pPr>
        <w:ind w:firstLine="720"/>
      </w:pPr>
    </w:p>
    <w:p w14:paraId="02E12DE8" w14:textId="77777777" w:rsidR="00910EB9" w:rsidRDefault="006E4A1B">
      <w:pPr>
        <w:ind w:firstLine="720"/>
      </w:pPr>
      <w:r>
        <w:t>9.4.2</w:t>
      </w:r>
      <w:r>
        <w:tab/>
        <w:t>receipts for the insurance premium</w:t>
      </w:r>
    </w:p>
    <w:p w14:paraId="02E12DE9" w14:textId="77777777" w:rsidR="00910EB9" w:rsidRDefault="00910EB9">
      <w:pPr>
        <w:ind w:firstLine="720"/>
      </w:pPr>
    </w:p>
    <w:p w14:paraId="02E12DEA" w14:textId="77777777" w:rsidR="00910EB9" w:rsidRDefault="006E4A1B">
      <w:pPr>
        <w:ind w:firstLine="720"/>
      </w:pPr>
      <w:r>
        <w:t>9.4.3</w:t>
      </w:r>
      <w:r>
        <w:tab/>
        <w:t>evidence of payment of the latest premiums due</w:t>
      </w:r>
    </w:p>
    <w:p w14:paraId="02E12DEB" w14:textId="77777777" w:rsidR="00910EB9" w:rsidRDefault="00910EB9">
      <w:pPr>
        <w:ind w:firstLine="720"/>
      </w:pPr>
    </w:p>
    <w:p w14:paraId="02E12DEC" w14:textId="77777777" w:rsidR="00910EB9" w:rsidRDefault="006E4A1B">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02E12DED" w14:textId="77777777" w:rsidR="00910EB9" w:rsidRDefault="00910EB9">
      <w:pPr>
        <w:ind w:firstLine="720"/>
      </w:pPr>
    </w:p>
    <w:p w14:paraId="02E12DEE" w14:textId="77777777" w:rsidR="00910EB9" w:rsidRDefault="006E4A1B">
      <w:pPr>
        <w:ind w:left="1440" w:hanging="720"/>
      </w:pPr>
      <w:r>
        <w:t>9.5.1</w:t>
      </w:r>
      <w:r>
        <w:tab/>
        <w:t>take all risk control measures using Good Industry Practice, including the investigation and reports of claims to insurers</w:t>
      </w:r>
    </w:p>
    <w:p w14:paraId="02E12DEF" w14:textId="77777777" w:rsidR="00910EB9" w:rsidRDefault="00910EB9">
      <w:pPr>
        <w:ind w:left="720" w:firstLine="720"/>
      </w:pPr>
    </w:p>
    <w:p w14:paraId="02E12DF0" w14:textId="77777777" w:rsidR="00910EB9" w:rsidRDefault="006E4A1B">
      <w:pPr>
        <w:ind w:left="1440" w:hanging="720"/>
      </w:pPr>
      <w:r>
        <w:t>9.5.2</w:t>
      </w:r>
      <w:r>
        <w:tab/>
        <w:t>promptly notify the insurers in writing of any relevant material fact under any Insurances</w:t>
      </w:r>
    </w:p>
    <w:p w14:paraId="02E12DF1" w14:textId="77777777" w:rsidR="00910EB9" w:rsidRDefault="00910EB9">
      <w:pPr>
        <w:ind w:firstLine="720"/>
      </w:pPr>
    </w:p>
    <w:p w14:paraId="02E12DF2" w14:textId="77777777" w:rsidR="00910EB9" w:rsidRDefault="006E4A1B">
      <w:pPr>
        <w:ind w:left="1440" w:hanging="720"/>
      </w:pPr>
      <w:r>
        <w:t>9.5.3</w:t>
      </w:r>
      <w:r>
        <w:tab/>
        <w:t>hold all insurance policies and require any broker arranging the insurance to hold any insurance slips and other evidence of insurance</w:t>
      </w:r>
    </w:p>
    <w:p w14:paraId="02E12DF3" w14:textId="77777777" w:rsidR="00910EB9" w:rsidRDefault="006E4A1B">
      <w:r>
        <w:t xml:space="preserve"> </w:t>
      </w:r>
    </w:p>
    <w:p w14:paraId="02E12DF4" w14:textId="77777777" w:rsidR="00910EB9" w:rsidRDefault="006E4A1B">
      <w:pPr>
        <w:ind w:left="720" w:hanging="720"/>
      </w:pPr>
      <w:r>
        <w:t>9.6</w:t>
      </w:r>
      <w:r>
        <w:tab/>
        <w:t>The Supplier will not do or omit to do anything, which would destroy or impair the legal validity of the insurance.</w:t>
      </w:r>
    </w:p>
    <w:p w14:paraId="02E12DF5" w14:textId="77777777" w:rsidR="00910EB9" w:rsidRDefault="00910EB9">
      <w:pPr>
        <w:ind w:firstLine="720"/>
      </w:pPr>
    </w:p>
    <w:p w14:paraId="02E12DF6" w14:textId="77777777" w:rsidR="00910EB9" w:rsidRDefault="006E4A1B">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02E12DF7" w14:textId="77777777" w:rsidR="00910EB9" w:rsidRDefault="00910EB9">
      <w:pPr>
        <w:ind w:firstLine="720"/>
      </w:pPr>
    </w:p>
    <w:p w14:paraId="02E12DF8" w14:textId="77777777" w:rsidR="00910EB9" w:rsidRDefault="006E4A1B">
      <w:r>
        <w:t>9.8</w:t>
      </w:r>
      <w:r>
        <w:tab/>
        <w:t>The Supplier will be liable for the payment of any:</w:t>
      </w:r>
    </w:p>
    <w:p w14:paraId="02E12DF9" w14:textId="77777777" w:rsidR="00910EB9" w:rsidRDefault="00910EB9"/>
    <w:p w14:paraId="02E12DFA" w14:textId="77777777" w:rsidR="00910EB9" w:rsidRDefault="006E4A1B">
      <w:pPr>
        <w:ind w:firstLine="720"/>
      </w:pPr>
      <w:r>
        <w:t>9.8.1</w:t>
      </w:r>
      <w:r>
        <w:tab/>
        <w:t>premiums, which it will pay promptly</w:t>
      </w:r>
    </w:p>
    <w:p w14:paraId="02E12DFB" w14:textId="77777777" w:rsidR="00910EB9" w:rsidRDefault="006E4A1B">
      <w:pPr>
        <w:ind w:firstLine="720"/>
      </w:pPr>
      <w:r>
        <w:t>9.8.2</w:t>
      </w:r>
      <w:r>
        <w:tab/>
        <w:t>excess or deductibles and will not be entitled to recover this from the Buyer</w:t>
      </w:r>
    </w:p>
    <w:p w14:paraId="02E12DFC" w14:textId="77777777" w:rsidR="00910EB9" w:rsidRDefault="00910EB9">
      <w:pPr>
        <w:ind w:firstLine="720"/>
      </w:pPr>
    </w:p>
    <w:p w14:paraId="02E12DFD" w14:textId="77777777" w:rsidR="00910EB9" w:rsidRDefault="006E4A1B">
      <w:pPr>
        <w:pStyle w:val="Heading3"/>
        <w:spacing w:before="0" w:after="100"/>
        <w:rPr>
          <w:color w:val="auto"/>
        </w:rPr>
      </w:pPr>
      <w:r>
        <w:rPr>
          <w:color w:val="auto"/>
        </w:rPr>
        <w:t>10.</w:t>
      </w:r>
      <w:r>
        <w:rPr>
          <w:color w:val="auto"/>
        </w:rPr>
        <w:tab/>
        <w:t>Confidentiality</w:t>
      </w:r>
    </w:p>
    <w:p w14:paraId="02E12DFE" w14:textId="77777777" w:rsidR="00910EB9" w:rsidRDefault="006E4A1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2E12DFF" w14:textId="77777777" w:rsidR="00910EB9" w:rsidRDefault="00910EB9">
      <w:pPr>
        <w:ind w:left="720" w:hanging="720"/>
      </w:pPr>
    </w:p>
    <w:p w14:paraId="02E12E00" w14:textId="77777777" w:rsidR="00910EB9" w:rsidRDefault="006E4A1B">
      <w:pPr>
        <w:pStyle w:val="Heading3"/>
        <w:spacing w:before="0" w:after="100"/>
        <w:rPr>
          <w:color w:val="auto"/>
        </w:rPr>
      </w:pPr>
      <w:r>
        <w:rPr>
          <w:color w:val="auto"/>
        </w:rPr>
        <w:t>11.</w:t>
      </w:r>
      <w:r>
        <w:rPr>
          <w:color w:val="auto"/>
        </w:rPr>
        <w:tab/>
        <w:t>Intellectual Property Rights</w:t>
      </w:r>
    </w:p>
    <w:p w14:paraId="02E12E01" w14:textId="77777777" w:rsidR="00910EB9" w:rsidRDefault="006E4A1B">
      <w:pPr>
        <w:ind w:left="720" w:hanging="720"/>
      </w:pPr>
      <w:r>
        <w:t>11.1</w:t>
      </w:r>
      <w:r>
        <w:tab/>
        <w:t>Unless otherwise specified in this Call-Off Contract, a Party will not acquire any right, title or interest in or to the Intellectual Property Rights (IPRs) of the other Party or its Licensors.</w:t>
      </w:r>
    </w:p>
    <w:p w14:paraId="02E12E02" w14:textId="77777777" w:rsidR="00910EB9" w:rsidRDefault="00910EB9">
      <w:pPr>
        <w:ind w:left="720"/>
      </w:pPr>
    </w:p>
    <w:p w14:paraId="02E12E03" w14:textId="77777777" w:rsidR="00910EB9" w:rsidRDefault="006E4A1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2E12E04" w14:textId="77777777" w:rsidR="00910EB9" w:rsidRDefault="00910EB9">
      <w:pPr>
        <w:ind w:left="720"/>
      </w:pPr>
    </w:p>
    <w:p w14:paraId="02E12E05" w14:textId="77777777" w:rsidR="00910EB9" w:rsidRDefault="006E4A1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2E12E06" w14:textId="77777777" w:rsidR="00910EB9" w:rsidRDefault="00910EB9">
      <w:pPr>
        <w:ind w:left="720"/>
      </w:pPr>
    </w:p>
    <w:p w14:paraId="02E12E07" w14:textId="77777777" w:rsidR="00910EB9" w:rsidRDefault="006E4A1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2E12E08" w14:textId="77777777" w:rsidR="00910EB9" w:rsidRDefault="00910EB9">
      <w:pPr>
        <w:ind w:left="720"/>
      </w:pPr>
    </w:p>
    <w:p w14:paraId="02E12E09" w14:textId="77777777" w:rsidR="00910EB9" w:rsidRDefault="006E4A1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2E12E0A" w14:textId="77777777" w:rsidR="00910EB9" w:rsidRDefault="00910EB9">
      <w:pPr>
        <w:ind w:firstLine="720"/>
      </w:pPr>
    </w:p>
    <w:p w14:paraId="02E12E0B" w14:textId="77777777" w:rsidR="00910EB9" w:rsidRDefault="006E4A1B">
      <w:pPr>
        <w:ind w:firstLine="720"/>
      </w:pPr>
      <w:r>
        <w:t>11.5.1</w:t>
      </w:r>
      <w:r>
        <w:tab/>
        <w:t>rights granted to the Buyer under this Call-Off Contract</w:t>
      </w:r>
    </w:p>
    <w:p w14:paraId="02E12E0C" w14:textId="77777777" w:rsidR="00910EB9" w:rsidRDefault="00910EB9"/>
    <w:p w14:paraId="02E12E0D" w14:textId="77777777" w:rsidR="00910EB9" w:rsidRDefault="006E4A1B">
      <w:pPr>
        <w:ind w:firstLine="720"/>
      </w:pPr>
      <w:r>
        <w:t>11.5.2</w:t>
      </w:r>
      <w:r>
        <w:tab/>
        <w:t>Supplier’s performance of the Services</w:t>
      </w:r>
    </w:p>
    <w:p w14:paraId="02E12E0E" w14:textId="77777777" w:rsidR="00910EB9" w:rsidRDefault="00910EB9">
      <w:pPr>
        <w:ind w:firstLine="720"/>
      </w:pPr>
    </w:p>
    <w:p w14:paraId="02E12E0F" w14:textId="77777777" w:rsidR="00910EB9" w:rsidRDefault="006E4A1B">
      <w:pPr>
        <w:ind w:firstLine="720"/>
      </w:pPr>
      <w:r>
        <w:t>11.5.3</w:t>
      </w:r>
      <w:r>
        <w:tab/>
        <w:t>use by the Buyer of the Services</w:t>
      </w:r>
    </w:p>
    <w:p w14:paraId="02E12E10" w14:textId="77777777" w:rsidR="00910EB9" w:rsidRDefault="00910EB9">
      <w:pPr>
        <w:ind w:firstLine="720"/>
      </w:pPr>
    </w:p>
    <w:p w14:paraId="02E12E11" w14:textId="77777777" w:rsidR="00910EB9" w:rsidRDefault="006E4A1B">
      <w:pPr>
        <w:ind w:left="720" w:hanging="720"/>
      </w:pPr>
      <w:r>
        <w:t>11.6</w:t>
      </w:r>
      <w:r>
        <w:tab/>
        <w:t>If an IPR Claim is made, or is likely to be made, the Supplier will immediately notify the Buyer in writing and must at its own expense after written approval from the Buyer, either:</w:t>
      </w:r>
    </w:p>
    <w:p w14:paraId="02E12E12" w14:textId="77777777" w:rsidR="00910EB9" w:rsidRDefault="00910EB9">
      <w:pPr>
        <w:ind w:firstLine="720"/>
      </w:pPr>
    </w:p>
    <w:p w14:paraId="02E12E13" w14:textId="77777777" w:rsidR="00910EB9" w:rsidRDefault="006E4A1B">
      <w:pPr>
        <w:ind w:left="1440" w:hanging="720"/>
      </w:pPr>
      <w:r>
        <w:t>11.6.1</w:t>
      </w:r>
      <w:r>
        <w:tab/>
        <w:t>modify the relevant part of the Services without reducing its functionality or performance</w:t>
      </w:r>
    </w:p>
    <w:p w14:paraId="02E12E14" w14:textId="77777777" w:rsidR="00910EB9" w:rsidRDefault="00910EB9">
      <w:pPr>
        <w:ind w:left="720" w:firstLine="720"/>
      </w:pPr>
    </w:p>
    <w:p w14:paraId="02E12E15" w14:textId="77777777" w:rsidR="00910EB9" w:rsidRDefault="006E4A1B">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2E12E16" w14:textId="77777777" w:rsidR="00910EB9" w:rsidRDefault="00910EB9">
      <w:pPr>
        <w:ind w:left="1440"/>
      </w:pPr>
    </w:p>
    <w:p w14:paraId="02E12E17" w14:textId="77777777" w:rsidR="00910EB9" w:rsidRDefault="006E4A1B">
      <w:pPr>
        <w:ind w:left="1440" w:hanging="720"/>
      </w:pPr>
      <w:r>
        <w:t>11.6.3</w:t>
      </w:r>
      <w:r>
        <w:tab/>
        <w:t>buy a licence to use and supply the Services which are the subject of the alleged infringement, on terms acceptable to the Buyer</w:t>
      </w:r>
    </w:p>
    <w:p w14:paraId="02E12E18" w14:textId="77777777" w:rsidR="00910EB9" w:rsidRDefault="00910EB9">
      <w:pPr>
        <w:ind w:left="720" w:firstLine="720"/>
      </w:pPr>
    </w:p>
    <w:p w14:paraId="02E12E19" w14:textId="77777777" w:rsidR="00910EB9" w:rsidRDefault="006E4A1B">
      <w:r>
        <w:t>11.7</w:t>
      </w:r>
      <w:r>
        <w:tab/>
        <w:t>Clause 11.5 will not apply if the IPR Claim is from:</w:t>
      </w:r>
    </w:p>
    <w:p w14:paraId="02E12E1A" w14:textId="77777777" w:rsidR="00910EB9" w:rsidRDefault="00910EB9"/>
    <w:p w14:paraId="02E12E1B" w14:textId="77777777" w:rsidR="00910EB9" w:rsidRDefault="006E4A1B">
      <w:pPr>
        <w:ind w:left="1440" w:hanging="720"/>
      </w:pPr>
      <w:r>
        <w:t>11.7.2</w:t>
      </w:r>
      <w:r>
        <w:tab/>
        <w:t>the use of data supplied by the Buyer which the Supplier isn’t required to verify under this Call-Off Contract</w:t>
      </w:r>
    </w:p>
    <w:p w14:paraId="02E12E1C" w14:textId="77777777" w:rsidR="00910EB9" w:rsidRDefault="00910EB9">
      <w:pPr>
        <w:ind w:left="720" w:firstLine="720"/>
      </w:pPr>
    </w:p>
    <w:p w14:paraId="02E12E1D" w14:textId="77777777" w:rsidR="00910EB9" w:rsidRDefault="006E4A1B">
      <w:pPr>
        <w:ind w:firstLine="720"/>
      </w:pPr>
      <w:r>
        <w:t>11.7.3</w:t>
      </w:r>
      <w:r>
        <w:tab/>
        <w:t>other material provided by the Buyer necessary for the Services</w:t>
      </w:r>
    </w:p>
    <w:p w14:paraId="02E12E1E" w14:textId="77777777" w:rsidR="00910EB9" w:rsidRDefault="00910EB9">
      <w:pPr>
        <w:ind w:firstLine="720"/>
      </w:pPr>
    </w:p>
    <w:p w14:paraId="02E12E1F" w14:textId="77777777" w:rsidR="00910EB9" w:rsidRDefault="006E4A1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2E12E20" w14:textId="77777777" w:rsidR="00910EB9" w:rsidRDefault="00910EB9">
      <w:pPr>
        <w:ind w:left="720" w:hanging="720"/>
      </w:pPr>
    </w:p>
    <w:p w14:paraId="02E12E21" w14:textId="77777777" w:rsidR="00910EB9" w:rsidRDefault="006E4A1B">
      <w:pPr>
        <w:pStyle w:val="Heading3"/>
        <w:rPr>
          <w:color w:val="auto"/>
        </w:rPr>
      </w:pPr>
      <w:r>
        <w:rPr>
          <w:color w:val="auto"/>
        </w:rPr>
        <w:t>12.</w:t>
      </w:r>
      <w:r>
        <w:rPr>
          <w:color w:val="auto"/>
        </w:rPr>
        <w:tab/>
        <w:t>Protection of information</w:t>
      </w:r>
    </w:p>
    <w:p w14:paraId="02E12E22" w14:textId="77777777" w:rsidR="00910EB9" w:rsidRDefault="006E4A1B">
      <w:pPr>
        <w:spacing w:before="240" w:after="240"/>
      </w:pPr>
      <w:r>
        <w:t>12.1</w:t>
      </w:r>
      <w:r>
        <w:tab/>
        <w:t>The Supplier must:</w:t>
      </w:r>
    </w:p>
    <w:p w14:paraId="02E12E23" w14:textId="77777777" w:rsidR="00910EB9" w:rsidRDefault="006E4A1B">
      <w:pPr>
        <w:ind w:left="1440" w:hanging="720"/>
      </w:pPr>
      <w:r>
        <w:t>12.1.1</w:t>
      </w:r>
      <w:r>
        <w:tab/>
        <w:t>comply with the Buyer’s written instructions and this Call-Off Contract when Processing Buyer Personal Data</w:t>
      </w:r>
    </w:p>
    <w:p w14:paraId="02E12E24" w14:textId="77777777" w:rsidR="00910EB9" w:rsidRDefault="00910EB9">
      <w:pPr>
        <w:ind w:left="720" w:firstLine="720"/>
      </w:pPr>
    </w:p>
    <w:p w14:paraId="02E12E25" w14:textId="77777777" w:rsidR="00910EB9" w:rsidRDefault="006E4A1B">
      <w:pPr>
        <w:ind w:left="1440" w:hanging="720"/>
      </w:pPr>
      <w:r>
        <w:t>12.1.2</w:t>
      </w:r>
      <w:r>
        <w:tab/>
        <w:t>only Process the Buyer Personal Data as necessary for the provision of the G-Cloud Services or as required by Law or any Regulatory Body</w:t>
      </w:r>
    </w:p>
    <w:p w14:paraId="02E12E26" w14:textId="77777777" w:rsidR="00910EB9" w:rsidRDefault="00910EB9">
      <w:pPr>
        <w:ind w:left="720" w:firstLine="720"/>
      </w:pPr>
    </w:p>
    <w:p w14:paraId="02E12E27" w14:textId="77777777" w:rsidR="00910EB9" w:rsidRDefault="006E4A1B">
      <w:pPr>
        <w:ind w:left="1440" w:hanging="720"/>
      </w:pPr>
      <w:r>
        <w:t>12.1.3</w:t>
      </w:r>
      <w:r>
        <w:tab/>
        <w:t>take reasonable steps to ensure that any Supplier Staff who have access to Buyer Personal Data act in compliance with Supplier's security processes</w:t>
      </w:r>
    </w:p>
    <w:p w14:paraId="02E12E28" w14:textId="77777777" w:rsidR="00910EB9" w:rsidRDefault="00910EB9">
      <w:pPr>
        <w:ind w:left="720" w:firstLine="720"/>
      </w:pPr>
    </w:p>
    <w:p w14:paraId="02E12E29" w14:textId="77777777" w:rsidR="00910EB9" w:rsidRDefault="006E4A1B">
      <w:pPr>
        <w:ind w:left="720" w:hanging="720"/>
      </w:pPr>
      <w:r>
        <w:t>12.2</w:t>
      </w:r>
      <w:r>
        <w:tab/>
        <w:t>The Supplier must fully assist with any complaint or request for Buyer Personal Data including by:</w:t>
      </w:r>
    </w:p>
    <w:p w14:paraId="02E12E2A" w14:textId="77777777" w:rsidR="00910EB9" w:rsidRDefault="00910EB9">
      <w:pPr>
        <w:ind w:firstLine="720"/>
      </w:pPr>
    </w:p>
    <w:p w14:paraId="02E12E2B" w14:textId="77777777" w:rsidR="00910EB9" w:rsidRDefault="006E4A1B">
      <w:pPr>
        <w:ind w:firstLine="720"/>
      </w:pPr>
      <w:r>
        <w:t>12.2.1</w:t>
      </w:r>
      <w:r>
        <w:tab/>
        <w:t>providing the Buyer with full details of the complaint or request</w:t>
      </w:r>
    </w:p>
    <w:p w14:paraId="02E12E2C" w14:textId="77777777" w:rsidR="00910EB9" w:rsidRDefault="00910EB9">
      <w:pPr>
        <w:ind w:firstLine="720"/>
      </w:pPr>
    </w:p>
    <w:p w14:paraId="02E12E2D" w14:textId="77777777" w:rsidR="00910EB9" w:rsidRDefault="006E4A1B">
      <w:pPr>
        <w:ind w:left="1440" w:hanging="720"/>
      </w:pPr>
      <w:r>
        <w:t>12.2.2</w:t>
      </w:r>
      <w:r>
        <w:tab/>
        <w:t>complying with a data access request within the timescales in the Data Protection Legislation and following the Buyer’s instructions</w:t>
      </w:r>
    </w:p>
    <w:p w14:paraId="02E12E2E" w14:textId="77777777" w:rsidR="00910EB9" w:rsidRDefault="00910EB9"/>
    <w:p w14:paraId="02E12E2F" w14:textId="77777777" w:rsidR="00910EB9" w:rsidRDefault="006E4A1B">
      <w:pPr>
        <w:ind w:left="1440" w:hanging="720"/>
      </w:pPr>
      <w:r>
        <w:t>12.2.3</w:t>
      </w:r>
      <w:r>
        <w:tab/>
        <w:t>providing the Buyer with any Buyer Personal Data it holds about a Data Subject (within the timescales required by the Buyer)</w:t>
      </w:r>
    </w:p>
    <w:p w14:paraId="02E12E30" w14:textId="77777777" w:rsidR="00910EB9" w:rsidRDefault="00910EB9">
      <w:pPr>
        <w:ind w:left="720" w:firstLine="720"/>
      </w:pPr>
    </w:p>
    <w:p w14:paraId="02E12E31" w14:textId="77777777" w:rsidR="00910EB9" w:rsidRDefault="006E4A1B">
      <w:pPr>
        <w:ind w:firstLine="720"/>
      </w:pPr>
      <w:r>
        <w:t>12.2.4</w:t>
      </w:r>
      <w:r>
        <w:tab/>
        <w:t>providing the Buyer with any information requested by the Data Subject</w:t>
      </w:r>
    </w:p>
    <w:p w14:paraId="02E12E32" w14:textId="77777777" w:rsidR="00910EB9" w:rsidRDefault="00910EB9">
      <w:pPr>
        <w:ind w:firstLine="720"/>
      </w:pPr>
    </w:p>
    <w:p w14:paraId="02E12E33" w14:textId="77777777" w:rsidR="00910EB9" w:rsidRDefault="006E4A1B">
      <w:pPr>
        <w:ind w:left="720" w:hanging="720"/>
      </w:pPr>
      <w:r>
        <w:t>12.3</w:t>
      </w:r>
      <w:r>
        <w:tab/>
        <w:t>The Supplier must get prior written consent from the Buyer to transfer Buyer Personal Data to any other person (including any Subcontractors) for the provision of the G-Cloud Services.</w:t>
      </w:r>
    </w:p>
    <w:p w14:paraId="02E12E34" w14:textId="77777777" w:rsidR="00910EB9" w:rsidRDefault="00910EB9">
      <w:pPr>
        <w:ind w:left="720" w:hanging="720"/>
      </w:pPr>
    </w:p>
    <w:p w14:paraId="02E12E35" w14:textId="77777777" w:rsidR="00910EB9" w:rsidRDefault="006E4A1B">
      <w:pPr>
        <w:pStyle w:val="Heading3"/>
        <w:rPr>
          <w:color w:val="auto"/>
        </w:rPr>
      </w:pPr>
      <w:r>
        <w:rPr>
          <w:color w:val="auto"/>
        </w:rPr>
        <w:lastRenderedPageBreak/>
        <w:t>13.</w:t>
      </w:r>
      <w:r>
        <w:rPr>
          <w:color w:val="auto"/>
        </w:rPr>
        <w:tab/>
        <w:t>Buyer data</w:t>
      </w:r>
    </w:p>
    <w:p w14:paraId="02E12E36" w14:textId="77777777" w:rsidR="00910EB9" w:rsidRDefault="006E4A1B">
      <w:pPr>
        <w:spacing w:before="240" w:after="240"/>
      </w:pPr>
      <w:r>
        <w:t>13.1</w:t>
      </w:r>
      <w:r>
        <w:tab/>
        <w:t>The Supplier must not remove any proprietary notices in the Buyer Data.</w:t>
      </w:r>
    </w:p>
    <w:p w14:paraId="02E12E37" w14:textId="77777777" w:rsidR="00910EB9" w:rsidRDefault="006E4A1B">
      <w:r>
        <w:t>13.2</w:t>
      </w:r>
      <w:r>
        <w:tab/>
        <w:t>The Supplier will not store or use Buyer Data except if necessary to fulfil its</w:t>
      </w:r>
    </w:p>
    <w:p w14:paraId="02E12E38" w14:textId="77777777" w:rsidR="00910EB9" w:rsidRDefault="006E4A1B">
      <w:pPr>
        <w:ind w:firstLine="720"/>
      </w:pPr>
      <w:r>
        <w:t>obligations.</w:t>
      </w:r>
    </w:p>
    <w:p w14:paraId="02E12E39" w14:textId="77777777" w:rsidR="00910EB9" w:rsidRDefault="00910EB9"/>
    <w:p w14:paraId="02E12E3A" w14:textId="77777777" w:rsidR="00910EB9" w:rsidRDefault="006E4A1B">
      <w:pPr>
        <w:ind w:left="720" w:hanging="720"/>
      </w:pPr>
      <w:r>
        <w:t>13.3</w:t>
      </w:r>
      <w:r>
        <w:tab/>
        <w:t>If Buyer Data is processed by the Supplier, the Supplier will supply the data to the Buyer as requested.</w:t>
      </w:r>
    </w:p>
    <w:p w14:paraId="02E12E3B" w14:textId="77777777" w:rsidR="00910EB9" w:rsidRDefault="00910EB9"/>
    <w:p w14:paraId="02E12E3C" w14:textId="77777777" w:rsidR="00910EB9" w:rsidRDefault="006E4A1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2E12E3D" w14:textId="77777777" w:rsidR="00910EB9" w:rsidRDefault="00910EB9">
      <w:pPr>
        <w:ind w:left="720"/>
      </w:pPr>
    </w:p>
    <w:p w14:paraId="02E12E3E" w14:textId="77777777" w:rsidR="00910EB9" w:rsidRDefault="006E4A1B">
      <w:pPr>
        <w:ind w:left="720" w:hanging="720"/>
      </w:pPr>
      <w:r>
        <w:t>13.5</w:t>
      </w:r>
      <w:r>
        <w:tab/>
        <w:t>The Supplier will preserve the integrity of Buyer Data processed by the Supplier and prevent its corruption and loss.</w:t>
      </w:r>
    </w:p>
    <w:p w14:paraId="02E12E3F" w14:textId="77777777" w:rsidR="00910EB9" w:rsidRDefault="00910EB9">
      <w:pPr>
        <w:ind w:firstLine="720"/>
      </w:pPr>
    </w:p>
    <w:p w14:paraId="02E12E40" w14:textId="77777777" w:rsidR="00910EB9" w:rsidRDefault="006E4A1B">
      <w:pPr>
        <w:ind w:left="720" w:hanging="720"/>
      </w:pPr>
      <w:r>
        <w:t>13.6</w:t>
      </w:r>
      <w:r>
        <w:tab/>
        <w:t>The Supplier will ensure that any Supplier system which holds any protectively marked Buyer Data or other government data will comply with:</w:t>
      </w:r>
    </w:p>
    <w:p w14:paraId="02E12E41" w14:textId="77777777" w:rsidR="00910EB9" w:rsidRDefault="00910EB9">
      <w:pPr>
        <w:ind w:firstLine="720"/>
      </w:pPr>
    </w:p>
    <w:p w14:paraId="02E12E42" w14:textId="77777777" w:rsidR="00910EB9" w:rsidRDefault="006E4A1B">
      <w:pPr>
        <w:ind w:firstLine="720"/>
      </w:pPr>
      <w:r>
        <w:t>13.6.1</w:t>
      </w:r>
      <w:r>
        <w:tab/>
        <w:t>the principles in the Security Policy Framework:</w:t>
      </w:r>
      <w:hyperlink r:id="rId15" w:history="1">
        <w:r>
          <w:rPr>
            <w:u w:val="single"/>
          </w:rPr>
          <w:t xml:space="preserve"> </w:t>
        </w:r>
      </w:hyperlink>
    </w:p>
    <w:p w14:paraId="02E12E43" w14:textId="77777777" w:rsidR="00910EB9" w:rsidRDefault="00611140">
      <w:pPr>
        <w:ind w:left="1440"/>
      </w:pPr>
      <w:hyperlink r:id="rId16" w:history="1">
        <w:r w:rsidR="006E4A1B">
          <w:rPr>
            <w:rStyle w:val="Hyperlink"/>
          </w:rPr>
          <w:t>https://www.gov.uk/government/publications/security-policy-framework</w:t>
        </w:r>
      </w:hyperlink>
      <w:r w:rsidR="006E4A1B">
        <w:rPr>
          <w:rStyle w:val="Hyperlink"/>
          <w:color w:val="auto"/>
        </w:rPr>
        <w:t xml:space="preserve"> and</w:t>
      </w:r>
    </w:p>
    <w:p w14:paraId="02E12E44" w14:textId="77777777" w:rsidR="00910EB9" w:rsidRDefault="006E4A1B">
      <w:pPr>
        <w:ind w:left="1440"/>
      </w:pPr>
      <w:r>
        <w:t>the Government Security Classification policy:</w:t>
      </w:r>
      <w:r>
        <w:rPr>
          <w:u w:val="single"/>
        </w:rPr>
        <w:t xml:space="preserve"> https:/www.gov.uk/government/publications/government-security-classifications</w:t>
      </w:r>
    </w:p>
    <w:p w14:paraId="02E12E45" w14:textId="77777777" w:rsidR="00910EB9" w:rsidRDefault="00910EB9">
      <w:pPr>
        <w:ind w:left="1440"/>
      </w:pPr>
    </w:p>
    <w:p w14:paraId="02E12E46" w14:textId="77777777" w:rsidR="00910EB9" w:rsidRDefault="006E4A1B">
      <w:pPr>
        <w:ind w:firstLine="720"/>
      </w:pPr>
      <w:r>
        <w:t>13.6.2</w:t>
      </w:r>
      <w:r>
        <w:tab/>
        <w:t>guidance issued by the Centre for Protection of National Infrastructure on</w:t>
      </w:r>
    </w:p>
    <w:p w14:paraId="02E12E47" w14:textId="77777777" w:rsidR="00910EB9" w:rsidRDefault="006E4A1B">
      <w:pPr>
        <w:ind w:left="720" w:firstLine="720"/>
      </w:pPr>
      <w:r>
        <w:t>Risk Management:</w:t>
      </w:r>
    </w:p>
    <w:p w14:paraId="02E12E48" w14:textId="77777777" w:rsidR="00910EB9" w:rsidRDefault="00611140">
      <w:pPr>
        <w:ind w:left="720" w:firstLine="720"/>
      </w:pPr>
      <w:hyperlink r:id="rId17" w:history="1">
        <w:r w:rsidR="006E4A1B">
          <w:rPr>
            <w:u w:val="single"/>
          </w:rPr>
          <w:t>https://www.cpni.gov.uk/content/adopt-risk-management-approach</w:t>
        </w:r>
      </w:hyperlink>
      <w:r w:rsidR="006E4A1B">
        <w:t xml:space="preserve"> and</w:t>
      </w:r>
    </w:p>
    <w:p w14:paraId="02E12E49" w14:textId="77777777" w:rsidR="00910EB9" w:rsidRDefault="006E4A1B">
      <w:pPr>
        <w:ind w:left="720" w:firstLine="720"/>
      </w:pPr>
      <w:r>
        <w:t>Protection of Sensitive Information and Assets:</w:t>
      </w:r>
      <w:hyperlink r:id="rId18" w:history="1">
        <w:r>
          <w:rPr>
            <w:u w:val="single"/>
          </w:rPr>
          <w:t xml:space="preserve"> </w:t>
        </w:r>
      </w:hyperlink>
    </w:p>
    <w:p w14:paraId="02E12E4A" w14:textId="77777777" w:rsidR="00910EB9" w:rsidRDefault="00611140">
      <w:pPr>
        <w:ind w:left="720" w:firstLine="720"/>
      </w:pPr>
      <w:hyperlink r:id="rId19" w:history="1">
        <w:r w:rsidR="006E4A1B">
          <w:rPr>
            <w:u w:val="single"/>
          </w:rPr>
          <w:t>https://www.cpni.gov.uk/protection-sensitive-information-and-assets</w:t>
        </w:r>
      </w:hyperlink>
    </w:p>
    <w:p w14:paraId="02E12E4B" w14:textId="77777777" w:rsidR="00910EB9" w:rsidRDefault="00910EB9">
      <w:pPr>
        <w:ind w:left="720" w:firstLine="720"/>
      </w:pPr>
    </w:p>
    <w:p w14:paraId="02E12E4C" w14:textId="77777777" w:rsidR="00910EB9" w:rsidRDefault="006E4A1B">
      <w:pPr>
        <w:ind w:left="1440" w:hanging="720"/>
      </w:pPr>
      <w:r>
        <w:t>13.6.3</w:t>
      </w:r>
      <w:r>
        <w:tab/>
        <w:t>the National Cyber Security Centre’s (NCSC) information risk management guidance:</w:t>
      </w:r>
    </w:p>
    <w:p w14:paraId="02E12E4D" w14:textId="77777777" w:rsidR="00910EB9" w:rsidRDefault="00611140">
      <w:pPr>
        <w:ind w:left="720" w:firstLine="720"/>
      </w:pPr>
      <w:hyperlink r:id="rId20" w:history="1">
        <w:r w:rsidR="006E4A1B">
          <w:rPr>
            <w:u w:val="single"/>
          </w:rPr>
          <w:t>https://www.ncsc.gov.uk/collection/risk-management-collection</w:t>
        </w:r>
      </w:hyperlink>
    </w:p>
    <w:p w14:paraId="02E12E4E" w14:textId="77777777" w:rsidR="00910EB9" w:rsidRDefault="00910EB9"/>
    <w:p w14:paraId="02E12E4F" w14:textId="77777777" w:rsidR="00910EB9" w:rsidRDefault="006E4A1B">
      <w:pPr>
        <w:ind w:left="1440" w:hanging="720"/>
      </w:pPr>
      <w:r>
        <w:t>13.6.4</w:t>
      </w:r>
      <w:r>
        <w:tab/>
        <w:t>government best practice in the design and implementation of system components, including network principles, security design principles for digital services and the secure email blueprint:</w:t>
      </w:r>
    </w:p>
    <w:p w14:paraId="02E12E50" w14:textId="77777777" w:rsidR="00910EB9" w:rsidRDefault="00611140">
      <w:pPr>
        <w:ind w:left="1440"/>
      </w:pPr>
      <w:hyperlink r:id="rId21" w:history="1">
        <w:r w:rsidR="006E4A1B">
          <w:rPr>
            <w:rStyle w:val="Hyperlink"/>
            <w:color w:val="auto"/>
          </w:rPr>
          <w:t>https://www.gov.uk/government/publications/technology-code-of-practice/technology-code-of-practice</w:t>
        </w:r>
      </w:hyperlink>
    </w:p>
    <w:p w14:paraId="02E12E51" w14:textId="77777777" w:rsidR="00910EB9" w:rsidRDefault="00910EB9">
      <w:pPr>
        <w:ind w:left="1440"/>
      </w:pPr>
    </w:p>
    <w:p w14:paraId="02E12E52" w14:textId="77777777" w:rsidR="00910EB9" w:rsidRDefault="006E4A1B">
      <w:pPr>
        <w:ind w:left="1440" w:hanging="720"/>
      </w:pPr>
      <w:r>
        <w:t>13.6.5</w:t>
      </w:r>
      <w:r>
        <w:tab/>
        <w:t>the security requirements of cloud services using the NCSC Cloud Security Principles and accompanying guidance:</w:t>
      </w:r>
      <w:hyperlink r:id="rId22" w:history="1">
        <w:r>
          <w:rPr>
            <w:u w:val="single"/>
          </w:rPr>
          <w:t xml:space="preserve"> </w:t>
        </w:r>
      </w:hyperlink>
    </w:p>
    <w:p w14:paraId="02E12E53" w14:textId="77777777" w:rsidR="00910EB9" w:rsidRDefault="00611140">
      <w:pPr>
        <w:ind w:left="720" w:firstLine="720"/>
      </w:pPr>
      <w:hyperlink r:id="rId23" w:history="1">
        <w:r w:rsidR="006E4A1B">
          <w:rPr>
            <w:rStyle w:val="Hyperlink"/>
            <w:color w:val="auto"/>
          </w:rPr>
          <w:t>https://www.ncsc.gov.uk/guidance/implementing-cloud-security-principles</w:t>
        </w:r>
      </w:hyperlink>
    </w:p>
    <w:p w14:paraId="02E12E54" w14:textId="77777777" w:rsidR="00910EB9" w:rsidRDefault="00910EB9"/>
    <w:p w14:paraId="02E12E55" w14:textId="77777777" w:rsidR="00910EB9" w:rsidRDefault="006E4A1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02E12E56" w14:textId="77777777" w:rsidR="00910EB9" w:rsidRDefault="00910EB9"/>
    <w:p w14:paraId="02E12E57" w14:textId="77777777" w:rsidR="00910EB9" w:rsidRDefault="006E4A1B">
      <w:r>
        <w:t>13.7</w:t>
      </w:r>
      <w:r>
        <w:tab/>
        <w:t>The Buyer will specify any security requirements for this project in the Order Form.</w:t>
      </w:r>
    </w:p>
    <w:p w14:paraId="02E12E58" w14:textId="77777777" w:rsidR="00910EB9" w:rsidRDefault="00910EB9"/>
    <w:p w14:paraId="02E12E59" w14:textId="77777777" w:rsidR="00910EB9" w:rsidRDefault="006E4A1B">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02E12E5A" w14:textId="77777777" w:rsidR="00910EB9" w:rsidRDefault="00910EB9">
      <w:pPr>
        <w:ind w:left="720"/>
      </w:pPr>
    </w:p>
    <w:p w14:paraId="02E12E5B" w14:textId="77777777" w:rsidR="00910EB9" w:rsidRDefault="006E4A1B">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2E12E5C" w14:textId="77777777" w:rsidR="00910EB9" w:rsidRDefault="00910EB9">
      <w:pPr>
        <w:ind w:left="720"/>
      </w:pPr>
    </w:p>
    <w:p w14:paraId="02E12E5D" w14:textId="77777777" w:rsidR="00910EB9" w:rsidRDefault="006E4A1B">
      <w:pPr>
        <w:ind w:left="720" w:hanging="720"/>
      </w:pPr>
      <w:r>
        <w:t>13.10</w:t>
      </w:r>
      <w:r>
        <w:tab/>
        <w:t>The provisions of this clause 13 will apply during the term of this Call-Off Contract and for as long as the Supplier holds the Buyer’s Data.</w:t>
      </w:r>
    </w:p>
    <w:p w14:paraId="02E12E5E" w14:textId="77777777" w:rsidR="00910EB9" w:rsidRDefault="00910EB9">
      <w:pPr>
        <w:spacing w:before="240" w:after="240"/>
      </w:pPr>
    </w:p>
    <w:p w14:paraId="02E12E5F" w14:textId="77777777" w:rsidR="00910EB9" w:rsidRDefault="006E4A1B">
      <w:pPr>
        <w:pStyle w:val="Heading3"/>
        <w:rPr>
          <w:color w:val="auto"/>
        </w:rPr>
      </w:pPr>
      <w:r>
        <w:rPr>
          <w:color w:val="auto"/>
        </w:rPr>
        <w:t>14.</w:t>
      </w:r>
      <w:r>
        <w:rPr>
          <w:color w:val="auto"/>
        </w:rPr>
        <w:tab/>
        <w:t>Standards and quality</w:t>
      </w:r>
    </w:p>
    <w:p w14:paraId="02E12E60" w14:textId="77777777" w:rsidR="00910EB9" w:rsidRDefault="006E4A1B">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2E12E61" w14:textId="77777777" w:rsidR="00910EB9" w:rsidRDefault="00910EB9">
      <w:pPr>
        <w:ind w:firstLine="720"/>
      </w:pPr>
    </w:p>
    <w:p w14:paraId="02E12E62" w14:textId="77777777" w:rsidR="00910EB9" w:rsidRDefault="006E4A1B">
      <w:pPr>
        <w:ind w:left="720" w:hanging="720"/>
      </w:pPr>
      <w:r>
        <w:t>14.2</w:t>
      </w:r>
      <w:r>
        <w:tab/>
        <w:t>The Supplier will deliver the Services in a way that enables the Buyer to comply with its obligations under the Technology Code of Practice, which is at:</w:t>
      </w:r>
      <w:hyperlink r:id="rId24" w:history="1">
        <w:r>
          <w:rPr>
            <w:u w:val="single"/>
          </w:rPr>
          <w:t xml:space="preserve"> </w:t>
        </w:r>
      </w:hyperlink>
    </w:p>
    <w:p w14:paraId="02E12E63" w14:textId="77777777" w:rsidR="00910EB9" w:rsidRDefault="00611140">
      <w:pPr>
        <w:ind w:left="720"/>
      </w:pPr>
      <w:hyperlink r:id="rId25" w:history="1">
        <w:r w:rsidR="006E4A1B">
          <w:rPr>
            <w:u w:val="single"/>
          </w:rPr>
          <w:t>https://www.gov.uk/government/publications/technology-code-of-practice/technology-code-of-practice</w:t>
        </w:r>
      </w:hyperlink>
    </w:p>
    <w:p w14:paraId="02E12E64" w14:textId="77777777" w:rsidR="00910EB9" w:rsidRDefault="00910EB9">
      <w:pPr>
        <w:ind w:left="720" w:hanging="720"/>
      </w:pPr>
    </w:p>
    <w:p w14:paraId="02E12E65" w14:textId="77777777" w:rsidR="00910EB9" w:rsidRDefault="006E4A1B">
      <w:pPr>
        <w:ind w:left="720" w:hanging="720"/>
      </w:pPr>
      <w:r>
        <w:t>14.3</w:t>
      </w:r>
      <w:r>
        <w:tab/>
        <w:t>If requested by the Buyer, the Supplier must, at its own cost, ensure that the G-Cloud Services comply with the requirements in the PSN Code of Practice.</w:t>
      </w:r>
    </w:p>
    <w:p w14:paraId="02E12E66" w14:textId="77777777" w:rsidR="00910EB9" w:rsidRDefault="00910EB9">
      <w:pPr>
        <w:ind w:firstLine="720"/>
      </w:pPr>
    </w:p>
    <w:p w14:paraId="02E12E67" w14:textId="77777777" w:rsidR="00910EB9" w:rsidRDefault="006E4A1B">
      <w:pPr>
        <w:ind w:left="720" w:hanging="720"/>
      </w:pPr>
      <w:r>
        <w:t>14.4</w:t>
      </w:r>
      <w:r>
        <w:tab/>
        <w:t>If any PSN Services are Subcontracted by the Supplier, the Supplier must ensure that the services have the relevant PSN compliance certification.</w:t>
      </w:r>
    </w:p>
    <w:p w14:paraId="02E12E68" w14:textId="77777777" w:rsidR="00910EB9" w:rsidRDefault="00910EB9">
      <w:pPr>
        <w:ind w:firstLine="720"/>
      </w:pPr>
    </w:p>
    <w:p w14:paraId="02E12E69" w14:textId="77777777" w:rsidR="00910EB9" w:rsidRDefault="006E4A1B">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02E12E6A" w14:textId="77777777" w:rsidR="00910EB9" w:rsidRDefault="006E4A1B">
      <w:r>
        <w:t xml:space="preserve"> </w:t>
      </w:r>
    </w:p>
    <w:p w14:paraId="02E12E6B" w14:textId="77777777" w:rsidR="00910EB9" w:rsidRDefault="006E4A1B">
      <w:pPr>
        <w:pStyle w:val="Heading3"/>
        <w:rPr>
          <w:color w:val="auto"/>
        </w:rPr>
      </w:pPr>
      <w:r>
        <w:rPr>
          <w:color w:val="auto"/>
        </w:rPr>
        <w:t>15.</w:t>
      </w:r>
      <w:r>
        <w:rPr>
          <w:color w:val="auto"/>
        </w:rPr>
        <w:tab/>
        <w:t>Open source</w:t>
      </w:r>
    </w:p>
    <w:p w14:paraId="02E12E6C" w14:textId="77777777" w:rsidR="00910EB9" w:rsidRDefault="006E4A1B">
      <w:pPr>
        <w:ind w:left="720" w:hanging="720"/>
      </w:pPr>
      <w:r>
        <w:t>15.1</w:t>
      </w:r>
      <w:r>
        <w:tab/>
        <w:t>All software created for the Buyer must be suitable for publication as open source, unless otherwise agreed by the Buyer.</w:t>
      </w:r>
    </w:p>
    <w:p w14:paraId="02E12E6D" w14:textId="77777777" w:rsidR="00910EB9" w:rsidRDefault="00910EB9">
      <w:pPr>
        <w:ind w:firstLine="720"/>
      </w:pPr>
    </w:p>
    <w:p w14:paraId="02E12E6E" w14:textId="77777777" w:rsidR="00910EB9" w:rsidRDefault="006E4A1B">
      <w:pPr>
        <w:ind w:left="720" w:hanging="720"/>
      </w:pPr>
      <w:r>
        <w:t>15.2</w:t>
      </w:r>
      <w:r>
        <w:tab/>
        <w:t>If software needs to be converted before publication as open source, the Supplier must also provide the converted format unless otherwise agreed by the Buyer.</w:t>
      </w:r>
    </w:p>
    <w:p w14:paraId="02E12E6F" w14:textId="77777777" w:rsidR="00910EB9" w:rsidRDefault="006E4A1B">
      <w:pPr>
        <w:spacing w:before="240" w:after="240"/>
        <w:ind w:left="720"/>
      </w:pPr>
      <w:r>
        <w:t xml:space="preserve"> </w:t>
      </w:r>
    </w:p>
    <w:p w14:paraId="02E12E70" w14:textId="77777777" w:rsidR="00910EB9" w:rsidRDefault="006E4A1B">
      <w:pPr>
        <w:pStyle w:val="Heading3"/>
        <w:rPr>
          <w:color w:val="auto"/>
        </w:rPr>
      </w:pPr>
      <w:r>
        <w:rPr>
          <w:color w:val="auto"/>
        </w:rPr>
        <w:t>16.</w:t>
      </w:r>
      <w:r>
        <w:rPr>
          <w:color w:val="auto"/>
        </w:rPr>
        <w:tab/>
        <w:t>Security</w:t>
      </w:r>
    </w:p>
    <w:p w14:paraId="02E12E71" w14:textId="77777777" w:rsidR="00910EB9" w:rsidRDefault="006E4A1B">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02E12E72" w14:textId="77777777" w:rsidR="00910EB9" w:rsidRDefault="00910EB9">
      <w:pPr>
        <w:ind w:left="720"/>
      </w:pPr>
    </w:p>
    <w:p w14:paraId="02E12E73" w14:textId="77777777" w:rsidR="00910EB9" w:rsidRDefault="006E4A1B">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02E12E74" w14:textId="77777777" w:rsidR="00910EB9" w:rsidRDefault="00910EB9">
      <w:pPr>
        <w:ind w:left="720"/>
      </w:pPr>
    </w:p>
    <w:p w14:paraId="02E12E75" w14:textId="77777777" w:rsidR="00910EB9" w:rsidRDefault="006E4A1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2E12E76" w14:textId="77777777" w:rsidR="00910EB9" w:rsidRDefault="00910EB9">
      <w:pPr>
        <w:ind w:firstLine="720"/>
      </w:pPr>
    </w:p>
    <w:p w14:paraId="02E12E77" w14:textId="77777777" w:rsidR="00910EB9" w:rsidRDefault="006E4A1B">
      <w:r>
        <w:t>16.4</w:t>
      </w:r>
      <w:r>
        <w:tab/>
        <w:t>Responsibility for costs will be at the:</w:t>
      </w:r>
    </w:p>
    <w:p w14:paraId="02E12E78" w14:textId="77777777" w:rsidR="00910EB9" w:rsidRDefault="006E4A1B">
      <w:r>
        <w:tab/>
      </w:r>
    </w:p>
    <w:p w14:paraId="02E12E79" w14:textId="77777777" w:rsidR="00910EB9" w:rsidRDefault="006E4A1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2E12E7A" w14:textId="77777777" w:rsidR="00910EB9" w:rsidRDefault="00910EB9">
      <w:pPr>
        <w:ind w:left="1440"/>
      </w:pPr>
    </w:p>
    <w:p w14:paraId="02E12E7B" w14:textId="77777777" w:rsidR="00910EB9" w:rsidRDefault="006E4A1B">
      <w:pPr>
        <w:ind w:left="1440" w:hanging="720"/>
      </w:pPr>
      <w:r>
        <w:t>16.4.2</w:t>
      </w:r>
      <w:r>
        <w:tab/>
        <w:t>Buyer’s expense if the Malicious Software originates from the Buyer software or the Service Data, while the Service Data was under the Buyer’s control</w:t>
      </w:r>
    </w:p>
    <w:p w14:paraId="02E12E7C" w14:textId="77777777" w:rsidR="00910EB9" w:rsidRDefault="00910EB9">
      <w:pPr>
        <w:ind w:left="720" w:firstLine="720"/>
      </w:pPr>
    </w:p>
    <w:p w14:paraId="02E12E7D" w14:textId="77777777" w:rsidR="00910EB9" w:rsidRDefault="006E4A1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2E12E7E" w14:textId="77777777" w:rsidR="00910EB9" w:rsidRDefault="00910EB9">
      <w:pPr>
        <w:ind w:left="720"/>
      </w:pPr>
    </w:p>
    <w:p w14:paraId="02E12E7F" w14:textId="77777777" w:rsidR="00910EB9" w:rsidRDefault="006E4A1B">
      <w:pPr>
        <w:ind w:left="720" w:hanging="720"/>
      </w:pPr>
      <w:r>
        <w:t>16.6</w:t>
      </w:r>
      <w:r>
        <w:tab/>
        <w:t>Any system development by the Supplier should also comply with the government’s ‘10 Steps to Cyber Security’ guidance:</w:t>
      </w:r>
      <w:hyperlink r:id="rId26" w:history="1">
        <w:r>
          <w:rPr>
            <w:u w:val="single"/>
          </w:rPr>
          <w:t xml:space="preserve"> </w:t>
        </w:r>
      </w:hyperlink>
    </w:p>
    <w:p w14:paraId="02E12E80" w14:textId="77777777" w:rsidR="00910EB9" w:rsidRDefault="00611140">
      <w:pPr>
        <w:ind w:left="720"/>
      </w:pPr>
      <w:hyperlink r:id="rId27" w:history="1">
        <w:r w:rsidR="006E4A1B">
          <w:rPr>
            <w:u w:val="single"/>
          </w:rPr>
          <w:t>https://www.ncsc.gov.uk/guidance/10-steps-cyber-security</w:t>
        </w:r>
      </w:hyperlink>
    </w:p>
    <w:p w14:paraId="02E12E81" w14:textId="77777777" w:rsidR="00910EB9" w:rsidRDefault="00910EB9">
      <w:pPr>
        <w:ind w:left="720"/>
      </w:pPr>
    </w:p>
    <w:p w14:paraId="02E12E82" w14:textId="77777777" w:rsidR="00910EB9" w:rsidRDefault="006E4A1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2E12E83" w14:textId="77777777" w:rsidR="00910EB9" w:rsidRDefault="006E4A1B">
      <w:r>
        <w:t xml:space="preserve"> </w:t>
      </w:r>
    </w:p>
    <w:p w14:paraId="02E12E84" w14:textId="77777777" w:rsidR="00910EB9" w:rsidRDefault="006E4A1B">
      <w:pPr>
        <w:pStyle w:val="Heading3"/>
        <w:rPr>
          <w:color w:val="auto"/>
        </w:rPr>
      </w:pPr>
      <w:r>
        <w:rPr>
          <w:color w:val="auto"/>
        </w:rPr>
        <w:t>17.</w:t>
      </w:r>
      <w:r>
        <w:rPr>
          <w:color w:val="auto"/>
        </w:rPr>
        <w:tab/>
        <w:t>Guarantee</w:t>
      </w:r>
    </w:p>
    <w:p w14:paraId="02E12E85" w14:textId="77777777" w:rsidR="00910EB9" w:rsidRDefault="006E4A1B">
      <w:pPr>
        <w:ind w:left="720" w:hanging="720"/>
      </w:pPr>
      <w:r>
        <w:t>17.1</w:t>
      </w:r>
      <w:r>
        <w:tab/>
        <w:t>If this Call-Off Contract is conditional on receipt of a Guarantee that is acceptable to the Buyer, the Supplier must give the Buyer on or before the Start date:</w:t>
      </w:r>
    </w:p>
    <w:p w14:paraId="02E12E86" w14:textId="77777777" w:rsidR="00910EB9" w:rsidRDefault="00910EB9">
      <w:pPr>
        <w:ind w:firstLine="720"/>
      </w:pPr>
    </w:p>
    <w:p w14:paraId="02E12E87" w14:textId="77777777" w:rsidR="00910EB9" w:rsidRDefault="006E4A1B">
      <w:pPr>
        <w:ind w:firstLine="720"/>
      </w:pPr>
      <w:r>
        <w:t>17.1.1</w:t>
      </w:r>
      <w:r>
        <w:tab/>
        <w:t>an executed Guarantee in the form at Schedule 5</w:t>
      </w:r>
    </w:p>
    <w:p w14:paraId="02E12E88" w14:textId="77777777" w:rsidR="00910EB9" w:rsidRDefault="00910EB9"/>
    <w:p w14:paraId="02E12E89" w14:textId="77777777" w:rsidR="00910EB9" w:rsidRDefault="006E4A1B">
      <w:pPr>
        <w:ind w:left="1440" w:hanging="720"/>
      </w:pPr>
      <w:r>
        <w:t>17.1.2</w:t>
      </w:r>
      <w:r>
        <w:tab/>
        <w:t>a certified copy of the passed resolution or board minutes of the guarantor approving the execution of the Guarantee</w:t>
      </w:r>
    </w:p>
    <w:p w14:paraId="02E12E8A" w14:textId="77777777" w:rsidR="00910EB9" w:rsidRDefault="00910EB9">
      <w:pPr>
        <w:ind w:left="720" w:firstLine="720"/>
      </w:pPr>
    </w:p>
    <w:p w14:paraId="02E12E8B" w14:textId="77777777" w:rsidR="00910EB9" w:rsidRDefault="006E4A1B">
      <w:pPr>
        <w:pStyle w:val="Heading3"/>
        <w:rPr>
          <w:color w:val="auto"/>
        </w:rPr>
      </w:pPr>
      <w:r>
        <w:rPr>
          <w:color w:val="auto"/>
        </w:rPr>
        <w:t>18.</w:t>
      </w:r>
      <w:r>
        <w:rPr>
          <w:color w:val="auto"/>
        </w:rPr>
        <w:tab/>
        <w:t>Ending the Call-Off Contract</w:t>
      </w:r>
    </w:p>
    <w:p w14:paraId="02E12E8C" w14:textId="77777777" w:rsidR="00910EB9" w:rsidRDefault="006E4A1B">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02E12E8D" w14:textId="77777777" w:rsidR="00910EB9" w:rsidRDefault="00910EB9">
      <w:pPr>
        <w:ind w:left="720"/>
      </w:pPr>
    </w:p>
    <w:p w14:paraId="02E12E8E" w14:textId="77777777" w:rsidR="00910EB9" w:rsidRDefault="006E4A1B">
      <w:r>
        <w:lastRenderedPageBreak/>
        <w:t>18.2</w:t>
      </w:r>
      <w:r>
        <w:tab/>
        <w:t>The Parties agree that the:</w:t>
      </w:r>
    </w:p>
    <w:p w14:paraId="02E12E8F" w14:textId="77777777" w:rsidR="00910EB9" w:rsidRDefault="00910EB9"/>
    <w:p w14:paraId="02E12E90" w14:textId="77777777" w:rsidR="00910EB9" w:rsidRDefault="006E4A1B">
      <w:pPr>
        <w:ind w:left="1440" w:hanging="720"/>
      </w:pPr>
      <w:r>
        <w:t>18.2.1</w:t>
      </w:r>
      <w:r>
        <w:tab/>
        <w:t>Buyer’s right to End the Call-Off Contract under clause 18.1 is reasonable considering the type of cloud Service being provided</w:t>
      </w:r>
    </w:p>
    <w:p w14:paraId="02E12E91" w14:textId="77777777" w:rsidR="00910EB9" w:rsidRDefault="00910EB9">
      <w:pPr>
        <w:ind w:left="720"/>
      </w:pPr>
    </w:p>
    <w:p w14:paraId="02E12E92" w14:textId="77777777" w:rsidR="00910EB9" w:rsidRDefault="006E4A1B">
      <w:pPr>
        <w:ind w:left="1440" w:hanging="720"/>
      </w:pPr>
      <w:r>
        <w:t>18.2.2</w:t>
      </w:r>
      <w:r>
        <w:tab/>
        <w:t>Call-Off Contract Charges paid during the notice period is reasonable compensation and covers all the Supplier’s avoidable costs or Losses</w:t>
      </w:r>
    </w:p>
    <w:p w14:paraId="02E12E93" w14:textId="77777777" w:rsidR="00910EB9" w:rsidRDefault="00910EB9">
      <w:pPr>
        <w:ind w:left="720" w:firstLine="720"/>
      </w:pPr>
    </w:p>
    <w:p w14:paraId="02E12E94" w14:textId="77777777" w:rsidR="00910EB9" w:rsidRDefault="006E4A1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2E12E95" w14:textId="77777777" w:rsidR="00910EB9" w:rsidRDefault="00910EB9">
      <w:pPr>
        <w:ind w:left="720"/>
      </w:pPr>
    </w:p>
    <w:p w14:paraId="02E12E96" w14:textId="77777777" w:rsidR="00910EB9" w:rsidRDefault="006E4A1B">
      <w:pPr>
        <w:ind w:left="720" w:hanging="720"/>
      </w:pPr>
      <w:r>
        <w:t>18.4</w:t>
      </w:r>
      <w:r>
        <w:tab/>
        <w:t>The Buyer will have the right to End this Call-Off Contract at any time with immediate effect by written notice to the Supplier if either the Supplier commits:</w:t>
      </w:r>
    </w:p>
    <w:p w14:paraId="02E12E97" w14:textId="77777777" w:rsidR="00910EB9" w:rsidRDefault="00910EB9">
      <w:pPr>
        <w:ind w:firstLine="720"/>
      </w:pPr>
    </w:p>
    <w:p w14:paraId="02E12E98" w14:textId="77777777" w:rsidR="00910EB9" w:rsidRDefault="006E4A1B">
      <w:pPr>
        <w:ind w:left="1440" w:hanging="720"/>
      </w:pPr>
      <w:r>
        <w:t>18.4.1</w:t>
      </w:r>
      <w:r>
        <w:tab/>
        <w:t>a Supplier Default and if the Supplier Default cannot, in the reasonable opinion of the Buyer, be remedied</w:t>
      </w:r>
    </w:p>
    <w:p w14:paraId="02E12E99" w14:textId="77777777" w:rsidR="00910EB9" w:rsidRDefault="00910EB9">
      <w:pPr>
        <w:ind w:left="720" w:firstLine="720"/>
      </w:pPr>
    </w:p>
    <w:p w14:paraId="02E12E9A" w14:textId="77777777" w:rsidR="00910EB9" w:rsidRDefault="006E4A1B">
      <w:pPr>
        <w:ind w:firstLine="720"/>
      </w:pPr>
      <w:r>
        <w:t>18.4.2</w:t>
      </w:r>
      <w:r>
        <w:tab/>
        <w:t>any fraud</w:t>
      </w:r>
    </w:p>
    <w:p w14:paraId="02E12E9B" w14:textId="77777777" w:rsidR="00910EB9" w:rsidRDefault="00910EB9">
      <w:pPr>
        <w:ind w:firstLine="720"/>
      </w:pPr>
    </w:p>
    <w:p w14:paraId="02E12E9C" w14:textId="77777777" w:rsidR="00910EB9" w:rsidRDefault="006E4A1B">
      <w:r>
        <w:t>18.5</w:t>
      </w:r>
      <w:r>
        <w:tab/>
        <w:t>A Party can End this Call-Off Contract at any time with immediate effect by written notice if:</w:t>
      </w:r>
    </w:p>
    <w:p w14:paraId="02E12E9D" w14:textId="77777777" w:rsidR="00910EB9" w:rsidRDefault="00910EB9">
      <w:pPr>
        <w:ind w:firstLine="720"/>
      </w:pPr>
    </w:p>
    <w:p w14:paraId="02E12E9E" w14:textId="77777777" w:rsidR="00910EB9" w:rsidRDefault="006E4A1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2E12E9F" w14:textId="77777777" w:rsidR="00910EB9" w:rsidRDefault="00910EB9">
      <w:pPr>
        <w:ind w:left="1440"/>
      </w:pPr>
    </w:p>
    <w:p w14:paraId="02E12EA0" w14:textId="77777777" w:rsidR="00910EB9" w:rsidRDefault="006E4A1B">
      <w:pPr>
        <w:ind w:firstLine="720"/>
      </w:pPr>
      <w:r>
        <w:t>18.5.2</w:t>
      </w:r>
      <w:r>
        <w:tab/>
        <w:t>an Insolvency Event of the other Party happens</w:t>
      </w:r>
    </w:p>
    <w:p w14:paraId="02E12EA1" w14:textId="77777777" w:rsidR="00910EB9" w:rsidRDefault="00910EB9">
      <w:pPr>
        <w:ind w:firstLine="720"/>
      </w:pPr>
    </w:p>
    <w:p w14:paraId="02E12EA2" w14:textId="77777777" w:rsidR="00910EB9" w:rsidRDefault="006E4A1B">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02E12EA3" w14:textId="77777777" w:rsidR="00910EB9" w:rsidRDefault="00910EB9">
      <w:pPr>
        <w:ind w:left="720" w:firstLine="720"/>
      </w:pPr>
    </w:p>
    <w:p w14:paraId="02E12EA4" w14:textId="77777777" w:rsidR="00910EB9" w:rsidRDefault="006E4A1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E12EA5" w14:textId="77777777" w:rsidR="00910EB9" w:rsidRDefault="00910EB9">
      <w:pPr>
        <w:ind w:left="720"/>
      </w:pPr>
    </w:p>
    <w:p w14:paraId="02E12EA6" w14:textId="77777777" w:rsidR="00910EB9" w:rsidRDefault="006E4A1B">
      <w:pPr>
        <w:ind w:left="720" w:hanging="720"/>
      </w:pPr>
      <w:r>
        <w:t>18.7</w:t>
      </w:r>
      <w:r>
        <w:tab/>
        <w:t>A Party who isn’t relying on a Force Majeure event will have the right to End this Call-Off Contract if clause 23.1 applies.</w:t>
      </w:r>
    </w:p>
    <w:p w14:paraId="02E12EA7" w14:textId="77777777" w:rsidR="00910EB9" w:rsidRDefault="006E4A1B">
      <w:pPr>
        <w:ind w:left="720" w:hanging="720"/>
      </w:pPr>
      <w:r>
        <w:t xml:space="preserve"> </w:t>
      </w:r>
    </w:p>
    <w:p w14:paraId="02E12EA8" w14:textId="77777777" w:rsidR="00910EB9" w:rsidRDefault="006E4A1B">
      <w:pPr>
        <w:pStyle w:val="Heading3"/>
        <w:rPr>
          <w:color w:val="auto"/>
        </w:rPr>
      </w:pPr>
      <w:r>
        <w:rPr>
          <w:color w:val="auto"/>
        </w:rPr>
        <w:t>19.</w:t>
      </w:r>
      <w:r>
        <w:rPr>
          <w:color w:val="auto"/>
        </w:rPr>
        <w:tab/>
        <w:t>Consequences of suspension, ending and expiry</w:t>
      </w:r>
    </w:p>
    <w:p w14:paraId="02E12EA9" w14:textId="77777777" w:rsidR="00910EB9" w:rsidRDefault="006E4A1B">
      <w:pPr>
        <w:ind w:left="720" w:hanging="720"/>
      </w:pPr>
      <w:r>
        <w:t>19.1</w:t>
      </w:r>
      <w:r>
        <w:tab/>
        <w:t>If a Buyer has the right to End a Call-Off Contract, it may elect to suspend this Call-Off Contract or any part of it.</w:t>
      </w:r>
    </w:p>
    <w:p w14:paraId="02E12EAA" w14:textId="77777777" w:rsidR="00910EB9" w:rsidRDefault="00910EB9"/>
    <w:p w14:paraId="02E12EAB" w14:textId="77777777" w:rsidR="00910EB9" w:rsidRDefault="006E4A1B">
      <w:pPr>
        <w:ind w:left="720" w:hanging="720"/>
      </w:pPr>
      <w:r>
        <w:t>19.2</w:t>
      </w:r>
      <w:r>
        <w:tab/>
        <w:t>Even if a notice has been served to End this Call-Off Contract or any part of it, the Supplier must continue to provide the Ordered G-Cloud Services until the dates set out in the notice.</w:t>
      </w:r>
    </w:p>
    <w:p w14:paraId="02E12EAC" w14:textId="77777777" w:rsidR="00910EB9" w:rsidRDefault="00910EB9">
      <w:pPr>
        <w:ind w:left="720" w:hanging="720"/>
      </w:pPr>
    </w:p>
    <w:p w14:paraId="02E12EAD" w14:textId="77777777" w:rsidR="00910EB9" w:rsidRDefault="006E4A1B">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02E12EAE" w14:textId="77777777" w:rsidR="00910EB9" w:rsidRDefault="00910EB9"/>
    <w:p w14:paraId="02E12EAF" w14:textId="77777777" w:rsidR="00910EB9" w:rsidRDefault="006E4A1B">
      <w:r>
        <w:t>19.4</w:t>
      </w:r>
      <w:r>
        <w:tab/>
        <w:t>Ending or expiry of this Call-Off Contract will not affect:</w:t>
      </w:r>
    </w:p>
    <w:p w14:paraId="02E12EB0" w14:textId="77777777" w:rsidR="00910EB9" w:rsidRDefault="00910EB9"/>
    <w:p w14:paraId="02E12EB1" w14:textId="77777777" w:rsidR="00910EB9" w:rsidRDefault="006E4A1B">
      <w:pPr>
        <w:ind w:firstLine="720"/>
      </w:pPr>
      <w:r>
        <w:t>19.4.1</w:t>
      </w:r>
      <w:r>
        <w:tab/>
        <w:t>any rights, remedies or obligations accrued before its Ending or expiration</w:t>
      </w:r>
    </w:p>
    <w:p w14:paraId="02E12EB2" w14:textId="77777777" w:rsidR="00910EB9" w:rsidRDefault="00910EB9"/>
    <w:p w14:paraId="02E12EB3" w14:textId="77777777" w:rsidR="00910EB9" w:rsidRDefault="006E4A1B">
      <w:pPr>
        <w:ind w:left="1440" w:hanging="720"/>
      </w:pPr>
      <w:r>
        <w:t>19.4.2</w:t>
      </w:r>
      <w:r>
        <w:tab/>
        <w:t>the right of either Party to recover any amount outstanding at the time of Ending or expiry</w:t>
      </w:r>
    </w:p>
    <w:p w14:paraId="02E12EB4" w14:textId="77777777" w:rsidR="00910EB9" w:rsidRDefault="00910EB9"/>
    <w:p w14:paraId="02E12EB5" w14:textId="77777777" w:rsidR="00910EB9" w:rsidRDefault="006E4A1B">
      <w:pPr>
        <w:ind w:left="1440" w:hanging="720"/>
      </w:pPr>
      <w:r>
        <w:t>19.4.3</w:t>
      </w:r>
      <w:r>
        <w:tab/>
        <w:t>the continuing rights, remedies or obligations of the Buyer or the Supplier under clauses</w:t>
      </w:r>
    </w:p>
    <w:p w14:paraId="02E12EB6" w14:textId="77777777" w:rsidR="00910EB9" w:rsidRDefault="006E4A1B">
      <w:pPr>
        <w:pStyle w:val="ListParagraph"/>
        <w:numPr>
          <w:ilvl w:val="1"/>
          <w:numId w:val="7"/>
        </w:numPr>
      </w:pPr>
      <w:r>
        <w:t>7 (Payment, VAT and Call-Off Contract charges)</w:t>
      </w:r>
    </w:p>
    <w:p w14:paraId="02E12EB7" w14:textId="77777777" w:rsidR="00910EB9" w:rsidRDefault="006E4A1B">
      <w:pPr>
        <w:pStyle w:val="ListParagraph"/>
        <w:numPr>
          <w:ilvl w:val="1"/>
          <w:numId w:val="7"/>
        </w:numPr>
      </w:pPr>
      <w:r>
        <w:t>8 (Recovery of sums due and right of set-off)</w:t>
      </w:r>
    </w:p>
    <w:p w14:paraId="02E12EB8" w14:textId="77777777" w:rsidR="00910EB9" w:rsidRDefault="006E4A1B">
      <w:pPr>
        <w:pStyle w:val="ListParagraph"/>
        <w:numPr>
          <w:ilvl w:val="1"/>
          <w:numId w:val="7"/>
        </w:numPr>
      </w:pPr>
      <w:r>
        <w:t>9 (Insurance)</w:t>
      </w:r>
    </w:p>
    <w:p w14:paraId="02E12EB9" w14:textId="77777777" w:rsidR="00910EB9" w:rsidRDefault="006E4A1B">
      <w:pPr>
        <w:pStyle w:val="ListParagraph"/>
        <w:numPr>
          <w:ilvl w:val="1"/>
          <w:numId w:val="7"/>
        </w:numPr>
      </w:pPr>
      <w:r>
        <w:t>10 (Confidentiality)</w:t>
      </w:r>
    </w:p>
    <w:p w14:paraId="02E12EBA" w14:textId="77777777" w:rsidR="00910EB9" w:rsidRDefault="006E4A1B">
      <w:pPr>
        <w:pStyle w:val="ListParagraph"/>
        <w:numPr>
          <w:ilvl w:val="1"/>
          <w:numId w:val="7"/>
        </w:numPr>
      </w:pPr>
      <w:r>
        <w:t>11 (Intellectual property rights)</w:t>
      </w:r>
    </w:p>
    <w:p w14:paraId="02E12EBB" w14:textId="77777777" w:rsidR="00910EB9" w:rsidRDefault="006E4A1B">
      <w:pPr>
        <w:pStyle w:val="ListParagraph"/>
        <w:numPr>
          <w:ilvl w:val="1"/>
          <w:numId w:val="7"/>
        </w:numPr>
      </w:pPr>
      <w:r>
        <w:t>12 (Protection of information)</w:t>
      </w:r>
    </w:p>
    <w:p w14:paraId="02E12EBC" w14:textId="77777777" w:rsidR="00910EB9" w:rsidRDefault="006E4A1B">
      <w:pPr>
        <w:pStyle w:val="ListParagraph"/>
        <w:numPr>
          <w:ilvl w:val="1"/>
          <w:numId w:val="7"/>
        </w:numPr>
      </w:pPr>
      <w:r>
        <w:t>13 (Buyer data)</w:t>
      </w:r>
    </w:p>
    <w:p w14:paraId="02E12EBD" w14:textId="77777777" w:rsidR="00910EB9" w:rsidRDefault="006E4A1B">
      <w:pPr>
        <w:pStyle w:val="ListParagraph"/>
        <w:numPr>
          <w:ilvl w:val="1"/>
          <w:numId w:val="7"/>
        </w:numPr>
      </w:pPr>
      <w:r>
        <w:t>19 (Consequences of suspension, ending and expiry)</w:t>
      </w:r>
    </w:p>
    <w:p w14:paraId="02E12EBE" w14:textId="77777777" w:rsidR="00910EB9" w:rsidRDefault="006E4A1B">
      <w:pPr>
        <w:pStyle w:val="ListParagraph"/>
        <w:numPr>
          <w:ilvl w:val="1"/>
          <w:numId w:val="7"/>
        </w:numPr>
      </w:pPr>
      <w:r>
        <w:t>24 (Liability); incorporated Framework Agreement clauses: 4.2 to 4.7 (Liability)</w:t>
      </w:r>
    </w:p>
    <w:p w14:paraId="02E12EBF" w14:textId="77777777" w:rsidR="00910EB9" w:rsidRDefault="006E4A1B">
      <w:pPr>
        <w:pStyle w:val="ListParagraph"/>
        <w:numPr>
          <w:ilvl w:val="1"/>
          <w:numId w:val="7"/>
        </w:numPr>
      </w:pPr>
      <w:r>
        <w:t>8.44 to 8.50 (Conflicts of interest and ethical walls)</w:t>
      </w:r>
    </w:p>
    <w:p w14:paraId="02E12EC0" w14:textId="77777777" w:rsidR="00910EB9" w:rsidRDefault="006E4A1B">
      <w:pPr>
        <w:pStyle w:val="ListParagraph"/>
        <w:numPr>
          <w:ilvl w:val="1"/>
          <w:numId w:val="7"/>
        </w:numPr>
      </w:pPr>
      <w:r>
        <w:t>8.89 to 8.90 (Waiver and cumulative remedies)</w:t>
      </w:r>
    </w:p>
    <w:p w14:paraId="02E12EC1" w14:textId="77777777" w:rsidR="00910EB9" w:rsidRDefault="00910EB9">
      <w:pPr>
        <w:ind w:firstLine="720"/>
      </w:pPr>
    </w:p>
    <w:p w14:paraId="02E12EC2" w14:textId="77777777" w:rsidR="00910EB9" w:rsidRDefault="006E4A1B">
      <w:pPr>
        <w:ind w:left="1440" w:hanging="720"/>
      </w:pPr>
      <w:r>
        <w:t>19.4.4</w:t>
      </w:r>
      <w:r>
        <w:tab/>
        <w:t>any other provision of the Framework Agreement or this Call-Off Contract which expressly or by implication is in force even if it Ends or expires</w:t>
      </w:r>
    </w:p>
    <w:p w14:paraId="02E12EC3" w14:textId="77777777" w:rsidR="00910EB9" w:rsidRDefault="006E4A1B">
      <w:r>
        <w:t xml:space="preserve"> </w:t>
      </w:r>
    </w:p>
    <w:p w14:paraId="02E12EC4" w14:textId="77777777" w:rsidR="00910EB9" w:rsidRDefault="006E4A1B">
      <w:r>
        <w:t>19.5</w:t>
      </w:r>
      <w:r>
        <w:tab/>
        <w:t>At the end of the Call-Off Contract Term, the Supplier must promptly:</w:t>
      </w:r>
    </w:p>
    <w:p w14:paraId="02E12EC5" w14:textId="77777777" w:rsidR="00910EB9" w:rsidRDefault="00910EB9"/>
    <w:p w14:paraId="02E12EC6" w14:textId="77777777" w:rsidR="00910EB9" w:rsidRDefault="006E4A1B">
      <w:pPr>
        <w:ind w:left="1440" w:hanging="720"/>
      </w:pPr>
      <w:r>
        <w:t>19.5.1</w:t>
      </w:r>
      <w:r>
        <w:tab/>
        <w:t>return all Buyer Data including all copies of Buyer software, code and any other software licensed by the Buyer to the Supplier under it</w:t>
      </w:r>
    </w:p>
    <w:p w14:paraId="02E12EC7" w14:textId="77777777" w:rsidR="00910EB9" w:rsidRDefault="00910EB9">
      <w:pPr>
        <w:ind w:firstLine="720"/>
      </w:pPr>
    </w:p>
    <w:p w14:paraId="02E12EC8" w14:textId="77777777" w:rsidR="00910EB9" w:rsidRDefault="006E4A1B">
      <w:pPr>
        <w:ind w:left="1440" w:hanging="720"/>
      </w:pPr>
      <w:r>
        <w:t>19.5.2</w:t>
      </w:r>
      <w:r>
        <w:tab/>
        <w:t>return any materials created by the Supplier under this Call-Off Contract if the IPRs are owned by the Buyer</w:t>
      </w:r>
    </w:p>
    <w:p w14:paraId="02E12EC9" w14:textId="77777777" w:rsidR="00910EB9" w:rsidRDefault="00910EB9">
      <w:pPr>
        <w:ind w:firstLine="720"/>
      </w:pPr>
    </w:p>
    <w:p w14:paraId="02E12ECA" w14:textId="77777777" w:rsidR="00910EB9" w:rsidRDefault="006E4A1B">
      <w:pPr>
        <w:ind w:left="1440" w:hanging="720"/>
      </w:pPr>
      <w:r>
        <w:t>19.5.3</w:t>
      </w:r>
      <w:r>
        <w:tab/>
        <w:t>stop using the Buyer Data and, at the direction of the Buyer, provide the Buyer with a complete and uncorrupted version in electronic form in the formats and on media agreed with the Buyer</w:t>
      </w:r>
    </w:p>
    <w:p w14:paraId="02E12ECB" w14:textId="77777777" w:rsidR="00910EB9" w:rsidRDefault="00910EB9">
      <w:pPr>
        <w:ind w:firstLine="720"/>
      </w:pPr>
    </w:p>
    <w:p w14:paraId="02E12ECC" w14:textId="77777777" w:rsidR="00910EB9" w:rsidRDefault="006E4A1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E12ECD" w14:textId="77777777" w:rsidR="00910EB9" w:rsidRDefault="00910EB9">
      <w:pPr>
        <w:ind w:left="720"/>
      </w:pPr>
    </w:p>
    <w:p w14:paraId="02E12ECE" w14:textId="77777777" w:rsidR="00910EB9" w:rsidRDefault="006E4A1B">
      <w:pPr>
        <w:ind w:firstLine="720"/>
      </w:pPr>
      <w:r>
        <w:t>19.5.5</w:t>
      </w:r>
      <w:r>
        <w:tab/>
        <w:t>work with the Buyer on any ongoing work</w:t>
      </w:r>
    </w:p>
    <w:p w14:paraId="02E12ECF" w14:textId="77777777" w:rsidR="00910EB9" w:rsidRDefault="00910EB9"/>
    <w:p w14:paraId="02E12ED0" w14:textId="77777777" w:rsidR="00910EB9" w:rsidRDefault="006E4A1B">
      <w:pPr>
        <w:ind w:left="1440" w:hanging="720"/>
      </w:pPr>
      <w:r>
        <w:t>19.5.6</w:t>
      </w:r>
      <w:r>
        <w:tab/>
        <w:t>return any sums prepaid for Services which have not been delivered to the Buyer, within 10 Working Days of the End or Expiry Date</w:t>
      </w:r>
    </w:p>
    <w:p w14:paraId="02E12ED1" w14:textId="77777777" w:rsidR="00910EB9" w:rsidRDefault="00910EB9">
      <w:pPr>
        <w:ind w:firstLine="720"/>
      </w:pPr>
    </w:p>
    <w:p w14:paraId="02E12ED2" w14:textId="77777777" w:rsidR="00910EB9" w:rsidRDefault="00910EB9"/>
    <w:p w14:paraId="02E12ED3" w14:textId="77777777" w:rsidR="00910EB9" w:rsidRDefault="006E4A1B">
      <w:pPr>
        <w:ind w:left="720" w:hanging="720"/>
      </w:pPr>
      <w:r>
        <w:lastRenderedPageBreak/>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02E12ED4" w14:textId="77777777" w:rsidR="00910EB9" w:rsidRDefault="00910EB9">
      <w:pPr>
        <w:ind w:left="720"/>
      </w:pPr>
    </w:p>
    <w:p w14:paraId="02E12ED5" w14:textId="77777777" w:rsidR="00910EB9" w:rsidRDefault="006E4A1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2E12ED6" w14:textId="77777777" w:rsidR="00910EB9" w:rsidRDefault="00910EB9"/>
    <w:p w14:paraId="02E12ED7" w14:textId="77777777" w:rsidR="00910EB9" w:rsidRDefault="006E4A1B">
      <w:pPr>
        <w:pStyle w:val="Heading3"/>
        <w:rPr>
          <w:color w:val="auto"/>
        </w:rPr>
      </w:pPr>
      <w:r>
        <w:rPr>
          <w:color w:val="auto"/>
        </w:rPr>
        <w:t>20.</w:t>
      </w:r>
      <w:r>
        <w:rPr>
          <w:color w:val="auto"/>
        </w:rPr>
        <w:tab/>
        <w:t>Notices</w:t>
      </w:r>
    </w:p>
    <w:p w14:paraId="02E12ED8" w14:textId="77777777" w:rsidR="00910EB9" w:rsidRDefault="006E4A1B">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02E12ED9" w14:textId="77777777" w:rsidR="00910EB9" w:rsidRDefault="00910EB9">
      <w:pPr>
        <w:ind w:left="720" w:hanging="720"/>
      </w:pPr>
    </w:p>
    <w:p w14:paraId="02E12EDA" w14:textId="77777777" w:rsidR="00910EB9" w:rsidRDefault="006E4A1B">
      <w:pPr>
        <w:pStyle w:val="ListParagraph"/>
        <w:numPr>
          <w:ilvl w:val="0"/>
          <w:numId w:val="8"/>
        </w:numPr>
        <w:spacing w:after="120" w:line="360" w:lineRule="auto"/>
      </w:pPr>
      <w:r>
        <w:t>Manner of delivery: email</w:t>
      </w:r>
    </w:p>
    <w:p w14:paraId="02E12EDB" w14:textId="77777777" w:rsidR="00910EB9" w:rsidRDefault="006E4A1B">
      <w:pPr>
        <w:pStyle w:val="ListParagraph"/>
        <w:numPr>
          <w:ilvl w:val="0"/>
          <w:numId w:val="8"/>
        </w:numPr>
        <w:spacing w:line="360" w:lineRule="auto"/>
      </w:pPr>
      <w:r>
        <w:t>Deemed time of delivery: 9am on the first Working Day after sending</w:t>
      </w:r>
    </w:p>
    <w:p w14:paraId="02E12EDC" w14:textId="77777777" w:rsidR="00910EB9" w:rsidRDefault="006E4A1B">
      <w:pPr>
        <w:pStyle w:val="ListParagraph"/>
        <w:numPr>
          <w:ilvl w:val="0"/>
          <w:numId w:val="8"/>
        </w:numPr>
      </w:pPr>
      <w:r>
        <w:t>Proof of service: Sent in an emailed letter in PDF format to the correct email address without any error message</w:t>
      </w:r>
    </w:p>
    <w:p w14:paraId="02E12EDD" w14:textId="77777777" w:rsidR="00910EB9" w:rsidRDefault="00910EB9"/>
    <w:p w14:paraId="02E12EDE" w14:textId="77777777" w:rsidR="00910EB9" w:rsidRDefault="006E4A1B">
      <w:pPr>
        <w:ind w:left="720" w:hanging="720"/>
      </w:pPr>
      <w:r>
        <w:t>20.2</w:t>
      </w:r>
      <w:r>
        <w:tab/>
        <w:t>This clause does not apply to any legal action or other method of dispute resolution which should be sent to the addresses in the Order Form (other than a dispute notice under this Call-Off Contract).</w:t>
      </w:r>
    </w:p>
    <w:p w14:paraId="02E12EDF" w14:textId="77777777" w:rsidR="00910EB9" w:rsidRDefault="00910EB9">
      <w:pPr>
        <w:spacing w:before="240" w:after="240"/>
        <w:ind w:left="720"/>
      </w:pPr>
    </w:p>
    <w:p w14:paraId="02E12EE0" w14:textId="77777777" w:rsidR="00910EB9" w:rsidRDefault="006E4A1B">
      <w:pPr>
        <w:pStyle w:val="Heading3"/>
        <w:rPr>
          <w:color w:val="auto"/>
        </w:rPr>
      </w:pPr>
      <w:r>
        <w:rPr>
          <w:color w:val="auto"/>
        </w:rPr>
        <w:t>21.</w:t>
      </w:r>
      <w:r>
        <w:rPr>
          <w:color w:val="auto"/>
        </w:rPr>
        <w:tab/>
        <w:t>Exit plan</w:t>
      </w:r>
    </w:p>
    <w:p w14:paraId="02E12EE1" w14:textId="77777777" w:rsidR="00910EB9" w:rsidRDefault="006E4A1B">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02E12EE2" w14:textId="77777777" w:rsidR="00910EB9" w:rsidRDefault="00910EB9">
      <w:pPr>
        <w:ind w:firstLine="720"/>
      </w:pPr>
    </w:p>
    <w:p w14:paraId="02E12EE3" w14:textId="77777777" w:rsidR="00910EB9" w:rsidRDefault="006E4A1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2E12EE4" w14:textId="77777777" w:rsidR="00910EB9" w:rsidRDefault="00910EB9">
      <w:pPr>
        <w:ind w:left="720"/>
      </w:pPr>
    </w:p>
    <w:p w14:paraId="02E12EE5" w14:textId="77777777" w:rsidR="00910EB9" w:rsidRDefault="006E4A1B">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2E12EE6" w14:textId="77777777" w:rsidR="00910EB9" w:rsidRDefault="00910EB9">
      <w:pPr>
        <w:ind w:left="720"/>
      </w:pPr>
    </w:p>
    <w:p w14:paraId="02E12EE7" w14:textId="77777777" w:rsidR="00910EB9" w:rsidRDefault="006E4A1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2E12EE8" w14:textId="77777777" w:rsidR="00910EB9" w:rsidRDefault="00910EB9">
      <w:pPr>
        <w:ind w:left="720"/>
      </w:pPr>
    </w:p>
    <w:p w14:paraId="02E12EE9" w14:textId="77777777" w:rsidR="00910EB9" w:rsidRDefault="006E4A1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2E12EEA" w14:textId="77777777" w:rsidR="00910EB9" w:rsidRDefault="00910EB9">
      <w:pPr>
        <w:ind w:left="720"/>
      </w:pPr>
    </w:p>
    <w:p w14:paraId="02E12EEB" w14:textId="77777777" w:rsidR="00910EB9" w:rsidRDefault="006E4A1B">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02E12EEC" w14:textId="77777777" w:rsidR="00910EB9" w:rsidRDefault="00910EB9">
      <w:pPr>
        <w:ind w:left="720"/>
      </w:pPr>
    </w:p>
    <w:p w14:paraId="02E12EED" w14:textId="77777777" w:rsidR="00910EB9" w:rsidRDefault="006E4A1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2E12EEE" w14:textId="77777777" w:rsidR="00910EB9" w:rsidRDefault="00910EB9"/>
    <w:p w14:paraId="02E12EEF" w14:textId="77777777" w:rsidR="00910EB9" w:rsidRDefault="006E4A1B">
      <w:pPr>
        <w:ind w:firstLine="720"/>
      </w:pPr>
      <w:r>
        <w:t>21.6.2</w:t>
      </w:r>
      <w:r>
        <w:tab/>
        <w:t>there will be no adverse impact on service continuity</w:t>
      </w:r>
    </w:p>
    <w:p w14:paraId="02E12EF0" w14:textId="77777777" w:rsidR="00910EB9" w:rsidRDefault="00910EB9">
      <w:pPr>
        <w:ind w:firstLine="720"/>
      </w:pPr>
    </w:p>
    <w:p w14:paraId="02E12EF1" w14:textId="77777777" w:rsidR="00910EB9" w:rsidRDefault="006E4A1B">
      <w:pPr>
        <w:ind w:firstLine="720"/>
      </w:pPr>
      <w:r>
        <w:t>21.6.3</w:t>
      </w:r>
      <w:r>
        <w:tab/>
        <w:t>there is no vendor lock-in to the Supplier’s Service at exit</w:t>
      </w:r>
    </w:p>
    <w:p w14:paraId="02E12EF2" w14:textId="77777777" w:rsidR="00910EB9" w:rsidRDefault="00910EB9"/>
    <w:p w14:paraId="02E12EF3" w14:textId="77777777" w:rsidR="00910EB9" w:rsidRDefault="006E4A1B">
      <w:pPr>
        <w:ind w:firstLine="720"/>
      </w:pPr>
      <w:r>
        <w:t>21.6.4</w:t>
      </w:r>
      <w:r>
        <w:tab/>
        <w:t xml:space="preserve">it enables the Buyer to meet its obligations under the Technology Code </w:t>
      </w:r>
      <w:proofErr w:type="gramStart"/>
      <w:r>
        <w:t>Of</w:t>
      </w:r>
      <w:proofErr w:type="gramEnd"/>
      <w:r>
        <w:t xml:space="preserve"> Practice</w:t>
      </w:r>
    </w:p>
    <w:p w14:paraId="02E12EF4" w14:textId="77777777" w:rsidR="00910EB9" w:rsidRDefault="00910EB9">
      <w:pPr>
        <w:ind w:left="720" w:firstLine="720"/>
      </w:pPr>
    </w:p>
    <w:p w14:paraId="02E12EF5" w14:textId="77777777" w:rsidR="00910EB9" w:rsidRDefault="006E4A1B">
      <w:pPr>
        <w:ind w:left="720" w:hanging="720"/>
      </w:pPr>
      <w:r>
        <w:t>21.7</w:t>
      </w:r>
      <w:r>
        <w:tab/>
        <w:t>If approval is obtained by the Buyer to extend the Term, then the Supplier will comply with its obligations in the additional exit plan.</w:t>
      </w:r>
    </w:p>
    <w:p w14:paraId="02E12EF6" w14:textId="77777777" w:rsidR="00910EB9" w:rsidRDefault="00910EB9">
      <w:pPr>
        <w:ind w:firstLine="720"/>
      </w:pPr>
    </w:p>
    <w:p w14:paraId="02E12EF7" w14:textId="77777777" w:rsidR="00910EB9" w:rsidRDefault="006E4A1B">
      <w:pPr>
        <w:ind w:left="720" w:hanging="720"/>
      </w:pPr>
      <w:r>
        <w:t>21.8</w:t>
      </w:r>
      <w:r>
        <w:tab/>
        <w:t>The additional exit plan must set out full details of timescales, activities and roles and responsibilities of the Parties for:</w:t>
      </w:r>
    </w:p>
    <w:p w14:paraId="02E12EF8" w14:textId="77777777" w:rsidR="00910EB9" w:rsidRDefault="00910EB9">
      <w:pPr>
        <w:ind w:firstLine="720"/>
      </w:pPr>
    </w:p>
    <w:p w14:paraId="02E12EF9" w14:textId="77777777" w:rsidR="00910EB9" w:rsidRDefault="006E4A1B">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02E12EFA" w14:textId="77777777" w:rsidR="00910EB9" w:rsidRDefault="00910EB9">
      <w:pPr>
        <w:ind w:left="1440"/>
      </w:pPr>
    </w:p>
    <w:p w14:paraId="02E12EFB" w14:textId="77777777" w:rsidR="00910EB9" w:rsidRDefault="006E4A1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2E12EFC" w14:textId="77777777" w:rsidR="00910EB9" w:rsidRDefault="00910EB9">
      <w:pPr>
        <w:ind w:left="1440"/>
      </w:pPr>
    </w:p>
    <w:p w14:paraId="02E12EFD" w14:textId="77777777" w:rsidR="00910EB9" w:rsidRDefault="006E4A1B">
      <w:pPr>
        <w:ind w:left="1440" w:hanging="720"/>
      </w:pPr>
      <w:r>
        <w:t>21.8.3</w:t>
      </w:r>
      <w:r>
        <w:tab/>
        <w:t>the transfer of Project Specific IPR items and other Buyer customisations, configurations and databases to the Buyer or a replacement supplier</w:t>
      </w:r>
    </w:p>
    <w:p w14:paraId="02E12EFE" w14:textId="77777777" w:rsidR="00910EB9" w:rsidRDefault="00910EB9">
      <w:pPr>
        <w:ind w:left="720" w:firstLine="720"/>
      </w:pPr>
    </w:p>
    <w:p w14:paraId="02E12EFF" w14:textId="77777777" w:rsidR="00910EB9" w:rsidRDefault="006E4A1B">
      <w:pPr>
        <w:ind w:firstLine="720"/>
      </w:pPr>
      <w:r>
        <w:t>21.8.4</w:t>
      </w:r>
      <w:r>
        <w:tab/>
        <w:t>the testing and assurance strategy for exported Buyer Data</w:t>
      </w:r>
    </w:p>
    <w:p w14:paraId="02E12F00" w14:textId="77777777" w:rsidR="00910EB9" w:rsidRDefault="00910EB9">
      <w:pPr>
        <w:ind w:firstLine="720"/>
      </w:pPr>
    </w:p>
    <w:p w14:paraId="02E12F01" w14:textId="77777777" w:rsidR="00910EB9" w:rsidRDefault="006E4A1B">
      <w:pPr>
        <w:ind w:firstLine="720"/>
      </w:pPr>
      <w:r>
        <w:t>21.8.5</w:t>
      </w:r>
      <w:r>
        <w:tab/>
        <w:t>if relevant, TUPE-related activity to comply with the TUPE regulations</w:t>
      </w:r>
    </w:p>
    <w:p w14:paraId="02E12F02" w14:textId="77777777" w:rsidR="00910EB9" w:rsidRDefault="00910EB9">
      <w:pPr>
        <w:ind w:firstLine="720"/>
      </w:pPr>
    </w:p>
    <w:p w14:paraId="02E12F03" w14:textId="77777777" w:rsidR="00910EB9" w:rsidRDefault="006E4A1B">
      <w:pPr>
        <w:ind w:left="1440" w:hanging="720"/>
      </w:pPr>
      <w:r>
        <w:t>21.8.6</w:t>
      </w:r>
      <w:r>
        <w:tab/>
        <w:t>any other activities and information which is reasonably required to ensure continuity of Service during the exit period and an orderly transition</w:t>
      </w:r>
    </w:p>
    <w:p w14:paraId="02E12F04" w14:textId="77777777" w:rsidR="00910EB9" w:rsidRDefault="00910EB9"/>
    <w:p w14:paraId="02E12F05" w14:textId="77777777" w:rsidR="00910EB9" w:rsidRDefault="006E4A1B">
      <w:pPr>
        <w:pStyle w:val="Heading3"/>
        <w:rPr>
          <w:color w:val="auto"/>
        </w:rPr>
      </w:pPr>
      <w:r>
        <w:rPr>
          <w:color w:val="auto"/>
        </w:rPr>
        <w:t>22.</w:t>
      </w:r>
      <w:r>
        <w:rPr>
          <w:color w:val="auto"/>
        </w:rPr>
        <w:tab/>
        <w:t>Handover to replacement supplier</w:t>
      </w:r>
    </w:p>
    <w:p w14:paraId="02E12F06" w14:textId="77777777" w:rsidR="00910EB9" w:rsidRDefault="006E4A1B">
      <w:pPr>
        <w:ind w:left="720" w:hanging="720"/>
      </w:pPr>
      <w:r>
        <w:t>22.1</w:t>
      </w:r>
      <w:r>
        <w:tab/>
        <w:t>At least 10 Working Days before the Expiry Date or End Date, the Supplier must provide any:</w:t>
      </w:r>
    </w:p>
    <w:p w14:paraId="02E12F07" w14:textId="77777777" w:rsidR="00910EB9" w:rsidRDefault="00910EB9">
      <w:pPr>
        <w:ind w:firstLine="720"/>
      </w:pPr>
    </w:p>
    <w:p w14:paraId="02E12F08" w14:textId="77777777" w:rsidR="00910EB9" w:rsidRDefault="006E4A1B">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02E12F09" w14:textId="77777777" w:rsidR="00910EB9" w:rsidRDefault="00910EB9">
      <w:pPr>
        <w:ind w:left="720" w:firstLine="720"/>
      </w:pPr>
    </w:p>
    <w:p w14:paraId="02E12F0A" w14:textId="77777777" w:rsidR="00910EB9" w:rsidRDefault="006E4A1B">
      <w:pPr>
        <w:ind w:firstLine="720"/>
      </w:pPr>
      <w:r>
        <w:t>22.1.2</w:t>
      </w:r>
      <w:r>
        <w:tab/>
        <w:t>other information reasonably requested by the Buyer</w:t>
      </w:r>
    </w:p>
    <w:p w14:paraId="02E12F0B" w14:textId="77777777" w:rsidR="00910EB9" w:rsidRDefault="00910EB9">
      <w:pPr>
        <w:ind w:firstLine="720"/>
      </w:pPr>
    </w:p>
    <w:p w14:paraId="02E12F0C" w14:textId="77777777" w:rsidR="00910EB9" w:rsidRDefault="006E4A1B">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02E12F0D" w14:textId="77777777" w:rsidR="00910EB9" w:rsidRDefault="00910EB9">
      <w:pPr>
        <w:ind w:left="720"/>
      </w:pPr>
    </w:p>
    <w:p w14:paraId="02E12F0E" w14:textId="77777777" w:rsidR="00910EB9" w:rsidRDefault="006E4A1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2E12F0F" w14:textId="77777777" w:rsidR="00910EB9" w:rsidRDefault="00910EB9">
      <w:pPr>
        <w:ind w:left="720"/>
      </w:pPr>
    </w:p>
    <w:p w14:paraId="02E12F10" w14:textId="77777777" w:rsidR="00910EB9" w:rsidRDefault="006E4A1B">
      <w:pPr>
        <w:pStyle w:val="Heading3"/>
        <w:rPr>
          <w:color w:val="auto"/>
        </w:rPr>
      </w:pPr>
      <w:r>
        <w:rPr>
          <w:color w:val="auto"/>
        </w:rPr>
        <w:t>23.</w:t>
      </w:r>
      <w:r>
        <w:rPr>
          <w:color w:val="auto"/>
        </w:rPr>
        <w:tab/>
        <w:t>Force majeure</w:t>
      </w:r>
    </w:p>
    <w:p w14:paraId="02E12F11" w14:textId="77777777" w:rsidR="00910EB9" w:rsidRDefault="006E4A1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2E12F12" w14:textId="77777777" w:rsidR="00910EB9" w:rsidRDefault="00910EB9">
      <w:pPr>
        <w:ind w:left="720" w:hanging="720"/>
      </w:pPr>
    </w:p>
    <w:p w14:paraId="02E12F13" w14:textId="77777777" w:rsidR="00910EB9" w:rsidRDefault="006E4A1B">
      <w:pPr>
        <w:pStyle w:val="Heading3"/>
        <w:rPr>
          <w:color w:val="auto"/>
        </w:rPr>
      </w:pPr>
      <w:r>
        <w:rPr>
          <w:color w:val="auto"/>
        </w:rPr>
        <w:t>24.</w:t>
      </w:r>
      <w:r>
        <w:rPr>
          <w:color w:val="auto"/>
        </w:rPr>
        <w:tab/>
        <w:t>Liability</w:t>
      </w:r>
    </w:p>
    <w:p w14:paraId="02E12F14" w14:textId="77777777" w:rsidR="00910EB9" w:rsidRDefault="006E4A1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2E12F15" w14:textId="77777777" w:rsidR="00910EB9" w:rsidRDefault="00910EB9">
      <w:pPr>
        <w:ind w:left="720"/>
      </w:pPr>
    </w:p>
    <w:p w14:paraId="02E12F16" w14:textId="77777777" w:rsidR="00910EB9" w:rsidRDefault="006E4A1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2E12F17" w14:textId="77777777" w:rsidR="00910EB9" w:rsidRDefault="00910EB9">
      <w:pPr>
        <w:ind w:left="1440"/>
      </w:pPr>
    </w:p>
    <w:p w14:paraId="02E12F18" w14:textId="77777777" w:rsidR="00910EB9" w:rsidRDefault="006E4A1B">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2E12F19" w14:textId="77777777" w:rsidR="00910EB9" w:rsidRDefault="00910EB9">
      <w:pPr>
        <w:ind w:left="1440"/>
      </w:pPr>
    </w:p>
    <w:p w14:paraId="02E12F1A" w14:textId="77777777" w:rsidR="00910EB9" w:rsidRDefault="006E4A1B">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02E12F1B" w14:textId="77777777" w:rsidR="00910EB9" w:rsidRDefault="00910EB9">
      <w:pPr>
        <w:spacing w:before="240" w:after="240"/>
      </w:pPr>
    </w:p>
    <w:p w14:paraId="02E12F1C" w14:textId="77777777" w:rsidR="00910EB9" w:rsidRDefault="006E4A1B">
      <w:pPr>
        <w:pStyle w:val="Heading3"/>
        <w:rPr>
          <w:color w:val="auto"/>
        </w:rPr>
      </w:pPr>
      <w:r>
        <w:rPr>
          <w:color w:val="auto"/>
        </w:rPr>
        <w:t>25.</w:t>
      </w:r>
      <w:r>
        <w:rPr>
          <w:color w:val="auto"/>
        </w:rPr>
        <w:tab/>
        <w:t>Premises</w:t>
      </w:r>
    </w:p>
    <w:p w14:paraId="02E12F1D" w14:textId="77777777" w:rsidR="00910EB9" w:rsidRDefault="006E4A1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2E12F1E" w14:textId="77777777" w:rsidR="00910EB9" w:rsidRDefault="00910EB9">
      <w:pPr>
        <w:ind w:left="720"/>
      </w:pPr>
    </w:p>
    <w:p w14:paraId="02E12F1F" w14:textId="77777777" w:rsidR="00910EB9" w:rsidRDefault="006E4A1B">
      <w:pPr>
        <w:ind w:left="720" w:hanging="720"/>
      </w:pPr>
      <w:r>
        <w:t>25.2</w:t>
      </w:r>
      <w:r>
        <w:tab/>
        <w:t>The Supplier will use the Buyer’s premises solely for the performance of its obligations under this Call-Off Contract.</w:t>
      </w:r>
    </w:p>
    <w:p w14:paraId="02E12F20" w14:textId="77777777" w:rsidR="00910EB9" w:rsidRDefault="00910EB9">
      <w:pPr>
        <w:ind w:firstLine="720"/>
      </w:pPr>
    </w:p>
    <w:p w14:paraId="02E12F21" w14:textId="77777777" w:rsidR="00910EB9" w:rsidRDefault="006E4A1B">
      <w:r>
        <w:t>25.3</w:t>
      </w:r>
      <w:r>
        <w:tab/>
        <w:t>The Supplier will vacate the Buyer’s premises when the Call-Off Contract Ends or expires.</w:t>
      </w:r>
    </w:p>
    <w:p w14:paraId="02E12F22" w14:textId="77777777" w:rsidR="00910EB9" w:rsidRDefault="00910EB9">
      <w:pPr>
        <w:ind w:firstLine="720"/>
      </w:pPr>
    </w:p>
    <w:p w14:paraId="02E12F23" w14:textId="77777777" w:rsidR="00910EB9" w:rsidRDefault="006E4A1B">
      <w:r>
        <w:t>25.4</w:t>
      </w:r>
      <w:r>
        <w:tab/>
        <w:t>This clause does not create a tenancy or exclusive right of occupation.</w:t>
      </w:r>
    </w:p>
    <w:p w14:paraId="02E12F24" w14:textId="77777777" w:rsidR="00910EB9" w:rsidRDefault="00910EB9"/>
    <w:p w14:paraId="02E12F25" w14:textId="77777777" w:rsidR="00910EB9" w:rsidRDefault="006E4A1B">
      <w:r>
        <w:t>25.5</w:t>
      </w:r>
      <w:r>
        <w:tab/>
        <w:t>While on the Buyer’s premises, the Supplier will:</w:t>
      </w:r>
    </w:p>
    <w:p w14:paraId="02E12F26" w14:textId="77777777" w:rsidR="00910EB9" w:rsidRDefault="00910EB9"/>
    <w:p w14:paraId="02E12F27" w14:textId="77777777" w:rsidR="00910EB9" w:rsidRDefault="006E4A1B">
      <w:pPr>
        <w:ind w:left="1440" w:hanging="720"/>
      </w:pPr>
      <w:r>
        <w:t>25.5.1</w:t>
      </w:r>
      <w:r>
        <w:tab/>
        <w:t>comply with any security requirements at the premises and not do anything to weaken the security of the premises</w:t>
      </w:r>
    </w:p>
    <w:p w14:paraId="02E12F28" w14:textId="77777777" w:rsidR="00910EB9" w:rsidRDefault="00910EB9">
      <w:pPr>
        <w:ind w:left="720"/>
      </w:pPr>
    </w:p>
    <w:p w14:paraId="02E12F29" w14:textId="77777777" w:rsidR="00910EB9" w:rsidRDefault="006E4A1B">
      <w:pPr>
        <w:ind w:firstLine="720"/>
      </w:pPr>
      <w:r>
        <w:t>25.5.2</w:t>
      </w:r>
      <w:r>
        <w:tab/>
        <w:t>comply with Buyer requirements for the conduct of personnel</w:t>
      </w:r>
    </w:p>
    <w:p w14:paraId="02E12F2A" w14:textId="77777777" w:rsidR="00910EB9" w:rsidRDefault="00910EB9">
      <w:pPr>
        <w:ind w:firstLine="720"/>
      </w:pPr>
    </w:p>
    <w:p w14:paraId="02E12F2B" w14:textId="77777777" w:rsidR="00910EB9" w:rsidRDefault="006E4A1B">
      <w:pPr>
        <w:ind w:firstLine="720"/>
      </w:pPr>
      <w:r>
        <w:t>25.5.3</w:t>
      </w:r>
      <w:r>
        <w:tab/>
        <w:t>comply with any health and safety measures implemented by the Buyer</w:t>
      </w:r>
    </w:p>
    <w:p w14:paraId="02E12F2C" w14:textId="77777777" w:rsidR="00910EB9" w:rsidRDefault="00910EB9">
      <w:pPr>
        <w:ind w:firstLine="720"/>
      </w:pPr>
    </w:p>
    <w:p w14:paraId="02E12F2D" w14:textId="77777777" w:rsidR="00910EB9" w:rsidRDefault="006E4A1B">
      <w:pPr>
        <w:ind w:left="1440" w:hanging="720"/>
      </w:pPr>
      <w:r>
        <w:t>25.5.4</w:t>
      </w:r>
      <w:r>
        <w:tab/>
        <w:t>immediately notify the Buyer of any incident on the premises that causes any damage to Property which could cause personal injury</w:t>
      </w:r>
    </w:p>
    <w:p w14:paraId="02E12F2E" w14:textId="77777777" w:rsidR="00910EB9" w:rsidRDefault="00910EB9">
      <w:pPr>
        <w:ind w:left="720" w:firstLine="720"/>
      </w:pPr>
    </w:p>
    <w:p w14:paraId="02E12F2F" w14:textId="77777777" w:rsidR="00910EB9" w:rsidRDefault="006E4A1B">
      <w:pPr>
        <w:ind w:left="720" w:hanging="720"/>
      </w:pPr>
      <w:r>
        <w:t>25.6</w:t>
      </w:r>
      <w:r>
        <w:tab/>
        <w:t>The Supplier will ensure that its health and safety policy statement (as required by the Health and Safety at Work etc Act 1974) is made available to the Buyer on request.</w:t>
      </w:r>
    </w:p>
    <w:p w14:paraId="02E12F30" w14:textId="77777777" w:rsidR="00910EB9" w:rsidRDefault="00910EB9">
      <w:pPr>
        <w:ind w:left="720" w:hanging="720"/>
      </w:pPr>
    </w:p>
    <w:p w14:paraId="02E12F31" w14:textId="77777777" w:rsidR="00910EB9" w:rsidRDefault="006E4A1B">
      <w:pPr>
        <w:pStyle w:val="Heading3"/>
        <w:rPr>
          <w:color w:val="auto"/>
        </w:rPr>
      </w:pPr>
      <w:r>
        <w:rPr>
          <w:color w:val="auto"/>
        </w:rPr>
        <w:t>26.</w:t>
      </w:r>
      <w:r>
        <w:rPr>
          <w:color w:val="auto"/>
        </w:rPr>
        <w:tab/>
        <w:t>Equipment</w:t>
      </w:r>
    </w:p>
    <w:p w14:paraId="02E12F32" w14:textId="77777777" w:rsidR="00910EB9" w:rsidRDefault="006E4A1B">
      <w:pPr>
        <w:spacing w:before="240" w:after="240"/>
      </w:pPr>
      <w:r>
        <w:t>26.1</w:t>
      </w:r>
      <w:r>
        <w:tab/>
        <w:t>The Supplier is responsible for providing any Equipment which the Supplier requires to provide the Services.</w:t>
      </w:r>
    </w:p>
    <w:p w14:paraId="02E12F33" w14:textId="77777777" w:rsidR="00910EB9" w:rsidRDefault="00910EB9">
      <w:pPr>
        <w:ind w:firstLine="720"/>
      </w:pPr>
    </w:p>
    <w:p w14:paraId="02E12F34" w14:textId="77777777" w:rsidR="00910EB9" w:rsidRDefault="006E4A1B">
      <w:pPr>
        <w:ind w:left="720" w:hanging="720"/>
      </w:pPr>
      <w:r>
        <w:t>26.2</w:t>
      </w:r>
      <w:r>
        <w:tab/>
        <w:t>Any Equipment brought onto the premises will be at the Supplier's own risk and the Buyer will have no liability for any loss of, or damage to, any Equipment.</w:t>
      </w:r>
    </w:p>
    <w:p w14:paraId="02E12F35" w14:textId="77777777" w:rsidR="00910EB9" w:rsidRDefault="00910EB9">
      <w:pPr>
        <w:ind w:firstLine="720"/>
      </w:pPr>
    </w:p>
    <w:p w14:paraId="02E12F36" w14:textId="77777777" w:rsidR="00910EB9" w:rsidRDefault="006E4A1B">
      <w:pPr>
        <w:ind w:left="720" w:hanging="720"/>
      </w:pPr>
      <w:r>
        <w:t>26.3</w:t>
      </w:r>
      <w:r>
        <w:tab/>
        <w:t>When the Call-Off Contract Ends or expires, the Supplier will remove the Equipment and any other materials leaving the premises in a safe and clean condition.</w:t>
      </w:r>
    </w:p>
    <w:p w14:paraId="02E12F37" w14:textId="77777777" w:rsidR="00910EB9" w:rsidRDefault="00910EB9">
      <w:pPr>
        <w:ind w:left="720" w:hanging="720"/>
      </w:pPr>
    </w:p>
    <w:p w14:paraId="02E12F38" w14:textId="77777777" w:rsidR="00910EB9" w:rsidRDefault="006E4A1B">
      <w:pPr>
        <w:pStyle w:val="Heading3"/>
        <w:rPr>
          <w:color w:val="auto"/>
        </w:rPr>
      </w:pPr>
      <w:r>
        <w:rPr>
          <w:color w:val="auto"/>
        </w:rPr>
        <w:t>27.</w:t>
      </w:r>
      <w:r>
        <w:rPr>
          <w:color w:val="auto"/>
        </w:rPr>
        <w:tab/>
        <w:t>The Contracts (Rights of Third Parties) Act 1999</w:t>
      </w:r>
    </w:p>
    <w:p w14:paraId="02E12F39" w14:textId="77777777" w:rsidR="00910EB9" w:rsidRDefault="00910EB9"/>
    <w:p w14:paraId="02E12F3A" w14:textId="77777777" w:rsidR="00910EB9" w:rsidRDefault="006E4A1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2E12F3B" w14:textId="77777777" w:rsidR="00910EB9" w:rsidRDefault="00910EB9">
      <w:pPr>
        <w:ind w:left="720" w:hanging="720"/>
      </w:pPr>
    </w:p>
    <w:p w14:paraId="02E12F3C" w14:textId="77777777" w:rsidR="00910EB9" w:rsidRDefault="006E4A1B">
      <w:pPr>
        <w:pStyle w:val="Heading3"/>
        <w:rPr>
          <w:color w:val="auto"/>
        </w:rPr>
      </w:pPr>
      <w:r>
        <w:rPr>
          <w:color w:val="auto"/>
        </w:rPr>
        <w:t>28.</w:t>
      </w:r>
      <w:r>
        <w:rPr>
          <w:color w:val="auto"/>
        </w:rPr>
        <w:tab/>
        <w:t>Environmental requirements</w:t>
      </w:r>
    </w:p>
    <w:p w14:paraId="02E12F3D" w14:textId="77777777" w:rsidR="00910EB9" w:rsidRDefault="006E4A1B">
      <w:pPr>
        <w:ind w:left="720" w:hanging="720"/>
      </w:pPr>
      <w:r>
        <w:t>28.1</w:t>
      </w:r>
      <w:r>
        <w:tab/>
        <w:t>The Buyer will provide a copy of its environmental policy to the Supplier on request, which the Supplier will comply with.</w:t>
      </w:r>
    </w:p>
    <w:p w14:paraId="02E12F3E" w14:textId="77777777" w:rsidR="00910EB9" w:rsidRDefault="00910EB9">
      <w:pPr>
        <w:ind w:firstLine="720"/>
      </w:pPr>
    </w:p>
    <w:p w14:paraId="02E12F3F" w14:textId="77777777" w:rsidR="00910EB9" w:rsidRDefault="006E4A1B">
      <w:pPr>
        <w:ind w:left="720" w:hanging="720"/>
      </w:pPr>
      <w:r>
        <w:t>28.2</w:t>
      </w:r>
      <w:r>
        <w:tab/>
        <w:t>The Supplier must provide reasonable support to enable Buyers to work in an environmentally friendly way, for example by helping them recycle or lower their carbon footprint.</w:t>
      </w:r>
    </w:p>
    <w:p w14:paraId="02E12F40" w14:textId="77777777" w:rsidR="00910EB9" w:rsidRDefault="00910EB9">
      <w:pPr>
        <w:ind w:left="720" w:hanging="720"/>
      </w:pPr>
    </w:p>
    <w:p w14:paraId="02E12F41" w14:textId="77777777" w:rsidR="00910EB9" w:rsidRDefault="006E4A1B">
      <w:pPr>
        <w:pStyle w:val="Heading3"/>
        <w:rPr>
          <w:color w:val="auto"/>
        </w:rPr>
      </w:pPr>
      <w:r>
        <w:rPr>
          <w:color w:val="auto"/>
        </w:rPr>
        <w:t>29.</w:t>
      </w:r>
      <w:r>
        <w:rPr>
          <w:color w:val="auto"/>
        </w:rPr>
        <w:tab/>
        <w:t>The Employment Regulations (TUPE)</w:t>
      </w:r>
    </w:p>
    <w:p w14:paraId="02E12F42" w14:textId="77777777" w:rsidR="00910EB9" w:rsidRDefault="006E4A1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2E12F43" w14:textId="77777777" w:rsidR="00910EB9" w:rsidRDefault="00910EB9">
      <w:pPr>
        <w:ind w:left="720"/>
      </w:pPr>
    </w:p>
    <w:p w14:paraId="02E12F44" w14:textId="77777777" w:rsidR="00910EB9" w:rsidRDefault="006E4A1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2E12F45" w14:textId="77777777" w:rsidR="00910EB9" w:rsidRDefault="00910EB9">
      <w:pPr>
        <w:ind w:left="720"/>
      </w:pPr>
    </w:p>
    <w:p w14:paraId="02E12F46" w14:textId="77777777" w:rsidR="00910EB9" w:rsidRDefault="006E4A1B">
      <w:pPr>
        <w:ind w:firstLine="720"/>
      </w:pPr>
      <w:r>
        <w:t>29.2.1</w:t>
      </w:r>
      <w:r>
        <w:tab/>
      </w:r>
      <w:r>
        <w:tab/>
        <w:t>the activities they perform</w:t>
      </w:r>
    </w:p>
    <w:p w14:paraId="02E12F47" w14:textId="77777777" w:rsidR="00910EB9" w:rsidRDefault="006E4A1B">
      <w:pPr>
        <w:ind w:firstLine="720"/>
      </w:pPr>
      <w:r>
        <w:t>29.2.2</w:t>
      </w:r>
      <w:r>
        <w:tab/>
      </w:r>
      <w:r>
        <w:tab/>
        <w:t>age</w:t>
      </w:r>
    </w:p>
    <w:p w14:paraId="02E12F48" w14:textId="77777777" w:rsidR="00910EB9" w:rsidRDefault="006E4A1B">
      <w:pPr>
        <w:ind w:firstLine="720"/>
      </w:pPr>
      <w:r>
        <w:t>29.2.3</w:t>
      </w:r>
      <w:r>
        <w:tab/>
      </w:r>
      <w:r>
        <w:tab/>
        <w:t>start date</w:t>
      </w:r>
    </w:p>
    <w:p w14:paraId="02E12F49" w14:textId="77777777" w:rsidR="00910EB9" w:rsidRDefault="006E4A1B">
      <w:pPr>
        <w:ind w:firstLine="720"/>
      </w:pPr>
      <w:r>
        <w:t>29.2.4</w:t>
      </w:r>
      <w:r>
        <w:tab/>
      </w:r>
      <w:r>
        <w:tab/>
        <w:t>place of work</w:t>
      </w:r>
    </w:p>
    <w:p w14:paraId="02E12F4A" w14:textId="77777777" w:rsidR="00910EB9" w:rsidRDefault="006E4A1B">
      <w:pPr>
        <w:ind w:firstLine="720"/>
      </w:pPr>
      <w:r>
        <w:t>29.2.5</w:t>
      </w:r>
      <w:r>
        <w:tab/>
      </w:r>
      <w:r>
        <w:tab/>
        <w:t>notice period</w:t>
      </w:r>
    </w:p>
    <w:p w14:paraId="02E12F4B" w14:textId="77777777" w:rsidR="00910EB9" w:rsidRDefault="006E4A1B">
      <w:pPr>
        <w:ind w:firstLine="720"/>
      </w:pPr>
      <w:r>
        <w:t>29.2.6</w:t>
      </w:r>
      <w:r>
        <w:tab/>
      </w:r>
      <w:r>
        <w:tab/>
        <w:t>redundancy payment entitlement</w:t>
      </w:r>
    </w:p>
    <w:p w14:paraId="02E12F4C" w14:textId="77777777" w:rsidR="00910EB9" w:rsidRDefault="006E4A1B">
      <w:pPr>
        <w:ind w:firstLine="720"/>
      </w:pPr>
      <w:r>
        <w:t>29.2.7</w:t>
      </w:r>
      <w:r>
        <w:tab/>
      </w:r>
      <w:r>
        <w:tab/>
        <w:t xml:space="preserve">salary, </w:t>
      </w:r>
      <w:proofErr w:type="gramStart"/>
      <w:r>
        <w:t>benefits</w:t>
      </w:r>
      <w:proofErr w:type="gramEnd"/>
      <w:r>
        <w:t xml:space="preserve"> and pension entitlements</w:t>
      </w:r>
    </w:p>
    <w:p w14:paraId="02E12F4D" w14:textId="77777777" w:rsidR="00910EB9" w:rsidRDefault="006E4A1B">
      <w:pPr>
        <w:ind w:firstLine="720"/>
      </w:pPr>
      <w:r>
        <w:t>29.2.8</w:t>
      </w:r>
      <w:r>
        <w:tab/>
      </w:r>
      <w:r>
        <w:tab/>
        <w:t>employment status</w:t>
      </w:r>
    </w:p>
    <w:p w14:paraId="02E12F4E" w14:textId="77777777" w:rsidR="00910EB9" w:rsidRDefault="006E4A1B">
      <w:pPr>
        <w:ind w:firstLine="720"/>
      </w:pPr>
      <w:r>
        <w:t>29.2.9</w:t>
      </w:r>
      <w:r>
        <w:tab/>
      </w:r>
      <w:r>
        <w:tab/>
        <w:t>identity of employer</w:t>
      </w:r>
    </w:p>
    <w:p w14:paraId="02E12F4F" w14:textId="77777777" w:rsidR="00910EB9" w:rsidRDefault="006E4A1B">
      <w:pPr>
        <w:ind w:firstLine="720"/>
      </w:pPr>
      <w:r>
        <w:t>29.2.10</w:t>
      </w:r>
      <w:r>
        <w:tab/>
        <w:t>working arrangements</w:t>
      </w:r>
    </w:p>
    <w:p w14:paraId="02E12F50" w14:textId="77777777" w:rsidR="00910EB9" w:rsidRDefault="006E4A1B">
      <w:pPr>
        <w:ind w:firstLine="720"/>
      </w:pPr>
      <w:r>
        <w:t>29.2.11</w:t>
      </w:r>
      <w:r>
        <w:tab/>
        <w:t>outstanding liabilities</w:t>
      </w:r>
    </w:p>
    <w:p w14:paraId="02E12F51" w14:textId="77777777" w:rsidR="00910EB9" w:rsidRDefault="006E4A1B">
      <w:pPr>
        <w:ind w:firstLine="720"/>
      </w:pPr>
      <w:r>
        <w:t>29.2.12</w:t>
      </w:r>
      <w:r>
        <w:tab/>
        <w:t>sickness absence</w:t>
      </w:r>
    </w:p>
    <w:p w14:paraId="02E12F52" w14:textId="77777777" w:rsidR="00910EB9" w:rsidRDefault="006E4A1B">
      <w:pPr>
        <w:ind w:firstLine="720"/>
      </w:pPr>
      <w:r>
        <w:t>29.2.13</w:t>
      </w:r>
      <w:r>
        <w:tab/>
        <w:t>copies of all relevant employment contracts and related documents</w:t>
      </w:r>
    </w:p>
    <w:p w14:paraId="02E12F53" w14:textId="77777777" w:rsidR="00910EB9" w:rsidRDefault="006E4A1B">
      <w:pPr>
        <w:ind w:firstLine="720"/>
      </w:pPr>
      <w:r>
        <w:t>29.2.14</w:t>
      </w:r>
      <w:r>
        <w:tab/>
        <w:t>all information required under regulation 11 of TUPE or as reasonably</w:t>
      </w:r>
    </w:p>
    <w:p w14:paraId="02E12F54" w14:textId="77777777" w:rsidR="00910EB9" w:rsidRDefault="006E4A1B">
      <w:pPr>
        <w:ind w:left="1440" w:firstLine="720"/>
      </w:pPr>
      <w:r>
        <w:t>requested by the Buyer</w:t>
      </w:r>
    </w:p>
    <w:p w14:paraId="02E12F55" w14:textId="77777777" w:rsidR="00910EB9" w:rsidRDefault="00910EB9">
      <w:pPr>
        <w:ind w:left="720" w:firstLine="720"/>
      </w:pPr>
    </w:p>
    <w:p w14:paraId="02E12F56" w14:textId="77777777" w:rsidR="00910EB9" w:rsidRDefault="006E4A1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2E12F57" w14:textId="77777777" w:rsidR="00910EB9" w:rsidRDefault="00910EB9">
      <w:pPr>
        <w:ind w:left="720"/>
      </w:pPr>
    </w:p>
    <w:p w14:paraId="02E12F58" w14:textId="77777777" w:rsidR="00910EB9" w:rsidRDefault="006E4A1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2E12F59" w14:textId="77777777" w:rsidR="00910EB9" w:rsidRDefault="00910EB9">
      <w:pPr>
        <w:ind w:left="720"/>
      </w:pPr>
    </w:p>
    <w:p w14:paraId="02E12F5A" w14:textId="77777777" w:rsidR="00910EB9" w:rsidRDefault="006E4A1B">
      <w:pPr>
        <w:ind w:left="720" w:hanging="720"/>
      </w:pPr>
      <w:r>
        <w:t>29.5</w:t>
      </w:r>
      <w:r>
        <w:tab/>
        <w:t>The Supplier will co-operate with the re-tendering of this Call-Off Contract by allowing the Replacement Supplier to communicate with and meet the affected employees or their representatives.</w:t>
      </w:r>
    </w:p>
    <w:p w14:paraId="02E12F5B" w14:textId="77777777" w:rsidR="00910EB9" w:rsidRDefault="00910EB9">
      <w:pPr>
        <w:ind w:left="720"/>
      </w:pPr>
    </w:p>
    <w:p w14:paraId="02E12F5C" w14:textId="77777777" w:rsidR="00910EB9" w:rsidRDefault="006E4A1B">
      <w:pPr>
        <w:ind w:left="720" w:hanging="720"/>
      </w:pPr>
      <w:r>
        <w:t>29.6</w:t>
      </w:r>
      <w:r>
        <w:tab/>
        <w:t>The Supplier will indemnify the Buyer or any Replacement Supplier for all Loss arising from both:</w:t>
      </w:r>
    </w:p>
    <w:p w14:paraId="02E12F5D" w14:textId="77777777" w:rsidR="00910EB9" w:rsidRDefault="00910EB9">
      <w:pPr>
        <w:ind w:firstLine="720"/>
      </w:pPr>
    </w:p>
    <w:p w14:paraId="02E12F5E" w14:textId="77777777" w:rsidR="00910EB9" w:rsidRDefault="006E4A1B">
      <w:pPr>
        <w:ind w:firstLine="720"/>
      </w:pPr>
      <w:r>
        <w:t>29.6.1</w:t>
      </w:r>
      <w:r>
        <w:tab/>
        <w:t>its failure to comply with the provisions of this clause</w:t>
      </w:r>
    </w:p>
    <w:p w14:paraId="02E12F5F" w14:textId="77777777" w:rsidR="00910EB9" w:rsidRDefault="00910EB9">
      <w:pPr>
        <w:ind w:firstLine="720"/>
      </w:pPr>
    </w:p>
    <w:p w14:paraId="02E12F60" w14:textId="77777777" w:rsidR="00910EB9" w:rsidRDefault="006E4A1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2E12F61" w14:textId="77777777" w:rsidR="00910EB9" w:rsidRDefault="00910EB9">
      <w:pPr>
        <w:ind w:left="1440"/>
      </w:pPr>
    </w:p>
    <w:p w14:paraId="02E12F62" w14:textId="77777777" w:rsidR="00910EB9" w:rsidRDefault="006E4A1B">
      <w:pPr>
        <w:ind w:left="720" w:hanging="720"/>
      </w:pPr>
      <w:r>
        <w:t>29.7</w:t>
      </w:r>
      <w:r>
        <w:tab/>
        <w:t>The provisions of this clause apply during the Term of this Call-Off Contract and indefinitely after it Ends or expires.</w:t>
      </w:r>
    </w:p>
    <w:p w14:paraId="02E12F63" w14:textId="77777777" w:rsidR="00910EB9" w:rsidRDefault="00910EB9">
      <w:pPr>
        <w:ind w:firstLine="720"/>
      </w:pPr>
    </w:p>
    <w:p w14:paraId="02E12F64" w14:textId="77777777" w:rsidR="00910EB9" w:rsidRDefault="006E4A1B">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02E12F65" w14:textId="77777777" w:rsidR="00910EB9" w:rsidRDefault="00910EB9">
      <w:pPr>
        <w:ind w:left="720" w:hanging="720"/>
      </w:pPr>
    </w:p>
    <w:p w14:paraId="02E12F66" w14:textId="77777777" w:rsidR="00910EB9" w:rsidRDefault="006E4A1B">
      <w:pPr>
        <w:pStyle w:val="Heading3"/>
        <w:rPr>
          <w:color w:val="auto"/>
        </w:rPr>
      </w:pPr>
      <w:r>
        <w:rPr>
          <w:color w:val="auto"/>
        </w:rPr>
        <w:t>30.</w:t>
      </w:r>
      <w:r>
        <w:rPr>
          <w:color w:val="auto"/>
        </w:rPr>
        <w:tab/>
        <w:t>Additional G-Cloud services</w:t>
      </w:r>
    </w:p>
    <w:p w14:paraId="02E12F67" w14:textId="77777777" w:rsidR="00910EB9" w:rsidRDefault="006E4A1B">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02E12F68" w14:textId="77777777" w:rsidR="00910EB9" w:rsidRDefault="00910EB9">
      <w:pPr>
        <w:ind w:left="720"/>
      </w:pPr>
    </w:p>
    <w:p w14:paraId="02E12F69" w14:textId="77777777" w:rsidR="00910EB9" w:rsidRDefault="006E4A1B">
      <w:pPr>
        <w:ind w:left="720" w:hanging="720"/>
      </w:pPr>
      <w:r>
        <w:t>30.2</w:t>
      </w:r>
      <w:r>
        <w:tab/>
        <w:t>If reasonably requested to do so by the Buyer in the Order Form, the Supplier must provide and monitor performance of the Additional Services using an Implementation Plan.</w:t>
      </w:r>
    </w:p>
    <w:p w14:paraId="02E12F6A" w14:textId="77777777" w:rsidR="00910EB9" w:rsidRDefault="00910EB9">
      <w:pPr>
        <w:ind w:left="720" w:hanging="720"/>
      </w:pPr>
    </w:p>
    <w:p w14:paraId="02E12F6B" w14:textId="77777777" w:rsidR="00910EB9" w:rsidRDefault="006E4A1B">
      <w:pPr>
        <w:pStyle w:val="Heading3"/>
        <w:rPr>
          <w:color w:val="auto"/>
        </w:rPr>
      </w:pPr>
      <w:r>
        <w:rPr>
          <w:color w:val="auto"/>
        </w:rPr>
        <w:t>31.</w:t>
      </w:r>
      <w:r>
        <w:rPr>
          <w:color w:val="auto"/>
        </w:rPr>
        <w:tab/>
        <w:t>Collaboration</w:t>
      </w:r>
    </w:p>
    <w:p w14:paraId="02E12F6C" w14:textId="77777777" w:rsidR="00910EB9" w:rsidRDefault="006E4A1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2E12F6D" w14:textId="77777777" w:rsidR="00910EB9" w:rsidRDefault="00910EB9">
      <w:pPr>
        <w:ind w:left="720"/>
      </w:pPr>
    </w:p>
    <w:p w14:paraId="02E12F6E" w14:textId="77777777" w:rsidR="00910EB9" w:rsidRDefault="006E4A1B">
      <w:r>
        <w:t>31.2</w:t>
      </w:r>
      <w:r>
        <w:tab/>
        <w:t>In addition to any obligations under the Collaboration Agreement, the Supplier must:</w:t>
      </w:r>
    </w:p>
    <w:p w14:paraId="02E12F6F" w14:textId="77777777" w:rsidR="00910EB9" w:rsidRDefault="00910EB9"/>
    <w:p w14:paraId="02E12F70" w14:textId="77777777" w:rsidR="00910EB9" w:rsidRDefault="006E4A1B">
      <w:pPr>
        <w:ind w:firstLine="720"/>
      </w:pPr>
      <w:r>
        <w:t>31.2.1</w:t>
      </w:r>
      <w:r>
        <w:tab/>
        <w:t>work proactively and in good faith with each of the Buyer’s contractors</w:t>
      </w:r>
    </w:p>
    <w:p w14:paraId="02E12F71" w14:textId="77777777" w:rsidR="00910EB9" w:rsidRDefault="00910EB9">
      <w:pPr>
        <w:ind w:firstLine="720"/>
      </w:pPr>
    </w:p>
    <w:p w14:paraId="02E12F72" w14:textId="77777777" w:rsidR="00910EB9" w:rsidRDefault="006E4A1B">
      <w:pPr>
        <w:ind w:left="1440" w:hanging="720"/>
      </w:pPr>
      <w:r>
        <w:t>31.2.2</w:t>
      </w:r>
      <w:r>
        <w:tab/>
        <w:t>co-operate and share information with the Buyer’s contractors to enable the efficient operation of the Buyer’s ICT services and G-Cloud Services</w:t>
      </w:r>
    </w:p>
    <w:p w14:paraId="02E12F73" w14:textId="77777777" w:rsidR="00910EB9" w:rsidRDefault="00910EB9">
      <w:pPr>
        <w:ind w:left="1440" w:hanging="720"/>
      </w:pPr>
    </w:p>
    <w:p w14:paraId="02E12F74" w14:textId="77777777" w:rsidR="00910EB9" w:rsidRDefault="006E4A1B">
      <w:pPr>
        <w:pStyle w:val="Heading3"/>
        <w:rPr>
          <w:color w:val="auto"/>
        </w:rPr>
      </w:pPr>
      <w:r>
        <w:rPr>
          <w:color w:val="auto"/>
        </w:rPr>
        <w:t>32.</w:t>
      </w:r>
      <w:r>
        <w:rPr>
          <w:color w:val="auto"/>
        </w:rPr>
        <w:tab/>
        <w:t>Variation process</w:t>
      </w:r>
    </w:p>
    <w:p w14:paraId="02E12F75" w14:textId="77777777" w:rsidR="00910EB9" w:rsidRDefault="006E4A1B">
      <w:pPr>
        <w:ind w:left="720" w:hanging="720"/>
      </w:pPr>
      <w:r>
        <w:t>32.1</w:t>
      </w:r>
      <w:r>
        <w:tab/>
        <w:t>The Buyer can request in writing a change to this Call-Off Contract if it isn’t a material change to the Framework Agreement/or this Call-Off Contract. Once implemented, it is called a Variation.</w:t>
      </w:r>
    </w:p>
    <w:p w14:paraId="02E12F76" w14:textId="77777777" w:rsidR="00910EB9" w:rsidRDefault="00910EB9">
      <w:pPr>
        <w:ind w:left="720"/>
      </w:pPr>
    </w:p>
    <w:p w14:paraId="02E12F77" w14:textId="77777777" w:rsidR="00910EB9" w:rsidRDefault="006E4A1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2E12F78" w14:textId="77777777" w:rsidR="00910EB9" w:rsidRDefault="00910EB9"/>
    <w:p w14:paraId="02E12F79" w14:textId="77777777" w:rsidR="00910EB9" w:rsidRDefault="006E4A1B">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02E12F7A" w14:textId="77777777" w:rsidR="00910EB9" w:rsidRDefault="00910EB9">
      <w:pPr>
        <w:ind w:left="720" w:hanging="720"/>
      </w:pPr>
    </w:p>
    <w:p w14:paraId="02E12F7B" w14:textId="77777777" w:rsidR="00910EB9" w:rsidRDefault="006E4A1B">
      <w:pPr>
        <w:pStyle w:val="Heading3"/>
        <w:rPr>
          <w:color w:val="auto"/>
        </w:rPr>
      </w:pPr>
      <w:r>
        <w:rPr>
          <w:color w:val="auto"/>
        </w:rPr>
        <w:t>33.</w:t>
      </w:r>
      <w:r>
        <w:rPr>
          <w:color w:val="auto"/>
        </w:rPr>
        <w:tab/>
        <w:t>Data Protection Legislation (GDPR)</w:t>
      </w:r>
    </w:p>
    <w:p w14:paraId="02E12F7C" w14:textId="77777777" w:rsidR="00910EB9" w:rsidRDefault="006E4A1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E12F7D" w14:textId="77777777" w:rsidR="00910EB9" w:rsidRDefault="00910EB9"/>
    <w:p w14:paraId="02E12F7E" w14:textId="77777777" w:rsidR="00910EB9" w:rsidRDefault="00910EB9">
      <w:pPr>
        <w:pageBreakBefore/>
        <w:rPr>
          <w:b/>
        </w:rPr>
      </w:pPr>
    </w:p>
    <w:p w14:paraId="02E12F7F" w14:textId="77777777" w:rsidR="00910EB9" w:rsidRDefault="006E4A1B">
      <w:pPr>
        <w:pStyle w:val="Heading2"/>
      </w:pPr>
      <w:bookmarkStart w:id="21" w:name="_Toc33176236"/>
      <w:bookmarkStart w:id="22" w:name="_Toc85461050"/>
      <w:r>
        <w:t>Schedule 3: Collaboration agreement</w:t>
      </w:r>
      <w:bookmarkEnd w:id="21"/>
      <w:bookmarkEnd w:id="22"/>
    </w:p>
    <w:p w14:paraId="02E12F80" w14:textId="77777777" w:rsidR="00910EB9" w:rsidRDefault="006E4A1B">
      <w:r>
        <w:t>This agreement is made on [enter date]</w:t>
      </w:r>
    </w:p>
    <w:p w14:paraId="02E12F81" w14:textId="77777777" w:rsidR="00910EB9" w:rsidRDefault="00910EB9"/>
    <w:p w14:paraId="02E12F82" w14:textId="77777777" w:rsidR="00910EB9" w:rsidRDefault="006E4A1B">
      <w:r>
        <w:t>between:</w:t>
      </w:r>
    </w:p>
    <w:p w14:paraId="02E12F83" w14:textId="77777777" w:rsidR="00910EB9" w:rsidRDefault="00910EB9"/>
    <w:p w14:paraId="02E12F84" w14:textId="77777777" w:rsidR="00910EB9" w:rsidRDefault="006E4A1B">
      <w:r>
        <w:t>1)</w:t>
      </w:r>
      <w:r>
        <w:tab/>
        <w:t>[Buyer name] of [Buyer address] (the Buyer)</w:t>
      </w:r>
    </w:p>
    <w:p w14:paraId="02E12F85" w14:textId="77777777" w:rsidR="00910EB9" w:rsidRDefault="00910EB9"/>
    <w:p w14:paraId="02E12F86" w14:textId="77777777" w:rsidR="00910EB9" w:rsidRDefault="006E4A1B">
      <w:pPr>
        <w:ind w:left="720" w:hanging="720"/>
      </w:pPr>
      <w:r>
        <w:t>2)</w:t>
      </w:r>
      <w:r>
        <w:tab/>
        <w:t>[Company name] a company incorporated in [company address] under [registration number], whose registered office is at [registered address]</w:t>
      </w:r>
    </w:p>
    <w:p w14:paraId="02E12F87" w14:textId="77777777" w:rsidR="00910EB9" w:rsidRDefault="00910EB9"/>
    <w:p w14:paraId="02E12F88" w14:textId="77777777" w:rsidR="00910EB9" w:rsidRDefault="006E4A1B">
      <w:pPr>
        <w:ind w:left="720" w:hanging="720"/>
      </w:pPr>
      <w:r>
        <w:t>3)</w:t>
      </w:r>
      <w:r>
        <w:tab/>
        <w:t>[Company name] a company incorporated in [company address] under [registration number], whose registered office is at [registered address]</w:t>
      </w:r>
    </w:p>
    <w:p w14:paraId="02E12F89" w14:textId="77777777" w:rsidR="00910EB9" w:rsidRDefault="00910EB9"/>
    <w:p w14:paraId="02E12F8A" w14:textId="77777777" w:rsidR="00910EB9" w:rsidRDefault="006E4A1B">
      <w:pPr>
        <w:ind w:left="720" w:hanging="720"/>
      </w:pPr>
      <w:r>
        <w:t>4)</w:t>
      </w:r>
      <w:r>
        <w:tab/>
        <w:t>[Company name] a company incorporated in [company address] under [registration number], whose registered office is at [registered address]</w:t>
      </w:r>
    </w:p>
    <w:p w14:paraId="02E12F8B" w14:textId="77777777" w:rsidR="00910EB9" w:rsidRDefault="00910EB9"/>
    <w:p w14:paraId="02E12F8C" w14:textId="77777777" w:rsidR="00910EB9" w:rsidRDefault="006E4A1B">
      <w:pPr>
        <w:ind w:left="720" w:hanging="720"/>
      </w:pPr>
      <w:r>
        <w:t>5)</w:t>
      </w:r>
      <w:r>
        <w:tab/>
        <w:t>[Company name] a company incorporated in [company address] under [registration number], whose registered office is at [registered address]</w:t>
      </w:r>
    </w:p>
    <w:p w14:paraId="02E12F8D" w14:textId="77777777" w:rsidR="00910EB9" w:rsidRDefault="00910EB9">
      <w:pPr>
        <w:ind w:firstLine="720"/>
      </w:pPr>
    </w:p>
    <w:p w14:paraId="02E12F8E" w14:textId="77777777" w:rsidR="00910EB9" w:rsidRDefault="006E4A1B">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02E12F8F" w14:textId="77777777" w:rsidR="00910EB9" w:rsidRDefault="00910EB9"/>
    <w:p w14:paraId="02E12F90" w14:textId="77777777" w:rsidR="00910EB9" w:rsidRDefault="006E4A1B">
      <w:pPr>
        <w:spacing w:after="120"/>
      </w:pPr>
      <w:r>
        <w:t>Whereas the:</w:t>
      </w:r>
    </w:p>
    <w:p w14:paraId="02E12F91" w14:textId="77777777" w:rsidR="00910EB9" w:rsidRDefault="006E4A1B">
      <w:pPr>
        <w:numPr>
          <w:ilvl w:val="0"/>
          <w:numId w:val="9"/>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02E12F92" w14:textId="77777777" w:rsidR="00910EB9" w:rsidRDefault="006E4A1B">
      <w:pPr>
        <w:numPr>
          <w:ilvl w:val="0"/>
          <w:numId w:val="9"/>
        </w:numPr>
      </w:pPr>
      <w:r>
        <w:t>Collaboration Suppliers now wish to provide for the ongoing cooperation of the Collaboration Suppliers in the provision of services under their respective Call-Off Contract to the Buyer</w:t>
      </w:r>
    </w:p>
    <w:p w14:paraId="02E12F93" w14:textId="77777777" w:rsidR="00910EB9" w:rsidRDefault="00910EB9">
      <w:pPr>
        <w:ind w:left="720"/>
      </w:pPr>
    </w:p>
    <w:p w14:paraId="02E12F94" w14:textId="77777777" w:rsidR="00910EB9" w:rsidRDefault="006E4A1B">
      <w:r>
        <w:t>In consideration of the mutual covenants contained in the Call-Off Contracts and this Agreement and intending to be legally bound, the parties agree as follows:</w:t>
      </w:r>
    </w:p>
    <w:p w14:paraId="02E12F95" w14:textId="77777777" w:rsidR="00910EB9" w:rsidRDefault="006E4A1B">
      <w:pPr>
        <w:pStyle w:val="Heading3"/>
        <w:rPr>
          <w:color w:val="auto"/>
        </w:rPr>
      </w:pPr>
      <w:r>
        <w:rPr>
          <w:color w:val="auto"/>
        </w:rPr>
        <w:t>1.</w:t>
      </w:r>
      <w:r>
        <w:rPr>
          <w:color w:val="auto"/>
        </w:rPr>
        <w:tab/>
        <w:t>Definitions and interpretation</w:t>
      </w:r>
    </w:p>
    <w:p w14:paraId="02E12F96" w14:textId="77777777" w:rsidR="00910EB9" w:rsidRDefault="006E4A1B">
      <w:pPr>
        <w:ind w:left="720" w:hanging="720"/>
      </w:pPr>
      <w:r>
        <w:t>1.1</w:t>
      </w:r>
      <w:r>
        <w:tab/>
        <w:t>As used in this Agreement, the capitalised expressions will have the following meanings unless the context requires otherwise:</w:t>
      </w:r>
    </w:p>
    <w:p w14:paraId="02E12F97" w14:textId="77777777" w:rsidR="00910EB9" w:rsidRDefault="00910EB9">
      <w:pPr>
        <w:ind w:firstLine="720"/>
      </w:pPr>
    </w:p>
    <w:p w14:paraId="02E12F98" w14:textId="77777777" w:rsidR="00910EB9" w:rsidRDefault="006E4A1B">
      <w:pPr>
        <w:ind w:left="1440" w:hanging="720"/>
      </w:pPr>
      <w:r>
        <w:t>1.1.1</w:t>
      </w:r>
      <w:r>
        <w:tab/>
        <w:t>“Agreement” means this collaboration agreement, containing the Clauses and Schedules</w:t>
      </w:r>
    </w:p>
    <w:p w14:paraId="02E12F99" w14:textId="77777777" w:rsidR="00910EB9" w:rsidRDefault="00910EB9">
      <w:pPr>
        <w:ind w:left="720" w:firstLine="720"/>
      </w:pPr>
    </w:p>
    <w:p w14:paraId="02E12F9A" w14:textId="77777777" w:rsidR="00910EB9" w:rsidRDefault="006E4A1B">
      <w:pPr>
        <w:ind w:left="1440" w:hanging="720"/>
      </w:pPr>
      <w:r>
        <w:t>1.1.2</w:t>
      </w:r>
      <w:r>
        <w:tab/>
        <w:t>“Call-Off Contract” means each contract that is let by the Buyer to one of the Collaboration Suppliers</w:t>
      </w:r>
    </w:p>
    <w:p w14:paraId="02E12F9B" w14:textId="77777777" w:rsidR="00910EB9" w:rsidRDefault="006E4A1B">
      <w:pPr>
        <w:ind w:left="1440" w:hanging="720"/>
      </w:pPr>
      <w:r>
        <w:t>1.1.3</w:t>
      </w:r>
      <w:r>
        <w:tab/>
        <w:t>“Contractor’s Confidential Information” has the meaning set out in the Call-Off Contracts</w:t>
      </w:r>
    </w:p>
    <w:p w14:paraId="02E12F9C" w14:textId="77777777" w:rsidR="00910EB9" w:rsidRDefault="00910EB9">
      <w:pPr>
        <w:ind w:left="720" w:firstLine="720"/>
      </w:pPr>
    </w:p>
    <w:p w14:paraId="02E12F9D" w14:textId="77777777" w:rsidR="00910EB9" w:rsidRDefault="006E4A1B">
      <w:pPr>
        <w:ind w:left="1440" w:hanging="720"/>
      </w:pPr>
      <w:r>
        <w:t>1.1.4</w:t>
      </w:r>
      <w:r>
        <w:tab/>
        <w:t>“Confidential Information” means the Buyer Confidential Information or any Collaboration Supplier's Confidential Information</w:t>
      </w:r>
    </w:p>
    <w:p w14:paraId="02E12F9E" w14:textId="77777777" w:rsidR="00910EB9" w:rsidRDefault="00910EB9">
      <w:pPr>
        <w:ind w:left="720" w:firstLine="720"/>
      </w:pPr>
    </w:p>
    <w:p w14:paraId="02E12F9F" w14:textId="77777777" w:rsidR="00910EB9" w:rsidRDefault="006E4A1B">
      <w:pPr>
        <w:ind w:firstLine="720"/>
      </w:pPr>
      <w:r>
        <w:t>1.1.5</w:t>
      </w:r>
      <w:r>
        <w:tab/>
        <w:t>“Collaboration Activities” means the activities set out in this Agreement</w:t>
      </w:r>
    </w:p>
    <w:p w14:paraId="02E12FA0" w14:textId="77777777" w:rsidR="00910EB9" w:rsidRDefault="00910EB9">
      <w:pPr>
        <w:ind w:firstLine="720"/>
      </w:pPr>
    </w:p>
    <w:p w14:paraId="02E12FA1" w14:textId="77777777" w:rsidR="00910EB9" w:rsidRDefault="006E4A1B">
      <w:pPr>
        <w:ind w:firstLine="720"/>
      </w:pPr>
      <w:r>
        <w:t>1.1.6</w:t>
      </w:r>
      <w:r>
        <w:tab/>
        <w:t>“Buyer Confidential Information” has the meaning set out in the Call-Off Contract</w:t>
      </w:r>
    </w:p>
    <w:p w14:paraId="02E12FA2" w14:textId="77777777" w:rsidR="00910EB9" w:rsidRDefault="00910EB9">
      <w:pPr>
        <w:ind w:left="720" w:firstLine="720"/>
      </w:pPr>
    </w:p>
    <w:p w14:paraId="02E12FA3" w14:textId="77777777" w:rsidR="00910EB9" w:rsidRDefault="006E4A1B">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02E12FA4" w14:textId="77777777" w:rsidR="00910EB9" w:rsidRDefault="00910EB9">
      <w:pPr>
        <w:ind w:left="1440"/>
      </w:pPr>
    </w:p>
    <w:p w14:paraId="02E12FA5" w14:textId="77777777" w:rsidR="00910EB9" w:rsidRDefault="006E4A1B">
      <w:pPr>
        <w:ind w:firstLine="720"/>
      </w:pPr>
      <w:r>
        <w:t>1.1.8</w:t>
      </w:r>
      <w:r>
        <w:tab/>
        <w:t>“Detailed Collaboration Plan” has the meaning given in clause 3.2</w:t>
      </w:r>
    </w:p>
    <w:p w14:paraId="02E12FA6" w14:textId="77777777" w:rsidR="00910EB9" w:rsidRDefault="00910EB9">
      <w:pPr>
        <w:ind w:firstLine="720"/>
      </w:pPr>
    </w:p>
    <w:p w14:paraId="02E12FA7" w14:textId="77777777" w:rsidR="00910EB9" w:rsidRDefault="006E4A1B">
      <w:pPr>
        <w:ind w:firstLine="720"/>
      </w:pPr>
      <w:r>
        <w:t>1.1.9</w:t>
      </w:r>
      <w:r>
        <w:tab/>
        <w:t>“Dispute Resolution Process” means the process described in clause 9</w:t>
      </w:r>
    </w:p>
    <w:p w14:paraId="02E12FA8" w14:textId="77777777" w:rsidR="00910EB9" w:rsidRDefault="00910EB9">
      <w:pPr>
        <w:ind w:firstLine="720"/>
      </w:pPr>
    </w:p>
    <w:p w14:paraId="02E12FA9" w14:textId="77777777" w:rsidR="00910EB9" w:rsidRDefault="006E4A1B">
      <w:pPr>
        <w:ind w:firstLine="720"/>
      </w:pPr>
      <w:r>
        <w:t>1.1.10</w:t>
      </w:r>
      <w:r>
        <w:tab/>
        <w:t>“Effective Date” means [insert date]</w:t>
      </w:r>
    </w:p>
    <w:p w14:paraId="02E12FAA" w14:textId="77777777" w:rsidR="00910EB9" w:rsidRDefault="00910EB9">
      <w:pPr>
        <w:ind w:firstLine="720"/>
      </w:pPr>
    </w:p>
    <w:p w14:paraId="02E12FAB" w14:textId="77777777" w:rsidR="00910EB9" w:rsidRDefault="006E4A1B">
      <w:pPr>
        <w:ind w:firstLine="720"/>
      </w:pPr>
      <w:r>
        <w:t>1.1.11</w:t>
      </w:r>
      <w:r>
        <w:tab/>
        <w:t>“Force Majeure Event” has the meaning given in clause 11.1.1</w:t>
      </w:r>
    </w:p>
    <w:p w14:paraId="02E12FAC" w14:textId="77777777" w:rsidR="00910EB9" w:rsidRDefault="00910EB9"/>
    <w:p w14:paraId="02E12FAD" w14:textId="77777777" w:rsidR="00910EB9" w:rsidRDefault="006E4A1B">
      <w:pPr>
        <w:ind w:firstLine="720"/>
      </w:pPr>
      <w:r>
        <w:t>1.1.12</w:t>
      </w:r>
      <w:r>
        <w:tab/>
        <w:t>“Mediator” has the meaning given to it in clause 9.3.1</w:t>
      </w:r>
    </w:p>
    <w:p w14:paraId="02E12FAE" w14:textId="77777777" w:rsidR="00910EB9" w:rsidRDefault="00910EB9">
      <w:pPr>
        <w:ind w:firstLine="720"/>
      </w:pPr>
    </w:p>
    <w:p w14:paraId="02E12FAF" w14:textId="77777777" w:rsidR="00910EB9" w:rsidRDefault="006E4A1B">
      <w:pPr>
        <w:ind w:firstLine="720"/>
      </w:pPr>
      <w:r>
        <w:t>1.1.13</w:t>
      </w:r>
      <w:r>
        <w:tab/>
        <w:t>“Outline Collaboration Plan” has the meaning given to it in clause 3.1</w:t>
      </w:r>
    </w:p>
    <w:p w14:paraId="02E12FB0" w14:textId="77777777" w:rsidR="00910EB9" w:rsidRDefault="00910EB9">
      <w:pPr>
        <w:ind w:firstLine="720"/>
      </w:pPr>
    </w:p>
    <w:p w14:paraId="02E12FB1" w14:textId="77777777" w:rsidR="00910EB9" w:rsidRDefault="006E4A1B">
      <w:pPr>
        <w:ind w:firstLine="720"/>
      </w:pPr>
      <w:r>
        <w:t>1.1.14</w:t>
      </w:r>
      <w:r>
        <w:tab/>
        <w:t>“Term” has the meaning given to it in clause 2.1</w:t>
      </w:r>
    </w:p>
    <w:p w14:paraId="02E12FB2" w14:textId="77777777" w:rsidR="00910EB9" w:rsidRDefault="00910EB9">
      <w:pPr>
        <w:ind w:firstLine="720"/>
      </w:pPr>
    </w:p>
    <w:p w14:paraId="02E12FB3" w14:textId="77777777" w:rsidR="00910EB9" w:rsidRDefault="006E4A1B">
      <w:pPr>
        <w:ind w:left="1440" w:hanging="720"/>
      </w:pPr>
      <w:r>
        <w:t>1.1.15</w:t>
      </w:r>
      <w:r>
        <w:tab/>
        <w:t>"Working Day" means any day other than a Saturday, Sunday or public holiday in England and Wales</w:t>
      </w:r>
    </w:p>
    <w:p w14:paraId="02E12FB4" w14:textId="77777777" w:rsidR="00910EB9" w:rsidRDefault="00910EB9">
      <w:pPr>
        <w:ind w:left="720" w:firstLine="720"/>
      </w:pPr>
    </w:p>
    <w:p w14:paraId="02E12FB5" w14:textId="77777777" w:rsidR="00910EB9" w:rsidRDefault="00910EB9"/>
    <w:p w14:paraId="02E12FB6" w14:textId="77777777" w:rsidR="00910EB9" w:rsidRDefault="006E4A1B">
      <w:pPr>
        <w:spacing w:after="120"/>
      </w:pPr>
      <w:r>
        <w:t>1.2</w:t>
      </w:r>
      <w:r>
        <w:tab/>
        <w:t>General</w:t>
      </w:r>
    </w:p>
    <w:p w14:paraId="02E12FB7" w14:textId="77777777" w:rsidR="00910EB9" w:rsidRDefault="006E4A1B">
      <w:pPr>
        <w:ind w:firstLine="720"/>
      </w:pPr>
      <w:r>
        <w:t>1.2.1</w:t>
      </w:r>
      <w:r>
        <w:tab/>
        <w:t>As used in this Agreement the:</w:t>
      </w:r>
    </w:p>
    <w:p w14:paraId="02E12FB8" w14:textId="77777777" w:rsidR="00910EB9" w:rsidRDefault="00910EB9">
      <w:pPr>
        <w:ind w:firstLine="720"/>
      </w:pPr>
    </w:p>
    <w:p w14:paraId="02E12FB9" w14:textId="77777777" w:rsidR="00910EB9" w:rsidRDefault="006E4A1B">
      <w:pPr>
        <w:ind w:left="720" w:firstLine="720"/>
      </w:pPr>
      <w:r>
        <w:t>1.2.1.1</w:t>
      </w:r>
      <w:r>
        <w:tab/>
        <w:t>masculine includes the feminine and the neuter</w:t>
      </w:r>
    </w:p>
    <w:p w14:paraId="02E12FBA" w14:textId="77777777" w:rsidR="00910EB9" w:rsidRDefault="00910EB9">
      <w:pPr>
        <w:ind w:left="720" w:firstLine="720"/>
      </w:pPr>
    </w:p>
    <w:p w14:paraId="02E12FBB" w14:textId="77777777" w:rsidR="00910EB9" w:rsidRDefault="006E4A1B">
      <w:pPr>
        <w:ind w:left="720" w:firstLine="720"/>
      </w:pPr>
      <w:r>
        <w:t>1.2.1.2</w:t>
      </w:r>
      <w:r>
        <w:tab/>
        <w:t>singular includes the plural and the other way round</w:t>
      </w:r>
    </w:p>
    <w:p w14:paraId="02E12FBC" w14:textId="77777777" w:rsidR="00910EB9" w:rsidRDefault="00910EB9">
      <w:pPr>
        <w:ind w:firstLine="720"/>
      </w:pPr>
    </w:p>
    <w:p w14:paraId="02E12FBD" w14:textId="77777777" w:rsidR="00910EB9" w:rsidRDefault="006E4A1B">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02E12FBE" w14:textId="77777777" w:rsidR="00910EB9" w:rsidRDefault="00910EB9">
      <w:pPr>
        <w:ind w:left="2160"/>
      </w:pPr>
    </w:p>
    <w:p w14:paraId="02E12FBF" w14:textId="77777777" w:rsidR="00910EB9" w:rsidRDefault="006E4A1B">
      <w:pPr>
        <w:ind w:left="1440" w:hanging="720"/>
      </w:pPr>
      <w:r>
        <w:t>1.2.2</w:t>
      </w:r>
      <w:r>
        <w:tab/>
        <w:t>Headings are included in this Agreement for ease of reference only and will not affect the interpretation or construction of this Agreement.</w:t>
      </w:r>
    </w:p>
    <w:p w14:paraId="02E12FC0" w14:textId="77777777" w:rsidR="00910EB9" w:rsidRDefault="00910EB9">
      <w:pPr>
        <w:ind w:left="720" w:firstLine="720"/>
      </w:pPr>
    </w:p>
    <w:p w14:paraId="02E12FC1" w14:textId="77777777" w:rsidR="00910EB9" w:rsidRDefault="006E4A1B">
      <w:pPr>
        <w:ind w:left="1440" w:hanging="720"/>
      </w:pPr>
      <w:r>
        <w:t>1.2.3</w:t>
      </w:r>
      <w:r>
        <w:tab/>
        <w:t>References to Clauses and Schedules are, unless otherwise provided, references to clauses of and schedules to this Agreement.</w:t>
      </w:r>
    </w:p>
    <w:p w14:paraId="02E12FC2" w14:textId="77777777" w:rsidR="00910EB9" w:rsidRDefault="00910EB9">
      <w:pPr>
        <w:ind w:left="720" w:firstLine="720"/>
      </w:pPr>
    </w:p>
    <w:p w14:paraId="02E12FC3" w14:textId="77777777" w:rsidR="00910EB9" w:rsidRDefault="006E4A1B">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02E12FC4" w14:textId="77777777" w:rsidR="00910EB9" w:rsidRDefault="00910EB9">
      <w:pPr>
        <w:ind w:left="1440"/>
      </w:pPr>
    </w:p>
    <w:p w14:paraId="02E12FC5" w14:textId="77777777" w:rsidR="00910EB9" w:rsidRDefault="006E4A1B">
      <w:pPr>
        <w:ind w:left="1440" w:hanging="720"/>
      </w:pPr>
      <w:r>
        <w:t>1.2.5</w:t>
      </w:r>
      <w:r>
        <w:tab/>
        <w:t>The party receiving the benefit of an indemnity under this Agreement will use its reasonable endeavours to mitigate its loss covered by the indemnity.</w:t>
      </w:r>
    </w:p>
    <w:p w14:paraId="02E12FC6" w14:textId="77777777" w:rsidR="00910EB9" w:rsidRDefault="00910EB9">
      <w:pPr>
        <w:ind w:left="1440" w:hanging="720"/>
      </w:pPr>
    </w:p>
    <w:p w14:paraId="02E12FC7" w14:textId="77777777" w:rsidR="00910EB9" w:rsidRDefault="006E4A1B">
      <w:pPr>
        <w:pStyle w:val="Heading3"/>
        <w:rPr>
          <w:color w:val="auto"/>
        </w:rPr>
      </w:pPr>
      <w:r>
        <w:rPr>
          <w:color w:val="auto"/>
        </w:rPr>
        <w:t>2.</w:t>
      </w:r>
      <w:r>
        <w:rPr>
          <w:color w:val="auto"/>
        </w:rPr>
        <w:tab/>
        <w:t>Term of the agreement</w:t>
      </w:r>
    </w:p>
    <w:p w14:paraId="02E12FC8" w14:textId="77777777" w:rsidR="00910EB9" w:rsidRDefault="006E4A1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2E12FC9" w14:textId="77777777" w:rsidR="00910EB9" w:rsidRDefault="00910EB9">
      <w:pPr>
        <w:ind w:left="720"/>
      </w:pPr>
    </w:p>
    <w:p w14:paraId="02E12FCA" w14:textId="77777777" w:rsidR="00910EB9" w:rsidRDefault="006E4A1B">
      <w:pPr>
        <w:ind w:left="720" w:hanging="720"/>
      </w:pPr>
      <w:r>
        <w:t>2.2</w:t>
      </w:r>
      <w:r>
        <w:tab/>
        <w:t>A Collaboration Supplier’s duty to perform the Collaboration Activities will continue until the end of the exit period of its last relevant Call-Off Contract.</w:t>
      </w:r>
    </w:p>
    <w:p w14:paraId="02E12FCB" w14:textId="77777777" w:rsidR="00910EB9" w:rsidRDefault="00910EB9">
      <w:pPr>
        <w:spacing w:after="200"/>
      </w:pPr>
    </w:p>
    <w:p w14:paraId="02E12FCC" w14:textId="77777777" w:rsidR="00910EB9" w:rsidRDefault="006E4A1B">
      <w:pPr>
        <w:pStyle w:val="Heading3"/>
        <w:rPr>
          <w:color w:val="auto"/>
        </w:rPr>
      </w:pPr>
      <w:r>
        <w:rPr>
          <w:color w:val="auto"/>
        </w:rPr>
        <w:t>3.</w:t>
      </w:r>
      <w:r>
        <w:rPr>
          <w:color w:val="auto"/>
        </w:rPr>
        <w:tab/>
        <w:t>Provision of the collaboration plan</w:t>
      </w:r>
    </w:p>
    <w:p w14:paraId="02E12FCD" w14:textId="77777777" w:rsidR="00910EB9" w:rsidRDefault="006E4A1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2E12FCE" w14:textId="77777777" w:rsidR="00910EB9" w:rsidRDefault="00910EB9">
      <w:pPr>
        <w:ind w:left="720"/>
      </w:pPr>
    </w:p>
    <w:p w14:paraId="02E12FCF" w14:textId="77777777" w:rsidR="00910EB9" w:rsidRDefault="006E4A1B">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2E12FD0" w14:textId="77777777" w:rsidR="00910EB9" w:rsidRDefault="00910EB9">
      <w:pPr>
        <w:ind w:left="720"/>
      </w:pPr>
    </w:p>
    <w:p w14:paraId="02E12FD1" w14:textId="77777777" w:rsidR="00910EB9" w:rsidRDefault="006E4A1B">
      <w:pPr>
        <w:ind w:left="720" w:hanging="720"/>
      </w:pPr>
      <w:r>
        <w:t>3.3</w:t>
      </w:r>
      <w:r>
        <w:tab/>
        <w:t>The Collaboration Suppliers will provide the help the Buyer needs to prepare the Detailed Collaboration Plan.</w:t>
      </w:r>
    </w:p>
    <w:p w14:paraId="02E12FD2" w14:textId="77777777" w:rsidR="00910EB9" w:rsidRDefault="00910EB9">
      <w:pPr>
        <w:ind w:firstLine="720"/>
      </w:pPr>
    </w:p>
    <w:p w14:paraId="02E12FD3" w14:textId="77777777" w:rsidR="00910EB9" w:rsidRDefault="006E4A1B">
      <w:pPr>
        <w:ind w:left="720" w:hanging="720"/>
      </w:pPr>
      <w:r>
        <w:t>3.4</w:t>
      </w:r>
      <w:r>
        <w:tab/>
        <w:t>The Collaboration Suppliers will, within 10 Working Days of receipt of the Detailed Collaboration Plan, either:</w:t>
      </w:r>
    </w:p>
    <w:p w14:paraId="02E12FD4" w14:textId="77777777" w:rsidR="00910EB9" w:rsidRDefault="00910EB9">
      <w:pPr>
        <w:ind w:firstLine="720"/>
      </w:pPr>
    </w:p>
    <w:p w14:paraId="02E12FD5" w14:textId="77777777" w:rsidR="00910EB9" w:rsidRDefault="006E4A1B">
      <w:pPr>
        <w:ind w:firstLine="720"/>
      </w:pPr>
      <w:r>
        <w:t>3.4.1</w:t>
      </w:r>
      <w:r>
        <w:tab/>
        <w:t>approve the Detailed Collaboration Plan</w:t>
      </w:r>
    </w:p>
    <w:p w14:paraId="02E12FD6" w14:textId="77777777" w:rsidR="00910EB9" w:rsidRDefault="006E4A1B">
      <w:pPr>
        <w:ind w:firstLine="720"/>
      </w:pPr>
      <w:r>
        <w:t>3.4.2</w:t>
      </w:r>
      <w:r>
        <w:tab/>
        <w:t>reject the Detailed Collaboration Plan, giving reasons for the rejection</w:t>
      </w:r>
    </w:p>
    <w:p w14:paraId="02E12FD7" w14:textId="77777777" w:rsidR="00910EB9" w:rsidRDefault="00910EB9"/>
    <w:p w14:paraId="02E12FD8" w14:textId="77777777" w:rsidR="00910EB9" w:rsidRDefault="006E4A1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02E12FD9" w14:textId="77777777" w:rsidR="00910EB9" w:rsidRDefault="00910EB9">
      <w:pPr>
        <w:ind w:left="720"/>
      </w:pPr>
    </w:p>
    <w:p w14:paraId="02E12FDA" w14:textId="77777777" w:rsidR="00910EB9" w:rsidRDefault="006E4A1B">
      <w:pPr>
        <w:ind w:left="720" w:hanging="720"/>
      </w:pPr>
      <w:r>
        <w:t>3.6</w:t>
      </w:r>
      <w:r>
        <w:tab/>
        <w:t>If the parties fail to agree the Detailed Collaboration Plan under clause 3.4, the dispute will be resolved using the Dispute Resolution Process.</w:t>
      </w:r>
    </w:p>
    <w:p w14:paraId="02E12FDB" w14:textId="77777777" w:rsidR="00910EB9" w:rsidRDefault="00910EB9">
      <w:pPr>
        <w:ind w:firstLine="720"/>
      </w:pPr>
    </w:p>
    <w:p w14:paraId="02E12FDC" w14:textId="77777777" w:rsidR="00910EB9" w:rsidRDefault="006E4A1B">
      <w:pPr>
        <w:pStyle w:val="Heading3"/>
        <w:rPr>
          <w:color w:val="auto"/>
        </w:rPr>
      </w:pPr>
      <w:r>
        <w:rPr>
          <w:color w:val="auto"/>
        </w:rPr>
        <w:lastRenderedPageBreak/>
        <w:t>4.</w:t>
      </w:r>
      <w:r>
        <w:rPr>
          <w:color w:val="auto"/>
        </w:rPr>
        <w:tab/>
        <w:t>Collaboration activities</w:t>
      </w:r>
    </w:p>
    <w:p w14:paraId="02E12FDD" w14:textId="77777777" w:rsidR="00910EB9" w:rsidRDefault="006E4A1B">
      <w:pPr>
        <w:ind w:left="720" w:hanging="720"/>
      </w:pPr>
      <w:r>
        <w:t>4.1</w:t>
      </w:r>
      <w:r>
        <w:tab/>
        <w:t>The Collaboration Suppliers will perform the Collaboration Activities and all other obligations of this Agreement in accordance with the Detailed Collaboration Plan.</w:t>
      </w:r>
    </w:p>
    <w:p w14:paraId="02E12FDE" w14:textId="77777777" w:rsidR="00910EB9" w:rsidRDefault="00910EB9">
      <w:pPr>
        <w:ind w:firstLine="720"/>
      </w:pPr>
    </w:p>
    <w:p w14:paraId="02E12FDF" w14:textId="77777777" w:rsidR="00910EB9" w:rsidRDefault="006E4A1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2E12FE0" w14:textId="77777777" w:rsidR="00910EB9" w:rsidRDefault="00910EB9">
      <w:pPr>
        <w:ind w:left="720"/>
      </w:pPr>
    </w:p>
    <w:p w14:paraId="02E12FE1" w14:textId="77777777" w:rsidR="00910EB9" w:rsidRDefault="006E4A1B">
      <w:pPr>
        <w:ind w:left="720" w:hanging="720"/>
      </w:pPr>
      <w:r>
        <w:t>4.3</w:t>
      </w:r>
      <w:r>
        <w:tab/>
        <w:t>The Collaboration Suppliers will ensure that their respective subcontractors provide all co-operation and assistance as set out in the Detailed Collaboration Plan.</w:t>
      </w:r>
    </w:p>
    <w:p w14:paraId="02E12FE2" w14:textId="77777777" w:rsidR="00910EB9" w:rsidRDefault="00910EB9">
      <w:pPr>
        <w:ind w:firstLine="720"/>
      </w:pPr>
    </w:p>
    <w:p w14:paraId="02E12FE3" w14:textId="77777777" w:rsidR="00910EB9" w:rsidRDefault="006E4A1B">
      <w:pPr>
        <w:pStyle w:val="Heading3"/>
        <w:rPr>
          <w:color w:val="auto"/>
        </w:rPr>
      </w:pPr>
      <w:r>
        <w:rPr>
          <w:color w:val="auto"/>
        </w:rPr>
        <w:t>5.</w:t>
      </w:r>
      <w:r>
        <w:rPr>
          <w:color w:val="auto"/>
        </w:rPr>
        <w:tab/>
        <w:t>Invoicing</w:t>
      </w:r>
    </w:p>
    <w:p w14:paraId="02E12FE4" w14:textId="77777777" w:rsidR="00910EB9" w:rsidRDefault="006E4A1B">
      <w:pPr>
        <w:ind w:left="720" w:hanging="720"/>
      </w:pPr>
      <w:r>
        <w:t>5.1</w:t>
      </w:r>
      <w:r>
        <w:tab/>
        <w:t>If any sums are due under this Agreement, the Collaboration Supplier responsible for paying the sum will pay within 30 Working Days of receipt of a valid invoice.</w:t>
      </w:r>
    </w:p>
    <w:p w14:paraId="02E12FE5" w14:textId="77777777" w:rsidR="00910EB9" w:rsidRDefault="00910EB9">
      <w:pPr>
        <w:ind w:firstLine="720"/>
      </w:pPr>
    </w:p>
    <w:p w14:paraId="02E12FE6" w14:textId="77777777" w:rsidR="00910EB9" w:rsidRDefault="006E4A1B">
      <w:pPr>
        <w:ind w:left="720" w:hanging="720"/>
      </w:pPr>
      <w:r>
        <w:t>5.2</w:t>
      </w:r>
      <w:r>
        <w:tab/>
        <w:t>Interest will be payable on any late payments under this Agreement under the Late Payment of Commercial Debts (Interest) Act 1998, as amended.</w:t>
      </w:r>
    </w:p>
    <w:p w14:paraId="02E12FE7" w14:textId="77777777" w:rsidR="00910EB9" w:rsidRDefault="00910EB9">
      <w:pPr>
        <w:ind w:firstLine="720"/>
      </w:pPr>
    </w:p>
    <w:p w14:paraId="02E12FE8" w14:textId="77777777" w:rsidR="00910EB9" w:rsidRDefault="006E4A1B">
      <w:pPr>
        <w:pStyle w:val="Heading3"/>
        <w:rPr>
          <w:color w:val="auto"/>
        </w:rPr>
      </w:pPr>
      <w:r>
        <w:rPr>
          <w:color w:val="auto"/>
        </w:rPr>
        <w:t>6.</w:t>
      </w:r>
      <w:r>
        <w:rPr>
          <w:color w:val="auto"/>
        </w:rPr>
        <w:tab/>
        <w:t>Confidentiality</w:t>
      </w:r>
    </w:p>
    <w:p w14:paraId="02E12FE9" w14:textId="77777777" w:rsidR="00910EB9" w:rsidRDefault="006E4A1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2E12FEA" w14:textId="77777777" w:rsidR="00910EB9" w:rsidRDefault="006E4A1B">
      <w:r>
        <w:t>6.2</w:t>
      </w:r>
      <w:r>
        <w:tab/>
        <w:t>Each Collaboration Supplier warrants that:</w:t>
      </w:r>
    </w:p>
    <w:p w14:paraId="02E12FEB" w14:textId="77777777" w:rsidR="00910EB9" w:rsidRDefault="00910EB9"/>
    <w:p w14:paraId="02E12FEC" w14:textId="77777777" w:rsidR="00910EB9" w:rsidRDefault="006E4A1B">
      <w:pPr>
        <w:ind w:left="1440" w:hanging="720"/>
      </w:pPr>
      <w:r>
        <w:t>6.2.1</w:t>
      </w:r>
      <w:r>
        <w:tab/>
        <w:t>any person employed or engaged by it (in connection with this Agreement in the course of such employment or engagement) will only use Confidential Information for the purposes of this Agreement</w:t>
      </w:r>
    </w:p>
    <w:p w14:paraId="02E12FED" w14:textId="77777777" w:rsidR="00910EB9" w:rsidRDefault="00910EB9">
      <w:pPr>
        <w:ind w:left="1440"/>
      </w:pPr>
    </w:p>
    <w:p w14:paraId="02E12FEE" w14:textId="77777777" w:rsidR="00910EB9" w:rsidRDefault="006E4A1B">
      <w:pPr>
        <w:ind w:left="1440" w:hanging="720"/>
      </w:pPr>
      <w:r>
        <w:t>6.2.2</w:t>
      </w:r>
      <w:r>
        <w:tab/>
        <w:t>any person employed or engaged by it (in connection with this Agreement) will not disclose any Confidential Information to any third party without the prior written consent of the other party</w:t>
      </w:r>
    </w:p>
    <w:p w14:paraId="02E12FEF" w14:textId="77777777" w:rsidR="00910EB9" w:rsidRDefault="00910EB9">
      <w:pPr>
        <w:ind w:left="1440"/>
      </w:pPr>
    </w:p>
    <w:p w14:paraId="02E12FF0" w14:textId="77777777" w:rsidR="00910EB9" w:rsidRDefault="006E4A1B">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02E12FF1" w14:textId="77777777" w:rsidR="00910EB9" w:rsidRDefault="00910EB9">
      <w:pPr>
        <w:ind w:left="720" w:firstLine="720"/>
      </w:pPr>
    </w:p>
    <w:p w14:paraId="02E12FF2" w14:textId="77777777" w:rsidR="00910EB9" w:rsidRDefault="006E4A1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02E12FF3" w14:textId="77777777" w:rsidR="00910EB9" w:rsidRDefault="00910EB9">
      <w:pPr>
        <w:ind w:left="1440"/>
      </w:pPr>
    </w:p>
    <w:p w14:paraId="02E12FF4" w14:textId="77777777" w:rsidR="00910EB9" w:rsidRDefault="006E4A1B">
      <w:r>
        <w:t>6.3</w:t>
      </w:r>
      <w:r>
        <w:tab/>
        <w:t>The provisions of clauses 6.1 and 6.2 will not apply to any information which is:</w:t>
      </w:r>
    </w:p>
    <w:p w14:paraId="02E12FF5" w14:textId="77777777" w:rsidR="00910EB9" w:rsidRDefault="00910EB9"/>
    <w:p w14:paraId="02E12FF6" w14:textId="77777777" w:rsidR="00910EB9" w:rsidRDefault="006E4A1B">
      <w:pPr>
        <w:ind w:firstLine="720"/>
      </w:pPr>
      <w:r>
        <w:t>6.3.1</w:t>
      </w:r>
      <w:r>
        <w:tab/>
        <w:t>or becomes public knowledge other than by breach of this clause 6</w:t>
      </w:r>
    </w:p>
    <w:p w14:paraId="02E12FF7" w14:textId="77777777" w:rsidR="00910EB9" w:rsidRDefault="00910EB9"/>
    <w:p w14:paraId="02E12FF8" w14:textId="77777777" w:rsidR="00910EB9" w:rsidRDefault="006E4A1B">
      <w:pPr>
        <w:ind w:left="1440" w:hanging="720"/>
      </w:pPr>
      <w:r>
        <w:lastRenderedPageBreak/>
        <w:t>6.3.2</w:t>
      </w:r>
      <w:r>
        <w:tab/>
        <w:t>in the possession of the receiving party without restriction in relation to disclosure before the date of receipt from the disclosing party</w:t>
      </w:r>
    </w:p>
    <w:p w14:paraId="02E12FF9" w14:textId="77777777" w:rsidR="00910EB9" w:rsidRDefault="00910EB9">
      <w:pPr>
        <w:ind w:left="720" w:firstLine="720"/>
      </w:pPr>
    </w:p>
    <w:p w14:paraId="02E12FFA" w14:textId="77777777" w:rsidR="00910EB9" w:rsidRDefault="006E4A1B">
      <w:pPr>
        <w:ind w:left="1440" w:hanging="720"/>
      </w:pPr>
      <w:r>
        <w:t>6.3.3</w:t>
      </w:r>
      <w:r>
        <w:tab/>
        <w:t>received from a third party who lawfully acquired it and who is under no obligation restricting its disclosure</w:t>
      </w:r>
    </w:p>
    <w:p w14:paraId="02E12FFB" w14:textId="77777777" w:rsidR="00910EB9" w:rsidRDefault="00910EB9">
      <w:pPr>
        <w:ind w:left="720" w:firstLine="720"/>
      </w:pPr>
    </w:p>
    <w:p w14:paraId="02E12FFC" w14:textId="77777777" w:rsidR="00910EB9" w:rsidRDefault="006E4A1B">
      <w:pPr>
        <w:ind w:firstLine="720"/>
      </w:pPr>
      <w:r>
        <w:t>6.3.4</w:t>
      </w:r>
      <w:r>
        <w:tab/>
        <w:t>independently developed without access to the Confidential Information</w:t>
      </w:r>
    </w:p>
    <w:p w14:paraId="02E12FFD" w14:textId="77777777" w:rsidR="00910EB9" w:rsidRDefault="00910EB9">
      <w:pPr>
        <w:ind w:firstLine="720"/>
      </w:pPr>
    </w:p>
    <w:p w14:paraId="02E12FFE" w14:textId="77777777" w:rsidR="00910EB9" w:rsidRDefault="006E4A1B">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02E12FFF" w14:textId="77777777" w:rsidR="00910EB9" w:rsidRDefault="00910EB9">
      <w:pPr>
        <w:ind w:left="720" w:firstLine="720"/>
      </w:pPr>
    </w:p>
    <w:p w14:paraId="02E13000" w14:textId="77777777" w:rsidR="00910EB9" w:rsidRDefault="006E4A1B">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2E13001" w14:textId="77777777" w:rsidR="00910EB9" w:rsidRDefault="00910EB9">
      <w:pPr>
        <w:ind w:left="720" w:hanging="720"/>
      </w:pPr>
    </w:p>
    <w:p w14:paraId="02E13002" w14:textId="77777777" w:rsidR="00910EB9" w:rsidRDefault="006E4A1B">
      <w:pPr>
        <w:pStyle w:val="Heading3"/>
        <w:rPr>
          <w:color w:val="auto"/>
        </w:rPr>
      </w:pPr>
      <w:r>
        <w:rPr>
          <w:color w:val="auto"/>
        </w:rPr>
        <w:t>7.</w:t>
      </w:r>
      <w:r>
        <w:rPr>
          <w:color w:val="auto"/>
        </w:rPr>
        <w:tab/>
        <w:t>Warranties</w:t>
      </w:r>
    </w:p>
    <w:p w14:paraId="02E13003" w14:textId="77777777" w:rsidR="00910EB9" w:rsidRDefault="006E4A1B">
      <w:r>
        <w:t>7.1</w:t>
      </w:r>
      <w:r>
        <w:tab/>
        <w:t>Each Collaboration Supplier warrant and represent that:</w:t>
      </w:r>
    </w:p>
    <w:p w14:paraId="02E13004" w14:textId="77777777" w:rsidR="00910EB9" w:rsidRDefault="006E4A1B">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02E13005" w14:textId="77777777" w:rsidR="00910EB9" w:rsidRDefault="00910EB9"/>
    <w:p w14:paraId="02E13006" w14:textId="77777777" w:rsidR="00910EB9" w:rsidRDefault="006E4A1B">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02E13007" w14:textId="77777777" w:rsidR="00910EB9" w:rsidRDefault="00910EB9">
      <w:pPr>
        <w:ind w:left="1440"/>
      </w:pPr>
    </w:p>
    <w:p w14:paraId="02E13008" w14:textId="77777777" w:rsidR="00910EB9" w:rsidRDefault="006E4A1B">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02E13009" w14:textId="77777777" w:rsidR="00910EB9" w:rsidRDefault="00910EB9">
      <w:pPr>
        <w:ind w:left="720" w:hanging="720"/>
      </w:pPr>
    </w:p>
    <w:p w14:paraId="02E1300A" w14:textId="77777777" w:rsidR="00910EB9" w:rsidRDefault="006E4A1B">
      <w:pPr>
        <w:pStyle w:val="Heading3"/>
        <w:rPr>
          <w:color w:val="auto"/>
        </w:rPr>
      </w:pPr>
      <w:r>
        <w:rPr>
          <w:color w:val="auto"/>
        </w:rPr>
        <w:t>8.</w:t>
      </w:r>
      <w:r>
        <w:rPr>
          <w:color w:val="auto"/>
        </w:rPr>
        <w:tab/>
        <w:t>Limitation of liability</w:t>
      </w:r>
    </w:p>
    <w:p w14:paraId="02E1300B" w14:textId="77777777" w:rsidR="00910EB9" w:rsidRDefault="006E4A1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2E1300C" w14:textId="77777777" w:rsidR="00910EB9" w:rsidRDefault="00910EB9">
      <w:pPr>
        <w:ind w:left="720"/>
      </w:pPr>
    </w:p>
    <w:p w14:paraId="02E1300D" w14:textId="77777777" w:rsidR="00910EB9" w:rsidRDefault="006E4A1B">
      <w:pPr>
        <w:ind w:left="720" w:hanging="720"/>
      </w:pPr>
      <w:r>
        <w:t>8.2</w:t>
      </w:r>
      <w:r>
        <w:tab/>
        <w:t>Nothing in this Agreement will exclude or limit the liability of any party for fraud or fraudulent misrepresentation.</w:t>
      </w:r>
    </w:p>
    <w:p w14:paraId="02E1300E" w14:textId="77777777" w:rsidR="00910EB9" w:rsidRDefault="00910EB9">
      <w:pPr>
        <w:ind w:firstLine="720"/>
      </w:pPr>
    </w:p>
    <w:p w14:paraId="02E1300F" w14:textId="77777777" w:rsidR="00910EB9" w:rsidRDefault="006E4A1B">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2E13010" w14:textId="77777777" w:rsidR="00910EB9" w:rsidRDefault="00910EB9">
      <w:pPr>
        <w:ind w:left="720"/>
      </w:pPr>
    </w:p>
    <w:p w14:paraId="02E13011" w14:textId="77777777" w:rsidR="00910EB9" w:rsidRDefault="006E4A1B">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2E13012" w14:textId="77777777" w:rsidR="00910EB9" w:rsidRDefault="00910EB9">
      <w:pPr>
        <w:ind w:left="720"/>
      </w:pPr>
    </w:p>
    <w:p w14:paraId="02E13013" w14:textId="77777777" w:rsidR="00910EB9" w:rsidRDefault="006E4A1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2E13014" w14:textId="77777777" w:rsidR="00910EB9" w:rsidRDefault="00910EB9">
      <w:pPr>
        <w:ind w:left="720"/>
      </w:pPr>
    </w:p>
    <w:p w14:paraId="02E13015" w14:textId="77777777" w:rsidR="00910EB9" w:rsidRDefault="006E4A1B">
      <w:pPr>
        <w:ind w:firstLine="720"/>
      </w:pPr>
      <w:r>
        <w:t>8.5.1</w:t>
      </w:r>
      <w:r>
        <w:tab/>
        <w:t>indirect loss or damage</w:t>
      </w:r>
    </w:p>
    <w:p w14:paraId="02E13016" w14:textId="77777777" w:rsidR="00910EB9" w:rsidRDefault="006E4A1B">
      <w:pPr>
        <w:ind w:firstLine="720"/>
      </w:pPr>
      <w:r>
        <w:t>8.5.2</w:t>
      </w:r>
      <w:r>
        <w:tab/>
        <w:t>special loss or damage</w:t>
      </w:r>
    </w:p>
    <w:p w14:paraId="02E13017" w14:textId="77777777" w:rsidR="00910EB9" w:rsidRDefault="006E4A1B">
      <w:pPr>
        <w:ind w:firstLine="720"/>
      </w:pPr>
      <w:r>
        <w:t>8.5.3</w:t>
      </w:r>
      <w:r>
        <w:tab/>
        <w:t>consequential loss or damage</w:t>
      </w:r>
    </w:p>
    <w:p w14:paraId="02E13018" w14:textId="77777777" w:rsidR="00910EB9" w:rsidRDefault="006E4A1B">
      <w:pPr>
        <w:ind w:firstLine="720"/>
      </w:pPr>
      <w:r>
        <w:t>8.5.4</w:t>
      </w:r>
      <w:r>
        <w:tab/>
        <w:t>loss of profits (whether direct or indirect)</w:t>
      </w:r>
    </w:p>
    <w:p w14:paraId="02E13019" w14:textId="77777777" w:rsidR="00910EB9" w:rsidRDefault="006E4A1B">
      <w:pPr>
        <w:ind w:firstLine="720"/>
      </w:pPr>
      <w:r>
        <w:t>8.5.5</w:t>
      </w:r>
      <w:r>
        <w:tab/>
        <w:t>loss of turnover (whether direct or indirect)</w:t>
      </w:r>
    </w:p>
    <w:p w14:paraId="02E1301A" w14:textId="77777777" w:rsidR="00910EB9" w:rsidRDefault="006E4A1B">
      <w:pPr>
        <w:ind w:firstLine="720"/>
      </w:pPr>
      <w:r>
        <w:t>8.5.6</w:t>
      </w:r>
      <w:r>
        <w:tab/>
        <w:t>loss of business opportunities (whether direct or indirect)</w:t>
      </w:r>
    </w:p>
    <w:p w14:paraId="02E1301B" w14:textId="77777777" w:rsidR="00910EB9" w:rsidRDefault="006E4A1B">
      <w:pPr>
        <w:ind w:firstLine="720"/>
      </w:pPr>
      <w:r>
        <w:t>8.5.7</w:t>
      </w:r>
      <w:r>
        <w:tab/>
        <w:t>damage to goodwill (whether direct or indirect)</w:t>
      </w:r>
    </w:p>
    <w:p w14:paraId="02E1301C" w14:textId="77777777" w:rsidR="00910EB9" w:rsidRDefault="00910EB9"/>
    <w:p w14:paraId="02E1301D" w14:textId="77777777" w:rsidR="00910EB9" w:rsidRDefault="006E4A1B">
      <w:pPr>
        <w:ind w:left="720" w:hanging="720"/>
      </w:pPr>
      <w:r>
        <w:t>8.6</w:t>
      </w:r>
      <w:r>
        <w:tab/>
        <w:t>Subject always to clauses 8.1 and 8.2, the provisions of clause 8.5 will not be taken as limiting the right of the Buyer to among other things, recover as a direct loss any:</w:t>
      </w:r>
    </w:p>
    <w:p w14:paraId="02E1301E" w14:textId="77777777" w:rsidR="00910EB9" w:rsidRDefault="00910EB9"/>
    <w:p w14:paraId="02E1301F" w14:textId="77777777" w:rsidR="00910EB9" w:rsidRDefault="006E4A1B">
      <w:pPr>
        <w:ind w:left="1440" w:hanging="720"/>
      </w:pPr>
      <w:r>
        <w:t>8.6.1</w:t>
      </w:r>
      <w:r>
        <w:tab/>
        <w:t>additional operational or administrative costs and expenses arising from a Collaboration Supplier’s Default</w:t>
      </w:r>
    </w:p>
    <w:p w14:paraId="02E13020" w14:textId="77777777" w:rsidR="00910EB9" w:rsidRDefault="00910EB9">
      <w:pPr>
        <w:ind w:left="720" w:firstLine="720"/>
      </w:pPr>
    </w:p>
    <w:p w14:paraId="02E13021" w14:textId="77777777" w:rsidR="00910EB9" w:rsidRDefault="006E4A1B">
      <w:pPr>
        <w:ind w:left="1440" w:hanging="720"/>
      </w:pPr>
      <w:r>
        <w:t>8.6.2</w:t>
      </w:r>
      <w:r>
        <w:tab/>
        <w:t>wasted expenditure or charges rendered unnecessary or incurred by the Buyer arising from a Collaboration Supplier's Default</w:t>
      </w:r>
    </w:p>
    <w:p w14:paraId="02E13022" w14:textId="77777777" w:rsidR="00910EB9" w:rsidRDefault="00910EB9">
      <w:pPr>
        <w:ind w:left="1440" w:hanging="720"/>
      </w:pPr>
    </w:p>
    <w:p w14:paraId="02E13023" w14:textId="77777777" w:rsidR="00910EB9" w:rsidRDefault="006E4A1B">
      <w:pPr>
        <w:pStyle w:val="Heading3"/>
        <w:rPr>
          <w:color w:val="auto"/>
        </w:rPr>
      </w:pPr>
      <w:r>
        <w:rPr>
          <w:color w:val="auto"/>
        </w:rPr>
        <w:t>9.</w:t>
      </w:r>
      <w:r>
        <w:rPr>
          <w:color w:val="auto"/>
        </w:rPr>
        <w:tab/>
        <w:t>Dispute resolution process</w:t>
      </w:r>
    </w:p>
    <w:p w14:paraId="02E13024" w14:textId="77777777" w:rsidR="00910EB9" w:rsidRDefault="006E4A1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02E13025" w14:textId="77777777" w:rsidR="00910EB9" w:rsidRDefault="00910EB9">
      <w:pPr>
        <w:ind w:firstLine="720"/>
      </w:pPr>
    </w:p>
    <w:p w14:paraId="02E13026" w14:textId="77777777" w:rsidR="00910EB9" w:rsidRDefault="006E4A1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2E13027" w14:textId="77777777" w:rsidR="00910EB9" w:rsidRDefault="00910EB9">
      <w:pPr>
        <w:ind w:left="720"/>
      </w:pPr>
    </w:p>
    <w:p w14:paraId="02E13028" w14:textId="77777777" w:rsidR="00910EB9" w:rsidRDefault="006E4A1B">
      <w:pPr>
        <w:spacing w:after="120"/>
      </w:pPr>
      <w:r>
        <w:t>9.3</w:t>
      </w:r>
      <w:r>
        <w:tab/>
        <w:t>The process for mediation and consequential provisions for mediation are:</w:t>
      </w:r>
    </w:p>
    <w:p w14:paraId="02E13029" w14:textId="77777777" w:rsidR="00910EB9" w:rsidRDefault="006E4A1B">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2E1302A" w14:textId="77777777" w:rsidR="00910EB9" w:rsidRDefault="00910EB9">
      <w:pPr>
        <w:ind w:left="1440"/>
      </w:pPr>
    </w:p>
    <w:p w14:paraId="02E1302B" w14:textId="77777777" w:rsidR="00910EB9" w:rsidRDefault="006E4A1B">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02E1302C" w14:textId="77777777" w:rsidR="00910EB9" w:rsidRDefault="00910EB9"/>
    <w:p w14:paraId="02E1302D" w14:textId="77777777" w:rsidR="00910EB9" w:rsidRDefault="006E4A1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2E1302E" w14:textId="77777777" w:rsidR="00910EB9" w:rsidRDefault="00910EB9"/>
    <w:p w14:paraId="02E1302F" w14:textId="77777777" w:rsidR="00910EB9" w:rsidRDefault="006E4A1B">
      <w:pPr>
        <w:ind w:left="1440" w:hanging="720"/>
      </w:pPr>
      <w:r>
        <w:t>9.3.4</w:t>
      </w:r>
      <w:r>
        <w:tab/>
        <w:t>if the parties reach agreement on the resolution of the dispute, the agreement will be put in writing and will be binding on the parties once it is signed by their authorised representatives</w:t>
      </w:r>
    </w:p>
    <w:p w14:paraId="02E13030" w14:textId="77777777" w:rsidR="00910EB9" w:rsidRDefault="00910EB9"/>
    <w:p w14:paraId="02E13031" w14:textId="77777777" w:rsidR="00910EB9" w:rsidRDefault="006E4A1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2E13032" w14:textId="77777777" w:rsidR="00910EB9" w:rsidRDefault="00910EB9">
      <w:pPr>
        <w:ind w:left="1440"/>
      </w:pPr>
    </w:p>
    <w:p w14:paraId="02E13033" w14:textId="77777777" w:rsidR="00910EB9" w:rsidRDefault="006E4A1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02E13034" w14:textId="77777777" w:rsidR="00910EB9" w:rsidRDefault="00910EB9"/>
    <w:p w14:paraId="02E13035" w14:textId="77777777" w:rsidR="00910EB9" w:rsidRDefault="006E4A1B">
      <w:pPr>
        <w:ind w:left="720" w:hanging="720"/>
      </w:pPr>
      <w:r>
        <w:t>9.4</w:t>
      </w:r>
      <w:r>
        <w:tab/>
        <w:t>The parties must continue to perform their respective obligations under this Agreement and under their respective Contracts pending the resolution of a dispute.</w:t>
      </w:r>
    </w:p>
    <w:p w14:paraId="02E13036" w14:textId="77777777" w:rsidR="00910EB9" w:rsidRDefault="00910EB9">
      <w:pPr>
        <w:ind w:left="720" w:hanging="720"/>
      </w:pPr>
    </w:p>
    <w:p w14:paraId="02E13037" w14:textId="77777777" w:rsidR="00910EB9" w:rsidRDefault="006E4A1B">
      <w:pPr>
        <w:pStyle w:val="Heading3"/>
        <w:rPr>
          <w:color w:val="auto"/>
        </w:rPr>
      </w:pPr>
      <w:r>
        <w:rPr>
          <w:color w:val="auto"/>
        </w:rPr>
        <w:t>10. Termination and consequences of termination</w:t>
      </w:r>
    </w:p>
    <w:p w14:paraId="02E13038" w14:textId="77777777" w:rsidR="00910EB9" w:rsidRDefault="006E4A1B">
      <w:pPr>
        <w:pStyle w:val="Heading4"/>
        <w:spacing w:before="0" w:after="120"/>
        <w:rPr>
          <w:color w:val="auto"/>
        </w:rPr>
      </w:pPr>
      <w:r>
        <w:rPr>
          <w:color w:val="auto"/>
        </w:rPr>
        <w:t>10.1</w:t>
      </w:r>
      <w:r>
        <w:rPr>
          <w:color w:val="auto"/>
        </w:rPr>
        <w:tab/>
        <w:t>Termination</w:t>
      </w:r>
    </w:p>
    <w:p w14:paraId="02E13039" w14:textId="77777777" w:rsidR="00910EB9" w:rsidRDefault="006E4A1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2E1303A" w14:textId="77777777" w:rsidR="00910EB9" w:rsidRDefault="00910EB9">
      <w:pPr>
        <w:ind w:left="1440"/>
      </w:pPr>
    </w:p>
    <w:p w14:paraId="02E1303B" w14:textId="77777777" w:rsidR="00910EB9" w:rsidRDefault="006E4A1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2E1303C" w14:textId="77777777" w:rsidR="00910EB9" w:rsidRDefault="006E4A1B">
      <w:pPr>
        <w:pStyle w:val="Heading4"/>
        <w:spacing w:before="0" w:after="120"/>
        <w:rPr>
          <w:color w:val="auto"/>
        </w:rPr>
      </w:pPr>
      <w:r>
        <w:rPr>
          <w:color w:val="auto"/>
        </w:rPr>
        <w:t>10.2</w:t>
      </w:r>
      <w:r>
        <w:rPr>
          <w:color w:val="auto"/>
        </w:rPr>
        <w:tab/>
        <w:t>Consequences of termination</w:t>
      </w:r>
    </w:p>
    <w:p w14:paraId="02E1303D" w14:textId="77777777" w:rsidR="00910EB9" w:rsidRDefault="006E4A1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2E1303E" w14:textId="77777777" w:rsidR="00910EB9" w:rsidRDefault="00910EB9"/>
    <w:p w14:paraId="02E1303F" w14:textId="77777777" w:rsidR="00910EB9" w:rsidRDefault="006E4A1B">
      <w:pPr>
        <w:ind w:left="1440" w:hanging="720"/>
      </w:pPr>
      <w:r>
        <w:t>10.2.2</w:t>
      </w:r>
      <w:r>
        <w:tab/>
        <w:t>Except as expressly provided in this Agreement, termination of this Agreement will be without prejudice to any accrued rights and obligations under this Agreement.</w:t>
      </w:r>
    </w:p>
    <w:p w14:paraId="02E13040" w14:textId="77777777" w:rsidR="00910EB9" w:rsidRDefault="00910EB9"/>
    <w:p w14:paraId="02E13041" w14:textId="77777777" w:rsidR="00910EB9" w:rsidRDefault="006E4A1B">
      <w:pPr>
        <w:pStyle w:val="Heading3"/>
        <w:rPr>
          <w:color w:val="auto"/>
        </w:rPr>
      </w:pPr>
      <w:r>
        <w:rPr>
          <w:color w:val="auto"/>
        </w:rPr>
        <w:lastRenderedPageBreak/>
        <w:t>11. General provisions</w:t>
      </w:r>
    </w:p>
    <w:p w14:paraId="02E13042" w14:textId="77777777" w:rsidR="00910EB9" w:rsidRDefault="006E4A1B">
      <w:pPr>
        <w:pStyle w:val="Heading4"/>
        <w:rPr>
          <w:color w:val="auto"/>
        </w:rPr>
      </w:pPr>
      <w:r>
        <w:rPr>
          <w:color w:val="auto"/>
        </w:rPr>
        <w:t>11.1</w:t>
      </w:r>
      <w:r>
        <w:rPr>
          <w:color w:val="auto"/>
        </w:rPr>
        <w:tab/>
        <w:t>Force majeure</w:t>
      </w:r>
    </w:p>
    <w:p w14:paraId="02E13043" w14:textId="77777777" w:rsidR="00910EB9" w:rsidRDefault="006E4A1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2E13044" w14:textId="77777777" w:rsidR="00910EB9" w:rsidRDefault="00910EB9">
      <w:pPr>
        <w:ind w:left="1440"/>
      </w:pPr>
    </w:p>
    <w:p w14:paraId="02E13045" w14:textId="77777777" w:rsidR="00910EB9" w:rsidRDefault="006E4A1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2E13046" w14:textId="77777777" w:rsidR="00910EB9" w:rsidRDefault="00910EB9">
      <w:pPr>
        <w:ind w:left="720" w:firstLine="720"/>
      </w:pPr>
    </w:p>
    <w:p w14:paraId="02E13047" w14:textId="77777777" w:rsidR="00910EB9" w:rsidRDefault="006E4A1B">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02E13048" w14:textId="77777777" w:rsidR="00910EB9" w:rsidRDefault="00910EB9">
      <w:pPr>
        <w:ind w:left="1440"/>
      </w:pPr>
    </w:p>
    <w:p w14:paraId="02E13049" w14:textId="77777777" w:rsidR="00910EB9" w:rsidRDefault="006E4A1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2E1304A" w14:textId="77777777" w:rsidR="00910EB9" w:rsidRDefault="00910EB9"/>
    <w:p w14:paraId="02E1304B" w14:textId="77777777" w:rsidR="00910EB9" w:rsidRDefault="006E4A1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2E1304C" w14:textId="77777777" w:rsidR="00910EB9" w:rsidRDefault="00910EB9">
      <w:pPr>
        <w:ind w:left="720"/>
      </w:pPr>
    </w:p>
    <w:p w14:paraId="02E1304D" w14:textId="77777777" w:rsidR="00910EB9" w:rsidRDefault="006E4A1B">
      <w:pPr>
        <w:pStyle w:val="Heading4"/>
        <w:rPr>
          <w:color w:val="auto"/>
        </w:rPr>
      </w:pPr>
      <w:r>
        <w:rPr>
          <w:color w:val="auto"/>
        </w:rPr>
        <w:t>11.2</w:t>
      </w:r>
      <w:r>
        <w:rPr>
          <w:color w:val="auto"/>
        </w:rPr>
        <w:tab/>
        <w:t>Assignment and subcontracting</w:t>
      </w:r>
    </w:p>
    <w:p w14:paraId="02E1304E" w14:textId="77777777" w:rsidR="00910EB9" w:rsidRDefault="006E4A1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2E1304F" w14:textId="77777777" w:rsidR="00910EB9" w:rsidRDefault="00910EB9">
      <w:pPr>
        <w:ind w:left="720"/>
      </w:pPr>
    </w:p>
    <w:p w14:paraId="02E13050" w14:textId="77777777" w:rsidR="00910EB9" w:rsidRDefault="006E4A1B">
      <w:pPr>
        <w:ind w:left="1440" w:hanging="720"/>
      </w:pPr>
      <w:r>
        <w:t>11.2.2</w:t>
      </w:r>
      <w:r>
        <w:tab/>
        <w:t>Any subcontractors identified in the Detailed Collaboration Plan can perform those elements identified in the Detailed Collaboration Plan to be performed by the Subcontractors.</w:t>
      </w:r>
    </w:p>
    <w:p w14:paraId="02E13051" w14:textId="77777777" w:rsidR="00910EB9" w:rsidRDefault="00910EB9">
      <w:pPr>
        <w:ind w:left="720"/>
      </w:pPr>
    </w:p>
    <w:p w14:paraId="02E13052" w14:textId="77777777" w:rsidR="00910EB9" w:rsidRDefault="006E4A1B">
      <w:pPr>
        <w:pStyle w:val="Heading4"/>
        <w:rPr>
          <w:color w:val="auto"/>
        </w:rPr>
      </w:pPr>
      <w:r>
        <w:rPr>
          <w:color w:val="auto"/>
        </w:rPr>
        <w:t>11.3</w:t>
      </w:r>
      <w:r>
        <w:rPr>
          <w:color w:val="auto"/>
        </w:rPr>
        <w:tab/>
        <w:t>Notices</w:t>
      </w:r>
    </w:p>
    <w:p w14:paraId="02E13053" w14:textId="77777777" w:rsidR="00910EB9" w:rsidRDefault="006E4A1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2E13054" w14:textId="77777777" w:rsidR="00910EB9" w:rsidRDefault="00910EB9"/>
    <w:p w14:paraId="02E13055" w14:textId="77777777" w:rsidR="00910EB9" w:rsidRDefault="006E4A1B">
      <w:pPr>
        <w:ind w:left="1440" w:hanging="720"/>
      </w:pPr>
      <w:r>
        <w:lastRenderedPageBreak/>
        <w:t>11.3.2</w:t>
      </w:r>
      <w:r>
        <w:tab/>
        <w:t>For the purposes of clause 11.3.1, the address of each of the parties are those in the Detailed Collaboration Plan.</w:t>
      </w:r>
    </w:p>
    <w:p w14:paraId="02E13056" w14:textId="77777777" w:rsidR="00910EB9" w:rsidRDefault="00910EB9">
      <w:pPr>
        <w:ind w:left="720" w:firstLine="720"/>
      </w:pPr>
    </w:p>
    <w:p w14:paraId="02E13057" w14:textId="77777777" w:rsidR="00910EB9" w:rsidRDefault="006E4A1B">
      <w:pPr>
        <w:pStyle w:val="Heading4"/>
        <w:rPr>
          <w:color w:val="auto"/>
        </w:rPr>
      </w:pPr>
      <w:r>
        <w:rPr>
          <w:color w:val="auto"/>
        </w:rPr>
        <w:t>11.4</w:t>
      </w:r>
      <w:r>
        <w:rPr>
          <w:color w:val="auto"/>
        </w:rPr>
        <w:tab/>
        <w:t>Entire agreement</w:t>
      </w:r>
    </w:p>
    <w:p w14:paraId="02E13058" w14:textId="77777777" w:rsidR="00910EB9" w:rsidRDefault="006E4A1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2E13059" w14:textId="77777777" w:rsidR="00910EB9" w:rsidRDefault="00910EB9">
      <w:pPr>
        <w:ind w:firstLine="720"/>
      </w:pPr>
    </w:p>
    <w:p w14:paraId="02E1305A" w14:textId="77777777" w:rsidR="00910EB9" w:rsidRDefault="006E4A1B">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02E1305B" w14:textId="77777777" w:rsidR="00910EB9" w:rsidRDefault="00910EB9">
      <w:pPr>
        <w:ind w:left="1440"/>
      </w:pPr>
    </w:p>
    <w:p w14:paraId="02E1305C" w14:textId="77777777" w:rsidR="00910EB9" w:rsidRDefault="006E4A1B">
      <w:pPr>
        <w:ind w:firstLine="720"/>
      </w:pPr>
      <w:r>
        <w:t>11.4.3 Nothing in this clause 11.4 will exclude any liability for fraud.</w:t>
      </w:r>
    </w:p>
    <w:p w14:paraId="02E1305D" w14:textId="77777777" w:rsidR="00910EB9" w:rsidRDefault="00910EB9"/>
    <w:p w14:paraId="02E1305E" w14:textId="77777777" w:rsidR="00910EB9" w:rsidRDefault="006E4A1B">
      <w:pPr>
        <w:pStyle w:val="Heading4"/>
        <w:rPr>
          <w:color w:val="auto"/>
        </w:rPr>
      </w:pPr>
      <w:r>
        <w:rPr>
          <w:color w:val="auto"/>
        </w:rPr>
        <w:t>11.5</w:t>
      </w:r>
      <w:r>
        <w:rPr>
          <w:color w:val="auto"/>
        </w:rPr>
        <w:tab/>
        <w:t>Rights of third parties</w:t>
      </w:r>
    </w:p>
    <w:p w14:paraId="02E1305F" w14:textId="77777777" w:rsidR="00910EB9" w:rsidRDefault="006E4A1B">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02E13060" w14:textId="77777777" w:rsidR="00910EB9" w:rsidRDefault="00910EB9">
      <w:pPr>
        <w:ind w:left="720"/>
      </w:pPr>
    </w:p>
    <w:p w14:paraId="02E13061" w14:textId="77777777" w:rsidR="00910EB9" w:rsidRDefault="006E4A1B">
      <w:pPr>
        <w:pStyle w:val="Heading4"/>
        <w:rPr>
          <w:color w:val="auto"/>
        </w:rPr>
      </w:pPr>
      <w:r>
        <w:rPr>
          <w:color w:val="auto"/>
        </w:rPr>
        <w:t>11.6</w:t>
      </w:r>
      <w:r>
        <w:rPr>
          <w:color w:val="auto"/>
        </w:rPr>
        <w:tab/>
        <w:t>Severability</w:t>
      </w:r>
    </w:p>
    <w:p w14:paraId="02E13062" w14:textId="77777777" w:rsidR="00910EB9" w:rsidRDefault="006E4A1B">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2E13063" w14:textId="77777777" w:rsidR="00910EB9" w:rsidRDefault="00910EB9"/>
    <w:p w14:paraId="02E13064" w14:textId="77777777" w:rsidR="00910EB9" w:rsidRDefault="006E4A1B">
      <w:pPr>
        <w:pStyle w:val="Heading4"/>
        <w:rPr>
          <w:color w:val="auto"/>
        </w:rPr>
      </w:pPr>
      <w:r>
        <w:rPr>
          <w:color w:val="auto"/>
        </w:rPr>
        <w:t>11.7</w:t>
      </w:r>
      <w:r>
        <w:rPr>
          <w:color w:val="auto"/>
        </w:rPr>
        <w:tab/>
        <w:t>Variations</w:t>
      </w:r>
    </w:p>
    <w:p w14:paraId="02E13065" w14:textId="77777777" w:rsidR="00910EB9" w:rsidRDefault="006E4A1B">
      <w:pPr>
        <w:ind w:left="720"/>
      </w:pPr>
      <w:r>
        <w:t>No purported amendment or variation of this Agreement or any provision of this Agreement will be effective unless it is made in writing by the parties.</w:t>
      </w:r>
    </w:p>
    <w:p w14:paraId="02E13066" w14:textId="77777777" w:rsidR="00910EB9" w:rsidRDefault="00910EB9"/>
    <w:p w14:paraId="02E13067" w14:textId="77777777" w:rsidR="00910EB9" w:rsidRDefault="006E4A1B">
      <w:pPr>
        <w:pStyle w:val="Heading4"/>
        <w:rPr>
          <w:color w:val="auto"/>
        </w:rPr>
      </w:pPr>
      <w:r>
        <w:rPr>
          <w:color w:val="auto"/>
        </w:rPr>
        <w:t>11.8</w:t>
      </w:r>
      <w:r>
        <w:rPr>
          <w:color w:val="auto"/>
        </w:rPr>
        <w:tab/>
        <w:t>No waiver</w:t>
      </w:r>
    </w:p>
    <w:p w14:paraId="02E13068" w14:textId="77777777" w:rsidR="00910EB9" w:rsidRDefault="006E4A1B">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2E13069" w14:textId="77777777" w:rsidR="00910EB9" w:rsidRDefault="00910EB9"/>
    <w:p w14:paraId="02E1306A" w14:textId="77777777" w:rsidR="00910EB9" w:rsidRDefault="006E4A1B">
      <w:pPr>
        <w:pStyle w:val="Heading4"/>
        <w:rPr>
          <w:color w:val="auto"/>
        </w:rPr>
      </w:pPr>
      <w:r>
        <w:rPr>
          <w:color w:val="auto"/>
        </w:rPr>
        <w:lastRenderedPageBreak/>
        <w:t>11.9</w:t>
      </w:r>
      <w:r>
        <w:rPr>
          <w:color w:val="auto"/>
        </w:rPr>
        <w:tab/>
        <w:t>Governing law and jurisdiction</w:t>
      </w:r>
    </w:p>
    <w:p w14:paraId="02E1306B" w14:textId="77777777" w:rsidR="00910EB9" w:rsidRDefault="006E4A1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2E1306C" w14:textId="77777777" w:rsidR="00910EB9" w:rsidRDefault="00910EB9"/>
    <w:p w14:paraId="02E1306D" w14:textId="77777777" w:rsidR="00910EB9" w:rsidRDefault="006E4A1B">
      <w:pPr>
        <w:ind w:left="720"/>
      </w:pPr>
      <w:r>
        <w:t>Executed and delivered as an agreement by the parties or their duly authorised attorneys the day and year first above written.</w:t>
      </w:r>
    </w:p>
    <w:p w14:paraId="02E1306E" w14:textId="77777777" w:rsidR="00910EB9" w:rsidRDefault="006E4A1B">
      <w:pPr>
        <w:spacing w:before="240" w:after="240"/>
      </w:pPr>
      <w:r>
        <w:rPr>
          <w:b/>
          <w:sz w:val="20"/>
          <w:szCs w:val="20"/>
        </w:rPr>
        <w:t xml:space="preserve"> </w:t>
      </w:r>
    </w:p>
    <w:p w14:paraId="02E1306F" w14:textId="77777777" w:rsidR="00910EB9" w:rsidRDefault="006E4A1B">
      <w:pPr>
        <w:rPr>
          <w:b/>
        </w:rPr>
      </w:pPr>
      <w:r>
        <w:rPr>
          <w:b/>
        </w:rPr>
        <w:t>For and on behalf of the Buyer</w:t>
      </w:r>
    </w:p>
    <w:p w14:paraId="02E13070" w14:textId="77777777" w:rsidR="00910EB9" w:rsidRDefault="00910EB9">
      <w:pPr>
        <w:rPr>
          <w:b/>
        </w:rPr>
      </w:pPr>
    </w:p>
    <w:p w14:paraId="02E13071" w14:textId="77777777" w:rsidR="00910EB9" w:rsidRDefault="006E4A1B">
      <w:pPr>
        <w:spacing w:line="480" w:lineRule="auto"/>
      </w:pPr>
      <w:r>
        <w:t>Signed by:</w:t>
      </w:r>
    </w:p>
    <w:p w14:paraId="02E13072" w14:textId="77777777" w:rsidR="00910EB9" w:rsidRDefault="006E4A1B">
      <w:r>
        <w:t>Full name (capitals):</w:t>
      </w:r>
    </w:p>
    <w:p w14:paraId="02E13073" w14:textId="77777777" w:rsidR="00910EB9" w:rsidRDefault="006E4A1B">
      <w:r>
        <w:t>Position:</w:t>
      </w:r>
    </w:p>
    <w:p w14:paraId="02E13074" w14:textId="77777777" w:rsidR="00910EB9" w:rsidRDefault="006E4A1B">
      <w:r>
        <w:t>Date:</w:t>
      </w:r>
    </w:p>
    <w:p w14:paraId="02E13075" w14:textId="77777777" w:rsidR="00910EB9" w:rsidRDefault="006E4A1B">
      <w:r>
        <w:t xml:space="preserve"> </w:t>
      </w:r>
    </w:p>
    <w:p w14:paraId="02E13076" w14:textId="77777777" w:rsidR="00910EB9" w:rsidRDefault="006E4A1B">
      <w:pPr>
        <w:spacing w:line="480" w:lineRule="auto"/>
        <w:rPr>
          <w:b/>
        </w:rPr>
      </w:pPr>
      <w:r>
        <w:rPr>
          <w:b/>
        </w:rPr>
        <w:t>For and on behalf of the [Company name]</w:t>
      </w:r>
    </w:p>
    <w:p w14:paraId="02E13077" w14:textId="77777777" w:rsidR="00910EB9" w:rsidRDefault="006E4A1B">
      <w:pPr>
        <w:spacing w:line="480" w:lineRule="auto"/>
      </w:pPr>
      <w:r>
        <w:t>Signed by:</w:t>
      </w:r>
    </w:p>
    <w:p w14:paraId="02E13078" w14:textId="77777777" w:rsidR="00910EB9" w:rsidRDefault="006E4A1B">
      <w:r>
        <w:t>Full name (capitals):</w:t>
      </w:r>
    </w:p>
    <w:p w14:paraId="02E13079" w14:textId="77777777" w:rsidR="00910EB9" w:rsidRDefault="006E4A1B">
      <w:r>
        <w:t>Position:</w:t>
      </w:r>
    </w:p>
    <w:p w14:paraId="02E1307A" w14:textId="77777777" w:rsidR="00910EB9" w:rsidRDefault="006E4A1B">
      <w:r>
        <w:t>Date:</w:t>
      </w:r>
    </w:p>
    <w:p w14:paraId="02E1307B" w14:textId="77777777" w:rsidR="00910EB9" w:rsidRDefault="006E4A1B">
      <w:r>
        <w:t xml:space="preserve"> </w:t>
      </w:r>
    </w:p>
    <w:p w14:paraId="02E1307C" w14:textId="77777777" w:rsidR="00910EB9" w:rsidRDefault="006E4A1B">
      <w:pPr>
        <w:spacing w:line="480" w:lineRule="auto"/>
        <w:rPr>
          <w:b/>
        </w:rPr>
      </w:pPr>
      <w:r>
        <w:rPr>
          <w:b/>
        </w:rPr>
        <w:t>For and on behalf of the [Company name]</w:t>
      </w:r>
    </w:p>
    <w:p w14:paraId="02E1307D" w14:textId="77777777" w:rsidR="00910EB9" w:rsidRDefault="006E4A1B">
      <w:pPr>
        <w:spacing w:line="480" w:lineRule="auto"/>
      </w:pPr>
      <w:r>
        <w:t>Signed by:</w:t>
      </w:r>
    </w:p>
    <w:p w14:paraId="02E1307E" w14:textId="77777777" w:rsidR="00910EB9" w:rsidRDefault="006E4A1B">
      <w:r>
        <w:t>Full name (capitals):</w:t>
      </w:r>
    </w:p>
    <w:p w14:paraId="02E1307F" w14:textId="77777777" w:rsidR="00910EB9" w:rsidRDefault="006E4A1B">
      <w:r>
        <w:t>Position:</w:t>
      </w:r>
    </w:p>
    <w:p w14:paraId="02E13080" w14:textId="77777777" w:rsidR="00910EB9" w:rsidRDefault="006E4A1B">
      <w:r>
        <w:t>Date:</w:t>
      </w:r>
    </w:p>
    <w:p w14:paraId="02E13081" w14:textId="77777777" w:rsidR="00910EB9" w:rsidRDefault="006E4A1B">
      <w:r>
        <w:t xml:space="preserve"> </w:t>
      </w:r>
    </w:p>
    <w:p w14:paraId="02E13082" w14:textId="77777777" w:rsidR="00910EB9" w:rsidRDefault="006E4A1B">
      <w:pPr>
        <w:spacing w:line="480" w:lineRule="auto"/>
        <w:rPr>
          <w:b/>
        </w:rPr>
      </w:pPr>
      <w:r>
        <w:rPr>
          <w:b/>
        </w:rPr>
        <w:t>For and on behalf of the [Company name]</w:t>
      </w:r>
    </w:p>
    <w:p w14:paraId="02E13083" w14:textId="77777777" w:rsidR="00910EB9" w:rsidRDefault="006E4A1B">
      <w:pPr>
        <w:spacing w:line="480" w:lineRule="auto"/>
      </w:pPr>
      <w:r>
        <w:t>Signed by:</w:t>
      </w:r>
    </w:p>
    <w:p w14:paraId="02E13084" w14:textId="77777777" w:rsidR="00910EB9" w:rsidRDefault="006E4A1B">
      <w:r>
        <w:t>Full name (capitals):</w:t>
      </w:r>
    </w:p>
    <w:p w14:paraId="02E13085" w14:textId="77777777" w:rsidR="00910EB9" w:rsidRDefault="006E4A1B">
      <w:r>
        <w:t>Position:</w:t>
      </w:r>
    </w:p>
    <w:p w14:paraId="02E13086" w14:textId="77777777" w:rsidR="00910EB9" w:rsidRDefault="006E4A1B">
      <w:r>
        <w:t>Date:</w:t>
      </w:r>
    </w:p>
    <w:p w14:paraId="02E13087" w14:textId="77777777" w:rsidR="00910EB9" w:rsidRDefault="006E4A1B">
      <w:r>
        <w:t xml:space="preserve"> </w:t>
      </w:r>
    </w:p>
    <w:p w14:paraId="02E13088" w14:textId="77777777" w:rsidR="00910EB9" w:rsidRDefault="00910EB9">
      <w:pPr>
        <w:spacing w:line="480" w:lineRule="auto"/>
        <w:rPr>
          <w:b/>
        </w:rPr>
      </w:pPr>
    </w:p>
    <w:p w14:paraId="02E13089" w14:textId="77777777" w:rsidR="00910EB9" w:rsidRDefault="006E4A1B">
      <w:pPr>
        <w:spacing w:line="480" w:lineRule="auto"/>
        <w:rPr>
          <w:b/>
        </w:rPr>
      </w:pPr>
      <w:r>
        <w:rPr>
          <w:b/>
        </w:rPr>
        <w:t>For and on behalf of the [Company name]</w:t>
      </w:r>
    </w:p>
    <w:p w14:paraId="02E1308A" w14:textId="77777777" w:rsidR="00910EB9" w:rsidRDefault="006E4A1B">
      <w:pPr>
        <w:spacing w:line="480" w:lineRule="auto"/>
      </w:pPr>
      <w:r>
        <w:t>Signed by:</w:t>
      </w:r>
    </w:p>
    <w:p w14:paraId="02E1308B" w14:textId="77777777" w:rsidR="00910EB9" w:rsidRDefault="006E4A1B">
      <w:r>
        <w:t>Full name (capitals):</w:t>
      </w:r>
    </w:p>
    <w:p w14:paraId="02E1308C" w14:textId="77777777" w:rsidR="00910EB9" w:rsidRDefault="006E4A1B">
      <w:r>
        <w:t>Position:</w:t>
      </w:r>
    </w:p>
    <w:p w14:paraId="02E1308D" w14:textId="77777777" w:rsidR="00910EB9" w:rsidRDefault="006E4A1B">
      <w:r>
        <w:t>Date:</w:t>
      </w:r>
    </w:p>
    <w:p w14:paraId="02E1308E" w14:textId="77777777" w:rsidR="00910EB9" w:rsidRDefault="006E4A1B">
      <w:r>
        <w:t xml:space="preserve"> </w:t>
      </w:r>
    </w:p>
    <w:p w14:paraId="02E1308F" w14:textId="77777777" w:rsidR="00910EB9" w:rsidRDefault="006E4A1B">
      <w:pPr>
        <w:spacing w:line="480" w:lineRule="auto"/>
        <w:rPr>
          <w:b/>
        </w:rPr>
      </w:pPr>
      <w:r>
        <w:rPr>
          <w:b/>
        </w:rPr>
        <w:t>For and on behalf of the [Company name]</w:t>
      </w:r>
    </w:p>
    <w:p w14:paraId="02E13090" w14:textId="77777777" w:rsidR="00910EB9" w:rsidRDefault="006E4A1B">
      <w:pPr>
        <w:spacing w:line="480" w:lineRule="auto"/>
      </w:pPr>
      <w:r>
        <w:lastRenderedPageBreak/>
        <w:t>Signed by:</w:t>
      </w:r>
    </w:p>
    <w:p w14:paraId="02E13091" w14:textId="77777777" w:rsidR="00910EB9" w:rsidRDefault="006E4A1B">
      <w:r>
        <w:t>Full name (capitals):</w:t>
      </w:r>
    </w:p>
    <w:p w14:paraId="02E13092" w14:textId="77777777" w:rsidR="00910EB9" w:rsidRDefault="006E4A1B">
      <w:r>
        <w:t>Position:</w:t>
      </w:r>
    </w:p>
    <w:p w14:paraId="02E13093" w14:textId="77777777" w:rsidR="00910EB9" w:rsidRDefault="006E4A1B">
      <w:r>
        <w:t>Date:</w:t>
      </w:r>
    </w:p>
    <w:p w14:paraId="02E13094" w14:textId="77777777" w:rsidR="00910EB9" w:rsidRDefault="006E4A1B">
      <w:r>
        <w:t xml:space="preserve"> </w:t>
      </w:r>
    </w:p>
    <w:p w14:paraId="02E13095" w14:textId="77777777" w:rsidR="00910EB9" w:rsidRDefault="006E4A1B">
      <w:pPr>
        <w:spacing w:line="480" w:lineRule="auto"/>
        <w:rPr>
          <w:b/>
        </w:rPr>
      </w:pPr>
      <w:r>
        <w:rPr>
          <w:b/>
        </w:rPr>
        <w:t>For and on behalf of the [Company name]</w:t>
      </w:r>
    </w:p>
    <w:p w14:paraId="02E13096" w14:textId="77777777" w:rsidR="00910EB9" w:rsidRDefault="006E4A1B">
      <w:pPr>
        <w:spacing w:line="480" w:lineRule="auto"/>
      </w:pPr>
      <w:r>
        <w:t>Signed by:</w:t>
      </w:r>
    </w:p>
    <w:p w14:paraId="02E13097" w14:textId="77777777" w:rsidR="00910EB9" w:rsidRDefault="006E4A1B">
      <w:r>
        <w:t>Full name (capitals):</w:t>
      </w:r>
    </w:p>
    <w:p w14:paraId="02E13098" w14:textId="77777777" w:rsidR="00910EB9" w:rsidRDefault="006E4A1B">
      <w:r>
        <w:t>Position:</w:t>
      </w:r>
    </w:p>
    <w:p w14:paraId="02E13099" w14:textId="77777777" w:rsidR="00910EB9" w:rsidRDefault="006E4A1B">
      <w:r>
        <w:t>Date:</w:t>
      </w:r>
    </w:p>
    <w:p w14:paraId="02E1309A" w14:textId="77777777" w:rsidR="00910EB9" w:rsidRDefault="006E4A1B">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910EB9" w14:paraId="02E1309E"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09B" w14:textId="77777777" w:rsidR="00910EB9" w:rsidRDefault="006E4A1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09C" w14:textId="77777777" w:rsidR="00910EB9" w:rsidRDefault="006E4A1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09D" w14:textId="77777777" w:rsidR="00910EB9" w:rsidRDefault="006E4A1B">
            <w:pPr>
              <w:spacing w:before="240" w:after="240"/>
              <w:rPr>
                <w:b/>
                <w:sz w:val="20"/>
                <w:szCs w:val="20"/>
              </w:rPr>
            </w:pPr>
            <w:r>
              <w:rPr>
                <w:b/>
                <w:sz w:val="20"/>
                <w:szCs w:val="20"/>
              </w:rPr>
              <w:t>Effective date of contract</w:t>
            </w:r>
          </w:p>
        </w:tc>
      </w:tr>
      <w:tr w:rsidR="00910EB9" w14:paraId="02E130A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09F" w14:textId="77777777" w:rsidR="00910EB9" w:rsidRDefault="006E4A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0" w14:textId="77777777" w:rsidR="00910EB9" w:rsidRDefault="006E4A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1" w14:textId="77777777" w:rsidR="00910EB9" w:rsidRDefault="006E4A1B">
            <w:pPr>
              <w:spacing w:before="240" w:after="240"/>
              <w:rPr>
                <w:sz w:val="20"/>
                <w:szCs w:val="20"/>
              </w:rPr>
            </w:pPr>
            <w:r>
              <w:rPr>
                <w:sz w:val="20"/>
                <w:szCs w:val="20"/>
              </w:rPr>
              <w:t xml:space="preserve"> </w:t>
            </w:r>
          </w:p>
        </w:tc>
      </w:tr>
      <w:tr w:rsidR="00910EB9" w14:paraId="02E130A6"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0A3" w14:textId="77777777" w:rsidR="00910EB9" w:rsidRDefault="006E4A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4" w14:textId="77777777" w:rsidR="00910EB9" w:rsidRDefault="006E4A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5" w14:textId="77777777" w:rsidR="00910EB9" w:rsidRDefault="006E4A1B">
            <w:pPr>
              <w:spacing w:before="240" w:after="240"/>
              <w:rPr>
                <w:sz w:val="20"/>
                <w:szCs w:val="20"/>
              </w:rPr>
            </w:pPr>
            <w:r>
              <w:rPr>
                <w:sz w:val="20"/>
                <w:szCs w:val="20"/>
              </w:rPr>
              <w:t xml:space="preserve"> </w:t>
            </w:r>
          </w:p>
        </w:tc>
      </w:tr>
      <w:tr w:rsidR="00910EB9" w14:paraId="02E130A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0A7" w14:textId="77777777" w:rsidR="00910EB9" w:rsidRDefault="006E4A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8" w14:textId="77777777" w:rsidR="00910EB9" w:rsidRDefault="006E4A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9" w14:textId="77777777" w:rsidR="00910EB9" w:rsidRDefault="006E4A1B">
            <w:pPr>
              <w:spacing w:before="240" w:after="240"/>
              <w:rPr>
                <w:sz w:val="20"/>
                <w:szCs w:val="20"/>
              </w:rPr>
            </w:pPr>
            <w:r>
              <w:rPr>
                <w:sz w:val="20"/>
                <w:szCs w:val="20"/>
              </w:rPr>
              <w:t xml:space="preserve"> </w:t>
            </w:r>
          </w:p>
        </w:tc>
      </w:tr>
      <w:tr w:rsidR="00910EB9" w14:paraId="02E130A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0AB" w14:textId="77777777" w:rsidR="00910EB9" w:rsidRDefault="006E4A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C" w14:textId="77777777" w:rsidR="00910EB9" w:rsidRDefault="006E4A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0AD" w14:textId="77777777" w:rsidR="00910EB9" w:rsidRDefault="006E4A1B">
            <w:pPr>
              <w:spacing w:before="240" w:after="240"/>
              <w:rPr>
                <w:sz w:val="20"/>
                <w:szCs w:val="20"/>
              </w:rPr>
            </w:pPr>
            <w:r>
              <w:rPr>
                <w:sz w:val="20"/>
                <w:szCs w:val="20"/>
              </w:rPr>
              <w:t xml:space="preserve"> </w:t>
            </w:r>
          </w:p>
        </w:tc>
      </w:tr>
    </w:tbl>
    <w:p w14:paraId="02E130AF" w14:textId="77777777" w:rsidR="00910EB9" w:rsidRDefault="006E4A1B">
      <w:pPr>
        <w:spacing w:before="240" w:after="240"/>
        <w:rPr>
          <w:sz w:val="20"/>
          <w:szCs w:val="20"/>
        </w:rPr>
      </w:pPr>
      <w:r>
        <w:rPr>
          <w:sz w:val="20"/>
          <w:szCs w:val="20"/>
        </w:rPr>
        <w:t xml:space="preserve"> </w:t>
      </w:r>
    </w:p>
    <w:p w14:paraId="02E130B0" w14:textId="77777777" w:rsidR="00910EB9" w:rsidRDefault="00910EB9">
      <w:pPr>
        <w:spacing w:before="240" w:after="240"/>
        <w:rPr>
          <w:sz w:val="20"/>
          <w:szCs w:val="20"/>
        </w:rPr>
      </w:pPr>
    </w:p>
    <w:p w14:paraId="02E130B1" w14:textId="77777777" w:rsidR="00910EB9" w:rsidRDefault="00910EB9">
      <w:pPr>
        <w:spacing w:before="240" w:after="240"/>
        <w:rPr>
          <w:sz w:val="20"/>
          <w:szCs w:val="20"/>
        </w:rPr>
      </w:pPr>
    </w:p>
    <w:p w14:paraId="02E130B2" w14:textId="77777777" w:rsidR="00910EB9" w:rsidRDefault="00910EB9">
      <w:pPr>
        <w:pageBreakBefore/>
      </w:pPr>
    </w:p>
    <w:p w14:paraId="02E130B3" w14:textId="77777777" w:rsidR="00910EB9" w:rsidRDefault="006E4A1B">
      <w:pPr>
        <w:pStyle w:val="Heading3"/>
      </w:pPr>
      <w:r>
        <w:rPr>
          <w:color w:val="auto"/>
        </w:rPr>
        <w:t>Collaboration Agreement Schedule 2 [</w:t>
      </w:r>
      <w:r>
        <w:rPr>
          <w:b/>
          <w:color w:val="auto"/>
        </w:rPr>
        <w:t>Insert Outline Collaboration Plan</w:t>
      </w:r>
      <w:r>
        <w:rPr>
          <w:color w:val="auto"/>
        </w:rPr>
        <w:t>]</w:t>
      </w:r>
    </w:p>
    <w:p w14:paraId="02E130B4" w14:textId="77777777" w:rsidR="00910EB9" w:rsidRDefault="00910EB9">
      <w:pPr>
        <w:spacing w:before="240" w:after="240"/>
        <w:rPr>
          <w:b/>
        </w:rPr>
      </w:pPr>
    </w:p>
    <w:p w14:paraId="02E130B5" w14:textId="77777777" w:rsidR="00910EB9" w:rsidRDefault="00910EB9">
      <w:pPr>
        <w:spacing w:before="240" w:after="240"/>
        <w:rPr>
          <w:b/>
        </w:rPr>
      </w:pPr>
    </w:p>
    <w:p w14:paraId="02E130B6" w14:textId="77777777" w:rsidR="00910EB9" w:rsidRDefault="006E4A1B">
      <w:pPr>
        <w:spacing w:before="240" w:after="240"/>
      </w:pPr>
      <w:r>
        <w:t xml:space="preserve"> </w:t>
      </w:r>
    </w:p>
    <w:p w14:paraId="02E130B7" w14:textId="77777777" w:rsidR="00910EB9" w:rsidRDefault="00910EB9">
      <w:pPr>
        <w:pageBreakBefore/>
      </w:pPr>
    </w:p>
    <w:p w14:paraId="02E130B8" w14:textId="77777777" w:rsidR="00910EB9" w:rsidRDefault="006E4A1B">
      <w:pPr>
        <w:pStyle w:val="Heading2"/>
      </w:pPr>
      <w:bookmarkStart w:id="23" w:name="_Toc33176237"/>
      <w:bookmarkStart w:id="24" w:name="_Toc85461051"/>
      <w:r>
        <w:t>Schedule 4: Alternative clauses</w:t>
      </w:r>
      <w:bookmarkEnd w:id="23"/>
      <w:bookmarkEnd w:id="24"/>
    </w:p>
    <w:p w14:paraId="02E130B9" w14:textId="77777777" w:rsidR="00910EB9" w:rsidRDefault="006E4A1B">
      <w:pPr>
        <w:pStyle w:val="Heading3"/>
        <w:rPr>
          <w:color w:val="auto"/>
        </w:rPr>
      </w:pPr>
      <w:r>
        <w:rPr>
          <w:color w:val="auto"/>
        </w:rPr>
        <w:t>1.</w:t>
      </w:r>
      <w:r>
        <w:rPr>
          <w:color w:val="auto"/>
        </w:rPr>
        <w:tab/>
        <w:t>Introduction</w:t>
      </w:r>
    </w:p>
    <w:p w14:paraId="02E130BA" w14:textId="77777777" w:rsidR="00910EB9" w:rsidRDefault="006E4A1B">
      <w:pPr>
        <w:ind w:firstLine="720"/>
      </w:pPr>
      <w:r>
        <w:t>1.1</w:t>
      </w:r>
      <w:r>
        <w:tab/>
        <w:t>This Schedule specifies the alternative clauses that may be requested in the</w:t>
      </w:r>
    </w:p>
    <w:p w14:paraId="02E130BB" w14:textId="77777777" w:rsidR="00910EB9" w:rsidRDefault="006E4A1B">
      <w:pPr>
        <w:ind w:firstLine="720"/>
      </w:pPr>
      <w:r>
        <w:t>Order Form and, if requested in the Order Form, will apply to this Call-Off Contract.</w:t>
      </w:r>
    </w:p>
    <w:p w14:paraId="02E130BC" w14:textId="77777777" w:rsidR="00910EB9" w:rsidRDefault="00910EB9"/>
    <w:p w14:paraId="02E130BD" w14:textId="77777777" w:rsidR="00910EB9" w:rsidRDefault="006E4A1B">
      <w:pPr>
        <w:pStyle w:val="Heading3"/>
        <w:rPr>
          <w:color w:val="auto"/>
        </w:rPr>
      </w:pPr>
      <w:r>
        <w:rPr>
          <w:color w:val="auto"/>
        </w:rPr>
        <w:t>2.</w:t>
      </w:r>
      <w:r>
        <w:rPr>
          <w:color w:val="auto"/>
        </w:rPr>
        <w:tab/>
        <w:t>Clauses selected</w:t>
      </w:r>
    </w:p>
    <w:p w14:paraId="02E130BE" w14:textId="77777777" w:rsidR="00910EB9" w:rsidRDefault="006E4A1B">
      <w:pPr>
        <w:ind w:firstLine="720"/>
      </w:pPr>
      <w:r>
        <w:t>2.1</w:t>
      </w:r>
      <w:r>
        <w:tab/>
        <w:t>The Customer may, in the Order Form, request the following alternative Clauses:</w:t>
      </w:r>
    </w:p>
    <w:p w14:paraId="02E130BF" w14:textId="77777777" w:rsidR="00910EB9" w:rsidRDefault="00910EB9">
      <w:pPr>
        <w:ind w:left="720" w:firstLine="720"/>
      </w:pPr>
    </w:p>
    <w:p w14:paraId="02E130C0" w14:textId="77777777" w:rsidR="00910EB9" w:rsidRDefault="006E4A1B">
      <w:pPr>
        <w:ind w:left="720" w:firstLine="720"/>
      </w:pPr>
      <w:r>
        <w:t>2.1.1</w:t>
      </w:r>
      <w:r>
        <w:tab/>
        <w:t>Scots Law and Jurisdiction</w:t>
      </w:r>
    </w:p>
    <w:p w14:paraId="02E130C1" w14:textId="77777777" w:rsidR="00910EB9" w:rsidRDefault="00910EB9">
      <w:pPr>
        <w:ind w:firstLine="720"/>
      </w:pPr>
    </w:p>
    <w:p w14:paraId="02E130C2" w14:textId="77777777" w:rsidR="00910EB9" w:rsidRDefault="006E4A1B">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2E130C3" w14:textId="77777777" w:rsidR="00910EB9" w:rsidRDefault="00910EB9"/>
    <w:p w14:paraId="02E130C4" w14:textId="77777777" w:rsidR="00910EB9" w:rsidRDefault="006E4A1B">
      <w:pPr>
        <w:ind w:left="2160" w:hanging="720"/>
      </w:pPr>
      <w:r>
        <w:t>2.1.3</w:t>
      </w:r>
      <w:r>
        <w:tab/>
        <w:t>Reference to England and Wales in Working Days definition within the Glossary and interpretations section will be replaced with Scotland.</w:t>
      </w:r>
    </w:p>
    <w:p w14:paraId="02E130C5" w14:textId="77777777" w:rsidR="00910EB9" w:rsidRDefault="00910EB9"/>
    <w:p w14:paraId="02E130C6" w14:textId="77777777" w:rsidR="00910EB9" w:rsidRDefault="006E4A1B">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2E130C7" w14:textId="77777777" w:rsidR="00910EB9" w:rsidRDefault="00910EB9"/>
    <w:p w14:paraId="02E130C8" w14:textId="77777777" w:rsidR="00910EB9" w:rsidRDefault="006E4A1B">
      <w:pPr>
        <w:ind w:left="2160" w:hanging="720"/>
      </w:pPr>
      <w:r>
        <w:t>2.1.5</w:t>
      </w:r>
      <w:r>
        <w:tab/>
        <w:t>Reference to the Supply of Goods and Services Act 1982 will be removed in incorporated Framework Agreement clause 4.2.</w:t>
      </w:r>
    </w:p>
    <w:p w14:paraId="02E130C9" w14:textId="77777777" w:rsidR="00910EB9" w:rsidRDefault="00910EB9"/>
    <w:p w14:paraId="02E130CA" w14:textId="77777777" w:rsidR="00910EB9" w:rsidRDefault="006E4A1B">
      <w:pPr>
        <w:ind w:left="720" w:firstLine="720"/>
      </w:pPr>
      <w:r>
        <w:t>2.1.6</w:t>
      </w:r>
      <w:r>
        <w:tab/>
        <w:t>References to “tort” will be replaced with “delict” throughout</w:t>
      </w:r>
    </w:p>
    <w:p w14:paraId="02E130CB" w14:textId="77777777" w:rsidR="00910EB9" w:rsidRDefault="00910EB9"/>
    <w:p w14:paraId="02E130CC" w14:textId="77777777" w:rsidR="00910EB9" w:rsidRDefault="006E4A1B">
      <w:r>
        <w:t>2.2</w:t>
      </w:r>
      <w:r>
        <w:tab/>
        <w:t>The Customer may, in the Order Form, request the following Alternative Clauses:</w:t>
      </w:r>
    </w:p>
    <w:p w14:paraId="02E130CD" w14:textId="77777777" w:rsidR="00910EB9" w:rsidRDefault="00910EB9"/>
    <w:p w14:paraId="02E130CE" w14:textId="77777777" w:rsidR="00910EB9" w:rsidRDefault="006E4A1B">
      <w:pPr>
        <w:ind w:left="1440"/>
      </w:pPr>
      <w:r>
        <w:t>2.2.1 Northern Ireland Law (see paragraph 2.3, 2.4, 2.5, 2.6 and 2.7 of this Schedule)</w:t>
      </w:r>
    </w:p>
    <w:p w14:paraId="02E130CF" w14:textId="77777777" w:rsidR="00910EB9" w:rsidRDefault="00910EB9"/>
    <w:p w14:paraId="02E130D0" w14:textId="77777777" w:rsidR="00910EB9" w:rsidRDefault="006E4A1B">
      <w:pPr>
        <w:pStyle w:val="Heading3"/>
        <w:rPr>
          <w:color w:val="auto"/>
        </w:rPr>
      </w:pPr>
      <w:r>
        <w:rPr>
          <w:color w:val="auto"/>
        </w:rPr>
        <w:t>2.3</w:t>
      </w:r>
      <w:r>
        <w:rPr>
          <w:color w:val="auto"/>
        </w:rPr>
        <w:tab/>
        <w:t>Discrimination</w:t>
      </w:r>
    </w:p>
    <w:p w14:paraId="02E130D1" w14:textId="77777777" w:rsidR="00910EB9" w:rsidRDefault="006E4A1B">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02E130D2" w14:textId="77777777" w:rsidR="00910EB9" w:rsidRDefault="00910EB9">
      <w:pPr>
        <w:ind w:left="1440"/>
      </w:pPr>
    </w:p>
    <w:p w14:paraId="02E130D3" w14:textId="77777777" w:rsidR="00910EB9" w:rsidRDefault="006E4A1B">
      <w:pPr>
        <w:pStyle w:val="ListParagraph"/>
        <w:numPr>
          <w:ilvl w:val="0"/>
          <w:numId w:val="10"/>
        </w:numPr>
      </w:pPr>
      <w:r>
        <w:t>Employment (Northern Ireland) Order 2002</w:t>
      </w:r>
    </w:p>
    <w:p w14:paraId="02E130D4" w14:textId="77777777" w:rsidR="00910EB9" w:rsidRDefault="006E4A1B">
      <w:pPr>
        <w:pStyle w:val="ListParagraph"/>
        <w:numPr>
          <w:ilvl w:val="0"/>
          <w:numId w:val="10"/>
        </w:numPr>
      </w:pPr>
      <w:r>
        <w:t>Fair Employment and Treatment (Northern Ireland) Order 1998</w:t>
      </w:r>
    </w:p>
    <w:p w14:paraId="02E130D5" w14:textId="77777777" w:rsidR="00910EB9" w:rsidRDefault="006E4A1B">
      <w:pPr>
        <w:pStyle w:val="ListParagraph"/>
        <w:numPr>
          <w:ilvl w:val="0"/>
          <w:numId w:val="10"/>
        </w:numPr>
      </w:pPr>
      <w:r>
        <w:t>Sex Discrimination (Northern Ireland) Order 1976 and 1988</w:t>
      </w:r>
    </w:p>
    <w:p w14:paraId="02E130D6" w14:textId="77777777" w:rsidR="00910EB9" w:rsidRDefault="006E4A1B">
      <w:pPr>
        <w:pStyle w:val="ListParagraph"/>
        <w:numPr>
          <w:ilvl w:val="0"/>
          <w:numId w:val="10"/>
        </w:numPr>
      </w:pPr>
      <w:r>
        <w:t>Employment Equality (Sexual   Orientation) Regulations (Northern Ireland) 2003</w:t>
      </w:r>
    </w:p>
    <w:p w14:paraId="02E130D7" w14:textId="77777777" w:rsidR="00910EB9" w:rsidRDefault="006E4A1B">
      <w:pPr>
        <w:pStyle w:val="ListParagraph"/>
        <w:numPr>
          <w:ilvl w:val="0"/>
          <w:numId w:val="10"/>
        </w:numPr>
      </w:pPr>
      <w:r>
        <w:t>Equal Pay Act (Northern Ireland) 1970</w:t>
      </w:r>
    </w:p>
    <w:p w14:paraId="02E130D8" w14:textId="77777777" w:rsidR="00910EB9" w:rsidRDefault="006E4A1B">
      <w:pPr>
        <w:pStyle w:val="ListParagraph"/>
        <w:numPr>
          <w:ilvl w:val="0"/>
          <w:numId w:val="10"/>
        </w:numPr>
      </w:pPr>
      <w:r>
        <w:lastRenderedPageBreak/>
        <w:t>Disability Discrimination Act 1995</w:t>
      </w:r>
    </w:p>
    <w:p w14:paraId="02E130D9" w14:textId="77777777" w:rsidR="00910EB9" w:rsidRDefault="006E4A1B">
      <w:pPr>
        <w:pStyle w:val="ListParagraph"/>
        <w:numPr>
          <w:ilvl w:val="0"/>
          <w:numId w:val="10"/>
        </w:numPr>
      </w:pPr>
      <w:r>
        <w:t>Race Relations (Northern Ireland) Order 1997</w:t>
      </w:r>
    </w:p>
    <w:p w14:paraId="02E130DA" w14:textId="77777777" w:rsidR="00910EB9" w:rsidRDefault="006E4A1B">
      <w:pPr>
        <w:pStyle w:val="ListParagraph"/>
        <w:numPr>
          <w:ilvl w:val="0"/>
          <w:numId w:val="10"/>
        </w:numPr>
      </w:pPr>
      <w:r>
        <w:t>Employment Relations (Northern Ireland) Order 1999 and Employment Rights (Northern Ireland) Order 1996</w:t>
      </w:r>
    </w:p>
    <w:p w14:paraId="02E130DB" w14:textId="77777777" w:rsidR="00910EB9" w:rsidRDefault="006E4A1B">
      <w:pPr>
        <w:pStyle w:val="ListParagraph"/>
        <w:numPr>
          <w:ilvl w:val="0"/>
          <w:numId w:val="10"/>
        </w:numPr>
      </w:pPr>
      <w:r>
        <w:t>Employment Equality (Age) Regulations (Northern Ireland) 2006</w:t>
      </w:r>
    </w:p>
    <w:p w14:paraId="02E130DC" w14:textId="77777777" w:rsidR="00910EB9" w:rsidRDefault="006E4A1B">
      <w:pPr>
        <w:pStyle w:val="ListParagraph"/>
        <w:numPr>
          <w:ilvl w:val="0"/>
          <w:numId w:val="10"/>
        </w:numPr>
      </w:pPr>
      <w:r>
        <w:t>Part-time Workers (Prevention of less Favourable Treatment) Regulation 2000</w:t>
      </w:r>
    </w:p>
    <w:p w14:paraId="02E130DD" w14:textId="77777777" w:rsidR="00910EB9" w:rsidRDefault="006E4A1B">
      <w:pPr>
        <w:pStyle w:val="ListParagraph"/>
        <w:numPr>
          <w:ilvl w:val="0"/>
          <w:numId w:val="10"/>
        </w:numPr>
      </w:pPr>
      <w:r>
        <w:t>Fixed-term Employees (Prevention of Less Favourable Treatment) Regulations 2002</w:t>
      </w:r>
    </w:p>
    <w:p w14:paraId="02E130DE" w14:textId="77777777" w:rsidR="00910EB9" w:rsidRDefault="006E4A1B">
      <w:pPr>
        <w:pStyle w:val="ListParagraph"/>
        <w:numPr>
          <w:ilvl w:val="0"/>
          <w:numId w:val="10"/>
        </w:numPr>
      </w:pPr>
      <w:r>
        <w:t>The Disability Discrimination (Northern Ireland) Order 2006</w:t>
      </w:r>
    </w:p>
    <w:p w14:paraId="02E130DF" w14:textId="77777777" w:rsidR="00910EB9" w:rsidRDefault="006E4A1B">
      <w:pPr>
        <w:pStyle w:val="ListParagraph"/>
        <w:numPr>
          <w:ilvl w:val="0"/>
          <w:numId w:val="10"/>
        </w:numPr>
      </w:pPr>
      <w:r>
        <w:t>The Employment Relations (Northern Ireland) Order 2004</w:t>
      </w:r>
    </w:p>
    <w:p w14:paraId="02E130E0" w14:textId="77777777" w:rsidR="00910EB9" w:rsidRDefault="006E4A1B">
      <w:pPr>
        <w:pStyle w:val="ListParagraph"/>
        <w:numPr>
          <w:ilvl w:val="0"/>
          <w:numId w:val="10"/>
        </w:numPr>
      </w:pPr>
      <w:r>
        <w:t>Equality Act (Sexual Orientation) Regulations (Northern Ireland) 2006</w:t>
      </w:r>
    </w:p>
    <w:p w14:paraId="02E130E1" w14:textId="77777777" w:rsidR="00910EB9" w:rsidRDefault="006E4A1B">
      <w:pPr>
        <w:pStyle w:val="ListParagraph"/>
        <w:numPr>
          <w:ilvl w:val="0"/>
          <w:numId w:val="10"/>
        </w:numPr>
      </w:pPr>
      <w:r>
        <w:t>Employment Relations (Northern Ireland) Order 2004</w:t>
      </w:r>
    </w:p>
    <w:p w14:paraId="02E130E2" w14:textId="77777777" w:rsidR="00910EB9" w:rsidRDefault="006E4A1B">
      <w:pPr>
        <w:pStyle w:val="ListParagraph"/>
        <w:numPr>
          <w:ilvl w:val="0"/>
          <w:numId w:val="10"/>
        </w:numPr>
      </w:pPr>
      <w:r>
        <w:t>Work and Families (Northern Ireland) Order 2006</w:t>
      </w:r>
    </w:p>
    <w:p w14:paraId="02E130E3" w14:textId="77777777" w:rsidR="00910EB9" w:rsidRDefault="00910EB9">
      <w:pPr>
        <w:ind w:left="360"/>
      </w:pPr>
    </w:p>
    <w:p w14:paraId="02E130E4" w14:textId="77777777" w:rsidR="00910EB9" w:rsidRDefault="006E4A1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2E130E5" w14:textId="77777777" w:rsidR="00910EB9" w:rsidRDefault="00910EB9"/>
    <w:p w14:paraId="02E130E6" w14:textId="77777777" w:rsidR="00910EB9" w:rsidRDefault="006E4A1B">
      <w:pPr>
        <w:ind w:left="720" w:firstLine="720"/>
      </w:pPr>
      <w:r>
        <w:t>a.</w:t>
      </w:r>
      <w:r>
        <w:tab/>
        <w:t>persons of different religious beliefs or political opinions</w:t>
      </w:r>
    </w:p>
    <w:p w14:paraId="02E130E7" w14:textId="77777777" w:rsidR="00910EB9" w:rsidRDefault="006E4A1B">
      <w:pPr>
        <w:ind w:left="720" w:firstLine="720"/>
      </w:pPr>
      <w:r>
        <w:t>b.</w:t>
      </w:r>
      <w:r>
        <w:tab/>
        <w:t>men and women or married and unmarried persons</w:t>
      </w:r>
    </w:p>
    <w:p w14:paraId="02E130E8" w14:textId="77777777" w:rsidR="00910EB9" w:rsidRDefault="006E4A1B">
      <w:pPr>
        <w:ind w:left="720" w:firstLine="720"/>
      </w:pPr>
      <w:r>
        <w:t>c.</w:t>
      </w:r>
      <w:r>
        <w:tab/>
        <w:t>persons with and without dependants (including women who are</w:t>
      </w:r>
    </w:p>
    <w:p w14:paraId="02E130E9" w14:textId="77777777" w:rsidR="00910EB9" w:rsidRDefault="006E4A1B">
      <w:pPr>
        <w:ind w:left="1440" w:firstLine="720"/>
      </w:pPr>
      <w:r>
        <w:t>pregnant or on maternity leave and men on paternity leave)</w:t>
      </w:r>
    </w:p>
    <w:p w14:paraId="02E130EA" w14:textId="77777777" w:rsidR="00910EB9" w:rsidRDefault="006E4A1B">
      <w:pPr>
        <w:ind w:left="720" w:firstLine="720"/>
      </w:pPr>
      <w:r>
        <w:t>d.</w:t>
      </w:r>
      <w:r>
        <w:tab/>
        <w:t>persons of different racial groups (within the meaning of the Race</w:t>
      </w:r>
    </w:p>
    <w:p w14:paraId="02E130EB" w14:textId="77777777" w:rsidR="00910EB9" w:rsidRDefault="006E4A1B">
      <w:pPr>
        <w:ind w:left="1440" w:firstLine="720"/>
      </w:pPr>
      <w:r>
        <w:t>Relations (Northern Ireland) Order 1997)</w:t>
      </w:r>
    </w:p>
    <w:p w14:paraId="02E130EC" w14:textId="77777777" w:rsidR="00910EB9" w:rsidRDefault="006E4A1B">
      <w:pPr>
        <w:ind w:left="720" w:firstLine="720"/>
      </w:pPr>
      <w:r>
        <w:t>e.</w:t>
      </w:r>
      <w:r>
        <w:tab/>
        <w:t>persons with and without a disability (within the meaning of the</w:t>
      </w:r>
    </w:p>
    <w:p w14:paraId="02E130ED" w14:textId="77777777" w:rsidR="00910EB9" w:rsidRDefault="006E4A1B">
      <w:pPr>
        <w:ind w:left="1440" w:firstLine="720"/>
      </w:pPr>
      <w:r>
        <w:t>Disability Discrimination Act 1995)</w:t>
      </w:r>
    </w:p>
    <w:p w14:paraId="02E130EE" w14:textId="77777777" w:rsidR="00910EB9" w:rsidRDefault="006E4A1B">
      <w:pPr>
        <w:ind w:left="720" w:firstLine="720"/>
      </w:pPr>
      <w:r>
        <w:t>f.</w:t>
      </w:r>
      <w:r>
        <w:tab/>
        <w:t>persons of different ages</w:t>
      </w:r>
    </w:p>
    <w:p w14:paraId="02E130EF" w14:textId="77777777" w:rsidR="00910EB9" w:rsidRDefault="006E4A1B">
      <w:pPr>
        <w:ind w:left="720" w:firstLine="720"/>
      </w:pPr>
      <w:r>
        <w:t>g.</w:t>
      </w:r>
      <w:r>
        <w:tab/>
        <w:t>persons of differing sexual orientation</w:t>
      </w:r>
    </w:p>
    <w:p w14:paraId="02E130F0" w14:textId="77777777" w:rsidR="00910EB9" w:rsidRDefault="006E4A1B">
      <w:r>
        <w:t xml:space="preserve"> </w:t>
      </w:r>
    </w:p>
    <w:p w14:paraId="02E130F1" w14:textId="77777777" w:rsidR="00910EB9" w:rsidRDefault="006E4A1B">
      <w:pPr>
        <w:ind w:firstLine="720"/>
      </w:pPr>
      <w:r>
        <w:t>2.3.2</w:t>
      </w:r>
      <w:r>
        <w:tab/>
        <w:t>The Supplier will take all reasonable steps to secure the observance of clause</w:t>
      </w:r>
    </w:p>
    <w:p w14:paraId="02E130F2" w14:textId="77777777" w:rsidR="00910EB9" w:rsidRDefault="006E4A1B">
      <w:pPr>
        <w:ind w:left="720" w:firstLine="720"/>
      </w:pPr>
      <w:r>
        <w:t>2.3.1 of this Schedule by all Supplier Staff.</w:t>
      </w:r>
    </w:p>
    <w:p w14:paraId="02E130F3" w14:textId="77777777" w:rsidR="00910EB9" w:rsidRDefault="006E4A1B">
      <w:pPr>
        <w:spacing w:before="240" w:after="240"/>
        <w:ind w:left="1440"/>
      </w:pPr>
      <w:r>
        <w:rPr>
          <w:sz w:val="20"/>
          <w:szCs w:val="20"/>
        </w:rPr>
        <w:t xml:space="preserve"> </w:t>
      </w:r>
    </w:p>
    <w:p w14:paraId="02E130F4" w14:textId="77777777" w:rsidR="00910EB9" w:rsidRDefault="006E4A1B">
      <w:pPr>
        <w:pStyle w:val="Heading3"/>
        <w:rPr>
          <w:color w:val="auto"/>
        </w:rPr>
      </w:pPr>
      <w:r>
        <w:rPr>
          <w:color w:val="auto"/>
        </w:rPr>
        <w:t>2.4</w:t>
      </w:r>
      <w:r>
        <w:rPr>
          <w:color w:val="auto"/>
        </w:rPr>
        <w:tab/>
        <w:t>Equality policies and practices</w:t>
      </w:r>
    </w:p>
    <w:p w14:paraId="02E130F5" w14:textId="77777777" w:rsidR="00910EB9" w:rsidRDefault="006E4A1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2E130F6" w14:textId="77777777" w:rsidR="00910EB9" w:rsidRDefault="00910EB9">
      <w:pPr>
        <w:ind w:left="1440" w:hanging="720"/>
      </w:pPr>
    </w:p>
    <w:p w14:paraId="02E130F7" w14:textId="77777777" w:rsidR="00910EB9" w:rsidRDefault="006E4A1B">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02E130F8" w14:textId="77777777" w:rsidR="00910EB9" w:rsidRDefault="00910EB9">
      <w:pPr>
        <w:ind w:left="1440"/>
      </w:pPr>
    </w:p>
    <w:p w14:paraId="02E130F9" w14:textId="77777777" w:rsidR="00910EB9" w:rsidRDefault="006E4A1B">
      <w:pPr>
        <w:ind w:left="720" w:firstLine="720"/>
      </w:pPr>
      <w:r>
        <w:t>a.</w:t>
      </w:r>
      <w:r>
        <w:tab/>
        <w:t>the issue of written instructions to staff and other relevant persons</w:t>
      </w:r>
    </w:p>
    <w:p w14:paraId="02E130FA" w14:textId="77777777" w:rsidR="00910EB9" w:rsidRDefault="006E4A1B">
      <w:pPr>
        <w:ind w:left="2160" w:hanging="720"/>
      </w:pPr>
      <w:r>
        <w:t>b.</w:t>
      </w:r>
      <w:r>
        <w:tab/>
        <w:t>the appointment or designation of a senior manager with responsibility for equal opportunities</w:t>
      </w:r>
    </w:p>
    <w:p w14:paraId="02E130FB" w14:textId="77777777" w:rsidR="00910EB9" w:rsidRDefault="006E4A1B">
      <w:pPr>
        <w:ind w:left="2160" w:hanging="720"/>
      </w:pPr>
      <w:r>
        <w:t>c.</w:t>
      </w:r>
      <w:r>
        <w:tab/>
        <w:t>training of all staff and other relevant persons in equal opportunities and harassment matters</w:t>
      </w:r>
    </w:p>
    <w:p w14:paraId="02E130FC" w14:textId="77777777" w:rsidR="00910EB9" w:rsidRDefault="006E4A1B">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02E130FD" w14:textId="77777777" w:rsidR="00910EB9" w:rsidRDefault="00910EB9"/>
    <w:p w14:paraId="02E130FE" w14:textId="77777777" w:rsidR="00910EB9" w:rsidRDefault="006E4A1B">
      <w:pPr>
        <w:ind w:left="720"/>
      </w:pPr>
      <w:r>
        <w:t>The Supplier will procure that its Subcontractors do likewise with their equal opportunities policies.</w:t>
      </w:r>
    </w:p>
    <w:p w14:paraId="02E130FF" w14:textId="77777777" w:rsidR="00910EB9" w:rsidRDefault="00910EB9">
      <w:pPr>
        <w:ind w:left="720"/>
      </w:pPr>
    </w:p>
    <w:p w14:paraId="02E13100" w14:textId="77777777" w:rsidR="00910EB9" w:rsidRDefault="006E4A1B">
      <w:pPr>
        <w:ind w:firstLine="720"/>
      </w:pPr>
      <w:r>
        <w:t>2.4.3</w:t>
      </w:r>
      <w:r>
        <w:tab/>
        <w:t>The Supplier will inform the Customer as soon as possible in the event of:</w:t>
      </w:r>
    </w:p>
    <w:p w14:paraId="02E13101" w14:textId="77777777" w:rsidR="00910EB9" w:rsidRDefault="00910EB9"/>
    <w:p w14:paraId="02E13102" w14:textId="77777777" w:rsidR="00910EB9" w:rsidRDefault="006E4A1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2E13103" w14:textId="77777777" w:rsidR="00910EB9" w:rsidRDefault="006E4A1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2E13104" w14:textId="77777777" w:rsidR="00910EB9" w:rsidRDefault="00910EB9">
      <w:pPr>
        <w:ind w:left="2160"/>
      </w:pPr>
    </w:p>
    <w:p w14:paraId="02E13105" w14:textId="77777777" w:rsidR="00910EB9" w:rsidRDefault="006E4A1B">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02E13106" w14:textId="77777777" w:rsidR="00910EB9" w:rsidRDefault="00910EB9"/>
    <w:p w14:paraId="02E13107" w14:textId="77777777" w:rsidR="00910EB9" w:rsidRDefault="006E4A1B">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02E13108" w14:textId="77777777" w:rsidR="00910EB9" w:rsidRDefault="00910EB9">
      <w:pPr>
        <w:ind w:left="1440"/>
      </w:pPr>
    </w:p>
    <w:p w14:paraId="02E13109" w14:textId="77777777" w:rsidR="00910EB9" w:rsidRDefault="006E4A1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2E1310A" w14:textId="77777777" w:rsidR="00910EB9" w:rsidRDefault="00910EB9">
      <w:pPr>
        <w:ind w:left="1440" w:hanging="720"/>
      </w:pPr>
    </w:p>
    <w:p w14:paraId="02E1310B" w14:textId="77777777" w:rsidR="00910EB9" w:rsidRDefault="006E4A1B">
      <w:pPr>
        <w:pStyle w:val="Heading3"/>
        <w:rPr>
          <w:color w:val="auto"/>
        </w:rPr>
      </w:pPr>
      <w:r>
        <w:rPr>
          <w:color w:val="auto"/>
        </w:rPr>
        <w:t>2.5</w:t>
      </w:r>
      <w:r>
        <w:rPr>
          <w:color w:val="auto"/>
        </w:rPr>
        <w:tab/>
        <w:t>Equality</w:t>
      </w:r>
    </w:p>
    <w:p w14:paraId="02E1310C" w14:textId="77777777" w:rsidR="00910EB9" w:rsidRDefault="006E4A1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2E1310D" w14:textId="77777777" w:rsidR="00910EB9" w:rsidRDefault="00910EB9">
      <w:pPr>
        <w:ind w:left="1440"/>
      </w:pPr>
    </w:p>
    <w:p w14:paraId="02E1310E" w14:textId="77777777" w:rsidR="00910EB9" w:rsidRDefault="006E4A1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2E1310F" w14:textId="77777777" w:rsidR="00910EB9" w:rsidRDefault="00910EB9"/>
    <w:p w14:paraId="02E13110" w14:textId="77777777" w:rsidR="00910EB9" w:rsidRDefault="006E4A1B">
      <w:pPr>
        <w:pStyle w:val="Heading3"/>
        <w:rPr>
          <w:color w:val="auto"/>
        </w:rPr>
      </w:pPr>
      <w:r>
        <w:rPr>
          <w:color w:val="auto"/>
        </w:rPr>
        <w:lastRenderedPageBreak/>
        <w:t>2.6</w:t>
      </w:r>
      <w:r>
        <w:rPr>
          <w:color w:val="auto"/>
        </w:rPr>
        <w:tab/>
        <w:t>Health and safety</w:t>
      </w:r>
    </w:p>
    <w:p w14:paraId="02E13111" w14:textId="77777777" w:rsidR="00910EB9" w:rsidRDefault="006E4A1B">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02E13112" w14:textId="77777777" w:rsidR="00910EB9" w:rsidRDefault="00910EB9">
      <w:pPr>
        <w:ind w:left="1440"/>
      </w:pPr>
    </w:p>
    <w:p w14:paraId="02E13113" w14:textId="77777777" w:rsidR="00910EB9" w:rsidRDefault="006E4A1B">
      <w:pPr>
        <w:ind w:left="1440" w:hanging="720"/>
      </w:pPr>
      <w:r>
        <w:t>2.6.2</w:t>
      </w:r>
      <w:r>
        <w:tab/>
        <w:t>While on the Customer premises, the Supplier will comply with any health and safety measures implemented by the Customer in respect of Supplier Staff and other persons working there.</w:t>
      </w:r>
    </w:p>
    <w:p w14:paraId="02E13114" w14:textId="77777777" w:rsidR="00910EB9" w:rsidRDefault="00910EB9"/>
    <w:p w14:paraId="02E13115" w14:textId="77777777" w:rsidR="00910EB9" w:rsidRDefault="006E4A1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2E13116" w14:textId="77777777" w:rsidR="00910EB9" w:rsidRDefault="00910EB9"/>
    <w:p w14:paraId="02E13117" w14:textId="77777777" w:rsidR="00910EB9" w:rsidRDefault="006E4A1B">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02E13118" w14:textId="77777777" w:rsidR="00910EB9" w:rsidRDefault="00910EB9"/>
    <w:p w14:paraId="02E13119" w14:textId="77777777" w:rsidR="00910EB9" w:rsidRDefault="006E4A1B">
      <w:pPr>
        <w:ind w:left="1440" w:hanging="720"/>
      </w:pPr>
      <w:r>
        <w:t>2.6.5</w:t>
      </w:r>
      <w:r>
        <w:tab/>
        <w:t>The Supplier will ensure that its health and safety policy statement (as required by the Health and Safety at Work (Northern Ireland) Order 1978) is made available to the Customer on request.</w:t>
      </w:r>
    </w:p>
    <w:p w14:paraId="02E1311A" w14:textId="77777777" w:rsidR="00910EB9" w:rsidRDefault="00910EB9"/>
    <w:p w14:paraId="02E1311B" w14:textId="77777777" w:rsidR="00910EB9" w:rsidRDefault="006E4A1B">
      <w:pPr>
        <w:pStyle w:val="Heading3"/>
        <w:rPr>
          <w:color w:val="auto"/>
        </w:rPr>
      </w:pPr>
      <w:r>
        <w:rPr>
          <w:color w:val="auto"/>
        </w:rPr>
        <w:t>2.7</w:t>
      </w:r>
      <w:r>
        <w:rPr>
          <w:color w:val="auto"/>
        </w:rPr>
        <w:tab/>
        <w:t>Criminal damage</w:t>
      </w:r>
    </w:p>
    <w:p w14:paraId="02E1311C" w14:textId="77777777" w:rsidR="00910EB9" w:rsidRDefault="006E4A1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2E1311D" w14:textId="77777777" w:rsidR="00910EB9" w:rsidRDefault="00910EB9"/>
    <w:p w14:paraId="02E1311E" w14:textId="77777777" w:rsidR="00910EB9" w:rsidRDefault="006E4A1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2E1311F" w14:textId="77777777" w:rsidR="00910EB9" w:rsidRDefault="00910EB9"/>
    <w:p w14:paraId="02E13120" w14:textId="77777777" w:rsidR="00910EB9" w:rsidRDefault="006E4A1B">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2E13121" w14:textId="77777777" w:rsidR="00910EB9" w:rsidRDefault="00910EB9"/>
    <w:p w14:paraId="02E13122" w14:textId="77777777" w:rsidR="00910EB9" w:rsidRDefault="006E4A1B">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02E13123" w14:textId="77777777" w:rsidR="00910EB9" w:rsidRDefault="00910EB9"/>
    <w:p w14:paraId="02E13124" w14:textId="77777777" w:rsidR="00910EB9" w:rsidRDefault="00910EB9">
      <w:pPr>
        <w:rPr>
          <w:b/>
        </w:rPr>
      </w:pPr>
    </w:p>
    <w:p w14:paraId="02E13125" w14:textId="77777777" w:rsidR="00910EB9" w:rsidRDefault="00910EB9">
      <w:bookmarkStart w:id="25" w:name="_Toc33176238"/>
    </w:p>
    <w:p w14:paraId="02E13126" w14:textId="77777777" w:rsidR="00910EB9" w:rsidRDefault="006E4A1B">
      <w:pPr>
        <w:pStyle w:val="Heading2"/>
        <w:pageBreakBefore/>
      </w:pPr>
      <w:bookmarkStart w:id="26" w:name="_Toc85461052"/>
      <w:r>
        <w:lastRenderedPageBreak/>
        <w:t>Schedule 5: Guarantee</w:t>
      </w:r>
      <w:bookmarkEnd w:id="25"/>
      <w:bookmarkEnd w:id="26"/>
    </w:p>
    <w:p w14:paraId="02E13127" w14:textId="77777777" w:rsidR="00910EB9" w:rsidRDefault="006E4A1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2E13128" w14:textId="77777777" w:rsidR="00910EB9" w:rsidRDefault="00910EB9"/>
    <w:p w14:paraId="02E13129" w14:textId="77777777" w:rsidR="00910EB9" w:rsidRDefault="006E4A1B">
      <w:r>
        <w:t>This deed of guarantee is made on [</w:t>
      </w:r>
      <w:r>
        <w:rPr>
          <w:b/>
        </w:rPr>
        <w:t>insert date, month, year]</w:t>
      </w:r>
      <w:r>
        <w:t xml:space="preserve"> between:</w:t>
      </w:r>
    </w:p>
    <w:p w14:paraId="02E1312A" w14:textId="77777777" w:rsidR="00910EB9" w:rsidRDefault="00910EB9"/>
    <w:p w14:paraId="02E1312B" w14:textId="77777777" w:rsidR="00910EB9" w:rsidRDefault="006E4A1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2E1312C" w14:textId="77777777" w:rsidR="00910EB9" w:rsidRDefault="006E4A1B">
      <w:r>
        <w:t>and</w:t>
      </w:r>
    </w:p>
    <w:p w14:paraId="02E1312D" w14:textId="77777777" w:rsidR="00910EB9" w:rsidRDefault="00910EB9"/>
    <w:p w14:paraId="02E1312E" w14:textId="77777777" w:rsidR="00910EB9" w:rsidRDefault="006E4A1B">
      <w:pPr>
        <w:ind w:firstLine="720"/>
      </w:pPr>
      <w:r>
        <w:t xml:space="preserve"> (2)</w:t>
      </w:r>
      <w:r>
        <w:tab/>
        <w:t>The Buyer whose offices are [</w:t>
      </w:r>
      <w:r>
        <w:rPr>
          <w:b/>
        </w:rPr>
        <w:t>insert Buyer’s official address</w:t>
      </w:r>
      <w:r>
        <w:t>] (‘Beneficiary’)</w:t>
      </w:r>
    </w:p>
    <w:p w14:paraId="02E1312F" w14:textId="77777777" w:rsidR="00910EB9" w:rsidRDefault="006E4A1B">
      <w:pPr>
        <w:spacing w:before="240" w:after="240"/>
        <w:rPr>
          <w:b/>
          <w:sz w:val="20"/>
          <w:szCs w:val="20"/>
        </w:rPr>
      </w:pPr>
      <w:r>
        <w:rPr>
          <w:b/>
          <w:sz w:val="20"/>
          <w:szCs w:val="20"/>
        </w:rPr>
        <w:t>Whereas:</w:t>
      </w:r>
    </w:p>
    <w:p w14:paraId="02E13130" w14:textId="77777777" w:rsidR="00910EB9" w:rsidRDefault="006E4A1B">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02E13131" w14:textId="77777777" w:rsidR="00910EB9" w:rsidRDefault="00910EB9">
      <w:pPr>
        <w:ind w:left="2160"/>
      </w:pPr>
    </w:p>
    <w:p w14:paraId="02E13132" w14:textId="77777777" w:rsidR="00910EB9" w:rsidRDefault="006E4A1B">
      <w:pPr>
        <w:ind w:left="2160" w:hanging="720"/>
      </w:pPr>
      <w:r>
        <w:t>(B)</w:t>
      </w:r>
      <w:r>
        <w:tab/>
        <w:t>It is the intention of the Parties that this document be executed and take effect as a deed.</w:t>
      </w:r>
    </w:p>
    <w:p w14:paraId="02E13133" w14:textId="77777777" w:rsidR="00910EB9" w:rsidRDefault="00910EB9"/>
    <w:p w14:paraId="02E13134" w14:textId="77777777" w:rsidR="00910EB9" w:rsidRDefault="006E4A1B">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02E13135" w14:textId="77777777" w:rsidR="00910EB9" w:rsidRDefault="00910EB9"/>
    <w:p w14:paraId="02E13136" w14:textId="77777777" w:rsidR="00910EB9" w:rsidRDefault="006E4A1B">
      <w:r>
        <w:t>Suggested headings are as follows:</w:t>
      </w:r>
    </w:p>
    <w:p w14:paraId="02E13137" w14:textId="77777777" w:rsidR="00910EB9" w:rsidRDefault="00910EB9"/>
    <w:p w14:paraId="02E13138" w14:textId="77777777" w:rsidR="00910EB9" w:rsidRDefault="006E4A1B">
      <w:pPr>
        <w:numPr>
          <w:ilvl w:val="0"/>
          <w:numId w:val="11"/>
        </w:numPr>
      </w:pPr>
      <w:r>
        <w:t>Demands and notices</w:t>
      </w:r>
    </w:p>
    <w:p w14:paraId="02E13139" w14:textId="77777777" w:rsidR="00910EB9" w:rsidRDefault="006E4A1B">
      <w:pPr>
        <w:numPr>
          <w:ilvl w:val="0"/>
          <w:numId w:val="11"/>
        </w:numPr>
      </w:pPr>
      <w:r>
        <w:t>Representations and Warranties</w:t>
      </w:r>
    </w:p>
    <w:p w14:paraId="02E1313A" w14:textId="77777777" w:rsidR="00910EB9" w:rsidRDefault="006E4A1B">
      <w:pPr>
        <w:numPr>
          <w:ilvl w:val="0"/>
          <w:numId w:val="11"/>
        </w:numPr>
      </w:pPr>
      <w:r>
        <w:t xml:space="preserve">Obligation to </w:t>
      </w:r>
      <w:proofErr w:type="gramStart"/>
      <w:r>
        <w:t>enter into</w:t>
      </w:r>
      <w:proofErr w:type="gramEnd"/>
      <w:r>
        <w:t xml:space="preserve"> a new Contract</w:t>
      </w:r>
    </w:p>
    <w:p w14:paraId="02E1313B" w14:textId="77777777" w:rsidR="00910EB9" w:rsidRDefault="006E4A1B">
      <w:pPr>
        <w:numPr>
          <w:ilvl w:val="0"/>
          <w:numId w:val="11"/>
        </w:numPr>
      </w:pPr>
      <w:r>
        <w:t>Assignment</w:t>
      </w:r>
    </w:p>
    <w:p w14:paraId="02E1313C" w14:textId="77777777" w:rsidR="00910EB9" w:rsidRDefault="006E4A1B">
      <w:pPr>
        <w:numPr>
          <w:ilvl w:val="0"/>
          <w:numId w:val="11"/>
        </w:numPr>
      </w:pPr>
      <w:r>
        <w:t>Third Party Rights</w:t>
      </w:r>
    </w:p>
    <w:p w14:paraId="02E1313D" w14:textId="77777777" w:rsidR="00910EB9" w:rsidRDefault="006E4A1B">
      <w:pPr>
        <w:numPr>
          <w:ilvl w:val="0"/>
          <w:numId w:val="11"/>
        </w:numPr>
      </w:pPr>
      <w:r>
        <w:t>Governing Law</w:t>
      </w:r>
    </w:p>
    <w:p w14:paraId="02E1313E" w14:textId="77777777" w:rsidR="00910EB9" w:rsidRDefault="006E4A1B">
      <w:pPr>
        <w:numPr>
          <w:ilvl w:val="0"/>
          <w:numId w:val="11"/>
        </w:numPr>
      </w:pPr>
      <w:r>
        <w:t>This Call-Off Contract is conditional upon the provision of a Guarantee to the Buyer from the guarantor in respect of the Supplier.]</w:t>
      </w:r>
    </w:p>
    <w:p w14:paraId="02E1313F" w14:textId="77777777" w:rsidR="00910EB9" w:rsidRDefault="006E4A1B">
      <w:pPr>
        <w:spacing w:before="240" w:after="240"/>
        <w:rPr>
          <w:sz w:val="20"/>
          <w:szCs w:val="20"/>
        </w:rPr>
      </w:pPr>
      <w:r>
        <w:rPr>
          <w:sz w:val="20"/>
          <w:szCs w:val="20"/>
        </w:rPr>
        <w:t xml:space="preserve"> </w:t>
      </w:r>
    </w:p>
    <w:p w14:paraId="02E13140" w14:textId="77777777" w:rsidR="00910EB9" w:rsidRDefault="00910EB9">
      <w:pPr>
        <w:pageBreakBefore/>
        <w:rPr>
          <w:sz w:val="20"/>
          <w:szCs w:val="20"/>
        </w:rPr>
      </w:pPr>
    </w:p>
    <w:p w14:paraId="02E13141" w14:textId="77777777" w:rsidR="00910EB9" w:rsidRDefault="00910EB9">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910EB9" w14:paraId="02E13144"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2" w14:textId="77777777" w:rsidR="00910EB9" w:rsidRDefault="006E4A1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3" w14:textId="77777777" w:rsidR="00910EB9" w:rsidRDefault="006E4A1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910EB9" w14:paraId="02E13147"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5" w14:textId="77777777" w:rsidR="00910EB9" w:rsidRDefault="006E4A1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6" w14:textId="77777777" w:rsidR="00910EB9" w:rsidRDefault="006E4A1B">
            <w:pPr>
              <w:spacing w:before="240" w:after="240"/>
            </w:pPr>
            <w:r>
              <w:rPr>
                <w:sz w:val="20"/>
                <w:szCs w:val="20"/>
              </w:rPr>
              <w:t>[</w:t>
            </w:r>
            <w:r>
              <w:rPr>
                <w:b/>
                <w:sz w:val="20"/>
                <w:szCs w:val="20"/>
              </w:rPr>
              <w:t>Enter Company address</w:t>
            </w:r>
            <w:r>
              <w:rPr>
                <w:sz w:val="20"/>
                <w:szCs w:val="20"/>
              </w:rPr>
              <w:t>]</w:t>
            </w:r>
          </w:p>
        </w:tc>
      </w:tr>
      <w:tr w:rsidR="00910EB9" w14:paraId="02E1314A"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8" w14:textId="77777777" w:rsidR="00910EB9" w:rsidRDefault="006E4A1B">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9" w14:textId="77777777" w:rsidR="00910EB9" w:rsidRDefault="006E4A1B">
            <w:pPr>
              <w:spacing w:before="240" w:after="240"/>
            </w:pPr>
            <w:r>
              <w:rPr>
                <w:sz w:val="20"/>
                <w:szCs w:val="20"/>
              </w:rPr>
              <w:t>[</w:t>
            </w:r>
            <w:r>
              <w:rPr>
                <w:b/>
                <w:sz w:val="20"/>
                <w:szCs w:val="20"/>
              </w:rPr>
              <w:t>Enter Account Manager name]</w:t>
            </w:r>
          </w:p>
        </w:tc>
      </w:tr>
      <w:tr w:rsidR="00910EB9" w14:paraId="02E1314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B" w14:textId="77777777" w:rsidR="00910EB9" w:rsidRDefault="00910EB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C" w14:textId="77777777" w:rsidR="00910EB9" w:rsidRDefault="006E4A1B">
            <w:pPr>
              <w:spacing w:before="240" w:after="240"/>
            </w:pPr>
            <w:r>
              <w:rPr>
                <w:sz w:val="20"/>
                <w:szCs w:val="20"/>
              </w:rPr>
              <w:t>Address: [</w:t>
            </w:r>
            <w:r>
              <w:rPr>
                <w:b/>
                <w:sz w:val="20"/>
                <w:szCs w:val="20"/>
              </w:rPr>
              <w:t>Enter Account Manager address]</w:t>
            </w:r>
          </w:p>
        </w:tc>
      </w:tr>
      <w:tr w:rsidR="00910EB9" w14:paraId="02E1315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E" w14:textId="77777777" w:rsidR="00910EB9" w:rsidRDefault="00910EB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4F" w14:textId="77777777" w:rsidR="00910EB9" w:rsidRDefault="006E4A1B">
            <w:pPr>
              <w:spacing w:before="240" w:after="240"/>
            </w:pPr>
            <w:r>
              <w:rPr>
                <w:sz w:val="20"/>
                <w:szCs w:val="20"/>
              </w:rPr>
              <w:t>Phone: [</w:t>
            </w:r>
            <w:r>
              <w:rPr>
                <w:b/>
                <w:sz w:val="20"/>
                <w:szCs w:val="20"/>
              </w:rPr>
              <w:t>Enter Account Manager phone number]</w:t>
            </w:r>
          </w:p>
        </w:tc>
      </w:tr>
      <w:tr w:rsidR="00910EB9" w14:paraId="02E1315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51" w14:textId="77777777" w:rsidR="00910EB9" w:rsidRDefault="00910EB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52" w14:textId="77777777" w:rsidR="00910EB9" w:rsidRDefault="006E4A1B">
            <w:pPr>
              <w:spacing w:before="240" w:after="240"/>
            </w:pPr>
            <w:r>
              <w:rPr>
                <w:sz w:val="20"/>
                <w:szCs w:val="20"/>
              </w:rPr>
              <w:t>Email: [</w:t>
            </w:r>
            <w:r>
              <w:rPr>
                <w:b/>
                <w:sz w:val="20"/>
                <w:szCs w:val="20"/>
              </w:rPr>
              <w:t>Enter Account Manager email</w:t>
            </w:r>
            <w:r>
              <w:rPr>
                <w:sz w:val="20"/>
                <w:szCs w:val="20"/>
              </w:rPr>
              <w:t>]</w:t>
            </w:r>
          </w:p>
        </w:tc>
      </w:tr>
      <w:tr w:rsidR="00910EB9" w14:paraId="02E1315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54" w14:textId="77777777" w:rsidR="00910EB9" w:rsidRDefault="00910EB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55" w14:textId="77777777" w:rsidR="00910EB9" w:rsidRDefault="006E4A1B">
            <w:pPr>
              <w:spacing w:before="240" w:after="240"/>
            </w:pPr>
            <w:r>
              <w:rPr>
                <w:sz w:val="20"/>
                <w:szCs w:val="20"/>
              </w:rPr>
              <w:t>Fax: [</w:t>
            </w:r>
            <w:r>
              <w:rPr>
                <w:b/>
                <w:sz w:val="20"/>
                <w:szCs w:val="20"/>
              </w:rPr>
              <w:t xml:space="preserve">Enter Account Manager fax </w:t>
            </w:r>
            <w:r>
              <w:rPr>
                <w:sz w:val="20"/>
                <w:szCs w:val="20"/>
              </w:rPr>
              <w:t>if applicable]</w:t>
            </w:r>
          </w:p>
        </w:tc>
      </w:tr>
    </w:tbl>
    <w:p w14:paraId="02E13157" w14:textId="77777777" w:rsidR="00910EB9" w:rsidRDefault="006E4A1B">
      <w:pPr>
        <w:spacing w:before="60" w:after="240"/>
        <w:rPr>
          <w:sz w:val="20"/>
          <w:szCs w:val="20"/>
        </w:rPr>
      </w:pPr>
      <w:r>
        <w:rPr>
          <w:sz w:val="20"/>
          <w:szCs w:val="20"/>
        </w:rPr>
        <w:t xml:space="preserve"> </w:t>
      </w:r>
    </w:p>
    <w:p w14:paraId="02E13158" w14:textId="77777777" w:rsidR="00910EB9" w:rsidRDefault="006E4A1B">
      <w:r>
        <w:t xml:space="preserve">In consideration of the Buyer </w:t>
      </w:r>
      <w:proofErr w:type="gramStart"/>
      <w:r>
        <w:t>entering into</w:t>
      </w:r>
      <w:proofErr w:type="gramEnd"/>
      <w:r>
        <w:t xml:space="preserve"> the Call-Off Contract, the Guarantor agrees with the Buyer as follows:</w:t>
      </w:r>
    </w:p>
    <w:p w14:paraId="02E13159" w14:textId="77777777" w:rsidR="00910EB9" w:rsidRDefault="00910EB9"/>
    <w:p w14:paraId="02E1315A" w14:textId="77777777" w:rsidR="00910EB9" w:rsidRDefault="006E4A1B">
      <w:pPr>
        <w:pStyle w:val="Heading3"/>
        <w:rPr>
          <w:color w:val="auto"/>
        </w:rPr>
      </w:pPr>
      <w:r>
        <w:rPr>
          <w:color w:val="auto"/>
        </w:rPr>
        <w:t>Definitions and interpretation</w:t>
      </w:r>
    </w:p>
    <w:p w14:paraId="02E1315B" w14:textId="77777777" w:rsidR="00910EB9" w:rsidRDefault="006E4A1B">
      <w:r>
        <w:t>In this Deed of Guarantee, unless defined elsewhere in this Deed of Guarantee or the context requires otherwise, defined terms will have the same meaning as they have for the purposes of the Call-Off Contract.</w:t>
      </w:r>
    </w:p>
    <w:p w14:paraId="02E1315C" w14:textId="77777777" w:rsidR="00910EB9" w:rsidRDefault="00910EB9"/>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10EB9" w14:paraId="02E1315F"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5D" w14:textId="77777777" w:rsidR="00910EB9" w:rsidRDefault="006E4A1B">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5E" w14:textId="77777777" w:rsidR="00910EB9" w:rsidRDefault="006E4A1B">
            <w:pPr>
              <w:spacing w:before="240" w:after="240"/>
              <w:jc w:val="center"/>
              <w:rPr>
                <w:b/>
                <w:sz w:val="20"/>
                <w:szCs w:val="20"/>
              </w:rPr>
            </w:pPr>
            <w:r>
              <w:rPr>
                <w:b/>
                <w:sz w:val="20"/>
                <w:szCs w:val="20"/>
              </w:rPr>
              <w:t>Meaning</w:t>
            </w:r>
          </w:p>
        </w:tc>
      </w:tr>
      <w:tr w:rsidR="00910EB9" w14:paraId="02E13162"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60" w14:textId="77777777" w:rsidR="00910EB9" w:rsidRDefault="006E4A1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161" w14:textId="77777777" w:rsidR="00910EB9" w:rsidRDefault="006E4A1B">
            <w:pPr>
              <w:spacing w:before="240" w:after="240"/>
              <w:rPr>
                <w:sz w:val="20"/>
                <w:szCs w:val="20"/>
              </w:rPr>
            </w:pPr>
            <w:r>
              <w:rPr>
                <w:sz w:val="20"/>
                <w:szCs w:val="20"/>
              </w:rPr>
              <w:t>Means [the Guaranteed Agreement] made between the Buyer and the Supplier on [insert date].</w:t>
            </w:r>
          </w:p>
        </w:tc>
      </w:tr>
      <w:tr w:rsidR="00910EB9" w14:paraId="02E13165"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63" w14:textId="77777777" w:rsidR="00910EB9" w:rsidRDefault="006E4A1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164" w14:textId="77777777" w:rsidR="00910EB9" w:rsidRDefault="006E4A1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10EB9" w14:paraId="02E13168"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66" w14:textId="77777777" w:rsidR="00910EB9" w:rsidRDefault="006E4A1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2E13167" w14:textId="77777777" w:rsidR="00910EB9" w:rsidRDefault="006E4A1B">
            <w:pPr>
              <w:spacing w:before="240" w:after="240"/>
              <w:rPr>
                <w:sz w:val="20"/>
                <w:szCs w:val="20"/>
              </w:rPr>
            </w:pPr>
            <w:r>
              <w:rPr>
                <w:sz w:val="20"/>
                <w:szCs w:val="20"/>
              </w:rPr>
              <w:t>Means the deed of guarantee described in the Order Form (Parent Company Guarantee).</w:t>
            </w:r>
          </w:p>
        </w:tc>
      </w:tr>
    </w:tbl>
    <w:p w14:paraId="02E13169" w14:textId="77777777" w:rsidR="00910EB9" w:rsidRDefault="006E4A1B">
      <w:pPr>
        <w:spacing w:before="240" w:after="240"/>
        <w:rPr>
          <w:sz w:val="20"/>
          <w:szCs w:val="20"/>
        </w:rPr>
      </w:pPr>
      <w:r>
        <w:rPr>
          <w:sz w:val="20"/>
          <w:szCs w:val="20"/>
        </w:rPr>
        <w:t xml:space="preserve"> </w:t>
      </w:r>
    </w:p>
    <w:p w14:paraId="02E1316A" w14:textId="77777777" w:rsidR="00910EB9" w:rsidRDefault="006E4A1B">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02E1316B" w14:textId="77777777" w:rsidR="00910EB9" w:rsidRDefault="00910EB9"/>
    <w:p w14:paraId="02E1316C" w14:textId="77777777" w:rsidR="00910EB9" w:rsidRDefault="006E4A1B">
      <w:r>
        <w:t>Unless the context otherwise requires, words importing the singular are to include the plural and vice versa.</w:t>
      </w:r>
    </w:p>
    <w:p w14:paraId="02E1316D" w14:textId="77777777" w:rsidR="00910EB9" w:rsidRDefault="00910EB9"/>
    <w:p w14:paraId="02E1316E" w14:textId="77777777" w:rsidR="00910EB9" w:rsidRDefault="006E4A1B">
      <w:r>
        <w:t>References to a person are to be construed to include that person's assignees or transferees or successors in title, whether direct or indirect.</w:t>
      </w:r>
    </w:p>
    <w:p w14:paraId="02E1316F" w14:textId="77777777" w:rsidR="00910EB9" w:rsidRDefault="00910EB9"/>
    <w:p w14:paraId="02E13170" w14:textId="77777777" w:rsidR="00910EB9" w:rsidRDefault="006E4A1B">
      <w:r>
        <w:t>The words ‘other’ and ‘otherwise’ are not to be construed as confining the meaning of any following words to the class of thing previously stated if a wider construction is possible.</w:t>
      </w:r>
    </w:p>
    <w:p w14:paraId="02E13171" w14:textId="77777777" w:rsidR="00910EB9" w:rsidRDefault="00910EB9"/>
    <w:p w14:paraId="02E13172" w14:textId="77777777" w:rsidR="00910EB9" w:rsidRDefault="006E4A1B">
      <w:r>
        <w:t>Unless the context otherwise requires:</w:t>
      </w:r>
    </w:p>
    <w:p w14:paraId="02E13173" w14:textId="77777777" w:rsidR="00910EB9" w:rsidRDefault="00910EB9"/>
    <w:p w14:paraId="02E13174" w14:textId="77777777" w:rsidR="00910EB9" w:rsidRDefault="006E4A1B">
      <w:pPr>
        <w:numPr>
          <w:ilvl w:val="0"/>
          <w:numId w:val="12"/>
        </w:numPr>
      </w:pPr>
      <w:r>
        <w:t>reference to a gender includes the other gender and the neuter</w:t>
      </w:r>
    </w:p>
    <w:p w14:paraId="02E13175" w14:textId="77777777" w:rsidR="00910EB9" w:rsidRDefault="006E4A1B">
      <w:pPr>
        <w:numPr>
          <w:ilvl w:val="0"/>
          <w:numId w:val="12"/>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02E13176" w14:textId="77777777" w:rsidR="00910EB9" w:rsidRDefault="006E4A1B">
      <w:pPr>
        <w:numPr>
          <w:ilvl w:val="0"/>
          <w:numId w:val="12"/>
        </w:numPr>
      </w:pPr>
      <w:r>
        <w:t>any phrase introduced by the words ‘including’, ‘includes’, ‘in particular’, ‘for example’ or similar, will be construed as illustrative and without limitation to the generality of the related general words</w:t>
      </w:r>
    </w:p>
    <w:p w14:paraId="02E13177" w14:textId="77777777" w:rsidR="00910EB9" w:rsidRDefault="00910EB9">
      <w:pPr>
        <w:ind w:left="720"/>
      </w:pPr>
    </w:p>
    <w:p w14:paraId="02E13178" w14:textId="77777777" w:rsidR="00910EB9" w:rsidRDefault="006E4A1B">
      <w:r>
        <w:t>References to Clauses and Schedules are, unless otherwise provided, references to Clauses of and Schedules to this Deed of Guarantee.</w:t>
      </w:r>
    </w:p>
    <w:p w14:paraId="02E13179" w14:textId="77777777" w:rsidR="00910EB9" w:rsidRDefault="00910EB9"/>
    <w:p w14:paraId="02E1317A" w14:textId="77777777" w:rsidR="00910EB9" w:rsidRDefault="006E4A1B">
      <w:r>
        <w:t xml:space="preserve">References to liability are to include any liability whether actual, contingent, </w:t>
      </w:r>
      <w:proofErr w:type="gramStart"/>
      <w:r>
        <w:t>present</w:t>
      </w:r>
      <w:proofErr w:type="gramEnd"/>
      <w:r>
        <w:t xml:space="preserve"> or future.</w:t>
      </w:r>
    </w:p>
    <w:p w14:paraId="02E1317B" w14:textId="77777777" w:rsidR="00910EB9" w:rsidRDefault="00910EB9"/>
    <w:p w14:paraId="02E1317C" w14:textId="77777777" w:rsidR="00910EB9" w:rsidRDefault="006E4A1B">
      <w:pPr>
        <w:pStyle w:val="Heading3"/>
        <w:rPr>
          <w:color w:val="auto"/>
        </w:rPr>
      </w:pPr>
      <w:r>
        <w:rPr>
          <w:color w:val="auto"/>
        </w:rPr>
        <w:lastRenderedPageBreak/>
        <w:t>Guarantee and indemnity</w:t>
      </w:r>
    </w:p>
    <w:p w14:paraId="02E1317D" w14:textId="77777777" w:rsidR="00910EB9" w:rsidRDefault="006E4A1B">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02E1317E" w14:textId="77777777" w:rsidR="00910EB9" w:rsidRDefault="00910EB9"/>
    <w:p w14:paraId="02E1317F" w14:textId="77777777" w:rsidR="00910EB9" w:rsidRDefault="006E4A1B">
      <w:r>
        <w:t>If at any time the Supplier will fail to perform any of the guaranteed obligations, the Guarantor irrevocably and unconditionally undertakes to the Buyer it will, at the cost of the Guarantor:</w:t>
      </w:r>
    </w:p>
    <w:p w14:paraId="02E13180" w14:textId="77777777" w:rsidR="00910EB9" w:rsidRDefault="00910EB9"/>
    <w:p w14:paraId="02E13181" w14:textId="77777777" w:rsidR="00910EB9" w:rsidRDefault="006E4A1B">
      <w:pPr>
        <w:numPr>
          <w:ilvl w:val="0"/>
          <w:numId w:val="13"/>
        </w:numPr>
      </w:pPr>
      <w:r>
        <w:t>fully perform or buy performance of the guaranteed obligations to the Buyer</w:t>
      </w:r>
    </w:p>
    <w:p w14:paraId="02E13182" w14:textId="77777777" w:rsidR="00910EB9" w:rsidRDefault="00910EB9">
      <w:pPr>
        <w:ind w:left="720"/>
      </w:pPr>
    </w:p>
    <w:p w14:paraId="02E13183" w14:textId="77777777" w:rsidR="00910EB9" w:rsidRDefault="006E4A1B">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2E13184" w14:textId="77777777" w:rsidR="00910EB9" w:rsidRDefault="00910EB9"/>
    <w:p w14:paraId="02E13185" w14:textId="77777777" w:rsidR="00910EB9" w:rsidRDefault="006E4A1B">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2E13186" w14:textId="77777777" w:rsidR="00910EB9" w:rsidRDefault="00910EB9"/>
    <w:p w14:paraId="02E13187" w14:textId="77777777" w:rsidR="00910EB9" w:rsidRDefault="006E4A1B">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02E13188" w14:textId="77777777" w:rsidR="00910EB9" w:rsidRDefault="006E4A1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2E13189" w14:textId="77777777" w:rsidR="00910EB9" w:rsidRDefault="00910EB9"/>
    <w:p w14:paraId="02E1318A" w14:textId="77777777" w:rsidR="00910EB9" w:rsidRDefault="006E4A1B">
      <w:pPr>
        <w:pStyle w:val="Heading3"/>
        <w:rPr>
          <w:color w:val="auto"/>
        </w:rPr>
      </w:pPr>
      <w:r>
        <w:rPr>
          <w:color w:val="auto"/>
        </w:rPr>
        <w:t>Demands and notices</w:t>
      </w:r>
    </w:p>
    <w:p w14:paraId="02E1318B" w14:textId="77777777" w:rsidR="00910EB9" w:rsidRDefault="006E4A1B">
      <w:r>
        <w:t>Any demand or notice served by the Buyer on the Guarantor under this Deed of Guarantee will be in writing, addressed to:</w:t>
      </w:r>
    </w:p>
    <w:p w14:paraId="02E1318C" w14:textId="77777777" w:rsidR="00910EB9" w:rsidRDefault="00910EB9"/>
    <w:p w14:paraId="02E1318D" w14:textId="77777777" w:rsidR="00910EB9" w:rsidRDefault="006E4A1B">
      <w:r>
        <w:t>[</w:t>
      </w:r>
      <w:r>
        <w:rPr>
          <w:b/>
        </w:rPr>
        <w:t>Enter Address of the Guarantor in England and Wales</w:t>
      </w:r>
      <w:r>
        <w:t>]</w:t>
      </w:r>
    </w:p>
    <w:p w14:paraId="02E1318E" w14:textId="77777777" w:rsidR="00910EB9" w:rsidRDefault="00910EB9"/>
    <w:p w14:paraId="02E1318F" w14:textId="77777777" w:rsidR="00910EB9" w:rsidRDefault="006E4A1B">
      <w:r>
        <w:t>[</w:t>
      </w:r>
      <w:r>
        <w:rPr>
          <w:b/>
        </w:rPr>
        <w:t>Enter Email address of the Guarantor representative</w:t>
      </w:r>
      <w:r>
        <w:t>]</w:t>
      </w:r>
    </w:p>
    <w:p w14:paraId="02E13190" w14:textId="77777777" w:rsidR="00910EB9" w:rsidRDefault="00910EB9"/>
    <w:p w14:paraId="02E13191" w14:textId="77777777" w:rsidR="00910EB9" w:rsidRDefault="006E4A1B">
      <w:r>
        <w:t>For the Attention of [</w:t>
      </w:r>
      <w:r>
        <w:rPr>
          <w:b/>
        </w:rPr>
        <w:t>insert details</w:t>
      </w:r>
      <w:r>
        <w:t>]</w:t>
      </w:r>
    </w:p>
    <w:p w14:paraId="02E13192" w14:textId="77777777" w:rsidR="00910EB9" w:rsidRDefault="00910EB9"/>
    <w:p w14:paraId="02E13193" w14:textId="77777777" w:rsidR="00910EB9" w:rsidRDefault="006E4A1B">
      <w:r>
        <w:t>or such other address in England and Wales as the Guarantor has notified the Buyer in writing as being an address for the receipt of such demands or notices.</w:t>
      </w:r>
    </w:p>
    <w:p w14:paraId="02E13194" w14:textId="77777777" w:rsidR="00910EB9" w:rsidRDefault="00910EB9"/>
    <w:p w14:paraId="02E13195" w14:textId="77777777" w:rsidR="00910EB9" w:rsidRDefault="006E4A1B">
      <w:r>
        <w:t xml:space="preserve">Any notice or demand served on the </w:t>
      </w:r>
      <w:proofErr w:type="gramStart"/>
      <w:r>
        <w:t>Guarantor</w:t>
      </w:r>
      <w:proofErr w:type="gramEnd"/>
      <w:r>
        <w:t xml:space="preserve"> or the Buyer under this Deed of Guarantee will be deemed to have been served if:</w:t>
      </w:r>
    </w:p>
    <w:p w14:paraId="02E13196" w14:textId="77777777" w:rsidR="00910EB9" w:rsidRDefault="00910EB9"/>
    <w:p w14:paraId="02E13197" w14:textId="77777777" w:rsidR="00910EB9" w:rsidRDefault="00910EB9"/>
    <w:p w14:paraId="02E13198" w14:textId="77777777" w:rsidR="00910EB9" w:rsidRDefault="006E4A1B">
      <w:pPr>
        <w:numPr>
          <w:ilvl w:val="0"/>
          <w:numId w:val="14"/>
        </w:numPr>
      </w:pPr>
      <w:r>
        <w:t>delivered by hand, at the time of delivery</w:t>
      </w:r>
    </w:p>
    <w:p w14:paraId="02E13199" w14:textId="77777777" w:rsidR="00910EB9" w:rsidRDefault="006E4A1B">
      <w:pPr>
        <w:numPr>
          <w:ilvl w:val="0"/>
          <w:numId w:val="14"/>
        </w:numPr>
      </w:pPr>
      <w:r>
        <w:lastRenderedPageBreak/>
        <w:t>posted, at 10am on the second Working Day after it was put into the post</w:t>
      </w:r>
    </w:p>
    <w:p w14:paraId="02E1319A" w14:textId="77777777" w:rsidR="00910EB9" w:rsidRDefault="006E4A1B">
      <w:pPr>
        <w:numPr>
          <w:ilvl w:val="0"/>
          <w:numId w:val="14"/>
        </w:numPr>
      </w:pPr>
      <w:r>
        <w:t>sent by email, at the time of despatch, if despatched before 5pm on any Working Day, and in any other case at 10am on the next Working Day</w:t>
      </w:r>
    </w:p>
    <w:p w14:paraId="02E1319B" w14:textId="77777777" w:rsidR="00910EB9" w:rsidRDefault="00910EB9"/>
    <w:p w14:paraId="02E1319C" w14:textId="77777777" w:rsidR="00910EB9" w:rsidRDefault="006E4A1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2E1319D" w14:textId="77777777" w:rsidR="00910EB9" w:rsidRDefault="00910EB9"/>
    <w:p w14:paraId="02E1319E" w14:textId="77777777" w:rsidR="00910EB9" w:rsidRDefault="006E4A1B">
      <w:r>
        <w:t>Any notice purported to be served on the Buyer under this Deed of Guarantee will only be valid when received in writing by the Buyer.</w:t>
      </w:r>
    </w:p>
    <w:p w14:paraId="02E1319F" w14:textId="77777777" w:rsidR="00910EB9" w:rsidRDefault="00910EB9"/>
    <w:p w14:paraId="02E131A0" w14:textId="77777777" w:rsidR="00910EB9" w:rsidRDefault="006E4A1B">
      <w:pPr>
        <w:spacing w:after="200"/>
      </w:pPr>
      <w:r>
        <w:t>Beneficiary’s protections</w:t>
      </w:r>
    </w:p>
    <w:p w14:paraId="02E131A1" w14:textId="77777777" w:rsidR="00910EB9" w:rsidRDefault="006E4A1B">
      <w:r>
        <w:t>The Guarantor will not be discharged or released from this Deed of Guarantee by:</w:t>
      </w:r>
    </w:p>
    <w:p w14:paraId="02E131A2" w14:textId="77777777" w:rsidR="00910EB9" w:rsidRDefault="00910EB9"/>
    <w:p w14:paraId="02E131A3" w14:textId="77777777" w:rsidR="00910EB9" w:rsidRDefault="006E4A1B">
      <w:pPr>
        <w:numPr>
          <w:ilvl w:val="0"/>
          <w:numId w:val="15"/>
        </w:numPr>
      </w:pPr>
      <w:r>
        <w:t>any arrangement made between the Supplier and the Buyer (</w:t>
      </w:r>
      <w:proofErr w:type="gramStart"/>
      <w:r>
        <w:t>whether or not</w:t>
      </w:r>
      <w:proofErr w:type="gramEnd"/>
      <w:r>
        <w:t xml:space="preserve"> such arrangement is made with the assent of the Guarantor)</w:t>
      </w:r>
    </w:p>
    <w:p w14:paraId="02E131A4" w14:textId="77777777" w:rsidR="00910EB9" w:rsidRDefault="006E4A1B">
      <w:pPr>
        <w:numPr>
          <w:ilvl w:val="0"/>
          <w:numId w:val="15"/>
        </w:numPr>
      </w:pPr>
      <w:r>
        <w:t>any amendment to or termination of the Call-Off Contract</w:t>
      </w:r>
    </w:p>
    <w:p w14:paraId="02E131A5" w14:textId="77777777" w:rsidR="00910EB9" w:rsidRDefault="006E4A1B">
      <w:pPr>
        <w:numPr>
          <w:ilvl w:val="0"/>
          <w:numId w:val="15"/>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02E131A6" w14:textId="77777777" w:rsidR="00910EB9" w:rsidRDefault="006E4A1B">
      <w:pPr>
        <w:numPr>
          <w:ilvl w:val="0"/>
          <w:numId w:val="15"/>
        </w:numPr>
      </w:pPr>
      <w:r>
        <w:t>the Buyer doing (or omitting to do) anything which, but for this provision, might exonerate the Guarantor</w:t>
      </w:r>
    </w:p>
    <w:p w14:paraId="02E131A7" w14:textId="77777777" w:rsidR="00910EB9" w:rsidRDefault="00910EB9"/>
    <w:p w14:paraId="02E131A8" w14:textId="77777777" w:rsidR="00910EB9" w:rsidRDefault="006E4A1B">
      <w:r>
        <w:t>This Deed of Guarantee will be a continuing security for the Guaranteed Obligations and accordingly:</w:t>
      </w:r>
    </w:p>
    <w:p w14:paraId="02E131A9" w14:textId="77777777" w:rsidR="00910EB9" w:rsidRDefault="00910EB9"/>
    <w:p w14:paraId="02E131AA" w14:textId="77777777" w:rsidR="00910EB9" w:rsidRDefault="006E4A1B">
      <w:pPr>
        <w:numPr>
          <w:ilvl w:val="0"/>
          <w:numId w:val="16"/>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02E131AB" w14:textId="77777777" w:rsidR="00910EB9" w:rsidRDefault="006E4A1B">
      <w:pPr>
        <w:numPr>
          <w:ilvl w:val="0"/>
          <w:numId w:val="16"/>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02E131AC" w14:textId="77777777" w:rsidR="00910EB9" w:rsidRDefault="006E4A1B">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2E131AD" w14:textId="77777777" w:rsidR="00910EB9" w:rsidRDefault="006E4A1B">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14:paraId="02E131AE" w14:textId="77777777" w:rsidR="00910EB9" w:rsidRDefault="00910EB9"/>
    <w:p w14:paraId="02E131AF" w14:textId="77777777" w:rsidR="00910EB9" w:rsidRDefault="006E4A1B">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02E131B0" w14:textId="77777777" w:rsidR="00910EB9" w:rsidRDefault="00910EB9"/>
    <w:p w14:paraId="02E131B1" w14:textId="77777777" w:rsidR="00910EB9" w:rsidRDefault="006E4A1B">
      <w:r>
        <w:t>The Buyer will not be obliged before taking steps to enforce this Deed of Guarantee against the Guarantor to:</w:t>
      </w:r>
    </w:p>
    <w:p w14:paraId="02E131B2" w14:textId="77777777" w:rsidR="00910EB9" w:rsidRDefault="00910EB9"/>
    <w:p w14:paraId="02E131B3" w14:textId="77777777" w:rsidR="00910EB9" w:rsidRDefault="006E4A1B">
      <w:pPr>
        <w:numPr>
          <w:ilvl w:val="0"/>
          <w:numId w:val="17"/>
        </w:numPr>
      </w:pPr>
      <w:r>
        <w:t>obtain judgment against the Supplier or the Guarantor or any third party in any court</w:t>
      </w:r>
    </w:p>
    <w:p w14:paraId="02E131B4" w14:textId="77777777" w:rsidR="00910EB9" w:rsidRDefault="006E4A1B">
      <w:pPr>
        <w:numPr>
          <w:ilvl w:val="0"/>
          <w:numId w:val="17"/>
        </w:numPr>
      </w:pPr>
      <w:r>
        <w:t>make or file any claim in a bankruptcy or liquidation of the Supplier or any third party</w:t>
      </w:r>
    </w:p>
    <w:p w14:paraId="02E131B5" w14:textId="77777777" w:rsidR="00910EB9" w:rsidRDefault="006E4A1B">
      <w:pPr>
        <w:numPr>
          <w:ilvl w:val="0"/>
          <w:numId w:val="17"/>
        </w:numPr>
      </w:pPr>
      <w:r>
        <w:t>take any action against the Supplier or the Guarantor or any third party</w:t>
      </w:r>
    </w:p>
    <w:p w14:paraId="02E131B6" w14:textId="77777777" w:rsidR="00910EB9" w:rsidRDefault="006E4A1B">
      <w:pPr>
        <w:numPr>
          <w:ilvl w:val="0"/>
          <w:numId w:val="17"/>
        </w:numPr>
      </w:pPr>
      <w:r>
        <w:t>resort to any other security or guarantee or other means of payment</w:t>
      </w:r>
    </w:p>
    <w:p w14:paraId="02E131B7" w14:textId="77777777" w:rsidR="00910EB9" w:rsidRDefault="00910EB9"/>
    <w:p w14:paraId="02E131B8" w14:textId="77777777" w:rsidR="00910EB9" w:rsidRDefault="006E4A1B">
      <w:r>
        <w:t>No action (or inaction) by the Buyer relating to any such security, guarantee or other means of payment will prejudice or affect the liability of the Guarantor.</w:t>
      </w:r>
    </w:p>
    <w:p w14:paraId="02E131B9" w14:textId="77777777" w:rsidR="00910EB9" w:rsidRDefault="00910EB9"/>
    <w:p w14:paraId="02E131BA" w14:textId="77777777" w:rsidR="00910EB9" w:rsidRDefault="006E4A1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2E131BB" w14:textId="77777777" w:rsidR="00910EB9" w:rsidRDefault="00910EB9"/>
    <w:p w14:paraId="02E131BC" w14:textId="77777777" w:rsidR="00910EB9" w:rsidRDefault="006E4A1B">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2E131BD" w14:textId="77777777" w:rsidR="00910EB9" w:rsidRDefault="00910EB9"/>
    <w:p w14:paraId="02E131BE" w14:textId="77777777" w:rsidR="00910EB9" w:rsidRDefault="006E4A1B">
      <w:pPr>
        <w:pStyle w:val="Heading3"/>
        <w:rPr>
          <w:color w:val="auto"/>
        </w:rPr>
      </w:pPr>
      <w:r>
        <w:rPr>
          <w:color w:val="auto"/>
        </w:rPr>
        <w:t>Representations and warranties</w:t>
      </w:r>
    </w:p>
    <w:p w14:paraId="02E131BF" w14:textId="77777777" w:rsidR="00910EB9" w:rsidRDefault="006E4A1B">
      <w:r>
        <w:t>The Guarantor hereby represents and warrants to the Buyer that:</w:t>
      </w:r>
    </w:p>
    <w:p w14:paraId="02E131C0" w14:textId="77777777" w:rsidR="00910EB9" w:rsidRDefault="00910EB9">
      <w:pPr>
        <w:ind w:left="720"/>
      </w:pPr>
    </w:p>
    <w:p w14:paraId="02E131C1" w14:textId="77777777" w:rsidR="00910EB9" w:rsidRDefault="006E4A1B">
      <w:pPr>
        <w:numPr>
          <w:ilvl w:val="0"/>
          <w:numId w:val="18"/>
        </w:numPr>
      </w:pPr>
      <w:r>
        <w:t>the Guarantor is duly incorporated and is a validly existing company under the Laws of its place of incorporation</w:t>
      </w:r>
    </w:p>
    <w:p w14:paraId="02E131C2" w14:textId="77777777" w:rsidR="00910EB9" w:rsidRDefault="006E4A1B">
      <w:pPr>
        <w:numPr>
          <w:ilvl w:val="0"/>
          <w:numId w:val="18"/>
        </w:numPr>
      </w:pPr>
      <w:r>
        <w:t>has the capacity to sue or be sued in its own name</w:t>
      </w:r>
    </w:p>
    <w:p w14:paraId="02E131C3" w14:textId="77777777" w:rsidR="00910EB9" w:rsidRDefault="006E4A1B">
      <w:pPr>
        <w:numPr>
          <w:ilvl w:val="0"/>
          <w:numId w:val="18"/>
        </w:numPr>
      </w:pPr>
      <w:r>
        <w:t xml:space="preserve">the Guarantor has power to carry on its business as now being conducted and to own its </w:t>
      </w:r>
      <w:proofErr w:type="gramStart"/>
      <w:r>
        <w:t>Property</w:t>
      </w:r>
      <w:proofErr w:type="gramEnd"/>
      <w:r>
        <w:t xml:space="preserve"> and other assets</w:t>
      </w:r>
    </w:p>
    <w:p w14:paraId="02E131C4" w14:textId="77777777" w:rsidR="00910EB9" w:rsidRDefault="006E4A1B">
      <w:pPr>
        <w:numPr>
          <w:ilvl w:val="0"/>
          <w:numId w:val="18"/>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02E131C5" w14:textId="77777777" w:rsidR="00910EB9" w:rsidRDefault="006E4A1B">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2E131C6" w14:textId="77777777" w:rsidR="00910EB9" w:rsidRDefault="006E4A1B">
      <w:pPr>
        <w:numPr>
          <w:ilvl w:val="1"/>
          <w:numId w:val="18"/>
        </w:numPr>
      </w:pPr>
      <w:r>
        <w:t>the Guarantor's memorandum and articles of association or other equivalent constitutional documents, any existing Law, statute, rule or Regulation or any judgment, decree or permit to which the Guarantor is subject</w:t>
      </w:r>
    </w:p>
    <w:p w14:paraId="02E131C7" w14:textId="77777777" w:rsidR="00910EB9" w:rsidRDefault="006E4A1B">
      <w:pPr>
        <w:numPr>
          <w:ilvl w:val="1"/>
          <w:numId w:val="18"/>
        </w:numPr>
      </w:pPr>
      <w:r>
        <w:t>the terms of any agreement or other document to which the Guarantor is a party or which is binding upon it or any of its assets</w:t>
      </w:r>
    </w:p>
    <w:p w14:paraId="02E131C8" w14:textId="77777777" w:rsidR="00910EB9" w:rsidRDefault="006E4A1B">
      <w:pPr>
        <w:numPr>
          <w:ilvl w:val="1"/>
          <w:numId w:val="18"/>
        </w:numPr>
      </w:pPr>
      <w:r>
        <w:t xml:space="preserve">all governmental and other authorisations, approvals, </w:t>
      </w:r>
      <w:proofErr w:type="gramStart"/>
      <w:r>
        <w:t>licences</w:t>
      </w:r>
      <w:proofErr w:type="gramEnd"/>
      <w:r>
        <w:t xml:space="preserve"> and consents, required or desirable</w:t>
      </w:r>
    </w:p>
    <w:p w14:paraId="02E131C9" w14:textId="77777777" w:rsidR="00910EB9" w:rsidRDefault="00910EB9">
      <w:pPr>
        <w:ind w:left="1440"/>
      </w:pPr>
    </w:p>
    <w:p w14:paraId="02E131CA" w14:textId="77777777" w:rsidR="00910EB9" w:rsidRDefault="006E4A1B">
      <w:r>
        <w:lastRenderedPageBreak/>
        <w:t>This Deed of Guarantee is the legal valid and binding obligation of the Guarantor and is enforceable against the Guarantor in accordance with its terms.</w:t>
      </w:r>
    </w:p>
    <w:p w14:paraId="02E131CB" w14:textId="77777777" w:rsidR="00910EB9" w:rsidRDefault="00910EB9">
      <w:pPr>
        <w:spacing w:after="200"/>
        <w:rPr>
          <w:b/>
        </w:rPr>
      </w:pPr>
    </w:p>
    <w:p w14:paraId="02E131CC" w14:textId="77777777" w:rsidR="00910EB9" w:rsidRDefault="006E4A1B">
      <w:pPr>
        <w:pStyle w:val="Heading3"/>
        <w:rPr>
          <w:color w:val="auto"/>
        </w:rPr>
      </w:pPr>
      <w:r>
        <w:rPr>
          <w:color w:val="auto"/>
        </w:rPr>
        <w:t>Payments and set-off</w:t>
      </w:r>
    </w:p>
    <w:p w14:paraId="02E131CD" w14:textId="77777777" w:rsidR="00910EB9" w:rsidRDefault="006E4A1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2E131CE" w14:textId="77777777" w:rsidR="00910EB9" w:rsidRDefault="00910EB9"/>
    <w:p w14:paraId="02E131CF" w14:textId="77777777" w:rsidR="00910EB9" w:rsidRDefault="006E4A1B">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02E131D0" w14:textId="77777777" w:rsidR="00910EB9" w:rsidRDefault="00910EB9"/>
    <w:p w14:paraId="02E131D1" w14:textId="77777777" w:rsidR="00910EB9" w:rsidRDefault="006E4A1B">
      <w:r>
        <w:t>The Guarantor will reimburse the Buyer for all legal and other costs (including VAT) incurred by the Buyer in connection with the enforcement of this Deed of Guarantee.</w:t>
      </w:r>
    </w:p>
    <w:p w14:paraId="02E131D2" w14:textId="77777777" w:rsidR="00910EB9" w:rsidRDefault="00910EB9"/>
    <w:p w14:paraId="02E131D3" w14:textId="77777777" w:rsidR="00910EB9" w:rsidRDefault="006E4A1B">
      <w:pPr>
        <w:pStyle w:val="Heading3"/>
        <w:rPr>
          <w:color w:val="auto"/>
        </w:rPr>
      </w:pPr>
      <w:r>
        <w:rPr>
          <w:color w:val="auto"/>
        </w:rPr>
        <w:t>Guarantor’s acknowledgement</w:t>
      </w:r>
    </w:p>
    <w:p w14:paraId="02E131D4" w14:textId="77777777" w:rsidR="00910EB9" w:rsidRDefault="006E4A1B">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2E131D5" w14:textId="77777777" w:rsidR="00910EB9" w:rsidRDefault="00910EB9"/>
    <w:p w14:paraId="02E131D6" w14:textId="77777777" w:rsidR="00910EB9" w:rsidRDefault="006E4A1B">
      <w:pPr>
        <w:pStyle w:val="Heading3"/>
        <w:rPr>
          <w:color w:val="auto"/>
        </w:rPr>
      </w:pPr>
      <w:r>
        <w:rPr>
          <w:color w:val="auto"/>
        </w:rPr>
        <w:t>Assignment</w:t>
      </w:r>
    </w:p>
    <w:p w14:paraId="02E131D7" w14:textId="77777777" w:rsidR="00910EB9" w:rsidRDefault="006E4A1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2E131D8" w14:textId="77777777" w:rsidR="00910EB9" w:rsidRDefault="00910EB9"/>
    <w:p w14:paraId="02E131D9" w14:textId="77777777" w:rsidR="00910EB9" w:rsidRDefault="006E4A1B">
      <w:r>
        <w:t>The Guarantor may not assign or transfer any of its rights or obligations under this Deed of Guarantee.</w:t>
      </w:r>
    </w:p>
    <w:p w14:paraId="02E131DA" w14:textId="77777777" w:rsidR="00910EB9" w:rsidRDefault="00910EB9">
      <w:pPr>
        <w:spacing w:after="200"/>
      </w:pPr>
    </w:p>
    <w:p w14:paraId="02E131DB" w14:textId="77777777" w:rsidR="00910EB9" w:rsidRDefault="006E4A1B">
      <w:pPr>
        <w:pStyle w:val="Heading3"/>
        <w:rPr>
          <w:color w:val="auto"/>
        </w:rPr>
      </w:pPr>
      <w:r>
        <w:rPr>
          <w:color w:val="auto"/>
        </w:rPr>
        <w:t>Severance</w:t>
      </w:r>
    </w:p>
    <w:p w14:paraId="02E131DC" w14:textId="77777777" w:rsidR="00910EB9" w:rsidRDefault="006E4A1B">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2E131DD" w14:textId="77777777" w:rsidR="00910EB9" w:rsidRDefault="00910EB9">
      <w:pPr>
        <w:spacing w:after="200"/>
      </w:pPr>
    </w:p>
    <w:p w14:paraId="02E131DE" w14:textId="77777777" w:rsidR="00910EB9" w:rsidRDefault="006E4A1B">
      <w:pPr>
        <w:pStyle w:val="Heading3"/>
        <w:rPr>
          <w:color w:val="auto"/>
        </w:rPr>
      </w:pPr>
      <w:r>
        <w:rPr>
          <w:color w:val="auto"/>
        </w:rPr>
        <w:t>Third-party rights</w:t>
      </w:r>
    </w:p>
    <w:p w14:paraId="02E131DF" w14:textId="77777777" w:rsidR="00910EB9" w:rsidRDefault="006E4A1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2E131E0" w14:textId="77777777" w:rsidR="00910EB9" w:rsidRDefault="00910EB9"/>
    <w:p w14:paraId="02E131E1" w14:textId="77777777" w:rsidR="00910EB9" w:rsidRDefault="006E4A1B">
      <w:pPr>
        <w:pStyle w:val="Heading3"/>
        <w:rPr>
          <w:color w:val="auto"/>
        </w:rPr>
      </w:pPr>
      <w:r>
        <w:rPr>
          <w:color w:val="auto"/>
        </w:rPr>
        <w:t>Governing law</w:t>
      </w:r>
    </w:p>
    <w:p w14:paraId="02E131E2" w14:textId="77777777" w:rsidR="00910EB9" w:rsidRDefault="006E4A1B">
      <w:r>
        <w:t>This Deed of Guarantee, and any non-Contractual obligations arising out of or in connection with it, will be governed by and construed in accordance with English Law.</w:t>
      </w:r>
    </w:p>
    <w:p w14:paraId="02E131E3" w14:textId="77777777" w:rsidR="00910EB9" w:rsidRDefault="00910EB9"/>
    <w:p w14:paraId="02E131E4" w14:textId="77777777" w:rsidR="00910EB9" w:rsidRDefault="006E4A1B">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02E131E5" w14:textId="77777777" w:rsidR="00910EB9" w:rsidRDefault="00910EB9"/>
    <w:p w14:paraId="02E131E6" w14:textId="77777777" w:rsidR="00910EB9" w:rsidRDefault="006E4A1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2E131E7" w14:textId="77777777" w:rsidR="00910EB9" w:rsidRDefault="00910EB9"/>
    <w:p w14:paraId="02E131E8" w14:textId="77777777" w:rsidR="00910EB9" w:rsidRDefault="006E4A1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2E131E9" w14:textId="77777777" w:rsidR="00910EB9" w:rsidRDefault="00910EB9"/>
    <w:p w14:paraId="02E131EA" w14:textId="77777777" w:rsidR="00910EB9" w:rsidRDefault="006E4A1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2E131EB" w14:textId="77777777" w:rsidR="00910EB9" w:rsidRDefault="00910EB9"/>
    <w:p w14:paraId="02E131EC" w14:textId="77777777" w:rsidR="00910EB9" w:rsidRDefault="006E4A1B">
      <w:r>
        <w:t>IN WITNESS whereof the Guarantor has caused this instrument to be executed and delivered as a Deed the day and year first before written.</w:t>
      </w:r>
    </w:p>
    <w:p w14:paraId="02E131ED" w14:textId="77777777" w:rsidR="00910EB9" w:rsidRDefault="00910EB9"/>
    <w:p w14:paraId="02E131EE" w14:textId="77777777" w:rsidR="00910EB9" w:rsidRDefault="006E4A1B">
      <w:r>
        <w:t>EXECUTED as a DEED by</w:t>
      </w:r>
    </w:p>
    <w:p w14:paraId="02E131EF" w14:textId="77777777" w:rsidR="00910EB9" w:rsidRDefault="00910EB9"/>
    <w:p w14:paraId="02E131F0" w14:textId="77777777" w:rsidR="00910EB9" w:rsidRDefault="00910EB9"/>
    <w:p w14:paraId="02E131F1" w14:textId="77777777" w:rsidR="00910EB9" w:rsidRDefault="006E4A1B">
      <w:pPr>
        <w:spacing w:line="480" w:lineRule="auto"/>
      </w:pPr>
      <w:r>
        <w:t>[</w:t>
      </w:r>
      <w:r>
        <w:rPr>
          <w:b/>
        </w:rPr>
        <w:t>Insert name of the Guarantor</w:t>
      </w:r>
      <w:r>
        <w:t>] acting by [</w:t>
      </w:r>
      <w:r>
        <w:rPr>
          <w:b/>
        </w:rPr>
        <w:t>Insert names</w:t>
      </w:r>
      <w:r>
        <w:t>]</w:t>
      </w:r>
    </w:p>
    <w:p w14:paraId="02E131F2" w14:textId="77777777" w:rsidR="00910EB9" w:rsidRDefault="006E4A1B">
      <w:r>
        <w:t>Director</w:t>
      </w:r>
    </w:p>
    <w:p w14:paraId="02E131F3" w14:textId="77777777" w:rsidR="00910EB9" w:rsidRDefault="00910EB9"/>
    <w:p w14:paraId="02E131F4" w14:textId="77777777" w:rsidR="00910EB9" w:rsidRDefault="006E4A1B">
      <w:r>
        <w:t>Director/Secretary</w:t>
      </w:r>
    </w:p>
    <w:p w14:paraId="02E131F5" w14:textId="77777777" w:rsidR="00910EB9" w:rsidRDefault="00910EB9">
      <w:pPr>
        <w:pageBreakBefore/>
        <w:rPr>
          <w:b/>
        </w:rPr>
      </w:pPr>
    </w:p>
    <w:p w14:paraId="02E131F6" w14:textId="77777777" w:rsidR="00910EB9" w:rsidRDefault="006E4A1B">
      <w:pPr>
        <w:pStyle w:val="Heading2"/>
      </w:pPr>
      <w:bookmarkStart w:id="27" w:name="_Toc33176239"/>
      <w:bookmarkStart w:id="28" w:name="_Toc85461053"/>
      <w:r>
        <w:t>Schedule 6: Glossary and interpretations</w:t>
      </w:r>
      <w:bookmarkEnd w:id="27"/>
      <w:bookmarkEnd w:id="28"/>
    </w:p>
    <w:p w14:paraId="02E131F7" w14:textId="77777777" w:rsidR="00910EB9" w:rsidRDefault="006E4A1B">
      <w:r>
        <w:t>In this Call-Off Contract the following expressions mean:</w:t>
      </w:r>
    </w:p>
    <w:p w14:paraId="02E131F8" w14:textId="77777777" w:rsidR="00910EB9" w:rsidRDefault="00910EB9"/>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10EB9" w14:paraId="02E131FB"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F9" w14:textId="77777777" w:rsidR="00910EB9" w:rsidRDefault="006E4A1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FA" w14:textId="77777777" w:rsidR="00910EB9" w:rsidRDefault="006E4A1B">
            <w:pPr>
              <w:spacing w:before="240"/>
              <w:rPr>
                <w:sz w:val="20"/>
                <w:szCs w:val="20"/>
              </w:rPr>
            </w:pPr>
            <w:r>
              <w:rPr>
                <w:sz w:val="20"/>
                <w:szCs w:val="20"/>
              </w:rPr>
              <w:t>Meaning</w:t>
            </w:r>
          </w:p>
        </w:tc>
      </w:tr>
      <w:tr w:rsidR="00910EB9" w14:paraId="02E131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FC" w14:textId="77777777" w:rsidR="00910EB9" w:rsidRDefault="006E4A1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FD" w14:textId="77777777" w:rsidR="00910EB9" w:rsidRDefault="006E4A1B">
            <w:pPr>
              <w:spacing w:before="240"/>
              <w:rPr>
                <w:sz w:val="20"/>
                <w:szCs w:val="20"/>
              </w:rPr>
            </w:pPr>
            <w:r>
              <w:rPr>
                <w:sz w:val="20"/>
                <w:szCs w:val="20"/>
              </w:rPr>
              <w:t>Any services ancillary to the G-Cloud Services that are in the scope of Framework Agreement Section 2 (Services Offered) which a Buyer may request.</w:t>
            </w:r>
          </w:p>
        </w:tc>
      </w:tr>
      <w:tr w:rsidR="00910EB9" w14:paraId="02E132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1FF" w14:textId="77777777" w:rsidR="00910EB9" w:rsidRDefault="006E4A1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0" w14:textId="77777777" w:rsidR="00910EB9" w:rsidRDefault="006E4A1B">
            <w:pPr>
              <w:spacing w:before="240"/>
              <w:rPr>
                <w:sz w:val="20"/>
                <w:szCs w:val="20"/>
              </w:rPr>
            </w:pPr>
            <w:r>
              <w:rPr>
                <w:sz w:val="20"/>
                <w:szCs w:val="20"/>
              </w:rPr>
              <w:t>The agreement to be entered into to enable the Supplier to participate in the relevant Civil Service pension scheme(s).</w:t>
            </w:r>
          </w:p>
        </w:tc>
      </w:tr>
      <w:tr w:rsidR="00910EB9" w14:paraId="02E132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2" w14:textId="77777777" w:rsidR="00910EB9" w:rsidRDefault="006E4A1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3" w14:textId="77777777" w:rsidR="00910EB9" w:rsidRDefault="006E4A1B">
            <w:pPr>
              <w:spacing w:before="240"/>
              <w:rPr>
                <w:sz w:val="20"/>
                <w:szCs w:val="20"/>
              </w:rPr>
            </w:pPr>
            <w:r>
              <w:rPr>
                <w:sz w:val="20"/>
                <w:szCs w:val="20"/>
              </w:rPr>
              <w:t>The response submitted by the Supplier to the Invitation to Tender (known as the Invitation to Apply on the Digital Marketplace).</w:t>
            </w:r>
          </w:p>
        </w:tc>
      </w:tr>
      <w:tr w:rsidR="00910EB9" w14:paraId="02E132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5" w14:textId="77777777" w:rsidR="00910EB9" w:rsidRDefault="006E4A1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6" w14:textId="77777777" w:rsidR="00910EB9" w:rsidRDefault="006E4A1B">
            <w:pPr>
              <w:spacing w:before="240"/>
              <w:rPr>
                <w:sz w:val="20"/>
                <w:szCs w:val="20"/>
              </w:rPr>
            </w:pPr>
            <w:r>
              <w:rPr>
                <w:sz w:val="20"/>
                <w:szCs w:val="20"/>
              </w:rPr>
              <w:t>An audit carried out under the incorporated Framework Agreement clauses specified by the Buyer in the Order (if any).</w:t>
            </w:r>
          </w:p>
        </w:tc>
      </w:tr>
      <w:tr w:rsidR="00910EB9" w14:paraId="02E1320D"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8" w14:textId="77777777" w:rsidR="00910EB9" w:rsidRDefault="006E4A1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9" w14:textId="77777777" w:rsidR="00910EB9" w:rsidRDefault="006E4A1B">
            <w:pPr>
              <w:spacing w:before="240"/>
              <w:rPr>
                <w:sz w:val="20"/>
                <w:szCs w:val="20"/>
              </w:rPr>
            </w:pPr>
            <w:r>
              <w:rPr>
                <w:sz w:val="20"/>
                <w:szCs w:val="20"/>
              </w:rPr>
              <w:t>For each Party, IPRs:</w:t>
            </w:r>
          </w:p>
          <w:p w14:paraId="02E1320A" w14:textId="77777777" w:rsidR="00910EB9" w:rsidRDefault="006E4A1B">
            <w:pPr>
              <w:pStyle w:val="ListParagraph"/>
              <w:numPr>
                <w:ilvl w:val="0"/>
                <w:numId w:val="19"/>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02E1320B" w14:textId="77777777" w:rsidR="00910EB9" w:rsidRDefault="006E4A1B">
            <w:pPr>
              <w:pStyle w:val="ListParagraph"/>
              <w:numPr>
                <w:ilvl w:val="0"/>
                <w:numId w:val="19"/>
              </w:numPr>
              <w:rPr>
                <w:sz w:val="20"/>
                <w:szCs w:val="20"/>
              </w:rPr>
            </w:pPr>
            <w:r>
              <w:rPr>
                <w:sz w:val="20"/>
                <w:szCs w:val="20"/>
              </w:rPr>
              <w:t>created by the Party independently of this Call-Off Contract, or</w:t>
            </w:r>
          </w:p>
          <w:p w14:paraId="02E1320C" w14:textId="77777777" w:rsidR="00910EB9" w:rsidRDefault="006E4A1B">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910EB9" w14:paraId="02E132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E" w14:textId="77777777" w:rsidR="00910EB9" w:rsidRDefault="006E4A1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0F" w14:textId="77777777" w:rsidR="00910EB9" w:rsidRDefault="006E4A1B">
            <w:pPr>
              <w:spacing w:before="240"/>
              <w:rPr>
                <w:sz w:val="20"/>
                <w:szCs w:val="20"/>
              </w:rPr>
            </w:pPr>
            <w:r>
              <w:rPr>
                <w:sz w:val="20"/>
                <w:szCs w:val="20"/>
              </w:rPr>
              <w:t>The contracting authority ordering services as set out in the Order Form.</w:t>
            </w:r>
          </w:p>
        </w:tc>
      </w:tr>
      <w:tr w:rsidR="00910EB9" w14:paraId="02E132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1" w14:textId="77777777" w:rsidR="00910EB9" w:rsidRDefault="006E4A1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2" w14:textId="77777777" w:rsidR="00910EB9" w:rsidRDefault="006E4A1B">
            <w:pPr>
              <w:spacing w:before="240"/>
              <w:rPr>
                <w:sz w:val="20"/>
                <w:szCs w:val="20"/>
              </w:rPr>
            </w:pPr>
            <w:r>
              <w:rPr>
                <w:sz w:val="20"/>
                <w:szCs w:val="20"/>
              </w:rPr>
              <w:t>All data supplied by the Buyer to the Supplier including Personal Data and Service Data that is owned and managed by the Buyer.</w:t>
            </w:r>
          </w:p>
        </w:tc>
      </w:tr>
      <w:tr w:rsidR="00910EB9" w14:paraId="02E132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4" w14:textId="77777777" w:rsidR="00910EB9" w:rsidRDefault="006E4A1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5" w14:textId="77777777" w:rsidR="00910EB9" w:rsidRDefault="006E4A1B">
            <w:pPr>
              <w:spacing w:before="240"/>
              <w:rPr>
                <w:sz w:val="20"/>
                <w:szCs w:val="20"/>
              </w:rPr>
            </w:pPr>
            <w:r>
              <w:rPr>
                <w:sz w:val="20"/>
                <w:szCs w:val="20"/>
              </w:rPr>
              <w:t>The Personal Data supplied by the Buyer to the Supplier for purposes of, or in connection with, this Call-Off Contract.</w:t>
            </w:r>
          </w:p>
        </w:tc>
      </w:tr>
      <w:tr w:rsidR="00910EB9" w14:paraId="02E132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7" w14:textId="77777777" w:rsidR="00910EB9" w:rsidRDefault="006E4A1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8" w14:textId="77777777" w:rsidR="00910EB9" w:rsidRDefault="006E4A1B">
            <w:pPr>
              <w:spacing w:before="240"/>
              <w:rPr>
                <w:sz w:val="20"/>
                <w:szCs w:val="20"/>
              </w:rPr>
            </w:pPr>
            <w:r>
              <w:rPr>
                <w:sz w:val="20"/>
                <w:szCs w:val="20"/>
              </w:rPr>
              <w:t>The representative appointed by the Buyer under this Call-Off Contract.</w:t>
            </w:r>
          </w:p>
        </w:tc>
      </w:tr>
      <w:tr w:rsidR="00910EB9" w14:paraId="02E132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A" w14:textId="77777777" w:rsidR="00910EB9" w:rsidRDefault="006E4A1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B" w14:textId="77777777" w:rsidR="00910EB9" w:rsidRDefault="006E4A1B">
            <w:pPr>
              <w:spacing w:before="240"/>
              <w:rPr>
                <w:sz w:val="20"/>
                <w:szCs w:val="20"/>
              </w:rPr>
            </w:pPr>
            <w:r>
              <w:rPr>
                <w:sz w:val="20"/>
                <w:szCs w:val="20"/>
              </w:rPr>
              <w:t>Software owned by or licensed to the Buyer (other than under this Agreement), which is or will be used by the Supplier to provide the Services.</w:t>
            </w:r>
          </w:p>
        </w:tc>
      </w:tr>
      <w:tr w:rsidR="00910EB9" w14:paraId="02E1321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D" w14:textId="77777777" w:rsidR="00910EB9" w:rsidRDefault="006E4A1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1E" w14:textId="77777777" w:rsidR="00910EB9" w:rsidRDefault="006E4A1B">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910EB9" w14:paraId="02E1322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0" w14:textId="77777777" w:rsidR="00910EB9" w:rsidRDefault="006E4A1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1" w14:textId="77777777" w:rsidR="00910EB9" w:rsidRDefault="006E4A1B">
            <w:pPr>
              <w:spacing w:before="240"/>
              <w:rPr>
                <w:sz w:val="20"/>
                <w:szCs w:val="20"/>
              </w:rPr>
            </w:pPr>
            <w:r>
              <w:rPr>
                <w:sz w:val="20"/>
                <w:szCs w:val="20"/>
              </w:rPr>
              <w:t>The prices (excluding any applicable VAT), payable to the Supplier by the Buyer under this Call-Off Contract.</w:t>
            </w:r>
          </w:p>
        </w:tc>
      </w:tr>
      <w:tr w:rsidR="00910EB9" w14:paraId="02E1322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3" w14:textId="77777777" w:rsidR="00910EB9" w:rsidRDefault="006E4A1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4" w14:textId="77777777" w:rsidR="00910EB9" w:rsidRDefault="006E4A1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10EB9" w14:paraId="02E132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6" w14:textId="77777777" w:rsidR="00910EB9" w:rsidRDefault="006E4A1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7" w14:textId="77777777" w:rsidR="00910EB9" w:rsidRDefault="006E4A1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10EB9" w14:paraId="02E1322D"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9" w14:textId="77777777" w:rsidR="00910EB9" w:rsidRDefault="006E4A1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A" w14:textId="77777777" w:rsidR="00910EB9" w:rsidRDefault="006E4A1B">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02E1322B" w14:textId="77777777" w:rsidR="00910EB9" w:rsidRDefault="006E4A1B">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2E1322C" w14:textId="77777777" w:rsidR="00910EB9" w:rsidRDefault="006E4A1B">
            <w:pPr>
              <w:pStyle w:val="ListParagraph"/>
              <w:numPr>
                <w:ilvl w:val="0"/>
                <w:numId w:val="20"/>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910EB9" w14:paraId="02E13231"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E" w14:textId="77777777" w:rsidR="00910EB9" w:rsidRDefault="006E4A1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2F" w14:textId="77777777" w:rsidR="00910EB9" w:rsidRDefault="006E4A1B">
            <w:pPr>
              <w:spacing w:before="240"/>
              <w:rPr>
                <w:sz w:val="20"/>
                <w:szCs w:val="20"/>
              </w:rPr>
            </w:pPr>
            <w:r>
              <w:rPr>
                <w:sz w:val="20"/>
                <w:szCs w:val="20"/>
              </w:rPr>
              <w:t>‘Control’ as defined in section 1124 and 450 of the Corporation Tax</w:t>
            </w:r>
          </w:p>
          <w:p w14:paraId="02E13230" w14:textId="77777777" w:rsidR="00910EB9" w:rsidRDefault="006E4A1B">
            <w:pPr>
              <w:spacing w:before="240"/>
              <w:rPr>
                <w:sz w:val="20"/>
                <w:szCs w:val="20"/>
              </w:rPr>
            </w:pPr>
            <w:r>
              <w:rPr>
                <w:sz w:val="20"/>
                <w:szCs w:val="20"/>
              </w:rPr>
              <w:t>Act 2010. 'Controls' and 'Controlled' will be interpreted accordingly.</w:t>
            </w:r>
          </w:p>
        </w:tc>
      </w:tr>
      <w:tr w:rsidR="00910EB9" w14:paraId="02E1323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2" w14:textId="77777777" w:rsidR="00910EB9" w:rsidRDefault="006E4A1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3" w14:textId="77777777" w:rsidR="00910EB9" w:rsidRDefault="006E4A1B">
            <w:pPr>
              <w:spacing w:before="240"/>
              <w:rPr>
                <w:sz w:val="20"/>
                <w:szCs w:val="20"/>
              </w:rPr>
            </w:pPr>
            <w:r>
              <w:rPr>
                <w:sz w:val="20"/>
                <w:szCs w:val="20"/>
              </w:rPr>
              <w:t>Takes the meaning given in the GDPR.</w:t>
            </w:r>
          </w:p>
        </w:tc>
      </w:tr>
      <w:tr w:rsidR="00910EB9" w14:paraId="02E1323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5" w14:textId="77777777" w:rsidR="00910EB9" w:rsidRDefault="006E4A1B">
            <w:pPr>
              <w:spacing w:before="240"/>
              <w:rPr>
                <w:b/>
                <w:sz w:val="20"/>
                <w:szCs w:val="20"/>
              </w:rPr>
            </w:pPr>
            <w:r>
              <w:rPr>
                <w:b/>
                <w:sz w:val="20"/>
                <w:szCs w:val="20"/>
              </w:rPr>
              <w:t>Crown</w:t>
            </w:r>
          </w:p>
          <w:p w14:paraId="02E13236" w14:textId="77777777" w:rsidR="00910EB9" w:rsidRDefault="006E4A1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7" w14:textId="77777777" w:rsidR="00910EB9" w:rsidRDefault="006E4A1B">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910EB9" w14:paraId="02E132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9" w14:textId="77777777" w:rsidR="00910EB9" w:rsidRDefault="006E4A1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A" w14:textId="77777777" w:rsidR="00910EB9" w:rsidRDefault="006E4A1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10EB9" w14:paraId="02E132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C" w14:textId="77777777" w:rsidR="00910EB9" w:rsidRDefault="006E4A1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D" w14:textId="77777777" w:rsidR="00910EB9" w:rsidRDefault="006E4A1B">
            <w:pPr>
              <w:spacing w:before="240"/>
              <w:rPr>
                <w:sz w:val="20"/>
                <w:szCs w:val="20"/>
              </w:rPr>
            </w:pPr>
            <w:r>
              <w:rPr>
                <w:sz w:val="20"/>
                <w:szCs w:val="20"/>
              </w:rPr>
              <w:t>An assessment by the Controller of the impact of the envisaged Processing on the protection of Personal Data.</w:t>
            </w:r>
          </w:p>
        </w:tc>
      </w:tr>
      <w:tr w:rsidR="00910EB9" w14:paraId="02E13244"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3F" w14:textId="77777777" w:rsidR="00910EB9" w:rsidRDefault="006E4A1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40" w14:textId="77777777" w:rsidR="00910EB9" w:rsidRDefault="006E4A1B">
            <w:pPr>
              <w:spacing w:before="240"/>
              <w:rPr>
                <w:sz w:val="20"/>
                <w:szCs w:val="20"/>
              </w:rPr>
            </w:pPr>
            <w:r>
              <w:rPr>
                <w:sz w:val="20"/>
                <w:szCs w:val="20"/>
              </w:rPr>
              <w:t>Data Protection Legislation means:</w:t>
            </w:r>
          </w:p>
          <w:p w14:paraId="02E13241" w14:textId="77777777" w:rsidR="00910EB9" w:rsidRDefault="006E4A1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2E13242" w14:textId="77777777" w:rsidR="00910EB9" w:rsidRDefault="006E4A1B">
            <w:pPr>
              <w:ind w:left="720" w:hanging="720"/>
              <w:rPr>
                <w:sz w:val="20"/>
                <w:szCs w:val="20"/>
              </w:rPr>
            </w:pPr>
            <w:r>
              <w:rPr>
                <w:sz w:val="20"/>
                <w:szCs w:val="20"/>
              </w:rPr>
              <w:t>(ii) the DPA 2018 to the extent that it relates to Processing of Personal Data and privacy</w:t>
            </w:r>
          </w:p>
          <w:p w14:paraId="02E13243" w14:textId="77777777" w:rsidR="00910EB9" w:rsidRDefault="006E4A1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10EB9" w14:paraId="02E1324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45" w14:textId="77777777" w:rsidR="00910EB9" w:rsidRDefault="006E4A1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46" w14:textId="77777777" w:rsidR="00910EB9" w:rsidRDefault="006E4A1B">
            <w:pPr>
              <w:spacing w:before="240"/>
              <w:rPr>
                <w:sz w:val="20"/>
                <w:szCs w:val="20"/>
              </w:rPr>
            </w:pPr>
            <w:r>
              <w:rPr>
                <w:sz w:val="20"/>
                <w:szCs w:val="20"/>
              </w:rPr>
              <w:t>Takes the meaning given in the GDPR</w:t>
            </w:r>
          </w:p>
        </w:tc>
      </w:tr>
      <w:tr w:rsidR="00910EB9" w14:paraId="02E1324D"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48" w14:textId="77777777" w:rsidR="00910EB9" w:rsidRDefault="006E4A1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49" w14:textId="77777777" w:rsidR="00910EB9" w:rsidRDefault="006E4A1B">
            <w:pPr>
              <w:spacing w:before="240"/>
              <w:rPr>
                <w:sz w:val="20"/>
                <w:szCs w:val="20"/>
              </w:rPr>
            </w:pPr>
            <w:r>
              <w:rPr>
                <w:sz w:val="20"/>
                <w:szCs w:val="20"/>
              </w:rPr>
              <w:t>Default is any:</w:t>
            </w:r>
          </w:p>
          <w:p w14:paraId="02E1324A" w14:textId="77777777" w:rsidR="00910EB9" w:rsidRDefault="006E4A1B">
            <w:pPr>
              <w:pStyle w:val="ListParagraph"/>
              <w:numPr>
                <w:ilvl w:val="0"/>
                <w:numId w:val="21"/>
              </w:numPr>
              <w:rPr>
                <w:sz w:val="20"/>
                <w:szCs w:val="20"/>
              </w:rPr>
            </w:pPr>
            <w:r>
              <w:rPr>
                <w:sz w:val="20"/>
                <w:szCs w:val="20"/>
              </w:rPr>
              <w:t>breach of the obligations of the Supplier (including any fundamental breach or breach of a fundamental term)</w:t>
            </w:r>
          </w:p>
          <w:p w14:paraId="02E1324B" w14:textId="77777777" w:rsidR="00910EB9" w:rsidRDefault="006E4A1B">
            <w:pPr>
              <w:pStyle w:val="ListParagraph"/>
              <w:numPr>
                <w:ilvl w:val="0"/>
                <w:numId w:val="21"/>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02E1324C" w14:textId="77777777" w:rsidR="00910EB9" w:rsidRDefault="006E4A1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10EB9" w14:paraId="02E132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4E" w14:textId="77777777" w:rsidR="00910EB9" w:rsidRDefault="006E4A1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4F" w14:textId="77777777" w:rsidR="00910EB9" w:rsidRDefault="006E4A1B">
            <w:pPr>
              <w:spacing w:before="240"/>
              <w:rPr>
                <w:sz w:val="20"/>
                <w:szCs w:val="20"/>
              </w:rPr>
            </w:pPr>
            <w:r>
              <w:rPr>
                <w:sz w:val="20"/>
                <w:szCs w:val="20"/>
              </w:rPr>
              <w:t>The G-Cloud Services the Buyer contracts the Supplier to provide under this Call-Off Contract.</w:t>
            </w:r>
          </w:p>
        </w:tc>
      </w:tr>
      <w:tr w:rsidR="00910EB9" w14:paraId="02E132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1" w14:textId="77777777" w:rsidR="00910EB9" w:rsidRDefault="006E4A1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2" w14:textId="77777777" w:rsidR="00910EB9" w:rsidRDefault="006E4A1B">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910EB9" w14:paraId="02E132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4" w14:textId="77777777" w:rsidR="00910EB9" w:rsidRDefault="006E4A1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5" w14:textId="77777777" w:rsidR="00910EB9" w:rsidRDefault="006E4A1B">
            <w:pPr>
              <w:spacing w:before="240"/>
              <w:rPr>
                <w:sz w:val="20"/>
                <w:szCs w:val="20"/>
              </w:rPr>
            </w:pPr>
            <w:r>
              <w:rPr>
                <w:sz w:val="20"/>
                <w:szCs w:val="20"/>
              </w:rPr>
              <w:t>Data Protection Act 2018.</w:t>
            </w:r>
          </w:p>
        </w:tc>
      </w:tr>
      <w:tr w:rsidR="00910EB9" w14:paraId="02E1325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7" w14:textId="77777777" w:rsidR="00910EB9" w:rsidRDefault="006E4A1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8" w14:textId="77777777" w:rsidR="00910EB9" w:rsidRDefault="006E4A1B">
            <w:pPr>
              <w:spacing w:before="240"/>
              <w:rPr>
                <w:sz w:val="20"/>
                <w:szCs w:val="20"/>
              </w:rPr>
            </w:pPr>
            <w:r>
              <w:rPr>
                <w:sz w:val="20"/>
                <w:szCs w:val="20"/>
              </w:rPr>
              <w:t>The Transfer of Undertakings (Protection of Employment) Regulations 2006 (SI 2006/246) (‘TUPE’) which implements the Acquired Rights Directive.</w:t>
            </w:r>
          </w:p>
        </w:tc>
      </w:tr>
      <w:tr w:rsidR="00910EB9" w14:paraId="02E132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A" w14:textId="77777777" w:rsidR="00910EB9" w:rsidRDefault="006E4A1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B" w14:textId="77777777" w:rsidR="00910EB9" w:rsidRDefault="006E4A1B">
            <w:pPr>
              <w:spacing w:before="240"/>
              <w:rPr>
                <w:sz w:val="20"/>
                <w:szCs w:val="20"/>
              </w:rPr>
            </w:pPr>
            <w:r>
              <w:rPr>
                <w:sz w:val="20"/>
                <w:szCs w:val="20"/>
              </w:rPr>
              <w:t>Means to terminate; and Ended and Ending are construed accordingly.</w:t>
            </w:r>
          </w:p>
        </w:tc>
      </w:tr>
      <w:tr w:rsidR="00910EB9" w14:paraId="02E1325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D" w14:textId="77777777" w:rsidR="00910EB9" w:rsidRDefault="006E4A1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5E" w14:textId="77777777" w:rsidR="00910EB9" w:rsidRDefault="006E4A1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10EB9" w14:paraId="02E1326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0" w14:textId="77777777" w:rsidR="00910EB9" w:rsidRDefault="006E4A1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1" w14:textId="77777777" w:rsidR="00910EB9" w:rsidRDefault="006E4A1B">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910EB9" w14:paraId="02E132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3" w14:textId="77777777" w:rsidR="00910EB9" w:rsidRDefault="006E4A1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4" w14:textId="77777777" w:rsidR="00910EB9" w:rsidRDefault="006E4A1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10EB9" w14:paraId="02E13269"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6" w14:textId="77777777" w:rsidR="00910EB9" w:rsidRDefault="006E4A1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7" w14:textId="77777777" w:rsidR="00910EB9" w:rsidRDefault="006E4A1B">
            <w:pPr>
              <w:spacing w:before="240"/>
              <w:rPr>
                <w:sz w:val="20"/>
                <w:szCs w:val="20"/>
              </w:rPr>
            </w:pPr>
            <w:r>
              <w:rPr>
                <w:sz w:val="20"/>
                <w:szCs w:val="20"/>
              </w:rPr>
              <w:t>The HMRC Employment Status Indicator test tool. The most up-to-date version must be used. At the time of drafting the tool may be found here:</w:t>
            </w:r>
          </w:p>
          <w:p w14:paraId="02E13268" w14:textId="77777777" w:rsidR="00910EB9" w:rsidRDefault="00611140">
            <w:hyperlink r:id="rId29" w:history="1">
              <w:r w:rsidR="006E4A1B">
                <w:rPr>
                  <w:rStyle w:val="Hyperlink"/>
                  <w:color w:val="auto"/>
                </w:rPr>
                <w:t>https://www.gov.uk/guidance/check-employment-status-for-tax</w:t>
              </w:r>
            </w:hyperlink>
          </w:p>
        </w:tc>
      </w:tr>
      <w:tr w:rsidR="00910EB9" w14:paraId="02E1326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A" w14:textId="77777777" w:rsidR="00910EB9" w:rsidRDefault="006E4A1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B" w14:textId="77777777" w:rsidR="00910EB9" w:rsidRDefault="006E4A1B">
            <w:pPr>
              <w:spacing w:before="240"/>
              <w:rPr>
                <w:sz w:val="20"/>
                <w:szCs w:val="20"/>
              </w:rPr>
            </w:pPr>
            <w:r>
              <w:rPr>
                <w:sz w:val="20"/>
                <w:szCs w:val="20"/>
              </w:rPr>
              <w:t>The expiry date of this Call-Off Contract in the Order Form.</w:t>
            </w:r>
          </w:p>
        </w:tc>
      </w:tr>
      <w:tr w:rsidR="00910EB9" w14:paraId="02E1327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D" w14:textId="77777777" w:rsidR="00910EB9" w:rsidRDefault="006E4A1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6E" w14:textId="77777777" w:rsidR="00910EB9" w:rsidRDefault="006E4A1B">
            <w:pPr>
              <w:spacing w:before="240"/>
              <w:rPr>
                <w:sz w:val="20"/>
                <w:szCs w:val="20"/>
              </w:rPr>
            </w:pPr>
            <w:r>
              <w:rPr>
                <w:sz w:val="20"/>
                <w:szCs w:val="20"/>
              </w:rPr>
              <w:t>A force Majeure event means anything affecting either Party's performance of their obligations arising from any:</w:t>
            </w:r>
          </w:p>
          <w:p w14:paraId="02E1326F" w14:textId="77777777" w:rsidR="00910EB9" w:rsidRDefault="006E4A1B">
            <w:pPr>
              <w:pStyle w:val="ListParagraph"/>
              <w:numPr>
                <w:ilvl w:val="0"/>
                <w:numId w:val="22"/>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02E13270" w14:textId="77777777" w:rsidR="00910EB9" w:rsidRDefault="006E4A1B">
            <w:pPr>
              <w:pStyle w:val="ListParagraph"/>
              <w:numPr>
                <w:ilvl w:val="0"/>
                <w:numId w:val="23"/>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02E13271" w14:textId="77777777" w:rsidR="00910EB9" w:rsidRDefault="006E4A1B">
            <w:pPr>
              <w:pStyle w:val="ListParagraph"/>
              <w:numPr>
                <w:ilvl w:val="0"/>
                <w:numId w:val="24"/>
              </w:numPr>
            </w:pPr>
            <w:r>
              <w:t xml:space="preserve">acts of government, local </w:t>
            </w:r>
            <w:proofErr w:type="gramStart"/>
            <w:r>
              <w:t>government</w:t>
            </w:r>
            <w:proofErr w:type="gramEnd"/>
            <w:r>
              <w:t xml:space="preserve"> or Regulatory </w:t>
            </w:r>
            <w:r>
              <w:rPr>
                <w:sz w:val="20"/>
                <w:szCs w:val="20"/>
              </w:rPr>
              <w:t>Bodies</w:t>
            </w:r>
          </w:p>
          <w:p w14:paraId="02E13272" w14:textId="77777777" w:rsidR="00910EB9" w:rsidRDefault="006E4A1B">
            <w:pPr>
              <w:pStyle w:val="ListParagraph"/>
              <w:numPr>
                <w:ilvl w:val="0"/>
                <w:numId w:val="25"/>
              </w:numPr>
            </w:pPr>
            <w:r>
              <w:rPr>
                <w:sz w:val="14"/>
                <w:szCs w:val="14"/>
              </w:rPr>
              <w:t xml:space="preserve"> </w:t>
            </w:r>
            <w:r>
              <w:rPr>
                <w:sz w:val="20"/>
                <w:szCs w:val="20"/>
              </w:rPr>
              <w:t>fire, flood or disaster and any failure or shortage of power or fuel</w:t>
            </w:r>
          </w:p>
          <w:p w14:paraId="02E13273" w14:textId="77777777" w:rsidR="00910EB9" w:rsidRDefault="006E4A1B">
            <w:pPr>
              <w:pStyle w:val="ListParagraph"/>
              <w:numPr>
                <w:ilvl w:val="0"/>
                <w:numId w:val="26"/>
              </w:numPr>
              <w:rPr>
                <w:sz w:val="20"/>
                <w:szCs w:val="20"/>
              </w:rPr>
            </w:pPr>
            <w:r>
              <w:rPr>
                <w:sz w:val="20"/>
                <w:szCs w:val="20"/>
              </w:rPr>
              <w:t>industrial dispute affecting a third party for which a substitute third party isn’t reasonably available</w:t>
            </w:r>
          </w:p>
          <w:p w14:paraId="02E13274" w14:textId="77777777" w:rsidR="00910EB9" w:rsidRDefault="006E4A1B">
            <w:pPr>
              <w:spacing w:before="240"/>
              <w:rPr>
                <w:sz w:val="20"/>
                <w:szCs w:val="20"/>
              </w:rPr>
            </w:pPr>
            <w:r>
              <w:rPr>
                <w:sz w:val="20"/>
                <w:szCs w:val="20"/>
              </w:rPr>
              <w:t>The following do not constitute a Force Majeure event:</w:t>
            </w:r>
          </w:p>
          <w:p w14:paraId="02E13275" w14:textId="77777777" w:rsidR="00910EB9" w:rsidRDefault="006E4A1B">
            <w:pPr>
              <w:pStyle w:val="ListParagraph"/>
              <w:numPr>
                <w:ilvl w:val="0"/>
                <w:numId w:val="27"/>
              </w:numPr>
              <w:rPr>
                <w:sz w:val="20"/>
                <w:szCs w:val="20"/>
              </w:rPr>
            </w:pPr>
            <w:r>
              <w:rPr>
                <w:sz w:val="20"/>
                <w:szCs w:val="20"/>
              </w:rPr>
              <w:t>any industrial dispute about the Supplier, its staff, or failure in the Supplier’s (or a Subcontractor's) supply chain</w:t>
            </w:r>
          </w:p>
          <w:p w14:paraId="02E13276" w14:textId="77777777" w:rsidR="00910EB9" w:rsidRDefault="006E4A1B">
            <w:pPr>
              <w:pStyle w:val="ListParagraph"/>
              <w:numPr>
                <w:ilvl w:val="0"/>
                <w:numId w:val="27"/>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02E13277" w14:textId="77777777" w:rsidR="00910EB9" w:rsidRDefault="006E4A1B">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14:paraId="02E13278" w14:textId="77777777" w:rsidR="00910EB9" w:rsidRDefault="006E4A1B">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10EB9" w14:paraId="02E1327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7A" w14:textId="77777777" w:rsidR="00910EB9" w:rsidRDefault="006E4A1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7B" w14:textId="77777777" w:rsidR="00910EB9" w:rsidRDefault="006E4A1B">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910EB9" w14:paraId="02E132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7D" w14:textId="77777777" w:rsidR="00910EB9" w:rsidRDefault="006E4A1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7E" w14:textId="77777777" w:rsidR="00910EB9" w:rsidRDefault="006E4A1B">
            <w:pPr>
              <w:spacing w:before="240"/>
              <w:rPr>
                <w:sz w:val="20"/>
                <w:szCs w:val="20"/>
              </w:rPr>
            </w:pPr>
            <w:r>
              <w:rPr>
                <w:sz w:val="20"/>
                <w:szCs w:val="20"/>
              </w:rPr>
              <w:t>The clauses of framework agreement RM1557.12 together with the Framework Schedules.</w:t>
            </w:r>
          </w:p>
        </w:tc>
      </w:tr>
      <w:tr w:rsidR="00910EB9" w14:paraId="02E1328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0" w14:textId="77777777" w:rsidR="00910EB9" w:rsidRDefault="006E4A1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1" w14:textId="77777777" w:rsidR="00910EB9" w:rsidRDefault="006E4A1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10EB9" w14:paraId="02E1328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3" w14:textId="77777777" w:rsidR="00910EB9" w:rsidRDefault="006E4A1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4" w14:textId="77777777" w:rsidR="00910EB9" w:rsidRDefault="006E4A1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10EB9" w14:paraId="02E13288"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6" w14:textId="77777777" w:rsidR="00910EB9" w:rsidRDefault="006E4A1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7" w14:textId="77777777" w:rsidR="00910EB9" w:rsidRDefault="006E4A1B">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910EB9" w14:paraId="02E132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9" w14:textId="77777777" w:rsidR="00910EB9" w:rsidRDefault="006E4A1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A" w14:textId="77777777" w:rsidR="00910EB9" w:rsidRDefault="006E4A1B">
            <w:pPr>
              <w:spacing w:before="240"/>
              <w:rPr>
                <w:sz w:val="20"/>
                <w:szCs w:val="20"/>
              </w:rPr>
            </w:pPr>
            <w:r>
              <w:rPr>
                <w:sz w:val="20"/>
                <w:szCs w:val="20"/>
              </w:rPr>
              <w:t>General Data Protection Regulation (Regulation (EU) 2016/679)</w:t>
            </w:r>
          </w:p>
        </w:tc>
      </w:tr>
      <w:tr w:rsidR="00910EB9" w14:paraId="02E1328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C" w14:textId="77777777" w:rsidR="00910EB9" w:rsidRDefault="006E4A1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D" w14:textId="77777777" w:rsidR="00910EB9" w:rsidRDefault="006E4A1B">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10EB9" w14:paraId="02E1329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8F" w14:textId="77777777" w:rsidR="00910EB9" w:rsidRDefault="006E4A1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0" w14:textId="77777777" w:rsidR="00910EB9" w:rsidRDefault="006E4A1B">
            <w:pPr>
              <w:spacing w:before="240"/>
              <w:rPr>
                <w:sz w:val="20"/>
                <w:szCs w:val="20"/>
              </w:rPr>
            </w:pPr>
            <w:r>
              <w:rPr>
                <w:sz w:val="20"/>
                <w:szCs w:val="20"/>
              </w:rPr>
              <w:t>The government’s preferred method of purchasing and payment for low value goods or services.</w:t>
            </w:r>
          </w:p>
        </w:tc>
      </w:tr>
      <w:tr w:rsidR="00910EB9" w14:paraId="02E1329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2" w14:textId="77777777" w:rsidR="00910EB9" w:rsidRDefault="006E4A1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3" w14:textId="77777777" w:rsidR="00910EB9" w:rsidRDefault="006E4A1B">
            <w:pPr>
              <w:spacing w:before="240"/>
              <w:rPr>
                <w:sz w:val="20"/>
                <w:szCs w:val="20"/>
              </w:rPr>
            </w:pPr>
            <w:r>
              <w:rPr>
                <w:sz w:val="20"/>
                <w:szCs w:val="20"/>
              </w:rPr>
              <w:t>The guarantee described in Schedule 5.</w:t>
            </w:r>
          </w:p>
        </w:tc>
      </w:tr>
      <w:tr w:rsidR="00910EB9" w14:paraId="02E1329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5" w14:textId="77777777" w:rsidR="00910EB9" w:rsidRDefault="006E4A1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6" w14:textId="77777777" w:rsidR="00910EB9" w:rsidRDefault="006E4A1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10EB9" w14:paraId="02E1329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8" w14:textId="77777777" w:rsidR="00910EB9" w:rsidRDefault="006E4A1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9" w14:textId="77777777" w:rsidR="00910EB9" w:rsidRDefault="006E4A1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10EB9" w14:paraId="02E132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B" w14:textId="77777777" w:rsidR="00910EB9" w:rsidRDefault="006E4A1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C" w14:textId="77777777" w:rsidR="00910EB9" w:rsidRDefault="006E4A1B">
            <w:pPr>
              <w:spacing w:before="240"/>
              <w:rPr>
                <w:sz w:val="20"/>
                <w:szCs w:val="20"/>
              </w:rPr>
            </w:pPr>
            <w:r>
              <w:rPr>
                <w:sz w:val="20"/>
                <w:szCs w:val="20"/>
              </w:rPr>
              <w:t>ESI tool completed by contractors on their own behalf at the request of CCS or the Buyer (as applicable) under clause 4.6.</w:t>
            </w:r>
          </w:p>
        </w:tc>
      </w:tr>
      <w:tr w:rsidR="00910EB9" w14:paraId="02E132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E" w14:textId="77777777" w:rsidR="00910EB9" w:rsidRDefault="006E4A1B">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9F" w14:textId="77777777" w:rsidR="00910EB9" w:rsidRDefault="006E4A1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10EB9" w14:paraId="02E132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A1" w14:textId="77777777" w:rsidR="00910EB9" w:rsidRDefault="006E4A1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A2" w14:textId="77777777" w:rsidR="00910EB9" w:rsidRDefault="006E4A1B">
            <w:pPr>
              <w:spacing w:before="240"/>
              <w:rPr>
                <w:sz w:val="20"/>
                <w:szCs w:val="20"/>
              </w:rPr>
            </w:pPr>
            <w:r>
              <w:rPr>
                <w:sz w:val="20"/>
                <w:szCs w:val="20"/>
              </w:rPr>
              <w:t>The information security management system and process developed by the Supplier in accordance with clause 16.1.</w:t>
            </w:r>
          </w:p>
        </w:tc>
      </w:tr>
      <w:tr w:rsidR="00910EB9" w14:paraId="02E132A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A4" w14:textId="77777777" w:rsidR="00910EB9" w:rsidRDefault="006E4A1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A5" w14:textId="77777777" w:rsidR="00910EB9" w:rsidRDefault="006E4A1B">
            <w:pPr>
              <w:spacing w:before="240"/>
              <w:rPr>
                <w:sz w:val="20"/>
                <w:szCs w:val="20"/>
              </w:rPr>
            </w:pPr>
            <w:r>
              <w:rPr>
                <w:sz w:val="20"/>
                <w:szCs w:val="20"/>
              </w:rPr>
              <w:t>Contractual engagements which would be determined to be within the scope of the IR35 Intermediaries legislation if assessed using the ESI tool.</w:t>
            </w:r>
          </w:p>
        </w:tc>
      </w:tr>
      <w:tr w:rsidR="00910EB9" w14:paraId="02E132A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A7" w14:textId="77777777" w:rsidR="00910EB9" w:rsidRDefault="006E4A1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A8" w14:textId="77777777" w:rsidR="00910EB9" w:rsidRDefault="006E4A1B">
            <w:pPr>
              <w:spacing w:before="240"/>
              <w:rPr>
                <w:sz w:val="20"/>
                <w:szCs w:val="20"/>
              </w:rPr>
            </w:pPr>
            <w:r>
              <w:rPr>
                <w:sz w:val="20"/>
                <w:szCs w:val="20"/>
              </w:rPr>
              <w:t>Can be:</w:t>
            </w:r>
          </w:p>
          <w:p w14:paraId="02E132A9" w14:textId="77777777" w:rsidR="00910EB9" w:rsidRDefault="006E4A1B">
            <w:pPr>
              <w:pStyle w:val="ListParagraph"/>
              <w:numPr>
                <w:ilvl w:val="0"/>
                <w:numId w:val="28"/>
              </w:numPr>
            </w:pPr>
            <w:r>
              <w:rPr>
                <w:sz w:val="14"/>
                <w:szCs w:val="14"/>
              </w:rPr>
              <w:t xml:space="preserve"> </w:t>
            </w:r>
            <w:r>
              <w:rPr>
                <w:sz w:val="20"/>
                <w:szCs w:val="20"/>
              </w:rPr>
              <w:t>a voluntary arrangement</w:t>
            </w:r>
          </w:p>
          <w:p w14:paraId="02E132AA" w14:textId="77777777" w:rsidR="00910EB9" w:rsidRDefault="006E4A1B">
            <w:pPr>
              <w:pStyle w:val="ListParagraph"/>
              <w:numPr>
                <w:ilvl w:val="0"/>
                <w:numId w:val="28"/>
              </w:numPr>
              <w:rPr>
                <w:sz w:val="20"/>
                <w:szCs w:val="20"/>
              </w:rPr>
            </w:pPr>
            <w:r>
              <w:rPr>
                <w:sz w:val="20"/>
                <w:szCs w:val="20"/>
              </w:rPr>
              <w:t>a winding-up petition</w:t>
            </w:r>
          </w:p>
          <w:p w14:paraId="02E132AB" w14:textId="77777777" w:rsidR="00910EB9" w:rsidRDefault="006E4A1B">
            <w:pPr>
              <w:pStyle w:val="ListParagraph"/>
              <w:numPr>
                <w:ilvl w:val="0"/>
                <w:numId w:val="28"/>
              </w:numPr>
              <w:rPr>
                <w:sz w:val="20"/>
                <w:szCs w:val="20"/>
              </w:rPr>
            </w:pPr>
            <w:r>
              <w:rPr>
                <w:sz w:val="20"/>
                <w:szCs w:val="20"/>
              </w:rPr>
              <w:t>the appointment of a receiver or administrator</w:t>
            </w:r>
          </w:p>
          <w:p w14:paraId="02E132AC" w14:textId="77777777" w:rsidR="00910EB9" w:rsidRDefault="006E4A1B">
            <w:pPr>
              <w:pStyle w:val="ListParagraph"/>
              <w:numPr>
                <w:ilvl w:val="0"/>
                <w:numId w:val="28"/>
              </w:numPr>
              <w:rPr>
                <w:sz w:val="20"/>
                <w:szCs w:val="20"/>
              </w:rPr>
            </w:pPr>
            <w:r>
              <w:rPr>
                <w:sz w:val="20"/>
                <w:szCs w:val="20"/>
              </w:rPr>
              <w:t>an unresolved statutory demand</w:t>
            </w:r>
          </w:p>
          <w:p w14:paraId="02E132AD" w14:textId="77777777" w:rsidR="00910EB9" w:rsidRDefault="006E4A1B">
            <w:pPr>
              <w:pStyle w:val="ListParagraph"/>
              <w:numPr>
                <w:ilvl w:val="0"/>
                <w:numId w:val="28"/>
              </w:numPr>
            </w:pPr>
            <w:r>
              <w:t>a S</w:t>
            </w:r>
            <w:r>
              <w:rPr>
                <w:sz w:val="20"/>
                <w:szCs w:val="20"/>
              </w:rPr>
              <w:t>chedule A1 moratorium</w:t>
            </w:r>
          </w:p>
        </w:tc>
      </w:tr>
      <w:tr w:rsidR="00910EB9" w14:paraId="02E132B4"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AF" w14:textId="77777777" w:rsidR="00910EB9" w:rsidRDefault="006E4A1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B0" w14:textId="77777777" w:rsidR="00910EB9" w:rsidRDefault="006E4A1B">
            <w:pPr>
              <w:spacing w:before="240"/>
              <w:rPr>
                <w:sz w:val="20"/>
                <w:szCs w:val="20"/>
              </w:rPr>
            </w:pPr>
            <w:r>
              <w:rPr>
                <w:sz w:val="20"/>
                <w:szCs w:val="20"/>
              </w:rPr>
              <w:t>Intellectual Property Rights are:</w:t>
            </w:r>
          </w:p>
          <w:p w14:paraId="02E132B1" w14:textId="77777777" w:rsidR="00910EB9" w:rsidRDefault="006E4A1B">
            <w:pPr>
              <w:pStyle w:val="ListParagraph"/>
              <w:numPr>
                <w:ilvl w:val="0"/>
                <w:numId w:val="29"/>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02E132B2" w14:textId="77777777" w:rsidR="00910EB9" w:rsidRDefault="006E4A1B">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14:paraId="02E132B3" w14:textId="77777777" w:rsidR="00910EB9" w:rsidRDefault="006E4A1B">
            <w:pPr>
              <w:pStyle w:val="ListParagraph"/>
              <w:numPr>
                <w:ilvl w:val="0"/>
                <w:numId w:val="29"/>
              </w:numPr>
              <w:rPr>
                <w:sz w:val="20"/>
                <w:szCs w:val="20"/>
              </w:rPr>
            </w:pPr>
            <w:r>
              <w:rPr>
                <w:sz w:val="20"/>
                <w:szCs w:val="20"/>
              </w:rPr>
              <w:t>all other rights having equivalent or similar effect in any country or jurisdiction</w:t>
            </w:r>
          </w:p>
        </w:tc>
      </w:tr>
      <w:tr w:rsidR="00910EB9" w14:paraId="02E132BB"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B5" w14:textId="77777777" w:rsidR="00910EB9" w:rsidRDefault="006E4A1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B6" w14:textId="77777777" w:rsidR="00910EB9" w:rsidRDefault="006E4A1B">
            <w:pPr>
              <w:spacing w:before="240"/>
              <w:rPr>
                <w:sz w:val="20"/>
                <w:szCs w:val="20"/>
              </w:rPr>
            </w:pPr>
            <w:r>
              <w:rPr>
                <w:sz w:val="20"/>
                <w:szCs w:val="20"/>
              </w:rPr>
              <w:t>For the purposes of the IR35 rules an intermediary can be:</w:t>
            </w:r>
          </w:p>
          <w:p w14:paraId="02E132B7" w14:textId="77777777" w:rsidR="00910EB9" w:rsidRDefault="006E4A1B">
            <w:pPr>
              <w:pStyle w:val="ListParagraph"/>
              <w:numPr>
                <w:ilvl w:val="0"/>
                <w:numId w:val="30"/>
              </w:numPr>
              <w:rPr>
                <w:sz w:val="20"/>
                <w:szCs w:val="20"/>
              </w:rPr>
            </w:pPr>
            <w:r>
              <w:rPr>
                <w:sz w:val="20"/>
                <w:szCs w:val="20"/>
              </w:rPr>
              <w:t>the supplier's own limited company</w:t>
            </w:r>
          </w:p>
          <w:p w14:paraId="02E132B8" w14:textId="77777777" w:rsidR="00910EB9" w:rsidRDefault="006E4A1B">
            <w:pPr>
              <w:pStyle w:val="ListParagraph"/>
              <w:numPr>
                <w:ilvl w:val="0"/>
                <w:numId w:val="30"/>
              </w:numPr>
              <w:rPr>
                <w:sz w:val="20"/>
                <w:szCs w:val="20"/>
              </w:rPr>
            </w:pPr>
            <w:r>
              <w:rPr>
                <w:sz w:val="20"/>
                <w:szCs w:val="20"/>
              </w:rPr>
              <w:t>a service or a personal service company</w:t>
            </w:r>
          </w:p>
          <w:p w14:paraId="02E132B9" w14:textId="77777777" w:rsidR="00910EB9" w:rsidRDefault="006E4A1B">
            <w:pPr>
              <w:pStyle w:val="ListParagraph"/>
              <w:numPr>
                <w:ilvl w:val="0"/>
                <w:numId w:val="30"/>
              </w:numPr>
              <w:rPr>
                <w:sz w:val="20"/>
                <w:szCs w:val="20"/>
              </w:rPr>
            </w:pPr>
            <w:r>
              <w:rPr>
                <w:sz w:val="20"/>
                <w:szCs w:val="20"/>
              </w:rPr>
              <w:t>a partnership</w:t>
            </w:r>
          </w:p>
          <w:p w14:paraId="02E132BA" w14:textId="77777777" w:rsidR="00910EB9" w:rsidRDefault="006E4A1B">
            <w:pPr>
              <w:spacing w:before="240"/>
              <w:rPr>
                <w:sz w:val="20"/>
                <w:szCs w:val="20"/>
              </w:rPr>
            </w:pPr>
            <w:r>
              <w:rPr>
                <w:sz w:val="20"/>
                <w:szCs w:val="20"/>
              </w:rPr>
              <w:t>It does not apply if you work for a client through a Managed Service Company (MSC) or agency (for example, an employment agency).</w:t>
            </w:r>
          </w:p>
        </w:tc>
      </w:tr>
      <w:tr w:rsidR="00910EB9" w14:paraId="02E132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BC" w14:textId="77777777" w:rsidR="00910EB9" w:rsidRDefault="006E4A1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BD" w14:textId="77777777" w:rsidR="00910EB9" w:rsidRDefault="006E4A1B">
            <w:pPr>
              <w:spacing w:before="240"/>
              <w:rPr>
                <w:sz w:val="20"/>
                <w:szCs w:val="20"/>
              </w:rPr>
            </w:pPr>
            <w:r>
              <w:rPr>
                <w:sz w:val="20"/>
                <w:szCs w:val="20"/>
              </w:rPr>
              <w:t>As set out in clause 11.5.</w:t>
            </w:r>
          </w:p>
        </w:tc>
      </w:tr>
      <w:tr w:rsidR="00910EB9" w14:paraId="02E132C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BF" w14:textId="77777777" w:rsidR="00910EB9" w:rsidRDefault="006E4A1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0" w14:textId="77777777" w:rsidR="00910EB9" w:rsidRDefault="006E4A1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10EB9" w14:paraId="02E132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2" w14:textId="77777777" w:rsidR="00910EB9" w:rsidRDefault="006E4A1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3" w14:textId="77777777" w:rsidR="00910EB9" w:rsidRDefault="006E4A1B">
            <w:pPr>
              <w:spacing w:before="240"/>
              <w:rPr>
                <w:sz w:val="20"/>
                <w:szCs w:val="20"/>
              </w:rPr>
            </w:pPr>
            <w:r>
              <w:rPr>
                <w:sz w:val="20"/>
                <w:szCs w:val="20"/>
              </w:rPr>
              <w:t>Assessment of employment status using the ESI tool to determine if engagement is Inside or Outside IR35.</w:t>
            </w:r>
          </w:p>
        </w:tc>
      </w:tr>
      <w:tr w:rsidR="00910EB9" w14:paraId="02E132C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5" w14:textId="77777777" w:rsidR="00910EB9" w:rsidRDefault="006E4A1B">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6" w14:textId="77777777" w:rsidR="00910EB9" w:rsidRDefault="006E4A1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10EB9" w14:paraId="02E132C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8" w14:textId="77777777" w:rsidR="00910EB9" w:rsidRDefault="006E4A1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9" w14:textId="77777777" w:rsidR="00910EB9" w:rsidRDefault="006E4A1B">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10EB9" w14:paraId="02E132C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B" w14:textId="77777777" w:rsidR="00910EB9" w:rsidRDefault="006E4A1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C" w14:textId="77777777" w:rsidR="00910EB9" w:rsidRDefault="006E4A1B">
            <w:pPr>
              <w:spacing w:before="240"/>
              <w:rPr>
                <w:sz w:val="20"/>
                <w:szCs w:val="20"/>
              </w:rPr>
            </w:pPr>
            <w:r>
              <w:rPr>
                <w:sz w:val="20"/>
                <w:szCs w:val="20"/>
              </w:rPr>
              <w:t>Law Enforcement Directive (EU) 2016/680.</w:t>
            </w:r>
          </w:p>
        </w:tc>
      </w:tr>
      <w:tr w:rsidR="00910EB9" w14:paraId="02E132D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E" w14:textId="77777777" w:rsidR="00910EB9" w:rsidRDefault="006E4A1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CF" w14:textId="77777777" w:rsidR="00910EB9" w:rsidRDefault="006E4A1B">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10EB9" w14:paraId="02E132D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1" w14:textId="77777777" w:rsidR="00910EB9" w:rsidRDefault="006E4A1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2" w14:textId="77777777" w:rsidR="00910EB9" w:rsidRDefault="006E4A1B">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910EB9" w14:paraId="02E132D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4" w14:textId="77777777" w:rsidR="00910EB9" w:rsidRDefault="006E4A1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5" w14:textId="77777777" w:rsidR="00910EB9" w:rsidRDefault="006E4A1B">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910EB9" w14:paraId="02E132D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7" w14:textId="77777777" w:rsidR="00910EB9" w:rsidRDefault="006E4A1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8" w14:textId="77777777" w:rsidR="00910EB9" w:rsidRDefault="006E4A1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10EB9" w14:paraId="02E132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A" w14:textId="77777777" w:rsidR="00910EB9" w:rsidRDefault="006E4A1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B" w14:textId="77777777" w:rsidR="00910EB9" w:rsidRDefault="006E4A1B">
            <w:pPr>
              <w:spacing w:before="240"/>
              <w:rPr>
                <w:sz w:val="20"/>
                <w:szCs w:val="20"/>
              </w:rPr>
            </w:pPr>
            <w:r>
              <w:rPr>
                <w:sz w:val="20"/>
                <w:szCs w:val="20"/>
              </w:rPr>
              <w:t>The management information specified in Framework Agreement section 6 (What you report to CCS).</w:t>
            </w:r>
          </w:p>
        </w:tc>
      </w:tr>
      <w:tr w:rsidR="00910EB9" w14:paraId="02E132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D" w14:textId="77777777" w:rsidR="00910EB9" w:rsidRDefault="006E4A1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DE" w14:textId="77777777" w:rsidR="00910EB9" w:rsidRDefault="006E4A1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10EB9" w14:paraId="02E132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0" w14:textId="77777777" w:rsidR="00910EB9" w:rsidRDefault="006E4A1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1" w14:textId="77777777" w:rsidR="00910EB9" w:rsidRDefault="006E4A1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10EB9" w14:paraId="02E132E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3" w14:textId="77777777" w:rsidR="00910EB9" w:rsidRDefault="006E4A1B">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4" w14:textId="77777777" w:rsidR="00910EB9" w:rsidRDefault="006E4A1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10EB9" w14:paraId="02E132E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6" w14:textId="77777777" w:rsidR="00910EB9" w:rsidRDefault="006E4A1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7" w14:textId="77777777" w:rsidR="00910EB9" w:rsidRDefault="006E4A1B">
            <w:pPr>
              <w:spacing w:before="240"/>
              <w:rPr>
                <w:sz w:val="20"/>
                <w:szCs w:val="20"/>
              </w:rPr>
            </w:pPr>
            <w:r>
              <w:rPr>
                <w:sz w:val="20"/>
                <w:szCs w:val="20"/>
              </w:rPr>
              <w:t>An order for G-Cloud Services placed by a contracting body with the Supplier in accordance with the ordering processes.</w:t>
            </w:r>
          </w:p>
        </w:tc>
      </w:tr>
      <w:tr w:rsidR="00910EB9" w14:paraId="02E132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9" w14:textId="77777777" w:rsidR="00910EB9" w:rsidRDefault="006E4A1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A" w14:textId="77777777" w:rsidR="00910EB9" w:rsidRDefault="006E4A1B">
            <w:pPr>
              <w:spacing w:before="240"/>
              <w:rPr>
                <w:sz w:val="20"/>
                <w:szCs w:val="20"/>
              </w:rPr>
            </w:pPr>
            <w:r>
              <w:rPr>
                <w:sz w:val="20"/>
                <w:szCs w:val="20"/>
              </w:rPr>
              <w:t>The order form set out in Part A of the Call-Off Contract to be used by a Buyer to order G-Cloud Services.</w:t>
            </w:r>
          </w:p>
        </w:tc>
      </w:tr>
      <w:tr w:rsidR="00910EB9" w14:paraId="02E132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C" w14:textId="77777777" w:rsidR="00910EB9" w:rsidRDefault="006E4A1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D" w14:textId="77777777" w:rsidR="00910EB9" w:rsidRDefault="006E4A1B">
            <w:pPr>
              <w:spacing w:before="240"/>
              <w:rPr>
                <w:sz w:val="20"/>
                <w:szCs w:val="20"/>
              </w:rPr>
            </w:pPr>
            <w:r>
              <w:rPr>
                <w:sz w:val="20"/>
                <w:szCs w:val="20"/>
              </w:rPr>
              <w:t>G-Cloud Services which are the subject of an order by the Buyer.</w:t>
            </w:r>
          </w:p>
        </w:tc>
      </w:tr>
      <w:tr w:rsidR="00910EB9" w14:paraId="02E132F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EF" w14:textId="77777777" w:rsidR="00910EB9" w:rsidRDefault="006E4A1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0" w14:textId="77777777" w:rsidR="00910EB9" w:rsidRDefault="006E4A1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10EB9" w14:paraId="02E132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2" w14:textId="77777777" w:rsidR="00910EB9" w:rsidRDefault="006E4A1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3" w14:textId="77777777" w:rsidR="00910EB9" w:rsidRDefault="006E4A1B">
            <w:pPr>
              <w:spacing w:before="240"/>
              <w:rPr>
                <w:sz w:val="20"/>
                <w:szCs w:val="20"/>
              </w:rPr>
            </w:pPr>
            <w:r>
              <w:rPr>
                <w:sz w:val="20"/>
                <w:szCs w:val="20"/>
              </w:rPr>
              <w:t>The Buyer or the Supplier and ‘Parties’ will be interpreted accordingly.</w:t>
            </w:r>
          </w:p>
        </w:tc>
      </w:tr>
      <w:tr w:rsidR="00910EB9" w14:paraId="02E132F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5" w14:textId="77777777" w:rsidR="00910EB9" w:rsidRDefault="006E4A1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6" w14:textId="77777777" w:rsidR="00910EB9" w:rsidRDefault="006E4A1B">
            <w:pPr>
              <w:spacing w:before="240"/>
              <w:rPr>
                <w:sz w:val="20"/>
                <w:szCs w:val="20"/>
              </w:rPr>
            </w:pPr>
            <w:r>
              <w:rPr>
                <w:sz w:val="20"/>
                <w:szCs w:val="20"/>
              </w:rPr>
              <w:t>Takes the meaning given in the GDPR.</w:t>
            </w:r>
          </w:p>
        </w:tc>
      </w:tr>
      <w:tr w:rsidR="00910EB9" w14:paraId="02E132F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8" w14:textId="77777777" w:rsidR="00910EB9" w:rsidRDefault="006E4A1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9" w14:textId="77777777" w:rsidR="00910EB9" w:rsidRDefault="006E4A1B">
            <w:pPr>
              <w:spacing w:before="240"/>
              <w:rPr>
                <w:sz w:val="20"/>
                <w:szCs w:val="20"/>
              </w:rPr>
            </w:pPr>
            <w:r>
              <w:rPr>
                <w:sz w:val="20"/>
                <w:szCs w:val="20"/>
              </w:rPr>
              <w:t>Takes the meaning given in the GDPR.</w:t>
            </w:r>
          </w:p>
        </w:tc>
      </w:tr>
      <w:tr w:rsidR="00910EB9" w14:paraId="02E132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B" w14:textId="77777777" w:rsidR="00910EB9" w:rsidRDefault="006E4A1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C" w14:textId="77777777" w:rsidR="00910EB9" w:rsidRDefault="006E4A1B">
            <w:pPr>
              <w:spacing w:before="240"/>
              <w:rPr>
                <w:sz w:val="20"/>
                <w:szCs w:val="20"/>
              </w:rPr>
            </w:pPr>
            <w:r>
              <w:rPr>
                <w:sz w:val="20"/>
                <w:szCs w:val="20"/>
              </w:rPr>
              <w:t>Takes the meaning given in the GDPR.</w:t>
            </w:r>
          </w:p>
        </w:tc>
      </w:tr>
      <w:tr w:rsidR="00910EB9" w14:paraId="02E1330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E" w14:textId="77777777" w:rsidR="00910EB9" w:rsidRDefault="006E4A1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2FF" w14:textId="77777777" w:rsidR="00910EB9" w:rsidRDefault="006E4A1B">
            <w:pPr>
              <w:spacing w:before="240"/>
              <w:rPr>
                <w:sz w:val="20"/>
                <w:szCs w:val="20"/>
              </w:rPr>
            </w:pPr>
            <w:r>
              <w:rPr>
                <w:sz w:val="20"/>
                <w:szCs w:val="20"/>
              </w:rPr>
              <w:t>Takes the meaning given in the GDPR.</w:t>
            </w:r>
          </w:p>
        </w:tc>
      </w:tr>
      <w:tr w:rsidR="00910EB9" w14:paraId="02E1330A"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01" w14:textId="77777777" w:rsidR="00910EB9" w:rsidRDefault="006E4A1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02" w14:textId="77777777" w:rsidR="00910EB9" w:rsidRDefault="006E4A1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2E13303" w14:textId="77777777" w:rsidR="00910EB9" w:rsidRDefault="006E4A1B">
            <w:pPr>
              <w:pStyle w:val="ListParagraph"/>
              <w:numPr>
                <w:ilvl w:val="0"/>
                <w:numId w:val="31"/>
              </w:numPr>
              <w:rPr>
                <w:sz w:val="20"/>
                <w:szCs w:val="20"/>
              </w:rPr>
            </w:pPr>
            <w:r>
              <w:rPr>
                <w:sz w:val="20"/>
                <w:szCs w:val="20"/>
              </w:rPr>
              <w:t>induce that person to perform improperly a relevant function or activity</w:t>
            </w:r>
          </w:p>
          <w:p w14:paraId="02E13304" w14:textId="77777777" w:rsidR="00910EB9" w:rsidRDefault="006E4A1B">
            <w:pPr>
              <w:pStyle w:val="ListParagraph"/>
              <w:numPr>
                <w:ilvl w:val="0"/>
                <w:numId w:val="31"/>
              </w:numPr>
              <w:rPr>
                <w:sz w:val="20"/>
                <w:szCs w:val="20"/>
              </w:rPr>
            </w:pPr>
            <w:r>
              <w:rPr>
                <w:sz w:val="20"/>
                <w:szCs w:val="20"/>
              </w:rPr>
              <w:t>reward that person for improper performance of a relevant function or activity</w:t>
            </w:r>
          </w:p>
          <w:p w14:paraId="02E13305" w14:textId="77777777" w:rsidR="00910EB9" w:rsidRDefault="006E4A1B">
            <w:pPr>
              <w:pStyle w:val="ListParagraph"/>
              <w:numPr>
                <w:ilvl w:val="0"/>
                <w:numId w:val="31"/>
              </w:numPr>
              <w:rPr>
                <w:sz w:val="20"/>
                <w:szCs w:val="20"/>
              </w:rPr>
            </w:pPr>
            <w:r>
              <w:rPr>
                <w:sz w:val="20"/>
                <w:szCs w:val="20"/>
              </w:rPr>
              <w:t>commit any offence:</w:t>
            </w:r>
          </w:p>
          <w:p w14:paraId="02E13306" w14:textId="77777777" w:rsidR="00910EB9" w:rsidRDefault="006E4A1B">
            <w:pPr>
              <w:pStyle w:val="ListParagraph"/>
              <w:numPr>
                <w:ilvl w:val="1"/>
                <w:numId w:val="31"/>
              </w:numPr>
              <w:rPr>
                <w:sz w:val="20"/>
                <w:szCs w:val="20"/>
              </w:rPr>
            </w:pPr>
            <w:r>
              <w:rPr>
                <w:sz w:val="20"/>
                <w:szCs w:val="20"/>
              </w:rPr>
              <w:t>under the Bribery Act 2010</w:t>
            </w:r>
          </w:p>
          <w:p w14:paraId="02E13307" w14:textId="77777777" w:rsidR="00910EB9" w:rsidRDefault="006E4A1B">
            <w:pPr>
              <w:pStyle w:val="ListParagraph"/>
              <w:numPr>
                <w:ilvl w:val="1"/>
                <w:numId w:val="31"/>
              </w:numPr>
              <w:rPr>
                <w:sz w:val="20"/>
                <w:szCs w:val="20"/>
              </w:rPr>
            </w:pPr>
            <w:r>
              <w:rPr>
                <w:sz w:val="20"/>
                <w:szCs w:val="20"/>
              </w:rPr>
              <w:t>under legislation creating offences concerning Fraud</w:t>
            </w:r>
          </w:p>
          <w:p w14:paraId="02E13308" w14:textId="77777777" w:rsidR="00910EB9" w:rsidRDefault="006E4A1B">
            <w:pPr>
              <w:pStyle w:val="ListParagraph"/>
              <w:numPr>
                <w:ilvl w:val="1"/>
                <w:numId w:val="31"/>
              </w:numPr>
            </w:pPr>
            <w:r>
              <w:t>at common Law concerning Fraud</w:t>
            </w:r>
          </w:p>
          <w:p w14:paraId="02E13309" w14:textId="77777777" w:rsidR="00910EB9" w:rsidRDefault="006E4A1B">
            <w:pPr>
              <w:pStyle w:val="ListParagraph"/>
              <w:numPr>
                <w:ilvl w:val="1"/>
                <w:numId w:val="31"/>
              </w:numPr>
              <w:rPr>
                <w:sz w:val="20"/>
                <w:szCs w:val="20"/>
              </w:rPr>
            </w:pPr>
            <w:r>
              <w:rPr>
                <w:sz w:val="20"/>
                <w:szCs w:val="20"/>
              </w:rPr>
              <w:t>committing or attempting or conspiring to commit Fraud</w:t>
            </w:r>
          </w:p>
        </w:tc>
      </w:tr>
      <w:tr w:rsidR="00910EB9" w14:paraId="02E1330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0B" w14:textId="77777777" w:rsidR="00910EB9" w:rsidRDefault="006E4A1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0C" w14:textId="77777777" w:rsidR="00910EB9" w:rsidRDefault="006E4A1B">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910EB9" w14:paraId="02E133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0E" w14:textId="77777777" w:rsidR="00910EB9" w:rsidRDefault="006E4A1B">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0F" w14:textId="77777777" w:rsidR="00910EB9" w:rsidRDefault="006E4A1B">
            <w:pPr>
              <w:spacing w:before="240"/>
              <w:rPr>
                <w:sz w:val="20"/>
                <w:szCs w:val="20"/>
              </w:rPr>
            </w:pPr>
            <w:r>
              <w:rPr>
                <w:sz w:val="20"/>
                <w:szCs w:val="20"/>
              </w:rPr>
              <w:t>Assets and property including technical infrastructure, IPRs and equipment.</w:t>
            </w:r>
          </w:p>
        </w:tc>
      </w:tr>
      <w:tr w:rsidR="00910EB9" w14:paraId="02E1331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1" w14:textId="77777777" w:rsidR="00910EB9" w:rsidRDefault="006E4A1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2" w14:textId="77777777" w:rsidR="00910EB9" w:rsidRDefault="006E4A1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10EB9" w14:paraId="02E133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4" w14:textId="77777777" w:rsidR="00910EB9" w:rsidRDefault="006E4A1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5" w14:textId="77777777" w:rsidR="00910EB9" w:rsidRDefault="006E4A1B">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910EB9" w14:paraId="02E133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7" w14:textId="77777777" w:rsidR="00910EB9" w:rsidRDefault="006E4A1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8" w14:textId="77777777" w:rsidR="00910EB9" w:rsidRDefault="006E4A1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10EB9" w14:paraId="02E133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A" w14:textId="77777777" w:rsidR="00910EB9" w:rsidRDefault="006E4A1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B" w14:textId="77777777" w:rsidR="00910EB9" w:rsidRDefault="006E4A1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10EB9" w14:paraId="02E133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D" w14:textId="77777777" w:rsidR="00910EB9" w:rsidRDefault="006E4A1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1E" w14:textId="77777777" w:rsidR="00910EB9" w:rsidRDefault="006E4A1B">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910EB9" w14:paraId="02E1332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0" w14:textId="77777777" w:rsidR="00910EB9" w:rsidRDefault="006E4A1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1" w14:textId="77777777" w:rsidR="00910EB9" w:rsidRDefault="006E4A1B">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910EB9" w14:paraId="02E1332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3" w14:textId="77777777" w:rsidR="00910EB9" w:rsidRDefault="006E4A1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4" w14:textId="77777777" w:rsidR="00910EB9" w:rsidRDefault="006E4A1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10EB9" w14:paraId="02E133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6" w14:textId="77777777" w:rsidR="00910EB9" w:rsidRDefault="006E4A1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7" w14:textId="77777777" w:rsidR="00910EB9" w:rsidRDefault="006E4A1B">
            <w:pPr>
              <w:spacing w:before="240"/>
              <w:rPr>
                <w:sz w:val="20"/>
                <w:szCs w:val="20"/>
              </w:rPr>
            </w:pPr>
            <w:r>
              <w:rPr>
                <w:sz w:val="20"/>
                <w:szCs w:val="20"/>
              </w:rPr>
              <w:t>The Supplier's security management plan developed by the Supplier in accordance with clause 16.1.</w:t>
            </w:r>
          </w:p>
        </w:tc>
      </w:tr>
      <w:tr w:rsidR="00910EB9" w14:paraId="02E133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9" w14:textId="77777777" w:rsidR="00910EB9" w:rsidRDefault="006E4A1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A" w14:textId="77777777" w:rsidR="00910EB9" w:rsidRDefault="006E4A1B">
            <w:pPr>
              <w:spacing w:before="240"/>
              <w:rPr>
                <w:sz w:val="20"/>
                <w:szCs w:val="20"/>
              </w:rPr>
            </w:pPr>
            <w:r>
              <w:rPr>
                <w:sz w:val="20"/>
                <w:szCs w:val="20"/>
              </w:rPr>
              <w:t>The services ordered by the Buyer as set out in the Order Form.</w:t>
            </w:r>
          </w:p>
        </w:tc>
      </w:tr>
      <w:tr w:rsidR="00910EB9" w14:paraId="02E133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C" w14:textId="77777777" w:rsidR="00910EB9" w:rsidRDefault="006E4A1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D" w14:textId="77777777" w:rsidR="00910EB9" w:rsidRDefault="006E4A1B">
            <w:pPr>
              <w:spacing w:before="240"/>
              <w:rPr>
                <w:sz w:val="20"/>
                <w:szCs w:val="20"/>
              </w:rPr>
            </w:pPr>
            <w:r>
              <w:rPr>
                <w:sz w:val="20"/>
                <w:szCs w:val="20"/>
              </w:rPr>
              <w:t>Data that is owned or managed by the Buyer and used for the G-Cloud Services, including backup data.</w:t>
            </w:r>
          </w:p>
        </w:tc>
      </w:tr>
      <w:tr w:rsidR="00910EB9" w14:paraId="02E1333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2F" w14:textId="77777777" w:rsidR="00910EB9" w:rsidRDefault="006E4A1B">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0" w14:textId="77777777" w:rsidR="00910EB9" w:rsidRDefault="006E4A1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10EB9" w14:paraId="02E133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2" w14:textId="77777777" w:rsidR="00910EB9" w:rsidRDefault="006E4A1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3" w14:textId="77777777" w:rsidR="00910EB9" w:rsidRDefault="006E4A1B">
            <w:pPr>
              <w:spacing w:before="240"/>
              <w:rPr>
                <w:sz w:val="20"/>
                <w:szCs w:val="20"/>
              </w:rPr>
            </w:pPr>
            <w:r>
              <w:rPr>
                <w:sz w:val="20"/>
                <w:szCs w:val="20"/>
              </w:rPr>
              <w:t>The description of the Supplier service offering as published on the Digital Marketplace.</w:t>
            </w:r>
          </w:p>
        </w:tc>
      </w:tr>
      <w:tr w:rsidR="00910EB9" w14:paraId="02E133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5" w14:textId="77777777" w:rsidR="00910EB9" w:rsidRDefault="006E4A1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6" w14:textId="77777777" w:rsidR="00910EB9" w:rsidRDefault="006E4A1B">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910EB9" w14:paraId="02E133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8" w14:textId="77777777" w:rsidR="00910EB9" w:rsidRDefault="006E4A1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9" w14:textId="77777777" w:rsidR="00910EB9" w:rsidRDefault="006E4A1B">
            <w:pPr>
              <w:spacing w:before="240"/>
            </w:pPr>
            <w:r>
              <w:rPr>
                <w:sz w:val="20"/>
                <w:szCs w:val="20"/>
              </w:rPr>
              <w:t>The approval process used by a central government Buyer if it needs to spend money on certain digital or technology services, see</w:t>
            </w:r>
            <w:hyperlink r:id="rId30" w:history="1">
              <w:r>
                <w:t xml:space="preserve"> </w:t>
              </w:r>
            </w:hyperlink>
            <w:hyperlink r:id="rId31" w:history="1">
              <w:r>
                <w:rPr>
                  <w:sz w:val="20"/>
                  <w:szCs w:val="20"/>
                  <w:u w:val="single"/>
                </w:rPr>
                <w:t>https://www.gov.uk/service-manual/agile-delivery/spend-controls-check-if-you-need-approval-to-spend-money-on-a-service</w:t>
              </w:r>
            </w:hyperlink>
          </w:p>
        </w:tc>
      </w:tr>
      <w:tr w:rsidR="00910EB9" w14:paraId="02E1333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B" w14:textId="77777777" w:rsidR="00910EB9" w:rsidRDefault="006E4A1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C" w14:textId="77777777" w:rsidR="00910EB9" w:rsidRDefault="006E4A1B">
            <w:pPr>
              <w:spacing w:before="240"/>
              <w:rPr>
                <w:sz w:val="20"/>
                <w:szCs w:val="20"/>
              </w:rPr>
            </w:pPr>
            <w:r>
              <w:rPr>
                <w:sz w:val="20"/>
                <w:szCs w:val="20"/>
              </w:rPr>
              <w:t>The Start date of this Call-Off Contract as set out in the Order Form.</w:t>
            </w:r>
          </w:p>
        </w:tc>
      </w:tr>
      <w:tr w:rsidR="00910EB9" w14:paraId="02E1334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E" w14:textId="77777777" w:rsidR="00910EB9" w:rsidRDefault="006E4A1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3F" w14:textId="77777777" w:rsidR="00910EB9" w:rsidRDefault="006E4A1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10EB9" w14:paraId="02E1334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1" w14:textId="77777777" w:rsidR="00910EB9" w:rsidRDefault="006E4A1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2" w14:textId="77777777" w:rsidR="00910EB9" w:rsidRDefault="006E4A1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10EB9" w14:paraId="02E133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4" w14:textId="77777777" w:rsidR="00910EB9" w:rsidRDefault="006E4A1B">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5" w14:textId="77777777" w:rsidR="00910EB9" w:rsidRDefault="006E4A1B">
            <w:pPr>
              <w:spacing w:before="240"/>
              <w:rPr>
                <w:sz w:val="20"/>
                <w:szCs w:val="20"/>
              </w:rPr>
            </w:pPr>
            <w:r>
              <w:rPr>
                <w:sz w:val="20"/>
                <w:szCs w:val="20"/>
              </w:rPr>
              <w:t>Any third party appointed to process Personal Data on behalf of the Supplier under this Call-Off Contract.</w:t>
            </w:r>
          </w:p>
        </w:tc>
      </w:tr>
      <w:tr w:rsidR="00910EB9" w14:paraId="02E133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7" w14:textId="77777777" w:rsidR="00910EB9" w:rsidRDefault="006E4A1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8" w14:textId="77777777" w:rsidR="00910EB9" w:rsidRDefault="006E4A1B">
            <w:pPr>
              <w:spacing w:before="240"/>
              <w:rPr>
                <w:sz w:val="20"/>
                <w:szCs w:val="20"/>
              </w:rPr>
            </w:pPr>
            <w:r>
              <w:rPr>
                <w:sz w:val="20"/>
                <w:szCs w:val="20"/>
              </w:rPr>
              <w:t>The person, firm or company identified in the Order Form.</w:t>
            </w:r>
          </w:p>
        </w:tc>
      </w:tr>
      <w:tr w:rsidR="00910EB9" w14:paraId="02E133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A" w14:textId="77777777" w:rsidR="00910EB9" w:rsidRDefault="006E4A1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B" w14:textId="77777777" w:rsidR="00910EB9" w:rsidRDefault="006E4A1B">
            <w:pPr>
              <w:spacing w:before="240"/>
              <w:rPr>
                <w:sz w:val="20"/>
                <w:szCs w:val="20"/>
              </w:rPr>
            </w:pPr>
            <w:r>
              <w:rPr>
                <w:sz w:val="20"/>
                <w:szCs w:val="20"/>
              </w:rPr>
              <w:t>The representative appointed by the Supplier from time to time in relation to the Call-Off Contract.</w:t>
            </w:r>
          </w:p>
        </w:tc>
      </w:tr>
      <w:tr w:rsidR="00910EB9" w14:paraId="02E133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D" w14:textId="77777777" w:rsidR="00910EB9" w:rsidRDefault="006E4A1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4E" w14:textId="77777777" w:rsidR="00910EB9" w:rsidRDefault="006E4A1B">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910EB9" w14:paraId="02E133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0" w14:textId="77777777" w:rsidR="00910EB9" w:rsidRDefault="006E4A1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1" w14:textId="77777777" w:rsidR="00910EB9" w:rsidRDefault="006E4A1B">
            <w:pPr>
              <w:spacing w:before="240"/>
              <w:rPr>
                <w:sz w:val="20"/>
                <w:szCs w:val="20"/>
              </w:rPr>
            </w:pPr>
            <w:r>
              <w:rPr>
                <w:sz w:val="20"/>
                <w:szCs w:val="20"/>
              </w:rPr>
              <w:t>The relevant G-Cloud Service terms and conditions as set out in the Terms and Conditions document supplied as part of the Supplier’s Application.</w:t>
            </w:r>
          </w:p>
        </w:tc>
      </w:tr>
      <w:tr w:rsidR="00910EB9" w14:paraId="02E1335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3" w14:textId="77777777" w:rsidR="00910EB9" w:rsidRDefault="006E4A1B">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4" w14:textId="77777777" w:rsidR="00910EB9" w:rsidRDefault="006E4A1B">
            <w:pPr>
              <w:spacing w:before="240"/>
              <w:rPr>
                <w:sz w:val="20"/>
                <w:szCs w:val="20"/>
              </w:rPr>
            </w:pPr>
            <w:r>
              <w:rPr>
                <w:sz w:val="20"/>
                <w:szCs w:val="20"/>
              </w:rPr>
              <w:t>The term of this Call-Off Contract as set out in the Order Form.</w:t>
            </w:r>
          </w:p>
        </w:tc>
      </w:tr>
      <w:tr w:rsidR="00910EB9" w14:paraId="02E133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6" w14:textId="77777777" w:rsidR="00910EB9" w:rsidRDefault="006E4A1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7" w14:textId="77777777" w:rsidR="00910EB9" w:rsidRDefault="006E4A1B">
            <w:pPr>
              <w:spacing w:before="240"/>
              <w:rPr>
                <w:sz w:val="20"/>
                <w:szCs w:val="20"/>
              </w:rPr>
            </w:pPr>
            <w:r>
              <w:rPr>
                <w:sz w:val="20"/>
                <w:szCs w:val="20"/>
              </w:rPr>
              <w:t>This has the meaning given to it in clause 32 (Variation process).</w:t>
            </w:r>
          </w:p>
        </w:tc>
      </w:tr>
      <w:tr w:rsidR="00910EB9" w14:paraId="02E133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9" w14:textId="77777777" w:rsidR="00910EB9" w:rsidRDefault="006E4A1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A" w14:textId="77777777" w:rsidR="00910EB9" w:rsidRDefault="006E4A1B">
            <w:pPr>
              <w:spacing w:before="240"/>
              <w:rPr>
                <w:sz w:val="20"/>
                <w:szCs w:val="20"/>
              </w:rPr>
            </w:pPr>
            <w:r>
              <w:rPr>
                <w:sz w:val="20"/>
                <w:szCs w:val="20"/>
              </w:rPr>
              <w:t>Any day other than a Saturday, Sunday or public holiday in England and Wales.</w:t>
            </w:r>
          </w:p>
        </w:tc>
      </w:tr>
      <w:tr w:rsidR="00910EB9" w14:paraId="02E1335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C" w14:textId="77777777" w:rsidR="00910EB9" w:rsidRDefault="006E4A1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5D" w14:textId="77777777" w:rsidR="00910EB9" w:rsidRDefault="006E4A1B">
            <w:pPr>
              <w:spacing w:before="240"/>
              <w:rPr>
                <w:sz w:val="20"/>
                <w:szCs w:val="20"/>
              </w:rPr>
            </w:pPr>
            <w:r>
              <w:rPr>
                <w:sz w:val="20"/>
                <w:szCs w:val="20"/>
              </w:rPr>
              <w:t>A contract year.</w:t>
            </w:r>
          </w:p>
        </w:tc>
      </w:tr>
    </w:tbl>
    <w:p w14:paraId="02E1335F" w14:textId="77777777" w:rsidR="00910EB9" w:rsidRDefault="006E4A1B">
      <w:pPr>
        <w:spacing w:before="240" w:after="240"/>
      </w:pPr>
      <w:r>
        <w:t xml:space="preserve"> </w:t>
      </w:r>
    </w:p>
    <w:p w14:paraId="02E13360" w14:textId="77777777" w:rsidR="00910EB9" w:rsidRDefault="00910EB9">
      <w:pPr>
        <w:pageBreakBefore/>
      </w:pPr>
    </w:p>
    <w:p w14:paraId="02E13361" w14:textId="77777777" w:rsidR="00910EB9" w:rsidRDefault="006E4A1B">
      <w:pPr>
        <w:pStyle w:val="Heading2"/>
      </w:pPr>
      <w:bookmarkStart w:id="29" w:name="_Toc33176240"/>
      <w:bookmarkStart w:id="30" w:name="_Toc85461054"/>
      <w:r>
        <w:t>Schedule 7: GDPR Information</w:t>
      </w:r>
      <w:bookmarkEnd w:id="29"/>
      <w:bookmarkEnd w:id="30"/>
    </w:p>
    <w:p w14:paraId="02E13362" w14:textId="77777777" w:rsidR="00910EB9" w:rsidRDefault="006E4A1B">
      <w:r>
        <w:t>This schedule reproduces the annexes to the GDPR schedule contained within the Framework Agreement and incorporated into this Call-off Contract.</w:t>
      </w:r>
    </w:p>
    <w:p w14:paraId="02E13363" w14:textId="77777777" w:rsidR="00910EB9" w:rsidRDefault="006E4A1B">
      <w:pPr>
        <w:pStyle w:val="Heading3"/>
        <w:rPr>
          <w:color w:val="auto"/>
        </w:rPr>
      </w:pPr>
      <w:r>
        <w:rPr>
          <w:color w:val="auto"/>
        </w:rPr>
        <w:t>Annex 1: Processing Personal Data</w:t>
      </w:r>
    </w:p>
    <w:p w14:paraId="02E13364" w14:textId="77777777" w:rsidR="00910EB9" w:rsidRDefault="006E4A1B">
      <w:pPr>
        <w:spacing w:after="120"/>
      </w:pPr>
      <w:r>
        <w:t>This Annex shall be completed by the Controller, who may take account of the view of the Processors, however the final decision as to the content of this Annex shall be with the Buyer at its absolute discretion.</w:t>
      </w:r>
    </w:p>
    <w:p w14:paraId="02E13365" w14:textId="77777777" w:rsidR="00910EB9" w:rsidRDefault="006E4A1B">
      <w:r>
        <w:t>1.1</w:t>
      </w:r>
      <w:r>
        <w:tab/>
        <w:t xml:space="preserve">The contact details of the Buyer’s Data Protection Officer are: </w:t>
      </w:r>
      <w:hyperlink r:id="rId32" w:history="1">
        <w:r>
          <w:rPr>
            <w:rStyle w:val="Hyperlink"/>
          </w:rPr>
          <w:t>dataprotection@beis.gov.uk</w:t>
        </w:r>
      </w:hyperlink>
      <w:r>
        <w:t xml:space="preserve"> </w:t>
      </w:r>
    </w:p>
    <w:p w14:paraId="02E13366" w14:textId="7CF26E57" w:rsidR="00910EB9" w:rsidRDefault="006E4A1B">
      <w:r>
        <w:t>1.2</w:t>
      </w:r>
      <w:r>
        <w:tab/>
        <w:t>The contact details of the Supplier’s Data Protection Officer are:</w:t>
      </w:r>
      <w:r w:rsidR="005C30AD" w:rsidRPr="005C30AD">
        <w:t xml:space="preserve"> </w:t>
      </w:r>
      <w:hyperlink r:id="rId33" w:history="1">
        <w:r w:rsidR="005C30AD">
          <w:rPr>
            <w:rFonts w:ascii="Helvetica Neue" w:eastAsia="Helvetica Neue" w:hAnsi="Helvetica Neue" w:cs="Helvetica Neue"/>
            <w:color w:val="001489"/>
            <w:u w:val="single"/>
            <w:shd w:val="clear" w:color="auto" w:fill="FFFFFF"/>
          </w:rPr>
          <w:t>privacy@bvdinfo.com</w:t>
        </w:r>
      </w:hyperlink>
    </w:p>
    <w:p w14:paraId="02E13367" w14:textId="77777777" w:rsidR="00910EB9" w:rsidRDefault="006E4A1B">
      <w:pPr>
        <w:ind w:left="720" w:hanging="720"/>
      </w:pPr>
      <w:r>
        <w:t>1.3</w:t>
      </w:r>
      <w:r>
        <w:tab/>
        <w:t>The Processor shall comply with any further written instructions with respect to Processing by the Controller.</w:t>
      </w:r>
    </w:p>
    <w:p w14:paraId="02E13368" w14:textId="77777777" w:rsidR="00910EB9" w:rsidRDefault="006E4A1B">
      <w:r>
        <w:t>1.4</w:t>
      </w:r>
      <w:r>
        <w:tab/>
        <w:t>Any such further instructions shall be incorporated into this Annex.</w:t>
      </w:r>
    </w:p>
    <w:p w14:paraId="02E13369" w14:textId="77777777" w:rsidR="00910EB9" w:rsidRDefault="00910EB9"/>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910EB9" w14:paraId="02E1336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6A" w14:textId="77777777" w:rsidR="00910EB9" w:rsidRDefault="006E4A1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6B" w14:textId="77777777" w:rsidR="00910EB9" w:rsidRDefault="006E4A1B">
            <w:pPr>
              <w:spacing w:before="240" w:after="240"/>
              <w:jc w:val="center"/>
            </w:pPr>
            <w:r>
              <w:rPr>
                <w:b/>
              </w:rPr>
              <w:t>Details</w:t>
            </w:r>
          </w:p>
        </w:tc>
      </w:tr>
      <w:tr w:rsidR="00910EB9" w14:paraId="02E1338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6D" w14:textId="77777777" w:rsidR="00910EB9" w:rsidRDefault="006E4A1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7E" w14:textId="77777777" w:rsidR="00910EB9" w:rsidRDefault="00910EB9">
            <w:pPr>
              <w:spacing w:line="240" w:lineRule="auto"/>
            </w:pPr>
          </w:p>
          <w:p w14:paraId="02E1337F" w14:textId="77777777" w:rsidR="00910EB9" w:rsidRDefault="006E4A1B">
            <w:pPr>
              <w:spacing w:line="240" w:lineRule="auto"/>
              <w:rPr>
                <w:b/>
              </w:rPr>
            </w:pPr>
            <w:r>
              <w:rPr>
                <w:b/>
              </w:rPr>
              <w:t>The Parties are Independent Controllers of Personal Data</w:t>
            </w:r>
          </w:p>
          <w:p w14:paraId="02E13380" w14:textId="77777777" w:rsidR="00910EB9" w:rsidRDefault="00910EB9">
            <w:pPr>
              <w:spacing w:line="240" w:lineRule="auto"/>
            </w:pPr>
          </w:p>
          <w:p w14:paraId="02E13381" w14:textId="77777777" w:rsidR="00910EB9" w:rsidRDefault="006E4A1B">
            <w:pPr>
              <w:spacing w:line="240" w:lineRule="auto"/>
            </w:pPr>
            <w:r>
              <w:t>The Parties acknowledge that they are Independent Controllers for the purposes of the Data Protection Legislation in respect of:</w:t>
            </w:r>
          </w:p>
          <w:p w14:paraId="02E13382" w14:textId="77777777" w:rsidR="00910EB9" w:rsidRDefault="00910EB9">
            <w:pPr>
              <w:spacing w:line="240" w:lineRule="auto"/>
            </w:pPr>
          </w:p>
          <w:p w14:paraId="02E13383" w14:textId="77777777" w:rsidR="00910EB9" w:rsidRDefault="006E4A1B">
            <w:pPr>
              <w:numPr>
                <w:ilvl w:val="0"/>
                <w:numId w:val="34"/>
              </w:numPr>
              <w:spacing w:line="240" w:lineRule="auto"/>
            </w:pPr>
            <w:r>
              <w:t>Business contact details of Supplier Personnel for which the Supplier is the Controller</w:t>
            </w:r>
          </w:p>
          <w:p w14:paraId="02E13384" w14:textId="77777777" w:rsidR="00910EB9" w:rsidRDefault="006E4A1B">
            <w:pPr>
              <w:numPr>
                <w:ilvl w:val="0"/>
                <w:numId w:val="34"/>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770C8A0F" w14:textId="44352683" w:rsidR="0085441B" w:rsidRDefault="0085441B" w:rsidP="0085441B">
            <w:pPr>
              <w:numPr>
                <w:ilvl w:val="0"/>
                <w:numId w:val="42"/>
              </w:numPr>
              <w:spacing w:line="240" w:lineRule="auto"/>
            </w:pPr>
            <w:r>
              <w:rPr>
                <w:rFonts w:ascii="Helvetica Neue" w:eastAsia="Helvetica Neue" w:hAnsi="Helvetica Neue" w:cs="Helvetica Neue"/>
                <w:color w:val="000000"/>
              </w:rPr>
              <w:t xml:space="preserve"> Business contact details of any directors, officers, employees, agents, </w:t>
            </w:r>
            <w:proofErr w:type="gramStart"/>
            <w:r>
              <w:rPr>
                <w:rFonts w:ascii="Helvetica Neue" w:eastAsia="Helvetica Neue" w:hAnsi="Helvetica Neue" w:cs="Helvetica Neue"/>
                <w:color w:val="000000"/>
              </w:rPr>
              <w:t>consultants</w:t>
            </w:r>
            <w:proofErr w:type="gramEnd"/>
            <w:r>
              <w:rPr>
                <w:rFonts w:ascii="Helvetica Neue" w:eastAsia="Helvetica Neue" w:hAnsi="Helvetica Neue" w:cs="Helvetica Neue"/>
                <w:color w:val="000000"/>
              </w:rPr>
              <w:t xml:space="preserve"> and contractors of </w:t>
            </w:r>
            <w:r>
              <w:rPr>
                <w:rFonts w:ascii="Helvetica Neue" w:eastAsia="Helvetica Neue" w:hAnsi="Helvetica Neue" w:cs="Helvetica Neue"/>
              </w:rPr>
              <w:t xml:space="preserve">Buyer </w:t>
            </w:r>
            <w:r>
              <w:rPr>
                <w:rFonts w:ascii="Helvetica Neue" w:eastAsia="Helvetica Neue" w:hAnsi="Helvetica Neue" w:cs="Helvetica Neue"/>
                <w:color w:val="000000"/>
              </w:rPr>
              <w:t xml:space="preserve">engaged in the performance of the </w:t>
            </w:r>
            <w:r>
              <w:rPr>
                <w:rFonts w:ascii="Helvetica Neue" w:eastAsia="Helvetica Neue" w:hAnsi="Helvetica Neue" w:cs="Helvetica Neue"/>
              </w:rPr>
              <w:t>Buyer</w:t>
            </w:r>
            <w:r>
              <w:rPr>
                <w:rFonts w:ascii="Helvetica Neue" w:eastAsia="Helvetica Neue" w:hAnsi="Helvetica Neue" w:cs="Helvetica Neue"/>
                <w:color w:val="000000"/>
              </w:rPr>
              <w:t xml:space="preserve">’s duties under the Contract for which the </w:t>
            </w:r>
            <w:r>
              <w:rPr>
                <w:rFonts w:ascii="Helvetica Neue" w:eastAsia="Helvetica Neue" w:hAnsi="Helvetica Neue" w:cs="Helvetica Neue"/>
              </w:rPr>
              <w:t xml:space="preserve">Supplier </w:t>
            </w:r>
            <w:r>
              <w:rPr>
                <w:rFonts w:ascii="Helvetica Neue" w:eastAsia="Helvetica Neue" w:hAnsi="Helvetica Neue" w:cs="Helvetica Neue"/>
                <w:color w:val="000000"/>
              </w:rPr>
              <w:t>is the Controller.</w:t>
            </w:r>
          </w:p>
          <w:p w14:paraId="02E13385" w14:textId="3719665F" w:rsidR="00910EB9" w:rsidRDefault="0085441B" w:rsidP="0085441B">
            <w:pPr>
              <w:numPr>
                <w:ilvl w:val="0"/>
                <w:numId w:val="34"/>
              </w:numPr>
              <w:spacing w:line="240" w:lineRule="auto"/>
            </w:pPr>
            <w:r>
              <w:rPr>
                <w:rFonts w:ascii="Helvetica Neue" w:eastAsia="Helvetica Neue" w:hAnsi="Helvetica Neue" w:cs="Helvetica Neue"/>
                <w:color w:val="000000"/>
              </w:rPr>
              <w:t xml:space="preserve">Any Personal Data contained in the G-Cloud Services that may be transferred to Buyer and/or that Buyer may access, including by downloading, </w:t>
            </w:r>
            <w:proofErr w:type="gramStart"/>
            <w:r>
              <w:rPr>
                <w:rFonts w:ascii="Helvetica Neue" w:eastAsia="Helvetica Neue" w:hAnsi="Helvetica Neue" w:cs="Helvetica Neue"/>
                <w:color w:val="000000"/>
              </w:rPr>
              <w:t>saving</w:t>
            </w:r>
            <w:proofErr w:type="gramEnd"/>
            <w:r>
              <w:rPr>
                <w:rFonts w:ascii="Helvetica Neue" w:eastAsia="Helvetica Neue" w:hAnsi="Helvetica Neue" w:cs="Helvetica Neue"/>
                <w:color w:val="000000"/>
              </w:rPr>
              <w:t xml:space="preserve"> or printing, for which the Buyer is the Controller.</w:t>
            </w:r>
          </w:p>
          <w:p w14:paraId="02E13386" w14:textId="77777777" w:rsidR="00910EB9" w:rsidRDefault="00910EB9">
            <w:pPr>
              <w:spacing w:line="240" w:lineRule="auto"/>
            </w:pPr>
          </w:p>
          <w:p w14:paraId="02E13387" w14:textId="6E28732E" w:rsidR="00910EB9" w:rsidRDefault="00910EB9">
            <w:pPr>
              <w:spacing w:line="240" w:lineRule="auto"/>
            </w:pPr>
          </w:p>
        </w:tc>
      </w:tr>
      <w:tr w:rsidR="00910EB9" w14:paraId="02E1338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89" w14:textId="77777777" w:rsidR="00910EB9" w:rsidRDefault="006E4A1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2D509" w14:textId="0BD4AEEB" w:rsidR="00910EB9" w:rsidRDefault="00113344">
            <w:pPr>
              <w:spacing w:line="240" w:lineRule="auto"/>
              <w:rPr>
                <w:rFonts w:ascii="Helvetica Neue" w:eastAsia="Helvetica Neue" w:hAnsi="Helvetica Neue" w:cs="Helvetica Neue"/>
              </w:rPr>
            </w:pPr>
            <w:r>
              <w:t xml:space="preserve"> In relation to the business contact details as specified above, u</w:t>
            </w:r>
            <w:r w:rsidR="002D6739">
              <w:rPr>
                <w:rFonts w:ascii="Helvetica Neue" w:eastAsia="Helvetica Neue" w:hAnsi="Helvetica Neue" w:cs="Helvetica Neue"/>
              </w:rPr>
              <w:t>ntil conclusion of the purpose for processing.</w:t>
            </w:r>
          </w:p>
          <w:p w14:paraId="2A20339D" w14:textId="77777777" w:rsidR="00113344" w:rsidRDefault="00113344">
            <w:pPr>
              <w:spacing w:line="240" w:lineRule="auto"/>
              <w:rPr>
                <w:rFonts w:ascii="Helvetica Neue" w:eastAsia="Helvetica Neue" w:hAnsi="Helvetica Neue" w:cs="Helvetica Neue"/>
              </w:rPr>
            </w:pPr>
          </w:p>
          <w:p w14:paraId="02E1338A" w14:textId="4AEFEE2B" w:rsidR="00113344" w:rsidRDefault="00113344">
            <w:pPr>
              <w:spacing w:line="240" w:lineRule="auto"/>
            </w:pPr>
            <w:r>
              <w:rPr>
                <w:rFonts w:ascii="Helvetica Neue" w:eastAsia="Helvetica Neue" w:hAnsi="Helvetica Neue" w:cs="Helvetica Neue"/>
              </w:rPr>
              <w:t xml:space="preserve">In relation to the Personal Data contained in the G-Cloud Services, until termination or </w:t>
            </w:r>
            <w:r w:rsidR="00F3073C">
              <w:rPr>
                <w:rFonts w:ascii="Helvetica Neue" w:eastAsia="Helvetica Neue" w:hAnsi="Helvetica Neue" w:cs="Helvetica Neue"/>
              </w:rPr>
              <w:t>expiration of the Call-Off Contract</w:t>
            </w:r>
            <w:r w:rsidR="00AD1231">
              <w:rPr>
                <w:rFonts w:ascii="Helvetica Neue" w:eastAsia="Helvetica Neue" w:hAnsi="Helvetica Neue" w:cs="Helvetica Neue"/>
              </w:rPr>
              <w:t>, subject to any exemptions specified therein.</w:t>
            </w:r>
          </w:p>
        </w:tc>
      </w:tr>
      <w:tr w:rsidR="00910EB9" w14:paraId="02E1339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8C" w14:textId="77777777" w:rsidR="00910EB9" w:rsidRDefault="006E4A1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29386" w14:textId="77777777" w:rsidR="00113344" w:rsidRDefault="00113344" w:rsidP="00113344">
            <w:pPr>
              <w:spacing w:line="240" w:lineRule="auto"/>
            </w:pPr>
            <w:r>
              <w:t>In relation to the business contact details as specified above, collection and use for the purposes of, including but not limited to, account management, invoicing, collection of licence fees, and/or managing access to content and service.</w:t>
            </w:r>
          </w:p>
          <w:p w14:paraId="3362391F" w14:textId="77777777" w:rsidR="00113344" w:rsidRDefault="00113344" w:rsidP="00113344">
            <w:pPr>
              <w:spacing w:line="240" w:lineRule="auto"/>
            </w:pPr>
          </w:p>
          <w:p w14:paraId="02E13390" w14:textId="689B0562" w:rsidR="00113344" w:rsidRDefault="00113344" w:rsidP="00113344">
            <w:pPr>
              <w:spacing w:line="240" w:lineRule="auto"/>
            </w:pPr>
            <w:r>
              <w:rPr>
                <w:rFonts w:ascii="Helvetica Neue" w:eastAsia="Helvetica Neue" w:hAnsi="Helvetica Neue" w:cs="Helvetica Neue"/>
              </w:rPr>
              <w:t>In relation to the Personal Data contained in the G-Cloud Services, for the Buyer’s internal business purposes</w:t>
            </w:r>
            <w:r w:rsidR="008912F5">
              <w:rPr>
                <w:rFonts w:ascii="Helvetica Neue" w:eastAsia="Helvetica Neue" w:hAnsi="Helvetica Neue" w:cs="Helvetica Neue"/>
              </w:rPr>
              <w:t>, subject to any exemptions specified in the Call-Off Contract.</w:t>
            </w:r>
          </w:p>
        </w:tc>
      </w:tr>
      <w:tr w:rsidR="00910EB9" w14:paraId="02E1339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92" w14:textId="77777777" w:rsidR="00910EB9" w:rsidRDefault="006E4A1B">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93" w14:textId="5D668CA2" w:rsidR="00910EB9" w:rsidRDefault="00FB2C36">
            <w:pPr>
              <w:spacing w:line="240" w:lineRule="auto"/>
            </w:pPr>
            <w:r>
              <w:rPr>
                <w:rFonts w:ascii="Helvetica Neue" w:eastAsia="Helvetica Neue" w:hAnsi="Helvetica Neue" w:cs="Helvetica Neue"/>
              </w:rPr>
              <w:t xml:space="preserve"> Names and business contact details such as job titles, emails and/or telephone numbers</w:t>
            </w:r>
          </w:p>
        </w:tc>
      </w:tr>
      <w:tr w:rsidR="00910EB9" w14:paraId="02E1339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95" w14:textId="77777777" w:rsidR="00910EB9" w:rsidRDefault="006E4A1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96" w14:textId="48946D66" w:rsidR="00910EB9" w:rsidRDefault="00423254">
            <w:pPr>
              <w:spacing w:line="240" w:lineRule="auto"/>
            </w:pPr>
            <w:r>
              <w:rPr>
                <w:rFonts w:ascii="Helvetica Neue" w:eastAsia="Helvetica Neue" w:hAnsi="Helvetica Neue" w:cs="Helvetica Neue"/>
              </w:rPr>
              <w:t xml:space="preserve"> Employees,</w:t>
            </w:r>
            <w:r>
              <w:rPr>
                <w:rFonts w:ascii="Helvetica Neue" w:eastAsia="Helvetica Neue" w:hAnsi="Helvetica Neue" w:cs="Helvetica Neue"/>
                <w:color w:val="000000"/>
              </w:rPr>
              <w:t xml:space="preserve"> agents, consultants and contractors, UK and international company directors and shareholders.</w:t>
            </w:r>
          </w:p>
        </w:tc>
      </w:tr>
      <w:tr w:rsidR="00910EB9" w14:paraId="02E1339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3398" w14:textId="77777777" w:rsidR="00910EB9" w:rsidRDefault="006E4A1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6CBF6" w14:textId="58B7CD68" w:rsidR="00910EB9" w:rsidRDefault="006E1DB3">
            <w:pPr>
              <w:spacing w:line="240" w:lineRule="auto"/>
              <w:rPr>
                <w:rFonts w:ascii="Helvetica Neue" w:eastAsia="Helvetica Neue" w:hAnsi="Helvetica Neue" w:cs="Helvetica Neue"/>
              </w:rPr>
            </w:pPr>
            <w:r>
              <w:rPr>
                <w:rFonts w:ascii="Helvetica Neue" w:eastAsia="Helvetica Neue" w:hAnsi="Helvetica Neue" w:cs="Helvetica Neue"/>
              </w:rPr>
              <w:t xml:space="preserve"> </w:t>
            </w:r>
            <w:r w:rsidR="00033194">
              <w:t>In relation to the business contact details as specified above, d</w:t>
            </w:r>
            <w:r>
              <w:rPr>
                <w:rFonts w:ascii="Helvetica Neue" w:eastAsia="Helvetica Neue" w:hAnsi="Helvetica Neue" w:cs="Helvetica Neue"/>
              </w:rPr>
              <w:t>eletion or destruction upon conclusion of the purpose for processing.</w:t>
            </w:r>
          </w:p>
          <w:p w14:paraId="01AC94B9" w14:textId="77777777" w:rsidR="006E1DB3" w:rsidRDefault="006E1DB3">
            <w:pPr>
              <w:spacing w:line="240" w:lineRule="auto"/>
              <w:rPr>
                <w:rFonts w:ascii="Helvetica Neue" w:eastAsia="Helvetica Neue" w:hAnsi="Helvetica Neue" w:cs="Helvetica Neue"/>
              </w:rPr>
            </w:pPr>
          </w:p>
          <w:p w14:paraId="02E13399" w14:textId="217400C8" w:rsidR="006E1DB3" w:rsidRDefault="006E1DB3">
            <w:pPr>
              <w:spacing w:line="240" w:lineRule="auto"/>
            </w:pPr>
            <w:r>
              <w:rPr>
                <w:rFonts w:ascii="Helvetica Neue" w:eastAsia="Helvetica Neue" w:hAnsi="Helvetica Neue" w:cs="Helvetica Neue"/>
              </w:rPr>
              <w:t xml:space="preserve">In relation to the Personal Data contained in the G-Cloud Services, </w:t>
            </w:r>
            <w:r w:rsidR="00E85296">
              <w:rPr>
                <w:rFonts w:ascii="Helvetica Neue" w:eastAsia="Helvetica Neue" w:hAnsi="Helvetica Neue" w:cs="Helvetica Neue"/>
              </w:rPr>
              <w:t xml:space="preserve">deletion or destruction upon </w:t>
            </w:r>
            <w:r>
              <w:rPr>
                <w:rFonts w:ascii="Helvetica Neue" w:eastAsia="Helvetica Neue" w:hAnsi="Helvetica Neue" w:cs="Helvetica Neue"/>
              </w:rPr>
              <w:t>termination or expiration of the Call-Off Contract</w:t>
            </w:r>
            <w:r w:rsidR="00277FA5">
              <w:rPr>
                <w:rFonts w:ascii="Helvetica Neue" w:eastAsia="Helvetica Neue" w:hAnsi="Helvetica Neue" w:cs="Helvetica Neue"/>
              </w:rPr>
              <w:t>, subject to any exemptions specified therein.</w:t>
            </w:r>
          </w:p>
        </w:tc>
      </w:tr>
    </w:tbl>
    <w:p w14:paraId="02E1339B" w14:textId="77777777" w:rsidR="00910EB9" w:rsidRDefault="00910EB9">
      <w:pPr>
        <w:spacing w:before="240" w:after="240"/>
        <w:rPr>
          <w:b/>
        </w:rPr>
      </w:pPr>
    </w:p>
    <w:p w14:paraId="02E1339C" w14:textId="77777777" w:rsidR="00910EB9" w:rsidRDefault="00910EB9">
      <w:pPr>
        <w:pageBreakBefore/>
        <w:rPr>
          <w:sz w:val="24"/>
          <w:szCs w:val="24"/>
        </w:rPr>
      </w:pPr>
    </w:p>
    <w:p w14:paraId="02E1339D" w14:textId="77777777" w:rsidR="00910EB9" w:rsidRDefault="006E4A1B">
      <w:pPr>
        <w:pStyle w:val="Heading3"/>
        <w:rPr>
          <w:color w:val="auto"/>
        </w:rPr>
      </w:pPr>
      <w:r>
        <w:rPr>
          <w:color w:val="auto"/>
        </w:rPr>
        <w:t>Annex 2: Joint Controller Agreement</w:t>
      </w:r>
    </w:p>
    <w:p w14:paraId="02E1339E" w14:textId="77777777" w:rsidR="00910EB9" w:rsidRDefault="006E4A1B">
      <w:pPr>
        <w:pStyle w:val="Heading4"/>
        <w:rPr>
          <w:color w:val="auto"/>
        </w:rPr>
      </w:pPr>
      <w:r>
        <w:rPr>
          <w:color w:val="auto"/>
        </w:rPr>
        <w:t>1. Joint Controller Status and Allocation of Responsibilities</w:t>
      </w:r>
    </w:p>
    <w:p w14:paraId="02E1339F" w14:textId="77777777" w:rsidR="00910EB9" w:rsidRDefault="006E4A1B">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02E133A0" w14:textId="77777777" w:rsidR="00910EB9" w:rsidRDefault="00910EB9"/>
    <w:p w14:paraId="02E133A1" w14:textId="77777777" w:rsidR="00910EB9" w:rsidRDefault="006E4A1B">
      <w:pPr>
        <w:spacing w:after="120"/>
      </w:pPr>
      <w:r>
        <w:t xml:space="preserve">1.2 </w:t>
      </w:r>
      <w:r>
        <w:tab/>
        <w:t>The Parties agree that the [</w:t>
      </w:r>
      <w:r>
        <w:rPr>
          <w:b/>
        </w:rPr>
        <w:t>delete as appropriate Supplier/Buyer</w:t>
      </w:r>
      <w:r>
        <w:t>]:</w:t>
      </w:r>
    </w:p>
    <w:p w14:paraId="02E133A2" w14:textId="77777777" w:rsidR="00910EB9" w:rsidRDefault="006E4A1B">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02E133A3" w14:textId="77777777" w:rsidR="00910EB9" w:rsidRDefault="00910EB9">
      <w:pPr>
        <w:ind w:left="1440"/>
      </w:pPr>
    </w:p>
    <w:p w14:paraId="02E133A4" w14:textId="77777777" w:rsidR="00910EB9" w:rsidRDefault="006E4A1B">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02E133A5" w14:textId="77777777" w:rsidR="00910EB9" w:rsidRDefault="00910EB9"/>
    <w:p w14:paraId="02E133A6" w14:textId="77777777" w:rsidR="00910EB9" w:rsidRDefault="006E4A1B">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02E133A7" w14:textId="77777777" w:rsidR="00910EB9" w:rsidRDefault="00910EB9"/>
    <w:p w14:paraId="02E133A8" w14:textId="77777777" w:rsidR="00910EB9" w:rsidRDefault="006E4A1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2E133A9" w14:textId="77777777" w:rsidR="00910EB9" w:rsidRDefault="00910EB9"/>
    <w:p w14:paraId="02E133AA" w14:textId="77777777" w:rsidR="00910EB9" w:rsidRDefault="006E4A1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02E133AB" w14:textId="77777777" w:rsidR="00910EB9" w:rsidRDefault="00910EB9"/>
    <w:p w14:paraId="02E133AC" w14:textId="77777777" w:rsidR="00910EB9" w:rsidRDefault="006E4A1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2E133AD" w14:textId="77777777" w:rsidR="00910EB9" w:rsidRDefault="00910EB9"/>
    <w:p w14:paraId="02E133AE" w14:textId="77777777" w:rsidR="00910EB9" w:rsidRDefault="006E4A1B">
      <w:pPr>
        <w:pStyle w:val="Heading4"/>
        <w:rPr>
          <w:color w:val="auto"/>
        </w:rPr>
      </w:pPr>
      <w:r>
        <w:rPr>
          <w:color w:val="auto"/>
        </w:rPr>
        <w:t>2.</w:t>
      </w:r>
      <w:r>
        <w:rPr>
          <w:color w:val="auto"/>
        </w:rPr>
        <w:tab/>
        <w:t>Undertakings of both Parties</w:t>
      </w:r>
    </w:p>
    <w:p w14:paraId="02E133AF" w14:textId="77777777" w:rsidR="00910EB9" w:rsidRDefault="006E4A1B">
      <w:r>
        <w:t>2.1</w:t>
      </w:r>
      <w:r>
        <w:tab/>
        <w:t>The Supplier and the Buyer each undertake that they shall:</w:t>
      </w:r>
    </w:p>
    <w:p w14:paraId="02E133B0" w14:textId="77777777" w:rsidR="00910EB9" w:rsidRDefault="00910EB9"/>
    <w:p w14:paraId="02E133B1" w14:textId="77777777" w:rsidR="00910EB9" w:rsidRDefault="006E4A1B">
      <w:pPr>
        <w:ind w:firstLine="720"/>
      </w:pPr>
      <w:r>
        <w:t>(a)</w:t>
      </w:r>
      <w:r>
        <w:tab/>
        <w:t xml:space="preserve">report to the other Party every </w:t>
      </w:r>
      <w:r>
        <w:rPr>
          <w:b/>
        </w:rPr>
        <w:t>[enter number]</w:t>
      </w:r>
      <w:r>
        <w:t xml:space="preserve"> months on:</w:t>
      </w:r>
    </w:p>
    <w:p w14:paraId="02E133B2" w14:textId="77777777" w:rsidR="00910EB9" w:rsidRDefault="00910EB9"/>
    <w:p w14:paraId="02E133B3" w14:textId="77777777" w:rsidR="00910EB9" w:rsidRDefault="006E4A1B">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02E133B4" w14:textId="77777777" w:rsidR="00910EB9" w:rsidRDefault="00910EB9"/>
    <w:p w14:paraId="02E133B5" w14:textId="77777777" w:rsidR="00910EB9" w:rsidRDefault="006E4A1B">
      <w:pPr>
        <w:ind w:left="2160" w:hanging="720"/>
      </w:pPr>
      <w:r>
        <w:lastRenderedPageBreak/>
        <w:t>(ii)</w:t>
      </w:r>
      <w:r>
        <w:tab/>
        <w:t xml:space="preserve">the volume of requests from Data Subjects (or third parties on their behalf) to rectify, block or erase any Personal </w:t>
      </w:r>
      <w:proofErr w:type="gramStart"/>
      <w:r>
        <w:t>Data;</w:t>
      </w:r>
      <w:proofErr w:type="gramEnd"/>
    </w:p>
    <w:p w14:paraId="02E133B6" w14:textId="77777777" w:rsidR="00910EB9" w:rsidRDefault="00910EB9"/>
    <w:p w14:paraId="02E133B7" w14:textId="77777777" w:rsidR="00910EB9" w:rsidRDefault="006E4A1B">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02E133B8" w14:textId="77777777" w:rsidR="00910EB9" w:rsidRDefault="00910EB9"/>
    <w:p w14:paraId="02E133B9" w14:textId="77777777" w:rsidR="00910EB9" w:rsidRDefault="006E4A1B">
      <w:pPr>
        <w:ind w:left="2160" w:hanging="720"/>
      </w:pPr>
      <w:r>
        <w:t>(iv)</w:t>
      </w:r>
      <w:r>
        <w:tab/>
        <w:t>any communications from the Information Commissioner or any other regulatory authority in connection with Personal Data; and</w:t>
      </w:r>
    </w:p>
    <w:p w14:paraId="02E133BA" w14:textId="77777777" w:rsidR="00910EB9" w:rsidRDefault="00910EB9"/>
    <w:p w14:paraId="02E133BB" w14:textId="77777777" w:rsidR="00910EB9" w:rsidRDefault="006E4A1B">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02E133BC" w14:textId="77777777" w:rsidR="00910EB9" w:rsidRDefault="00910EB9">
      <w:pPr>
        <w:ind w:left="2160"/>
      </w:pPr>
    </w:p>
    <w:p w14:paraId="02E133BD" w14:textId="77777777" w:rsidR="00910EB9" w:rsidRDefault="006E4A1B">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02E133BE" w14:textId="77777777" w:rsidR="00910EB9" w:rsidRDefault="00910EB9"/>
    <w:p w14:paraId="02E133BF" w14:textId="77777777" w:rsidR="00910EB9" w:rsidRDefault="006E4A1B">
      <w:pPr>
        <w:ind w:left="1440" w:hanging="720"/>
      </w:pPr>
      <w:r>
        <w:t>(c)</w:t>
      </w:r>
      <w:r>
        <w:tab/>
        <w:t>provide the other Party with full cooperation and assistance in relation to any request, complaint or communication made as referred to in Clauses</w:t>
      </w:r>
    </w:p>
    <w:p w14:paraId="02E133C0" w14:textId="77777777" w:rsidR="00910EB9" w:rsidRDefault="00910EB9">
      <w:pPr>
        <w:ind w:left="1440"/>
      </w:pPr>
    </w:p>
    <w:p w14:paraId="02E133C1" w14:textId="77777777" w:rsidR="00910EB9" w:rsidRDefault="006E4A1B">
      <w:pPr>
        <w:ind w:left="1440"/>
      </w:pPr>
      <w:r>
        <w:t xml:space="preserve">2.1(a)(iii) to (v) to enable the other Party to comply with the relevant timescales set out in the Data Protection </w:t>
      </w:r>
      <w:proofErr w:type="gramStart"/>
      <w:r>
        <w:t>Legislation;</w:t>
      </w:r>
      <w:proofErr w:type="gramEnd"/>
    </w:p>
    <w:p w14:paraId="02E133C2" w14:textId="77777777" w:rsidR="00910EB9" w:rsidRDefault="00910EB9">
      <w:pPr>
        <w:ind w:left="1440"/>
      </w:pPr>
    </w:p>
    <w:p w14:paraId="02E133C3" w14:textId="77777777" w:rsidR="00910EB9" w:rsidRDefault="006E4A1B">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02E133C4" w14:textId="77777777" w:rsidR="00910EB9" w:rsidRDefault="00910EB9"/>
    <w:p w14:paraId="02E133C5" w14:textId="77777777" w:rsidR="00910EB9" w:rsidRDefault="006E4A1B">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02E133C6" w14:textId="77777777" w:rsidR="00910EB9" w:rsidRDefault="00910EB9"/>
    <w:p w14:paraId="02E133C7" w14:textId="77777777" w:rsidR="00910EB9" w:rsidRDefault="006E4A1B">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02E133C8" w14:textId="77777777" w:rsidR="00910EB9" w:rsidRDefault="00910EB9"/>
    <w:p w14:paraId="02E133C9" w14:textId="77777777" w:rsidR="00910EB9" w:rsidRDefault="006E4A1B">
      <w:pPr>
        <w:ind w:left="1440" w:hanging="720"/>
      </w:pPr>
      <w:r>
        <w:t>(g)</w:t>
      </w:r>
      <w:r>
        <w:tab/>
        <w:t>take all reasonable steps to ensure the reliability and integrity of any of its personnel who have access to the Personal Data and ensure that its personnel:</w:t>
      </w:r>
    </w:p>
    <w:p w14:paraId="02E133CA" w14:textId="77777777" w:rsidR="00910EB9" w:rsidRDefault="00910EB9">
      <w:pPr>
        <w:ind w:left="1440"/>
      </w:pPr>
    </w:p>
    <w:p w14:paraId="02E133CB" w14:textId="77777777" w:rsidR="00910EB9" w:rsidRDefault="006E4A1B">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02E133CC" w14:textId="77777777" w:rsidR="00910EB9" w:rsidRDefault="00910EB9"/>
    <w:p w14:paraId="02E133CD" w14:textId="77777777" w:rsidR="00910EB9" w:rsidRDefault="006E4A1B">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02E133CE" w14:textId="77777777" w:rsidR="00910EB9" w:rsidRDefault="00910EB9">
      <w:pPr>
        <w:ind w:left="2160"/>
      </w:pPr>
    </w:p>
    <w:p w14:paraId="02E133CF" w14:textId="77777777" w:rsidR="00910EB9" w:rsidRDefault="006E4A1B">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02E133D0" w14:textId="77777777" w:rsidR="00910EB9" w:rsidRDefault="00910EB9">
      <w:pPr>
        <w:ind w:left="2160"/>
      </w:pPr>
    </w:p>
    <w:p w14:paraId="02E133D1" w14:textId="77777777" w:rsidR="00910EB9" w:rsidRDefault="006E4A1B">
      <w:pPr>
        <w:ind w:left="1440" w:hanging="720"/>
      </w:pPr>
      <w:r>
        <w:t>(h)</w:t>
      </w:r>
      <w:r>
        <w:tab/>
        <w:t>ensure that it has in place Protective Measures as appropriate to protect against a Data Loss Event having taken account of the:</w:t>
      </w:r>
    </w:p>
    <w:p w14:paraId="02E133D2" w14:textId="77777777" w:rsidR="00910EB9" w:rsidRDefault="00910EB9">
      <w:pPr>
        <w:ind w:left="720" w:firstLine="720"/>
      </w:pPr>
    </w:p>
    <w:p w14:paraId="02E133D3" w14:textId="77777777" w:rsidR="00910EB9" w:rsidRDefault="006E4A1B">
      <w:pPr>
        <w:ind w:left="720" w:firstLine="720"/>
      </w:pPr>
      <w:r>
        <w:t>(</w:t>
      </w:r>
      <w:proofErr w:type="spellStart"/>
      <w:r>
        <w:t>i</w:t>
      </w:r>
      <w:proofErr w:type="spellEnd"/>
      <w:r>
        <w:t>)</w:t>
      </w:r>
      <w:r>
        <w:tab/>
        <w:t xml:space="preserve">nature of the data to be </w:t>
      </w:r>
      <w:proofErr w:type="gramStart"/>
      <w:r>
        <w:t>protected;</w:t>
      </w:r>
      <w:proofErr w:type="gramEnd"/>
    </w:p>
    <w:p w14:paraId="02E133D4" w14:textId="77777777" w:rsidR="00910EB9" w:rsidRDefault="006E4A1B">
      <w:pPr>
        <w:ind w:left="720" w:firstLine="720"/>
      </w:pPr>
      <w:r>
        <w:t>(ii)</w:t>
      </w:r>
      <w:r>
        <w:tab/>
        <w:t xml:space="preserve">harm that might result from a Data Loss </w:t>
      </w:r>
      <w:proofErr w:type="gramStart"/>
      <w:r>
        <w:t>Event;</w:t>
      </w:r>
      <w:proofErr w:type="gramEnd"/>
    </w:p>
    <w:p w14:paraId="02E133D5" w14:textId="77777777" w:rsidR="00910EB9" w:rsidRDefault="006E4A1B">
      <w:pPr>
        <w:ind w:left="720" w:firstLine="720"/>
      </w:pPr>
      <w:r>
        <w:t>(iii)</w:t>
      </w:r>
      <w:r>
        <w:tab/>
        <w:t>state of technological development; and</w:t>
      </w:r>
    </w:p>
    <w:p w14:paraId="02E133D6" w14:textId="77777777" w:rsidR="00910EB9" w:rsidRDefault="006E4A1B">
      <w:pPr>
        <w:ind w:left="720" w:firstLine="720"/>
      </w:pPr>
      <w:r>
        <w:t>(iv)</w:t>
      </w:r>
      <w:r>
        <w:tab/>
        <w:t xml:space="preserve">cost of implementing any </w:t>
      </w:r>
      <w:proofErr w:type="gramStart"/>
      <w:r>
        <w:t>measures;</w:t>
      </w:r>
      <w:proofErr w:type="gramEnd"/>
    </w:p>
    <w:p w14:paraId="02E133D7" w14:textId="77777777" w:rsidR="00910EB9" w:rsidRDefault="00910EB9">
      <w:pPr>
        <w:ind w:left="720" w:firstLine="720"/>
      </w:pPr>
    </w:p>
    <w:p w14:paraId="02E133D8" w14:textId="77777777" w:rsidR="00910EB9" w:rsidRDefault="006E4A1B">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2E133D9" w14:textId="77777777" w:rsidR="00910EB9" w:rsidRDefault="00910EB9">
      <w:pPr>
        <w:ind w:left="1440"/>
      </w:pPr>
    </w:p>
    <w:p w14:paraId="02E133DA" w14:textId="77777777" w:rsidR="00910EB9" w:rsidRDefault="006E4A1B">
      <w:pPr>
        <w:ind w:left="2160" w:hanging="720"/>
      </w:pPr>
      <w:r>
        <w:t>(</w:t>
      </w:r>
      <w:proofErr w:type="spellStart"/>
      <w:r>
        <w:t>i</w:t>
      </w:r>
      <w:proofErr w:type="spellEnd"/>
      <w:r>
        <w:t>)</w:t>
      </w:r>
      <w:r>
        <w:tab/>
        <w:t>ensure that it notifies the other Party as soon as it becomes aware of a Data Loss Event.</w:t>
      </w:r>
    </w:p>
    <w:p w14:paraId="02E133DB" w14:textId="77777777" w:rsidR="00910EB9" w:rsidRDefault="00910EB9">
      <w:pPr>
        <w:ind w:left="1440" w:firstLine="720"/>
      </w:pPr>
    </w:p>
    <w:p w14:paraId="02E133DC" w14:textId="77777777" w:rsidR="00910EB9" w:rsidRDefault="006E4A1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2E133DD" w14:textId="77777777" w:rsidR="00910EB9" w:rsidRDefault="00910EB9"/>
    <w:p w14:paraId="02E133DE" w14:textId="77777777" w:rsidR="00910EB9" w:rsidRDefault="006E4A1B">
      <w:pPr>
        <w:pStyle w:val="Heading4"/>
        <w:rPr>
          <w:color w:val="auto"/>
        </w:rPr>
      </w:pPr>
      <w:r>
        <w:rPr>
          <w:color w:val="auto"/>
        </w:rPr>
        <w:t>3.</w:t>
      </w:r>
      <w:r>
        <w:rPr>
          <w:color w:val="auto"/>
        </w:rPr>
        <w:tab/>
        <w:t>Data Protection Breach</w:t>
      </w:r>
    </w:p>
    <w:p w14:paraId="02E133DF" w14:textId="77777777" w:rsidR="00910EB9" w:rsidRDefault="006E4A1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2E133E0" w14:textId="77777777" w:rsidR="00910EB9" w:rsidRDefault="00910EB9"/>
    <w:p w14:paraId="02E133E1" w14:textId="77777777" w:rsidR="00910EB9" w:rsidRDefault="006E4A1B">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02E133E2" w14:textId="77777777" w:rsidR="00910EB9" w:rsidRDefault="00910EB9">
      <w:pPr>
        <w:ind w:left="1440"/>
      </w:pPr>
    </w:p>
    <w:p w14:paraId="02E133E3" w14:textId="77777777" w:rsidR="00910EB9" w:rsidRDefault="006E4A1B">
      <w:pPr>
        <w:ind w:firstLine="720"/>
      </w:pPr>
      <w:r>
        <w:t>(b)</w:t>
      </w:r>
      <w:r>
        <w:tab/>
        <w:t>all reasonable assistance, including:</w:t>
      </w:r>
    </w:p>
    <w:p w14:paraId="02E133E4" w14:textId="77777777" w:rsidR="00910EB9" w:rsidRDefault="00910EB9">
      <w:pPr>
        <w:ind w:firstLine="720"/>
      </w:pPr>
    </w:p>
    <w:p w14:paraId="02E133E5" w14:textId="77777777" w:rsidR="00910EB9" w:rsidRDefault="006E4A1B">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02E133E6" w14:textId="77777777" w:rsidR="00910EB9" w:rsidRDefault="00910EB9">
      <w:pPr>
        <w:ind w:left="2160"/>
      </w:pPr>
    </w:p>
    <w:p w14:paraId="02E133E7" w14:textId="77777777" w:rsidR="00910EB9" w:rsidRDefault="006E4A1B">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02E133E8" w14:textId="77777777" w:rsidR="00910EB9" w:rsidRDefault="00910EB9"/>
    <w:p w14:paraId="02E133E9" w14:textId="77777777" w:rsidR="00910EB9" w:rsidRDefault="006E4A1B">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p>
    <w:p w14:paraId="02E133EA" w14:textId="77777777" w:rsidR="00910EB9" w:rsidRDefault="00910EB9">
      <w:pPr>
        <w:ind w:left="2160"/>
      </w:pPr>
    </w:p>
    <w:p w14:paraId="02E133EB" w14:textId="77777777" w:rsidR="00910EB9" w:rsidRDefault="006E4A1B">
      <w:pPr>
        <w:ind w:left="2160"/>
      </w:pPr>
      <w:r>
        <w:t>and/or</w:t>
      </w:r>
    </w:p>
    <w:p w14:paraId="02E133EC" w14:textId="77777777" w:rsidR="00910EB9" w:rsidRDefault="00910EB9">
      <w:pPr>
        <w:ind w:left="2160"/>
      </w:pPr>
    </w:p>
    <w:p w14:paraId="02E133ED" w14:textId="77777777" w:rsidR="00910EB9" w:rsidRDefault="006E4A1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2E133EE" w14:textId="77777777" w:rsidR="00910EB9" w:rsidRDefault="00910EB9">
      <w:pPr>
        <w:ind w:left="2160"/>
      </w:pPr>
    </w:p>
    <w:p w14:paraId="02E133EF" w14:textId="77777777" w:rsidR="00910EB9" w:rsidRDefault="006E4A1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2E133F0" w14:textId="77777777" w:rsidR="00910EB9" w:rsidRDefault="00910EB9">
      <w:pPr>
        <w:ind w:left="720"/>
      </w:pPr>
    </w:p>
    <w:p w14:paraId="02E133F1" w14:textId="77777777" w:rsidR="00910EB9" w:rsidRDefault="006E4A1B">
      <w:pPr>
        <w:ind w:left="720"/>
      </w:pPr>
      <w:r>
        <w:t>(a)</w:t>
      </w:r>
      <w:r>
        <w:tab/>
        <w:t xml:space="preserve">the nature of the Personal Data </w:t>
      </w:r>
      <w:proofErr w:type="gramStart"/>
      <w:r>
        <w:t>Breach;</w:t>
      </w:r>
      <w:proofErr w:type="gramEnd"/>
    </w:p>
    <w:p w14:paraId="02E133F2" w14:textId="77777777" w:rsidR="00910EB9" w:rsidRDefault="00910EB9">
      <w:pPr>
        <w:ind w:left="720"/>
      </w:pPr>
    </w:p>
    <w:p w14:paraId="02E133F3" w14:textId="77777777" w:rsidR="00910EB9" w:rsidRDefault="006E4A1B">
      <w:pPr>
        <w:ind w:firstLine="720"/>
      </w:pPr>
      <w:r>
        <w:t>(b)</w:t>
      </w:r>
      <w:r>
        <w:tab/>
        <w:t xml:space="preserve">the nature of Personal Data </w:t>
      </w:r>
      <w:proofErr w:type="gramStart"/>
      <w:r>
        <w:t>affected;</w:t>
      </w:r>
      <w:proofErr w:type="gramEnd"/>
    </w:p>
    <w:p w14:paraId="02E133F4" w14:textId="77777777" w:rsidR="00910EB9" w:rsidRDefault="00910EB9">
      <w:pPr>
        <w:ind w:firstLine="720"/>
      </w:pPr>
    </w:p>
    <w:p w14:paraId="02E133F5" w14:textId="77777777" w:rsidR="00910EB9" w:rsidRDefault="006E4A1B">
      <w:pPr>
        <w:ind w:firstLine="720"/>
      </w:pPr>
      <w:r>
        <w:t>(c)</w:t>
      </w:r>
      <w:r>
        <w:tab/>
        <w:t xml:space="preserve">the categories and number of Data Subjects </w:t>
      </w:r>
      <w:proofErr w:type="gramStart"/>
      <w:r>
        <w:t>concerned;</w:t>
      </w:r>
      <w:proofErr w:type="gramEnd"/>
    </w:p>
    <w:p w14:paraId="02E133F6" w14:textId="77777777" w:rsidR="00910EB9" w:rsidRDefault="00910EB9">
      <w:pPr>
        <w:ind w:firstLine="720"/>
      </w:pPr>
    </w:p>
    <w:p w14:paraId="02E133F7" w14:textId="77777777" w:rsidR="00910EB9" w:rsidRDefault="006E4A1B">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02E133F8" w14:textId="77777777" w:rsidR="00910EB9" w:rsidRDefault="00910EB9">
      <w:pPr>
        <w:ind w:left="720" w:firstLine="720"/>
      </w:pPr>
    </w:p>
    <w:p w14:paraId="02E133F9" w14:textId="77777777" w:rsidR="00910EB9" w:rsidRDefault="006E4A1B">
      <w:pPr>
        <w:ind w:firstLine="720"/>
      </w:pPr>
      <w:r>
        <w:t>(e)</w:t>
      </w:r>
      <w:r>
        <w:tab/>
        <w:t>measures taken or proposed to be taken to address the Personal Data Breach; and</w:t>
      </w:r>
    </w:p>
    <w:p w14:paraId="02E133FA" w14:textId="77777777" w:rsidR="00910EB9" w:rsidRDefault="00910EB9">
      <w:pPr>
        <w:ind w:left="720" w:firstLine="720"/>
      </w:pPr>
    </w:p>
    <w:p w14:paraId="02E133FB" w14:textId="77777777" w:rsidR="00910EB9" w:rsidRDefault="006E4A1B">
      <w:pPr>
        <w:ind w:firstLine="720"/>
      </w:pPr>
      <w:r>
        <w:t>(f)</w:t>
      </w:r>
      <w:r>
        <w:tab/>
        <w:t>describe the likely consequences of the Personal Data Breach.</w:t>
      </w:r>
    </w:p>
    <w:p w14:paraId="02E133FC" w14:textId="77777777" w:rsidR="00910EB9" w:rsidRDefault="00910EB9"/>
    <w:p w14:paraId="02E133FD" w14:textId="77777777" w:rsidR="00910EB9" w:rsidRDefault="006E4A1B">
      <w:pPr>
        <w:pStyle w:val="Heading4"/>
        <w:rPr>
          <w:color w:val="auto"/>
        </w:rPr>
      </w:pPr>
      <w:r>
        <w:rPr>
          <w:color w:val="auto"/>
        </w:rPr>
        <w:t>4.</w:t>
      </w:r>
      <w:r>
        <w:rPr>
          <w:color w:val="auto"/>
        </w:rPr>
        <w:tab/>
        <w:t>Audit</w:t>
      </w:r>
    </w:p>
    <w:p w14:paraId="02E133FE" w14:textId="77777777" w:rsidR="00910EB9" w:rsidRDefault="006E4A1B">
      <w:r>
        <w:t>4.1</w:t>
      </w:r>
      <w:r>
        <w:tab/>
        <w:t>The Supplier shall permit:</w:t>
      </w:r>
      <w:r>
        <w:tab/>
      </w:r>
    </w:p>
    <w:p w14:paraId="02E133FF" w14:textId="77777777" w:rsidR="00910EB9" w:rsidRDefault="00910EB9"/>
    <w:p w14:paraId="02E13400" w14:textId="77777777" w:rsidR="00910EB9" w:rsidRDefault="006E4A1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2E13401" w14:textId="77777777" w:rsidR="00910EB9" w:rsidRDefault="00910EB9"/>
    <w:p w14:paraId="02E13402" w14:textId="77777777" w:rsidR="00910EB9" w:rsidRDefault="006E4A1B">
      <w:pPr>
        <w:ind w:left="1440" w:hanging="720"/>
      </w:pPr>
      <w:r>
        <w:t>(b)</w:t>
      </w:r>
      <w:r>
        <w:tab/>
        <w:t xml:space="preserve">the Buyer, or a third-party auditor acting under the Buyer’s direction, access to premises at which the Personal Data is accessible or at which it </w:t>
      </w:r>
      <w:proofErr w:type="gramStart"/>
      <w:r>
        <w:t>is able to</w:t>
      </w:r>
      <w:proofErr w:type="gramEnd"/>
      <w:r>
        <w:t xml:space="preserve">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02E13403" w14:textId="77777777" w:rsidR="00910EB9" w:rsidRDefault="00910EB9"/>
    <w:p w14:paraId="02E13404" w14:textId="77777777" w:rsidR="00910EB9" w:rsidRDefault="006E4A1B">
      <w:pPr>
        <w:ind w:left="720" w:hanging="720"/>
      </w:pPr>
      <w:r>
        <w:t>4.2</w:t>
      </w:r>
      <w:r>
        <w:tab/>
        <w:t>The Buyer may, in its sole discretion, require the Supplier to provide evidence of the Supplier’s compliance with Clause 4.1 in lieu of conducting such an audit, assessment or inspection.</w:t>
      </w:r>
    </w:p>
    <w:p w14:paraId="02E13405" w14:textId="77777777" w:rsidR="00910EB9" w:rsidRDefault="00910EB9"/>
    <w:p w14:paraId="02E13406" w14:textId="77777777" w:rsidR="00910EB9" w:rsidRDefault="006E4A1B">
      <w:pPr>
        <w:pStyle w:val="Heading4"/>
        <w:rPr>
          <w:color w:val="auto"/>
        </w:rPr>
      </w:pPr>
      <w:r>
        <w:rPr>
          <w:color w:val="auto"/>
        </w:rPr>
        <w:lastRenderedPageBreak/>
        <w:t>5.</w:t>
      </w:r>
      <w:r>
        <w:rPr>
          <w:color w:val="auto"/>
        </w:rPr>
        <w:tab/>
        <w:t>Impact Assessments</w:t>
      </w:r>
    </w:p>
    <w:p w14:paraId="02E13407" w14:textId="77777777" w:rsidR="00910EB9" w:rsidRDefault="006E4A1B">
      <w:r>
        <w:t>5.1</w:t>
      </w:r>
      <w:r>
        <w:tab/>
        <w:t>The Parties shall:</w:t>
      </w:r>
    </w:p>
    <w:p w14:paraId="02E13408" w14:textId="77777777" w:rsidR="00910EB9" w:rsidRDefault="00910EB9"/>
    <w:p w14:paraId="02E13409" w14:textId="77777777" w:rsidR="00910EB9" w:rsidRDefault="006E4A1B">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02E1340A" w14:textId="77777777" w:rsidR="00910EB9" w:rsidRDefault="00910EB9"/>
    <w:p w14:paraId="02E1340B" w14:textId="77777777" w:rsidR="00910EB9" w:rsidRDefault="006E4A1B">
      <w:pPr>
        <w:ind w:left="1440" w:hanging="720"/>
      </w:pPr>
      <w:r>
        <w:t>(b)</w:t>
      </w:r>
      <w:r>
        <w:tab/>
        <w:t>maintain full and complete records of all Processing carried out in respect of the Personal Data in connection with the contract, in accordance with the terms of Article 30 GDPR.</w:t>
      </w:r>
    </w:p>
    <w:p w14:paraId="02E1340C" w14:textId="77777777" w:rsidR="00910EB9" w:rsidRDefault="00910EB9"/>
    <w:p w14:paraId="02E1340D" w14:textId="77777777" w:rsidR="00910EB9" w:rsidRDefault="006E4A1B">
      <w:pPr>
        <w:pStyle w:val="Heading4"/>
        <w:rPr>
          <w:color w:val="auto"/>
        </w:rPr>
      </w:pPr>
      <w:r>
        <w:rPr>
          <w:color w:val="auto"/>
        </w:rPr>
        <w:t>6.</w:t>
      </w:r>
      <w:r>
        <w:rPr>
          <w:color w:val="auto"/>
        </w:rPr>
        <w:tab/>
        <w:t xml:space="preserve"> ICO Guidance</w:t>
      </w:r>
    </w:p>
    <w:p w14:paraId="02E1340E" w14:textId="77777777" w:rsidR="00910EB9" w:rsidRDefault="006E4A1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2E1340F" w14:textId="77777777" w:rsidR="00910EB9" w:rsidRDefault="00910EB9"/>
    <w:p w14:paraId="02E13410" w14:textId="77777777" w:rsidR="00910EB9" w:rsidRDefault="006E4A1B">
      <w:pPr>
        <w:pStyle w:val="Heading4"/>
        <w:rPr>
          <w:color w:val="auto"/>
        </w:rPr>
      </w:pPr>
      <w:r>
        <w:rPr>
          <w:color w:val="auto"/>
        </w:rPr>
        <w:t xml:space="preserve">7. </w:t>
      </w:r>
      <w:r>
        <w:rPr>
          <w:color w:val="auto"/>
        </w:rPr>
        <w:tab/>
        <w:t>Liabilities for Data Protection Breach</w:t>
      </w:r>
    </w:p>
    <w:p w14:paraId="02E13411" w14:textId="77777777" w:rsidR="00910EB9" w:rsidRDefault="006E4A1B">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02E13412" w14:textId="77777777" w:rsidR="00910EB9" w:rsidRDefault="00910EB9"/>
    <w:p w14:paraId="02E13413" w14:textId="77777777" w:rsidR="00910EB9" w:rsidRDefault="006E4A1B">
      <w:pPr>
        <w:pStyle w:val="NormalWeb"/>
      </w:pPr>
      <w:r>
        <w:t xml:space="preserve">7.1 </w:t>
      </w:r>
      <w:r>
        <w:tab/>
        <w:t>If financial penalties are imposed by the Information Commissioner on either the Buyer or the Supplier for a Personal Data Breach ("Financial Penalties") then the following shall occur:</w:t>
      </w:r>
    </w:p>
    <w:p w14:paraId="02E13414" w14:textId="77777777" w:rsidR="00910EB9" w:rsidRDefault="00910EB9"/>
    <w:p w14:paraId="02E13415" w14:textId="77777777" w:rsidR="00910EB9" w:rsidRDefault="006E4A1B">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02E13416" w14:textId="77777777" w:rsidR="00910EB9" w:rsidRDefault="00910EB9"/>
    <w:p w14:paraId="02E13417" w14:textId="77777777" w:rsidR="00910EB9" w:rsidRDefault="006E4A1B">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02E13418" w14:textId="77777777" w:rsidR="00910EB9" w:rsidRDefault="00910EB9"/>
    <w:p w14:paraId="02E13419" w14:textId="77777777" w:rsidR="00910EB9" w:rsidRDefault="006E4A1B">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02E1341A" w14:textId="77777777" w:rsidR="00910EB9" w:rsidRDefault="00910EB9"/>
    <w:p w14:paraId="02E1341B" w14:textId="77777777" w:rsidR="00910EB9" w:rsidRDefault="006E4A1B">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2E1341C" w14:textId="77777777" w:rsidR="00910EB9" w:rsidRDefault="00910EB9"/>
    <w:p w14:paraId="02E1341D" w14:textId="77777777" w:rsidR="00910EB9" w:rsidRDefault="006E4A1B">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02E1341E" w14:textId="77777777" w:rsidR="00910EB9" w:rsidRDefault="00910EB9"/>
    <w:p w14:paraId="02E1341F" w14:textId="77777777" w:rsidR="00910EB9" w:rsidRDefault="006E4A1B">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02E13420" w14:textId="77777777" w:rsidR="00910EB9" w:rsidRDefault="00910EB9"/>
    <w:p w14:paraId="02E13421" w14:textId="77777777" w:rsidR="00910EB9" w:rsidRDefault="006E4A1B">
      <w:r>
        <w:rPr>
          <w:lang w:eastAsia="en-US"/>
        </w:rPr>
        <w:t>(b) if the Supplier is responsible for the relevant Personal Data Breach, then the Supplier shall be responsible for the Claim Losses: and </w:t>
      </w:r>
    </w:p>
    <w:p w14:paraId="02E13422" w14:textId="77777777" w:rsidR="00910EB9" w:rsidRDefault="00910EB9"/>
    <w:p w14:paraId="02E13423" w14:textId="77777777" w:rsidR="00910EB9" w:rsidRDefault="006E4A1B">
      <w:r>
        <w:rPr>
          <w:lang w:eastAsia="en-US"/>
        </w:rPr>
        <w:t>(c) if responsibility for the relevant Personal Data Breach is unclear, then the Buyer and the Supplier shall be responsible for the Claim Losses equally.</w:t>
      </w:r>
    </w:p>
    <w:p w14:paraId="02E13424" w14:textId="77777777" w:rsidR="00910EB9" w:rsidRDefault="00910EB9"/>
    <w:p w14:paraId="02E13425" w14:textId="77777777" w:rsidR="00910EB9" w:rsidRDefault="006E4A1B">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2E13426" w14:textId="77777777" w:rsidR="00910EB9" w:rsidRDefault="00910EB9"/>
    <w:p w14:paraId="02E13427" w14:textId="77777777" w:rsidR="00910EB9" w:rsidRDefault="006E4A1B">
      <w:pPr>
        <w:pStyle w:val="Heading4"/>
        <w:spacing w:before="0" w:after="0" w:line="480" w:lineRule="auto"/>
      </w:pPr>
      <w:r>
        <w:t xml:space="preserve">8. </w:t>
      </w:r>
      <w:r>
        <w:rPr>
          <w:color w:val="auto"/>
        </w:rPr>
        <w:tab/>
        <w:t>Not used</w:t>
      </w:r>
    </w:p>
    <w:p w14:paraId="02E13428" w14:textId="77777777" w:rsidR="00910EB9" w:rsidRDefault="006E4A1B">
      <w:pPr>
        <w:pStyle w:val="Heading4"/>
        <w:rPr>
          <w:color w:val="auto"/>
        </w:rPr>
      </w:pPr>
      <w:r>
        <w:rPr>
          <w:color w:val="auto"/>
        </w:rPr>
        <w:t>9.</w:t>
      </w:r>
      <w:r>
        <w:rPr>
          <w:color w:val="auto"/>
        </w:rPr>
        <w:tab/>
        <w:t>Termination</w:t>
      </w:r>
    </w:p>
    <w:p w14:paraId="02E13429" w14:textId="77777777" w:rsidR="00910EB9" w:rsidRDefault="006E4A1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2E1342A" w14:textId="77777777" w:rsidR="00910EB9" w:rsidRDefault="00910EB9"/>
    <w:p w14:paraId="02E1342B" w14:textId="77777777" w:rsidR="00910EB9" w:rsidRDefault="006E4A1B">
      <w:pPr>
        <w:pStyle w:val="Heading4"/>
        <w:rPr>
          <w:color w:val="auto"/>
        </w:rPr>
      </w:pPr>
      <w:r>
        <w:rPr>
          <w:color w:val="auto"/>
        </w:rPr>
        <w:t>10.</w:t>
      </w:r>
      <w:r>
        <w:rPr>
          <w:color w:val="auto"/>
        </w:rPr>
        <w:tab/>
        <w:t>Sub-Processing</w:t>
      </w:r>
    </w:p>
    <w:p w14:paraId="02E1342C" w14:textId="77777777" w:rsidR="00910EB9" w:rsidRDefault="006E4A1B">
      <w:pPr>
        <w:ind w:left="720" w:hanging="720"/>
      </w:pPr>
      <w:r>
        <w:t>10.1</w:t>
      </w:r>
      <w:r>
        <w:tab/>
        <w:t>In respect of any Processing of Personal Data performed by a third party on behalf of a Party, that Party shall:</w:t>
      </w:r>
    </w:p>
    <w:p w14:paraId="02E1342D" w14:textId="77777777" w:rsidR="00910EB9" w:rsidRDefault="00910EB9"/>
    <w:p w14:paraId="02E1342E" w14:textId="77777777" w:rsidR="00910EB9" w:rsidRDefault="006E4A1B">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02E1342F" w14:textId="77777777" w:rsidR="00910EB9" w:rsidRDefault="00910EB9">
      <w:pPr>
        <w:ind w:left="1440"/>
      </w:pPr>
    </w:p>
    <w:p w14:paraId="02E13430" w14:textId="77777777" w:rsidR="00910EB9" w:rsidRDefault="006E4A1B">
      <w:pPr>
        <w:ind w:left="1440" w:hanging="720"/>
      </w:pPr>
      <w:r>
        <w:t>(b)</w:t>
      </w:r>
      <w:r>
        <w:tab/>
        <w:t>ensure that a suitable agreement is in place with the third party as required under applicable Data Protection Legislation.</w:t>
      </w:r>
    </w:p>
    <w:p w14:paraId="02E13431" w14:textId="77777777" w:rsidR="00910EB9" w:rsidRDefault="00910EB9">
      <w:pPr>
        <w:ind w:left="720" w:firstLine="720"/>
      </w:pPr>
    </w:p>
    <w:p w14:paraId="02E13432" w14:textId="77777777" w:rsidR="00910EB9" w:rsidRDefault="006E4A1B">
      <w:pPr>
        <w:pStyle w:val="Heading4"/>
        <w:rPr>
          <w:color w:val="auto"/>
        </w:rPr>
      </w:pPr>
      <w:r>
        <w:rPr>
          <w:color w:val="auto"/>
        </w:rPr>
        <w:lastRenderedPageBreak/>
        <w:t>11. Data Retention</w:t>
      </w:r>
    </w:p>
    <w:p w14:paraId="02E13433" w14:textId="77777777" w:rsidR="00910EB9" w:rsidRDefault="006E4A1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10EB9">
      <w:footerReference w:type="even" r:id="rId34"/>
      <w:footerReference w:type="default" r:id="rId3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4CDE" w14:textId="77777777" w:rsidR="00611140" w:rsidRDefault="00611140">
      <w:pPr>
        <w:spacing w:line="240" w:lineRule="auto"/>
      </w:pPr>
      <w:r>
        <w:separator/>
      </w:r>
    </w:p>
  </w:endnote>
  <w:endnote w:type="continuationSeparator" w:id="0">
    <w:p w14:paraId="11B8B22B" w14:textId="77777777" w:rsidR="00611140" w:rsidRDefault="00611140">
      <w:pPr>
        <w:spacing w:line="240" w:lineRule="auto"/>
      </w:pPr>
      <w:r>
        <w:continuationSeparator/>
      </w:r>
    </w:p>
  </w:endnote>
  <w:endnote w:type="continuationNotice" w:id="1">
    <w:p w14:paraId="5E5DA7D1" w14:textId="77777777" w:rsidR="00611140" w:rsidRDefault="006111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8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4750797"/>
      <w:docPartObj>
        <w:docPartGallery w:val="Page Numbers (Bottom of Page)"/>
        <w:docPartUnique/>
      </w:docPartObj>
    </w:sdtPr>
    <w:sdtEndPr>
      <w:rPr>
        <w:rStyle w:val="PageNumber"/>
      </w:rPr>
    </w:sdtEndPr>
    <w:sdtContent>
      <w:p w14:paraId="22E05F88" w14:textId="4A4D15B1" w:rsidR="00210E79" w:rsidRDefault="00210E79" w:rsidP="00C85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17DF5B" w14:textId="77777777" w:rsidR="00210E79" w:rsidRDefault="00210E79" w:rsidP="00EC6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309108"/>
      <w:docPartObj>
        <w:docPartGallery w:val="Page Numbers (Bottom of Page)"/>
        <w:docPartUnique/>
      </w:docPartObj>
    </w:sdtPr>
    <w:sdtEndPr>
      <w:rPr>
        <w:rStyle w:val="PageNumber"/>
      </w:rPr>
    </w:sdtEndPr>
    <w:sdtContent>
      <w:p w14:paraId="2CE25D5A" w14:textId="45E7A4D6" w:rsidR="00210E79" w:rsidRDefault="00210E79" w:rsidP="00C85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sdtContent>
  </w:sdt>
  <w:p w14:paraId="02E12C45" w14:textId="54833017" w:rsidR="00210E79" w:rsidRDefault="00210E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B6EF" w14:textId="77777777" w:rsidR="00611140" w:rsidRDefault="00611140">
      <w:pPr>
        <w:spacing w:line="240" w:lineRule="auto"/>
      </w:pPr>
      <w:r>
        <w:rPr>
          <w:color w:val="000000"/>
        </w:rPr>
        <w:separator/>
      </w:r>
    </w:p>
  </w:footnote>
  <w:footnote w:type="continuationSeparator" w:id="0">
    <w:p w14:paraId="0B5BC40C" w14:textId="77777777" w:rsidR="00611140" w:rsidRDefault="00611140">
      <w:pPr>
        <w:spacing w:line="240" w:lineRule="auto"/>
      </w:pPr>
      <w:r>
        <w:continuationSeparator/>
      </w:r>
    </w:p>
  </w:footnote>
  <w:footnote w:type="continuationNotice" w:id="1">
    <w:p w14:paraId="7EB55745" w14:textId="77777777" w:rsidR="00611140" w:rsidRDefault="00611140">
      <w:pPr>
        <w:spacing w:line="240" w:lineRule="auto"/>
      </w:pPr>
    </w:p>
  </w:footnote>
  <w:footnote w:id="2">
    <w:p w14:paraId="75EBE037" w14:textId="77777777" w:rsidR="00210E79" w:rsidRPr="00A92E1B" w:rsidRDefault="00210E79" w:rsidP="00922DA5">
      <w:pPr>
        <w:pStyle w:val="FootnoteText"/>
        <w:rPr>
          <w:rFonts w:ascii="Arial" w:hAnsi="Arial" w:cs="Arial"/>
        </w:rPr>
      </w:pPr>
      <w:r w:rsidRPr="00A92E1B">
        <w:rPr>
          <w:rStyle w:val="FootnoteReference"/>
          <w:rFonts w:ascii="Arial" w:hAnsi="Arial" w:cs="Arial"/>
        </w:rPr>
        <w:footnoteRef/>
      </w:r>
      <w:r w:rsidRPr="00A92E1B">
        <w:rPr>
          <w:rFonts w:ascii="Arial" w:hAnsi="Arial" w:cs="Arial"/>
        </w:rPr>
        <w:t xml:space="preserve"> The 17 sensitive areas of the economy are Advanced Materials, Advanced Robotics, Artificial Intelligence, Civil Nuclear, Communications, Computing Hardware, Critical Suppliers to Government, Cryptographic Authentication, Data Infrastructure, Defence, Energy, Military and Dual-Use, Quantum Technologies, Satellite and Space Technologies, Suppliers to the Emergency Services, Synthetic Biology and Transport. The Secretary of State may amend the list of sensitive areas.</w:t>
      </w:r>
    </w:p>
  </w:footnote>
  <w:footnote w:id="3">
    <w:p w14:paraId="7505909E" w14:textId="77777777" w:rsidR="00210E79" w:rsidRPr="00A92E1B" w:rsidRDefault="00210E79" w:rsidP="00922DA5">
      <w:pPr>
        <w:pStyle w:val="FootnoteText"/>
        <w:rPr>
          <w:rFonts w:ascii="Arial" w:hAnsi="Arial" w:cs="Arial"/>
        </w:rPr>
      </w:pPr>
      <w:r w:rsidRPr="00A92E1B">
        <w:rPr>
          <w:rStyle w:val="FootnoteReference"/>
          <w:rFonts w:ascii="Arial" w:hAnsi="Arial" w:cs="Arial"/>
        </w:rPr>
        <w:footnoteRef/>
      </w:r>
      <w:r w:rsidRPr="00A92E1B">
        <w:rPr>
          <w:rFonts w:ascii="Arial" w:hAnsi="Arial" w:cs="Arial"/>
        </w:rPr>
        <w:t xml:space="preserve"> Top 10 largest source according to EY’s UK Attractiveness Survey 2021 (source: </w:t>
      </w:r>
      <w:hyperlink r:id="rId1" w:history="1">
        <w:r w:rsidRPr="00A92E1B">
          <w:rPr>
            <w:rStyle w:val="Hyperlink"/>
            <w:rFonts w:ascii="Arial" w:hAnsi="Arial" w:cs="Arial"/>
          </w:rPr>
          <w:t>https://www.ey.com/en_uk/attractiveness/21/how-uk-resilience-in-winning-fdi-creates-opportunity</w:t>
        </w:r>
      </w:hyperlink>
      <w:r w:rsidRPr="00A92E1B">
        <w:rPr>
          <w:rFonts w:ascii="Arial" w:hAnsi="Arial" w:cs="Arial"/>
        </w:rPr>
        <w:t xml:space="preserve">, accessed 30/09/2021). Top 10 fastest growing source according to EY’s UK Attractiveness Survey 2020 (source: </w:t>
      </w:r>
      <w:hyperlink r:id="rId2" w:history="1">
        <w:r w:rsidRPr="00A92E1B">
          <w:rPr>
            <w:rStyle w:val="Hyperlink"/>
            <w:rFonts w:ascii="Arial" w:hAnsi="Arial" w:cs="Arial"/>
          </w:rPr>
          <w:t>https://www.ey.com/en_uk/attractiveness/20/uk-attractiveness-survey</w:t>
        </w:r>
      </w:hyperlink>
      <w:r w:rsidRPr="00A92E1B">
        <w:rPr>
          <w:rFonts w:ascii="Arial" w:hAnsi="Arial" w:cs="Arial"/>
        </w:rPr>
        <w:t>, accessed 30/09/2021).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792"/>
    <w:multiLevelType w:val="multilevel"/>
    <w:tmpl w:val="CFB287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7BC5756"/>
    <w:multiLevelType w:val="multilevel"/>
    <w:tmpl w:val="89CE04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8D42D9"/>
    <w:multiLevelType w:val="hybridMultilevel"/>
    <w:tmpl w:val="99F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C6A"/>
    <w:multiLevelType w:val="hybridMultilevel"/>
    <w:tmpl w:val="AF98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4817"/>
    <w:multiLevelType w:val="multilevel"/>
    <w:tmpl w:val="D4F432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C0729C2"/>
    <w:multiLevelType w:val="multilevel"/>
    <w:tmpl w:val="785E3B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DA94E21"/>
    <w:multiLevelType w:val="multilevel"/>
    <w:tmpl w:val="305A3B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12613E1"/>
    <w:multiLevelType w:val="multilevel"/>
    <w:tmpl w:val="97F4F5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1F357AA"/>
    <w:multiLevelType w:val="multilevel"/>
    <w:tmpl w:val="A2BEF5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381743B"/>
    <w:multiLevelType w:val="multilevel"/>
    <w:tmpl w:val="215AF3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2A3345"/>
    <w:multiLevelType w:val="multilevel"/>
    <w:tmpl w:val="2FC4DB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925525B"/>
    <w:multiLevelType w:val="multilevel"/>
    <w:tmpl w:val="49000E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B0712EA"/>
    <w:multiLevelType w:val="multilevel"/>
    <w:tmpl w:val="8E4A4C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CF6375D"/>
    <w:multiLevelType w:val="multilevel"/>
    <w:tmpl w:val="3392E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E474EE4"/>
    <w:multiLevelType w:val="multilevel"/>
    <w:tmpl w:val="A828A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02446B8"/>
    <w:multiLevelType w:val="multilevel"/>
    <w:tmpl w:val="9E687A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2F36B05"/>
    <w:multiLevelType w:val="multilevel"/>
    <w:tmpl w:val="FD007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EA6C3A"/>
    <w:multiLevelType w:val="multilevel"/>
    <w:tmpl w:val="9AEAAF3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25212275"/>
    <w:multiLevelType w:val="multilevel"/>
    <w:tmpl w:val="23D611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87100B"/>
    <w:multiLevelType w:val="multilevel"/>
    <w:tmpl w:val="3036EF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D2D4AC6"/>
    <w:multiLevelType w:val="multilevel"/>
    <w:tmpl w:val="85022A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2C01F77"/>
    <w:multiLevelType w:val="multilevel"/>
    <w:tmpl w:val="8DF0CC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3A873CC"/>
    <w:multiLevelType w:val="multilevel"/>
    <w:tmpl w:val="5FEC40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8486ABA"/>
    <w:multiLevelType w:val="multilevel"/>
    <w:tmpl w:val="4020A1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A894B4F"/>
    <w:multiLevelType w:val="multilevel"/>
    <w:tmpl w:val="BEC4EE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782E52"/>
    <w:multiLevelType w:val="multilevel"/>
    <w:tmpl w:val="67F0D7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D4A0355"/>
    <w:multiLevelType w:val="multilevel"/>
    <w:tmpl w:val="F06E43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D720CC4"/>
    <w:multiLevelType w:val="hybridMultilevel"/>
    <w:tmpl w:val="C706E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162B39"/>
    <w:multiLevelType w:val="multilevel"/>
    <w:tmpl w:val="154A1888"/>
    <w:lvl w:ilvl="0">
      <w:start w:val="1"/>
      <w:numFmt w:val="decimal"/>
      <w:lvlText w:val="%1."/>
      <w:lvlJc w:val="left"/>
      <w:pPr>
        <w:ind w:left="360" w:hanging="360"/>
      </w:pPr>
      <w:rPr>
        <w:rFonts w:ascii="Arial" w:hAnsi="Arial" w:cs="Arial"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8941AE9"/>
    <w:multiLevelType w:val="multilevel"/>
    <w:tmpl w:val="055600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A00280D"/>
    <w:multiLevelType w:val="multilevel"/>
    <w:tmpl w:val="4A9A54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4BEB3816"/>
    <w:multiLevelType w:val="multilevel"/>
    <w:tmpl w:val="C694A4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D562498"/>
    <w:multiLevelType w:val="multilevel"/>
    <w:tmpl w:val="173CC1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4E277CD0"/>
    <w:multiLevelType w:val="multilevel"/>
    <w:tmpl w:val="F93051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E4B29E3"/>
    <w:multiLevelType w:val="multilevel"/>
    <w:tmpl w:val="435A63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1C75FE1"/>
    <w:multiLevelType w:val="multilevel"/>
    <w:tmpl w:val="12E64C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7EE7232"/>
    <w:multiLevelType w:val="multilevel"/>
    <w:tmpl w:val="76AE7B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9C331AB"/>
    <w:multiLevelType w:val="multilevel"/>
    <w:tmpl w:val="401857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CF70191"/>
    <w:multiLevelType w:val="hybridMultilevel"/>
    <w:tmpl w:val="0674E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503C7"/>
    <w:multiLevelType w:val="multilevel"/>
    <w:tmpl w:val="1C4CFDA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A9E57C6"/>
    <w:multiLevelType w:val="multilevel"/>
    <w:tmpl w:val="26E6A1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D7956D2"/>
    <w:multiLevelType w:val="hybridMultilevel"/>
    <w:tmpl w:val="EE02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7"/>
  </w:num>
  <w:num w:numId="4">
    <w:abstractNumId w:val="33"/>
  </w:num>
  <w:num w:numId="5">
    <w:abstractNumId w:val="36"/>
  </w:num>
  <w:num w:numId="6">
    <w:abstractNumId w:val="26"/>
  </w:num>
  <w:num w:numId="7">
    <w:abstractNumId w:val="29"/>
  </w:num>
  <w:num w:numId="8">
    <w:abstractNumId w:val="39"/>
  </w:num>
  <w:num w:numId="9">
    <w:abstractNumId w:val="1"/>
  </w:num>
  <w:num w:numId="10">
    <w:abstractNumId w:val="0"/>
  </w:num>
  <w:num w:numId="11">
    <w:abstractNumId w:val="19"/>
  </w:num>
  <w:num w:numId="12">
    <w:abstractNumId w:val="34"/>
  </w:num>
  <w:num w:numId="13">
    <w:abstractNumId w:val="7"/>
  </w:num>
  <w:num w:numId="14">
    <w:abstractNumId w:val="22"/>
  </w:num>
  <w:num w:numId="15">
    <w:abstractNumId w:val="20"/>
  </w:num>
  <w:num w:numId="16">
    <w:abstractNumId w:val="4"/>
  </w:num>
  <w:num w:numId="17">
    <w:abstractNumId w:val="13"/>
  </w:num>
  <w:num w:numId="18">
    <w:abstractNumId w:val="15"/>
  </w:num>
  <w:num w:numId="19">
    <w:abstractNumId w:val="21"/>
  </w:num>
  <w:num w:numId="20">
    <w:abstractNumId w:val="14"/>
  </w:num>
  <w:num w:numId="21">
    <w:abstractNumId w:val="16"/>
  </w:num>
  <w:num w:numId="22">
    <w:abstractNumId w:val="32"/>
  </w:num>
  <w:num w:numId="23">
    <w:abstractNumId w:val="18"/>
  </w:num>
  <w:num w:numId="24">
    <w:abstractNumId w:val="25"/>
  </w:num>
  <w:num w:numId="25">
    <w:abstractNumId w:val="10"/>
  </w:num>
  <w:num w:numId="26">
    <w:abstractNumId w:val="24"/>
  </w:num>
  <w:num w:numId="27">
    <w:abstractNumId w:val="31"/>
  </w:num>
  <w:num w:numId="28">
    <w:abstractNumId w:val="6"/>
  </w:num>
  <w:num w:numId="29">
    <w:abstractNumId w:val="35"/>
  </w:num>
  <w:num w:numId="30">
    <w:abstractNumId w:val="8"/>
  </w:num>
  <w:num w:numId="31">
    <w:abstractNumId w:val="5"/>
  </w:num>
  <w:num w:numId="32">
    <w:abstractNumId w:val="11"/>
  </w:num>
  <w:num w:numId="33">
    <w:abstractNumId w:val="40"/>
  </w:num>
  <w:num w:numId="34">
    <w:abstractNumId w:val="30"/>
  </w:num>
  <w:num w:numId="35">
    <w:abstractNumId w:val="9"/>
  </w:num>
  <w:num w:numId="36">
    <w:abstractNumId w:val="2"/>
  </w:num>
  <w:num w:numId="37">
    <w:abstractNumId w:val="27"/>
  </w:num>
  <w:num w:numId="38">
    <w:abstractNumId w:val="3"/>
  </w:num>
  <w:num w:numId="39">
    <w:abstractNumId w:val="28"/>
  </w:num>
  <w:num w:numId="40">
    <w:abstractNumId w:val="38"/>
  </w:num>
  <w:num w:numId="41">
    <w:abstractNumId w:val="4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B9"/>
    <w:rsid w:val="000108E7"/>
    <w:rsid w:val="00015B12"/>
    <w:rsid w:val="00020889"/>
    <w:rsid w:val="00020B34"/>
    <w:rsid w:val="00033194"/>
    <w:rsid w:val="00041E65"/>
    <w:rsid w:val="00044DB3"/>
    <w:rsid w:val="000511C9"/>
    <w:rsid w:val="00063BDA"/>
    <w:rsid w:val="00071C21"/>
    <w:rsid w:val="00072C3F"/>
    <w:rsid w:val="000803B7"/>
    <w:rsid w:val="00082112"/>
    <w:rsid w:val="00087312"/>
    <w:rsid w:val="000934F4"/>
    <w:rsid w:val="00094D98"/>
    <w:rsid w:val="000A2D23"/>
    <w:rsid w:val="000A6ACC"/>
    <w:rsid w:val="000B2E1D"/>
    <w:rsid w:val="000B3151"/>
    <w:rsid w:val="000B7771"/>
    <w:rsid w:val="000C0914"/>
    <w:rsid w:val="000C0F5E"/>
    <w:rsid w:val="000C101B"/>
    <w:rsid w:val="000C427A"/>
    <w:rsid w:val="000C7A72"/>
    <w:rsid w:val="000D0D96"/>
    <w:rsid w:val="000E6A24"/>
    <w:rsid w:val="001035AF"/>
    <w:rsid w:val="0010511A"/>
    <w:rsid w:val="001057C8"/>
    <w:rsid w:val="0010686D"/>
    <w:rsid w:val="00113344"/>
    <w:rsid w:val="001137F9"/>
    <w:rsid w:val="00115E2B"/>
    <w:rsid w:val="00116134"/>
    <w:rsid w:val="00117629"/>
    <w:rsid w:val="00127229"/>
    <w:rsid w:val="00132290"/>
    <w:rsid w:val="00155DE0"/>
    <w:rsid w:val="00157868"/>
    <w:rsid w:val="00160884"/>
    <w:rsid w:val="00163835"/>
    <w:rsid w:val="0017037B"/>
    <w:rsid w:val="0017054A"/>
    <w:rsid w:val="00171529"/>
    <w:rsid w:val="00172526"/>
    <w:rsid w:val="00172EBC"/>
    <w:rsid w:val="001808FE"/>
    <w:rsid w:val="00180CF7"/>
    <w:rsid w:val="00183DE7"/>
    <w:rsid w:val="00190CA6"/>
    <w:rsid w:val="001917F2"/>
    <w:rsid w:val="001A2854"/>
    <w:rsid w:val="001A2AB3"/>
    <w:rsid w:val="001A2FE7"/>
    <w:rsid w:val="001A430D"/>
    <w:rsid w:val="001A6FB4"/>
    <w:rsid w:val="001A76D0"/>
    <w:rsid w:val="001A7BE1"/>
    <w:rsid w:val="001B174C"/>
    <w:rsid w:val="001C50FE"/>
    <w:rsid w:val="001C6596"/>
    <w:rsid w:val="001D0CC5"/>
    <w:rsid w:val="001D1890"/>
    <w:rsid w:val="001D3C2C"/>
    <w:rsid w:val="001D411C"/>
    <w:rsid w:val="001E1E22"/>
    <w:rsid w:val="001E21CE"/>
    <w:rsid w:val="001E6914"/>
    <w:rsid w:val="001F5BB6"/>
    <w:rsid w:val="001F5EEE"/>
    <w:rsid w:val="00210E79"/>
    <w:rsid w:val="00212630"/>
    <w:rsid w:val="002166AB"/>
    <w:rsid w:val="0022393F"/>
    <w:rsid w:val="00223F40"/>
    <w:rsid w:val="00231184"/>
    <w:rsid w:val="00233B5F"/>
    <w:rsid w:val="00245A9C"/>
    <w:rsid w:val="00255EFC"/>
    <w:rsid w:val="00256CAE"/>
    <w:rsid w:val="00260AED"/>
    <w:rsid w:val="002656D6"/>
    <w:rsid w:val="00277FA5"/>
    <w:rsid w:val="00291508"/>
    <w:rsid w:val="00293252"/>
    <w:rsid w:val="002A7FC7"/>
    <w:rsid w:val="002B3A0D"/>
    <w:rsid w:val="002C6232"/>
    <w:rsid w:val="002D0A32"/>
    <w:rsid w:val="002D2197"/>
    <w:rsid w:val="002D6739"/>
    <w:rsid w:val="002E3005"/>
    <w:rsid w:val="002E4839"/>
    <w:rsid w:val="002E5AA4"/>
    <w:rsid w:val="00302A53"/>
    <w:rsid w:val="00304AF9"/>
    <w:rsid w:val="00313A63"/>
    <w:rsid w:val="00313FAD"/>
    <w:rsid w:val="00315748"/>
    <w:rsid w:val="00327E26"/>
    <w:rsid w:val="00353C8A"/>
    <w:rsid w:val="00387633"/>
    <w:rsid w:val="00393287"/>
    <w:rsid w:val="00396697"/>
    <w:rsid w:val="003A27B2"/>
    <w:rsid w:val="003B2AD6"/>
    <w:rsid w:val="003B6774"/>
    <w:rsid w:val="003B703D"/>
    <w:rsid w:val="003C79EA"/>
    <w:rsid w:val="003D7CF0"/>
    <w:rsid w:val="003E07C1"/>
    <w:rsid w:val="003E357F"/>
    <w:rsid w:val="003F1A98"/>
    <w:rsid w:val="003F2D81"/>
    <w:rsid w:val="003F7A77"/>
    <w:rsid w:val="00400720"/>
    <w:rsid w:val="004028AD"/>
    <w:rsid w:val="00407FB6"/>
    <w:rsid w:val="00413DC0"/>
    <w:rsid w:val="00414660"/>
    <w:rsid w:val="00423254"/>
    <w:rsid w:val="00423FA4"/>
    <w:rsid w:val="00426A84"/>
    <w:rsid w:val="00447A58"/>
    <w:rsid w:val="00452C7A"/>
    <w:rsid w:val="00461A0F"/>
    <w:rsid w:val="004701B0"/>
    <w:rsid w:val="00476EC1"/>
    <w:rsid w:val="00477FCB"/>
    <w:rsid w:val="00483A98"/>
    <w:rsid w:val="00484C88"/>
    <w:rsid w:val="00493308"/>
    <w:rsid w:val="004969AE"/>
    <w:rsid w:val="004A5A19"/>
    <w:rsid w:val="004A6893"/>
    <w:rsid w:val="004B0EF9"/>
    <w:rsid w:val="004B5E56"/>
    <w:rsid w:val="004C01FF"/>
    <w:rsid w:val="004C2582"/>
    <w:rsid w:val="004C7133"/>
    <w:rsid w:val="004E3B34"/>
    <w:rsid w:val="0050305B"/>
    <w:rsid w:val="00506527"/>
    <w:rsid w:val="00513FAB"/>
    <w:rsid w:val="00522197"/>
    <w:rsid w:val="005314E0"/>
    <w:rsid w:val="005359B7"/>
    <w:rsid w:val="00536AF2"/>
    <w:rsid w:val="00537ED5"/>
    <w:rsid w:val="00554B63"/>
    <w:rsid w:val="00556B4A"/>
    <w:rsid w:val="00560068"/>
    <w:rsid w:val="0057050B"/>
    <w:rsid w:val="00570B19"/>
    <w:rsid w:val="005868FF"/>
    <w:rsid w:val="0059486C"/>
    <w:rsid w:val="00596D2E"/>
    <w:rsid w:val="00597520"/>
    <w:rsid w:val="005A77FA"/>
    <w:rsid w:val="005B0A3E"/>
    <w:rsid w:val="005B3FC7"/>
    <w:rsid w:val="005B6642"/>
    <w:rsid w:val="005C1848"/>
    <w:rsid w:val="005C30AD"/>
    <w:rsid w:val="005C755F"/>
    <w:rsid w:val="005C7BD7"/>
    <w:rsid w:val="005D2D34"/>
    <w:rsid w:val="005E422B"/>
    <w:rsid w:val="005E4606"/>
    <w:rsid w:val="005E4CD9"/>
    <w:rsid w:val="00610107"/>
    <w:rsid w:val="00611140"/>
    <w:rsid w:val="006113C8"/>
    <w:rsid w:val="00622374"/>
    <w:rsid w:val="00623C7D"/>
    <w:rsid w:val="0063666C"/>
    <w:rsid w:val="00647BDC"/>
    <w:rsid w:val="0065338E"/>
    <w:rsid w:val="00656712"/>
    <w:rsid w:val="00660AFA"/>
    <w:rsid w:val="00661F29"/>
    <w:rsid w:val="00665AF5"/>
    <w:rsid w:val="006769B7"/>
    <w:rsid w:val="00681EA6"/>
    <w:rsid w:val="0068269C"/>
    <w:rsid w:val="00690A8F"/>
    <w:rsid w:val="00693498"/>
    <w:rsid w:val="00693C30"/>
    <w:rsid w:val="006942AD"/>
    <w:rsid w:val="006954B6"/>
    <w:rsid w:val="006B0315"/>
    <w:rsid w:val="006C5283"/>
    <w:rsid w:val="006D3D40"/>
    <w:rsid w:val="006D5C1D"/>
    <w:rsid w:val="006E1DB3"/>
    <w:rsid w:val="006E1F63"/>
    <w:rsid w:val="006E4A1B"/>
    <w:rsid w:val="006F22AC"/>
    <w:rsid w:val="0070337B"/>
    <w:rsid w:val="007075F0"/>
    <w:rsid w:val="00715F43"/>
    <w:rsid w:val="007237D9"/>
    <w:rsid w:val="00724D0A"/>
    <w:rsid w:val="00733971"/>
    <w:rsid w:val="00734897"/>
    <w:rsid w:val="00751211"/>
    <w:rsid w:val="007555DF"/>
    <w:rsid w:val="0077322C"/>
    <w:rsid w:val="007732AD"/>
    <w:rsid w:val="007734DA"/>
    <w:rsid w:val="00785FD5"/>
    <w:rsid w:val="007A0FBD"/>
    <w:rsid w:val="007A5B4F"/>
    <w:rsid w:val="007A7ECB"/>
    <w:rsid w:val="007E67B4"/>
    <w:rsid w:val="007E72A9"/>
    <w:rsid w:val="007F0911"/>
    <w:rsid w:val="008107CD"/>
    <w:rsid w:val="00812F3F"/>
    <w:rsid w:val="008131D1"/>
    <w:rsid w:val="008340CF"/>
    <w:rsid w:val="00834295"/>
    <w:rsid w:val="00841740"/>
    <w:rsid w:val="00850322"/>
    <w:rsid w:val="0085441B"/>
    <w:rsid w:val="00856FC4"/>
    <w:rsid w:val="00863E47"/>
    <w:rsid w:val="008723A7"/>
    <w:rsid w:val="00872AFE"/>
    <w:rsid w:val="00873E89"/>
    <w:rsid w:val="008757B2"/>
    <w:rsid w:val="008912F5"/>
    <w:rsid w:val="008964BA"/>
    <w:rsid w:val="0089774A"/>
    <w:rsid w:val="008A0892"/>
    <w:rsid w:val="008A5822"/>
    <w:rsid w:val="008B2017"/>
    <w:rsid w:val="008B2431"/>
    <w:rsid w:val="008C0EE9"/>
    <w:rsid w:val="008D0481"/>
    <w:rsid w:val="008E02A2"/>
    <w:rsid w:val="008E6440"/>
    <w:rsid w:val="008F1D73"/>
    <w:rsid w:val="008F3D79"/>
    <w:rsid w:val="00904AB2"/>
    <w:rsid w:val="00905D43"/>
    <w:rsid w:val="009100E4"/>
    <w:rsid w:val="00910EB9"/>
    <w:rsid w:val="009167C4"/>
    <w:rsid w:val="00922DA5"/>
    <w:rsid w:val="00930AD7"/>
    <w:rsid w:val="009461C3"/>
    <w:rsid w:val="00955681"/>
    <w:rsid w:val="00955E8A"/>
    <w:rsid w:val="009627CC"/>
    <w:rsid w:val="00980CF1"/>
    <w:rsid w:val="009874CC"/>
    <w:rsid w:val="00990ABC"/>
    <w:rsid w:val="009914FB"/>
    <w:rsid w:val="009B03F2"/>
    <w:rsid w:val="009B4213"/>
    <w:rsid w:val="009C7B22"/>
    <w:rsid w:val="009D281F"/>
    <w:rsid w:val="009E4D4F"/>
    <w:rsid w:val="009E7D44"/>
    <w:rsid w:val="009F3E9F"/>
    <w:rsid w:val="00A10EA9"/>
    <w:rsid w:val="00A143B5"/>
    <w:rsid w:val="00A34D7F"/>
    <w:rsid w:val="00A53ACA"/>
    <w:rsid w:val="00A56370"/>
    <w:rsid w:val="00A5793A"/>
    <w:rsid w:val="00A63456"/>
    <w:rsid w:val="00A672F6"/>
    <w:rsid w:val="00A83272"/>
    <w:rsid w:val="00A83ED1"/>
    <w:rsid w:val="00A951F0"/>
    <w:rsid w:val="00A97D18"/>
    <w:rsid w:val="00AA69E5"/>
    <w:rsid w:val="00AB2B50"/>
    <w:rsid w:val="00AB74E7"/>
    <w:rsid w:val="00AC696D"/>
    <w:rsid w:val="00AD1231"/>
    <w:rsid w:val="00AE5F40"/>
    <w:rsid w:val="00AE652D"/>
    <w:rsid w:val="00AF2BC3"/>
    <w:rsid w:val="00AF3C6C"/>
    <w:rsid w:val="00AF47A2"/>
    <w:rsid w:val="00AF7A47"/>
    <w:rsid w:val="00B00980"/>
    <w:rsid w:val="00B0436A"/>
    <w:rsid w:val="00B0635A"/>
    <w:rsid w:val="00B06FAD"/>
    <w:rsid w:val="00B1259C"/>
    <w:rsid w:val="00B161AE"/>
    <w:rsid w:val="00B33C6E"/>
    <w:rsid w:val="00B36651"/>
    <w:rsid w:val="00B3728C"/>
    <w:rsid w:val="00B5034A"/>
    <w:rsid w:val="00B513C8"/>
    <w:rsid w:val="00B601E4"/>
    <w:rsid w:val="00B647C1"/>
    <w:rsid w:val="00B705F3"/>
    <w:rsid w:val="00B75D40"/>
    <w:rsid w:val="00B836F5"/>
    <w:rsid w:val="00B83A9D"/>
    <w:rsid w:val="00B97FAE"/>
    <w:rsid w:val="00BA6945"/>
    <w:rsid w:val="00BB1091"/>
    <w:rsid w:val="00BC142C"/>
    <w:rsid w:val="00BD2DF3"/>
    <w:rsid w:val="00BE2701"/>
    <w:rsid w:val="00BE2C6F"/>
    <w:rsid w:val="00BE3EA3"/>
    <w:rsid w:val="00BF3142"/>
    <w:rsid w:val="00BF4120"/>
    <w:rsid w:val="00BF534D"/>
    <w:rsid w:val="00C14CE8"/>
    <w:rsid w:val="00C21ACB"/>
    <w:rsid w:val="00C30BA3"/>
    <w:rsid w:val="00C34730"/>
    <w:rsid w:val="00C34852"/>
    <w:rsid w:val="00C354AE"/>
    <w:rsid w:val="00C37308"/>
    <w:rsid w:val="00C43F69"/>
    <w:rsid w:val="00C647B5"/>
    <w:rsid w:val="00C82AC8"/>
    <w:rsid w:val="00C84326"/>
    <w:rsid w:val="00C8591B"/>
    <w:rsid w:val="00C87922"/>
    <w:rsid w:val="00C9113B"/>
    <w:rsid w:val="00CA219A"/>
    <w:rsid w:val="00CA5448"/>
    <w:rsid w:val="00CB1C28"/>
    <w:rsid w:val="00CC1642"/>
    <w:rsid w:val="00CD637B"/>
    <w:rsid w:val="00CE584C"/>
    <w:rsid w:val="00CE6DC4"/>
    <w:rsid w:val="00CF0B53"/>
    <w:rsid w:val="00CF22E2"/>
    <w:rsid w:val="00D04048"/>
    <w:rsid w:val="00D10CE7"/>
    <w:rsid w:val="00D24619"/>
    <w:rsid w:val="00D3164F"/>
    <w:rsid w:val="00D4046D"/>
    <w:rsid w:val="00D51BCF"/>
    <w:rsid w:val="00D61B98"/>
    <w:rsid w:val="00D72DAE"/>
    <w:rsid w:val="00D752D4"/>
    <w:rsid w:val="00D85235"/>
    <w:rsid w:val="00DA5058"/>
    <w:rsid w:val="00DB62B8"/>
    <w:rsid w:val="00DB70E9"/>
    <w:rsid w:val="00DB7A10"/>
    <w:rsid w:val="00DC11FE"/>
    <w:rsid w:val="00DD13AF"/>
    <w:rsid w:val="00DD5D21"/>
    <w:rsid w:val="00DE0BD3"/>
    <w:rsid w:val="00DE5772"/>
    <w:rsid w:val="00DE789A"/>
    <w:rsid w:val="00DF5F10"/>
    <w:rsid w:val="00E079DD"/>
    <w:rsid w:val="00E07E21"/>
    <w:rsid w:val="00E1249E"/>
    <w:rsid w:val="00E30523"/>
    <w:rsid w:val="00E35385"/>
    <w:rsid w:val="00E40500"/>
    <w:rsid w:val="00E43B86"/>
    <w:rsid w:val="00E561BB"/>
    <w:rsid w:val="00E56BDF"/>
    <w:rsid w:val="00E752A8"/>
    <w:rsid w:val="00E75AF0"/>
    <w:rsid w:val="00E760D7"/>
    <w:rsid w:val="00E76AAC"/>
    <w:rsid w:val="00E770E8"/>
    <w:rsid w:val="00E85296"/>
    <w:rsid w:val="00E87027"/>
    <w:rsid w:val="00E87461"/>
    <w:rsid w:val="00EB0105"/>
    <w:rsid w:val="00EC00C1"/>
    <w:rsid w:val="00EC169E"/>
    <w:rsid w:val="00EC6C15"/>
    <w:rsid w:val="00EC6F43"/>
    <w:rsid w:val="00ED18ED"/>
    <w:rsid w:val="00ED3522"/>
    <w:rsid w:val="00EE2269"/>
    <w:rsid w:val="00EE26E9"/>
    <w:rsid w:val="00EE5F13"/>
    <w:rsid w:val="00EF2076"/>
    <w:rsid w:val="00F008CF"/>
    <w:rsid w:val="00F00AE4"/>
    <w:rsid w:val="00F06386"/>
    <w:rsid w:val="00F132AA"/>
    <w:rsid w:val="00F3073C"/>
    <w:rsid w:val="00F31BBD"/>
    <w:rsid w:val="00F31F6A"/>
    <w:rsid w:val="00F62CE9"/>
    <w:rsid w:val="00F66B90"/>
    <w:rsid w:val="00F67598"/>
    <w:rsid w:val="00F71C0D"/>
    <w:rsid w:val="00F805EB"/>
    <w:rsid w:val="00F848EB"/>
    <w:rsid w:val="00F90133"/>
    <w:rsid w:val="00FB2C36"/>
    <w:rsid w:val="00FC0532"/>
    <w:rsid w:val="00FD1F46"/>
    <w:rsid w:val="00FD7C2F"/>
    <w:rsid w:val="00FE4D57"/>
    <w:rsid w:val="00FE67FE"/>
    <w:rsid w:val="00FF4698"/>
    <w:rsid w:val="00FF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2C3B"/>
  <w15:docId w15:val="{322C6DAA-1F14-49FF-80C0-7FAFE1D1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paragraph" w:styleId="FootnoteText">
    <w:name w:val="footnote text"/>
    <w:basedOn w:val="Normal"/>
    <w:link w:val="FootnoteTextChar"/>
    <w:uiPriority w:val="99"/>
    <w:rsid w:val="00922DA5"/>
    <w:pPr>
      <w:suppressAutoHyphens w:val="0"/>
      <w:autoSpaceDN/>
      <w:spacing w:line="240" w:lineRule="auto"/>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922DA5"/>
    <w:rPr>
      <w:rFonts w:ascii="Calibri" w:eastAsia="MS Mincho" w:hAnsi="Calibri" w:cs="Times New Roman"/>
      <w:sz w:val="20"/>
      <w:szCs w:val="20"/>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2DA5"/>
  </w:style>
  <w:style w:type="character" w:styleId="FootnoteReference">
    <w:name w:val="footnote reference"/>
    <w:uiPriority w:val="99"/>
    <w:unhideWhenUsed/>
    <w:rsid w:val="00922DA5"/>
    <w:rPr>
      <w:vertAlign w:val="superscript"/>
    </w:rPr>
  </w:style>
  <w:style w:type="table" w:styleId="GridTable4-Accent1">
    <w:name w:val="Grid Table 4 Accent 1"/>
    <w:basedOn w:val="TableNormal"/>
    <w:uiPriority w:val="49"/>
    <w:rsid w:val="00922DA5"/>
    <w:pPr>
      <w:autoSpaceDN/>
      <w:spacing w:line="240" w:lineRule="auto"/>
      <w:textAlignment w:val="auto"/>
    </w:pPr>
    <w:rPr>
      <w:rFonts w:ascii="Calibri" w:eastAsia="Calibri" w:hAnsi="Calibri"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922DA5"/>
    <w:pPr>
      <w:autoSpaceDN/>
      <w:spacing w:line="240" w:lineRule="auto"/>
      <w:textAlignment w:val="auto"/>
    </w:pPr>
    <w:rPr>
      <w:rFonts w:asciiTheme="minorHAnsi" w:eastAsiaTheme="minorHAnsi" w:hAnsiTheme="minorHAnsi" w:cstheme="minorBid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5359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429">
      <w:bodyDiv w:val="1"/>
      <w:marLeft w:val="0"/>
      <w:marRight w:val="0"/>
      <w:marTop w:val="0"/>
      <w:marBottom w:val="0"/>
      <w:divBdr>
        <w:top w:val="none" w:sz="0" w:space="0" w:color="auto"/>
        <w:left w:val="none" w:sz="0" w:space="0" w:color="auto"/>
        <w:bottom w:val="none" w:sz="0" w:space="0" w:color="auto"/>
        <w:right w:val="none" w:sz="0" w:space="0" w:color="auto"/>
      </w:divBdr>
    </w:div>
    <w:div w:id="412438589">
      <w:bodyDiv w:val="1"/>
      <w:marLeft w:val="0"/>
      <w:marRight w:val="0"/>
      <w:marTop w:val="0"/>
      <w:marBottom w:val="0"/>
      <w:divBdr>
        <w:top w:val="none" w:sz="0" w:space="0" w:color="auto"/>
        <w:left w:val="none" w:sz="0" w:space="0" w:color="auto"/>
        <w:bottom w:val="none" w:sz="0" w:space="0" w:color="auto"/>
        <w:right w:val="none" w:sz="0" w:space="0" w:color="auto"/>
      </w:divBdr>
    </w:div>
    <w:div w:id="553853555">
      <w:bodyDiv w:val="1"/>
      <w:marLeft w:val="0"/>
      <w:marRight w:val="0"/>
      <w:marTop w:val="0"/>
      <w:marBottom w:val="0"/>
      <w:divBdr>
        <w:top w:val="none" w:sz="0" w:space="0" w:color="auto"/>
        <w:left w:val="none" w:sz="0" w:space="0" w:color="auto"/>
        <w:bottom w:val="none" w:sz="0" w:space="0" w:color="auto"/>
        <w:right w:val="none" w:sz="0" w:space="0" w:color="auto"/>
      </w:divBdr>
    </w:div>
    <w:div w:id="612596723">
      <w:bodyDiv w:val="1"/>
      <w:marLeft w:val="0"/>
      <w:marRight w:val="0"/>
      <w:marTop w:val="0"/>
      <w:marBottom w:val="0"/>
      <w:divBdr>
        <w:top w:val="none" w:sz="0" w:space="0" w:color="auto"/>
        <w:left w:val="none" w:sz="0" w:space="0" w:color="auto"/>
        <w:bottom w:val="none" w:sz="0" w:space="0" w:color="auto"/>
        <w:right w:val="none" w:sz="0" w:space="0" w:color="auto"/>
      </w:divBdr>
    </w:div>
    <w:div w:id="711812377">
      <w:bodyDiv w:val="1"/>
      <w:marLeft w:val="0"/>
      <w:marRight w:val="0"/>
      <w:marTop w:val="0"/>
      <w:marBottom w:val="0"/>
      <w:divBdr>
        <w:top w:val="none" w:sz="0" w:space="0" w:color="auto"/>
        <w:left w:val="none" w:sz="0" w:space="0" w:color="auto"/>
        <w:bottom w:val="none" w:sz="0" w:space="0" w:color="auto"/>
        <w:right w:val="none" w:sz="0" w:space="0" w:color="auto"/>
      </w:divBdr>
    </w:div>
    <w:div w:id="895123281">
      <w:bodyDiv w:val="1"/>
      <w:marLeft w:val="0"/>
      <w:marRight w:val="0"/>
      <w:marTop w:val="0"/>
      <w:marBottom w:val="0"/>
      <w:divBdr>
        <w:top w:val="none" w:sz="0" w:space="0" w:color="auto"/>
        <w:left w:val="none" w:sz="0" w:space="0" w:color="auto"/>
        <w:bottom w:val="none" w:sz="0" w:space="0" w:color="auto"/>
        <w:right w:val="none" w:sz="0" w:space="0" w:color="auto"/>
      </w:divBdr>
    </w:div>
    <w:div w:id="967735880">
      <w:bodyDiv w:val="1"/>
      <w:marLeft w:val="0"/>
      <w:marRight w:val="0"/>
      <w:marTop w:val="0"/>
      <w:marBottom w:val="0"/>
      <w:divBdr>
        <w:top w:val="none" w:sz="0" w:space="0" w:color="auto"/>
        <w:left w:val="none" w:sz="0" w:space="0" w:color="auto"/>
        <w:bottom w:val="none" w:sz="0" w:space="0" w:color="auto"/>
        <w:right w:val="none" w:sz="0" w:space="0" w:color="auto"/>
      </w:divBdr>
    </w:div>
    <w:div w:id="972177415">
      <w:bodyDiv w:val="1"/>
      <w:marLeft w:val="0"/>
      <w:marRight w:val="0"/>
      <w:marTop w:val="0"/>
      <w:marBottom w:val="0"/>
      <w:divBdr>
        <w:top w:val="none" w:sz="0" w:space="0" w:color="auto"/>
        <w:left w:val="none" w:sz="0" w:space="0" w:color="auto"/>
        <w:bottom w:val="none" w:sz="0" w:space="0" w:color="auto"/>
        <w:right w:val="none" w:sz="0" w:space="0" w:color="auto"/>
      </w:divBdr>
    </w:div>
    <w:div w:id="982926344">
      <w:bodyDiv w:val="1"/>
      <w:marLeft w:val="0"/>
      <w:marRight w:val="0"/>
      <w:marTop w:val="0"/>
      <w:marBottom w:val="0"/>
      <w:divBdr>
        <w:top w:val="none" w:sz="0" w:space="0" w:color="auto"/>
        <w:left w:val="none" w:sz="0" w:space="0" w:color="auto"/>
        <w:bottom w:val="none" w:sz="0" w:space="0" w:color="auto"/>
        <w:right w:val="none" w:sz="0" w:space="0" w:color="auto"/>
      </w:divBdr>
    </w:div>
    <w:div w:id="1081562470">
      <w:bodyDiv w:val="1"/>
      <w:marLeft w:val="0"/>
      <w:marRight w:val="0"/>
      <w:marTop w:val="0"/>
      <w:marBottom w:val="0"/>
      <w:divBdr>
        <w:top w:val="none" w:sz="0" w:space="0" w:color="auto"/>
        <w:left w:val="none" w:sz="0" w:space="0" w:color="auto"/>
        <w:bottom w:val="none" w:sz="0" w:space="0" w:color="auto"/>
        <w:right w:val="none" w:sz="0" w:space="0" w:color="auto"/>
      </w:divBdr>
    </w:div>
    <w:div w:id="1140878716">
      <w:bodyDiv w:val="1"/>
      <w:marLeft w:val="0"/>
      <w:marRight w:val="0"/>
      <w:marTop w:val="0"/>
      <w:marBottom w:val="0"/>
      <w:divBdr>
        <w:top w:val="none" w:sz="0" w:space="0" w:color="auto"/>
        <w:left w:val="none" w:sz="0" w:space="0" w:color="auto"/>
        <w:bottom w:val="none" w:sz="0" w:space="0" w:color="auto"/>
        <w:right w:val="none" w:sz="0" w:space="0" w:color="auto"/>
      </w:divBdr>
    </w:div>
    <w:div w:id="1346010880">
      <w:bodyDiv w:val="1"/>
      <w:marLeft w:val="0"/>
      <w:marRight w:val="0"/>
      <w:marTop w:val="0"/>
      <w:marBottom w:val="0"/>
      <w:divBdr>
        <w:top w:val="none" w:sz="0" w:space="0" w:color="auto"/>
        <w:left w:val="none" w:sz="0" w:space="0" w:color="auto"/>
        <w:bottom w:val="none" w:sz="0" w:space="0" w:color="auto"/>
        <w:right w:val="none" w:sz="0" w:space="0" w:color="auto"/>
      </w:divBdr>
    </w:div>
    <w:div w:id="1663698425">
      <w:bodyDiv w:val="1"/>
      <w:marLeft w:val="0"/>
      <w:marRight w:val="0"/>
      <w:marTop w:val="0"/>
      <w:marBottom w:val="0"/>
      <w:divBdr>
        <w:top w:val="none" w:sz="0" w:space="0" w:color="auto"/>
        <w:left w:val="none" w:sz="0" w:space="0" w:color="auto"/>
        <w:bottom w:val="none" w:sz="0" w:space="0" w:color="auto"/>
        <w:right w:val="none" w:sz="0" w:space="0" w:color="auto"/>
      </w:divBdr>
    </w:div>
    <w:div w:id="1755207066">
      <w:bodyDiv w:val="1"/>
      <w:marLeft w:val="0"/>
      <w:marRight w:val="0"/>
      <w:marTop w:val="0"/>
      <w:marBottom w:val="0"/>
      <w:divBdr>
        <w:top w:val="none" w:sz="0" w:space="0" w:color="auto"/>
        <w:left w:val="none" w:sz="0" w:space="0" w:color="auto"/>
        <w:bottom w:val="none" w:sz="0" w:space="0" w:color="auto"/>
        <w:right w:val="none" w:sz="0" w:space="0" w:color="auto"/>
      </w:divBdr>
    </w:div>
    <w:div w:id="1812166067">
      <w:bodyDiv w:val="1"/>
      <w:marLeft w:val="0"/>
      <w:marRight w:val="0"/>
      <w:marTop w:val="0"/>
      <w:marBottom w:val="0"/>
      <w:divBdr>
        <w:top w:val="none" w:sz="0" w:space="0" w:color="auto"/>
        <w:left w:val="none" w:sz="0" w:space="0" w:color="auto"/>
        <w:bottom w:val="none" w:sz="0" w:space="0" w:color="auto"/>
        <w:right w:val="none" w:sz="0" w:space="0" w:color="auto"/>
      </w:divBdr>
    </w:div>
    <w:div w:id="210121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elta-esourcing.com/delta/respondToList.html?accessCode=63C54GY6PJ"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mailto:privacy@bvdinfo.com"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mailto:dataprotection@beis.gov.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digitalmarketplace.service.gov.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ional-security-and-investment-act-prepare-for-new-rules-about-acquisi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ey.com/en_uk/attractiveness/20/uk-attractiveness-survey" TargetMode="External"/><Relationship Id="rId1" Type="http://schemas.openxmlformats.org/officeDocument/2006/relationships/hyperlink" Target="https://www.ey.com/en_uk/attractiveness/21/how-uk-resilience-in-winning-fdi-creates-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2021-10-13T15:34:37+00:00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_dlc_DocId xmlns="0063f72e-ace3-48fb-9c1f-5b513408b31f">2QFN7KK647Q6-1508220509-63919</_dlc_DocId>
    <_dlc_DocIdUrl xmlns="0063f72e-ace3-48fb-9c1f-5b513408b31f">
      <Url>https://beisgov.sharepoint.com/sites/beis/205/_layouts/15/DocIdRedir.aspx?ID=2QFN7KK647Q6-1508220509-63919</Url>
      <Description>2QFN7KK647Q6-1508220509-63919</Description>
    </_dlc_DocIdUrl>
    <SharedWithUsers xmlns="0063f72e-ace3-48fb-9c1f-5b513408b31f">
      <UserInfo>
        <DisplayName>Drew, Thomas (Consumer &amp; Competition)</DisplayName>
        <AccountId>36868</AccountId>
        <AccountType/>
      </UserInfo>
      <UserInfo>
        <DisplayName>Watts, Johnny (BEIS)</DisplayName>
        <AccountId>211752</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C0A41-2DBC-4868-B923-6A51A0E6D675}">
  <ds:schemaRefs>
    <ds:schemaRef ds:uri="http://schemas.microsoft.com/sharepoint/v3/contenttype/forms"/>
  </ds:schemaRefs>
</ds:datastoreItem>
</file>

<file path=customXml/itemProps2.xml><?xml version="1.0" encoding="utf-8"?>
<ds:datastoreItem xmlns:ds="http://schemas.openxmlformats.org/officeDocument/2006/customXml" ds:itemID="{9C283816-5BB8-4794-A8F5-CA42BF819A8D}">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236339c9-72aa-4b4d-b629-41cb8f8725a3"/>
    <ds:schemaRef ds:uri="http://schemas.microsoft.com/sharepoint/v4"/>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0B47ABF7-4250-4717-A2A7-46289C96577E}">
  <ds:schemaRefs>
    <ds:schemaRef ds:uri="http://schemas.microsoft.com/sharepoint/events"/>
  </ds:schemaRefs>
</ds:datastoreItem>
</file>

<file path=customXml/itemProps4.xml><?xml version="1.0" encoding="utf-8"?>
<ds:datastoreItem xmlns:ds="http://schemas.openxmlformats.org/officeDocument/2006/customXml" ds:itemID="{CFF7B73B-C0CA-4A65-BF15-64162AB4BF85}">
  <ds:schemaRefs>
    <ds:schemaRef ds:uri="http://schemas.openxmlformats.org/officeDocument/2006/bibliography"/>
  </ds:schemaRefs>
</ds:datastoreItem>
</file>

<file path=customXml/itemProps5.xml><?xml version="1.0" encoding="utf-8"?>
<ds:datastoreItem xmlns:ds="http://schemas.openxmlformats.org/officeDocument/2006/customXml" ds:itemID="{36AC89B8-EB7C-492B-B853-3583214B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81</Pages>
  <Words>23682</Words>
  <Characters>134993</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158359</CharactersWithSpaces>
  <SharedDoc>false</SharedDoc>
  <HLinks>
    <vt:vector size="210" baseType="variant">
      <vt:variant>
        <vt:i4>2162764</vt:i4>
      </vt:variant>
      <vt:variant>
        <vt:i4>135</vt:i4>
      </vt:variant>
      <vt:variant>
        <vt:i4>0</vt:i4>
      </vt:variant>
      <vt:variant>
        <vt:i4>5</vt:i4>
      </vt:variant>
      <vt:variant>
        <vt:lpwstr>mailto:dataprotection@beis.gov.uk</vt:lpwstr>
      </vt:variant>
      <vt:variant>
        <vt:lpwstr/>
      </vt:variant>
      <vt:variant>
        <vt:i4>6619252</vt:i4>
      </vt:variant>
      <vt:variant>
        <vt:i4>132</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129</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126</vt:i4>
      </vt:variant>
      <vt:variant>
        <vt:i4>0</vt:i4>
      </vt:variant>
      <vt:variant>
        <vt:i4>5</vt:i4>
      </vt:variant>
      <vt:variant>
        <vt:lpwstr>https://www.gov.uk/guidance/check-employment-status-for-tax</vt:lpwstr>
      </vt:variant>
      <vt:variant>
        <vt:lpwstr/>
      </vt:variant>
      <vt:variant>
        <vt:i4>6357104</vt:i4>
      </vt:variant>
      <vt:variant>
        <vt:i4>123</vt:i4>
      </vt:variant>
      <vt:variant>
        <vt:i4>0</vt:i4>
      </vt:variant>
      <vt:variant>
        <vt:i4>5</vt:i4>
      </vt:variant>
      <vt:variant>
        <vt:lpwstr>https://www.digitalmarketplace.service.gov.uk/</vt:lpwstr>
      </vt:variant>
      <vt:variant>
        <vt:lpwstr/>
      </vt:variant>
      <vt:variant>
        <vt:i4>1900618</vt:i4>
      </vt:variant>
      <vt:variant>
        <vt:i4>120</vt:i4>
      </vt:variant>
      <vt:variant>
        <vt:i4>0</vt:i4>
      </vt:variant>
      <vt:variant>
        <vt:i4>5</vt:i4>
      </vt:variant>
      <vt:variant>
        <vt:lpwstr>https://www.ncsc.gov.uk/guidance/10-steps-cyber-security</vt:lpwstr>
      </vt:variant>
      <vt:variant>
        <vt:lpwstr/>
      </vt:variant>
      <vt:variant>
        <vt:i4>1900618</vt:i4>
      </vt:variant>
      <vt:variant>
        <vt:i4>117</vt:i4>
      </vt:variant>
      <vt:variant>
        <vt:i4>0</vt:i4>
      </vt:variant>
      <vt:variant>
        <vt:i4>5</vt:i4>
      </vt:variant>
      <vt:variant>
        <vt:lpwstr>https://www.ncsc.gov.uk/guidance/10-steps-cyber-security</vt:lpwstr>
      </vt:variant>
      <vt:variant>
        <vt:lpwstr/>
      </vt:variant>
      <vt:variant>
        <vt:i4>4128867</vt:i4>
      </vt:variant>
      <vt:variant>
        <vt:i4>114</vt:i4>
      </vt:variant>
      <vt:variant>
        <vt:i4>0</vt:i4>
      </vt:variant>
      <vt:variant>
        <vt:i4>5</vt:i4>
      </vt:variant>
      <vt:variant>
        <vt:lpwstr>https://www.gov.uk/government/publications/technology-code-of-practice/technology-code-of-practice</vt:lpwstr>
      </vt:variant>
      <vt:variant>
        <vt:lpwstr/>
      </vt:variant>
      <vt:variant>
        <vt:i4>4128867</vt:i4>
      </vt:variant>
      <vt:variant>
        <vt:i4>111</vt:i4>
      </vt:variant>
      <vt:variant>
        <vt:i4>0</vt:i4>
      </vt:variant>
      <vt:variant>
        <vt:i4>5</vt:i4>
      </vt:variant>
      <vt:variant>
        <vt:lpwstr>https://www.gov.uk/government/publications/technology-code-of-practice/technology-code-of-practice</vt:lpwstr>
      </vt:variant>
      <vt:variant>
        <vt:lpwstr/>
      </vt:variant>
      <vt:variant>
        <vt:i4>7077948</vt:i4>
      </vt:variant>
      <vt:variant>
        <vt:i4>108</vt:i4>
      </vt:variant>
      <vt:variant>
        <vt:i4>0</vt:i4>
      </vt:variant>
      <vt:variant>
        <vt:i4>5</vt:i4>
      </vt:variant>
      <vt:variant>
        <vt:lpwstr>https://www.ncsc.gov.uk/guidance/implementing-cloud-security-principles</vt:lpwstr>
      </vt:variant>
      <vt:variant>
        <vt:lpwstr/>
      </vt:variant>
      <vt:variant>
        <vt:i4>7077948</vt:i4>
      </vt:variant>
      <vt:variant>
        <vt:i4>105</vt:i4>
      </vt:variant>
      <vt:variant>
        <vt:i4>0</vt:i4>
      </vt:variant>
      <vt:variant>
        <vt:i4>5</vt:i4>
      </vt:variant>
      <vt:variant>
        <vt:lpwstr>https://www.ncsc.gov.uk/guidance/implementing-cloud-security-principles</vt:lpwstr>
      </vt:variant>
      <vt:variant>
        <vt:lpwstr/>
      </vt:variant>
      <vt:variant>
        <vt:i4>4128867</vt:i4>
      </vt:variant>
      <vt:variant>
        <vt:i4>102</vt:i4>
      </vt:variant>
      <vt:variant>
        <vt:i4>0</vt:i4>
      </vt:variant>
      <vt:variant>
        <vt:i4>5</vt:i4>
      </vt:variant>
      <vt:variant>
        <vt:lpwstr>https://www.gov.uk/government/publications/technology-code-of-practice/technology-code-of-practice</vt:lpwstr>
      </vt:variant>
      <vt:variant>
        <vt:lpwstr/>
      </vt:variant>
      <vt:variant>
        <vt:i4>5046342</vt:i4>
      </vt:variant>
      <vt:variant>
        <vt:i4>99</vt:i4>
      </vt:variant>
      <vt:variant>
        <vt:i4>0</vt:i4>
      </vt:variant>
      <vt:variant>
        <vt:i4>5</vt:i4>
      </vt:variant>
      <vt:variant>
        <vt:lpwstr>https://www.ncsc.gov.uk/collection/risk-management-collection</vt:lpwstr>
      </vt:variant>
      <vt:variant>
        <vt:lpwstr/>
      </vt:variant>
      <vt:variant>
        <vt:i4>7864371</vt:i4>
      </vt:variant>
      <vt:variant>
        <vt:i4>96</vt:i4>
      </vt:variant>
      <vt:variant>
        <vt:i4>0</vt:i4>
      </vt:variant>
      <vt:variant>
        <vt:i4>5</vt:i4>
      </vt:variant>
      <vt:variant>
        <vt:lpwstr>https://www.cpni.gov.uk/protection-sensitive-information-and-assets</vt:lpwstr>
      </vt:variant>
      <vt:variant>
        <vt:lpwstr/>
      </vt:variant>
      <vt:variant>
        <vt:i4>7864371</vt:i4>
      </vt:variant>
      <vt:variant>
        <vt:i4>93</vt:i4>
      </vt:variant>
      <vt:variant>
        <vt:i4>0</vt:i4>
      </vt:variant>
      <vt:variant>
        <vt:i4>5</vt:i4>
      </vt:variant>
      <vt:variant>
        <vt:lpwstr>https://www.cpni.gov.uk/protection-sensitive-information-and-assets</vt:lpwstr>
      </vt:variant>
      <vt:variant>
        <vt:lpwstr/>
      </vt:variant>
      <vt:variant>
        <vt:i4>3801194</vt:i4>
      </vt:variant>
      <vt:variant>
        <vt:i4>90</vt:i4>
      </vt:variant>
      <vt:variant>
        <vt:i4>0</vt:i4>
      </vt:variant>
      <vt:variant>
        <vt:i4>5</vt:i4>
      </vt:variant>
      <vt:variant>
        <vt:lpwstr>https://www.cpni.gov.uk/content/adopt-risk-management-approach</vt:lpwstr>
      </vt:variant>
      <vt:variant>
        <vt:lpwstr/>
      </vt:variant>
      <vt:variant>
        <vt:i4>1900548</vt:i4>
      </vt:variant>
      <vt:variant>
        <vt:i4>87</vt:i4>
      </vt:variant>
      <vt:variant>
        <vt:i4>0</vt:i4>
      </vt:variant>
      <vt:variant>
        <vt:i4>5</vt:i4>
      </vt:variant>
      <vt:variant>
        <vt:lpwstr>https://www.gov.uk/government/publications/security-policy-framework</vt:lpwstr>
      </vt:variant>
      <vt:variant>
        <vt:lpwstr/>
      </vt:variant>
      <vt:variant>
        <vt:i4>1900548</vt:i4>
      </vt:variant>
      <vt:variant>
        <vt:i4>84</vt:i4>
      </vt:variant>
      <vt:variant>
        <vt:i4>0</vt:i4>
      </vt:variant>
      <vt:variant>
        <vt:i4>5</vt:i4>
      </vt:variant>
      <vt:variant>
        <vt:lpwstr>https://www.gov.uk/government/publications/security-policy-framework</vt:lpwstr>
      </vt:variant>
      <vt:variant>
        <vt:lpwstr/>
      </vt:variant>
      <vt:variant>
        <vt:i4>5374041</vt:i4>
      </vt:variant>
      <vt:variant>
        <vt:i4>81</vt:i4>
      </vt:variant>
      <vt:variant>
        <vt:i4>0</vt:i4>
      </vt:variant>
      <vt:variant>
        <vt:i4>5</vt:i4>
      </vt:variant>
      <vt:variant>
        <vt:lpwstr>https://www.gov.uk/government/publications/national-security-and-investment-act-prepare-for-new-rules-about-acquisitions</vt:lpwstr>
      </vt:variant>
      <vt:variant>
        <vt:lpwstr/>
      </vt:variant>
      <vt:variant>
        <vt:i4>8323181</vt:i4>
      </vt:variant>
      <vt:variant>
        <vt:i4>78</vt:i4>
      </vt:variant>
      <vt:variant>
        <vt:i4>0</vt:i4>
      </vt:variant>
      <vt:variant>
        <vt:i4>5</vt:i4>
      </vt:variant>
      <vt:variant>
        <vt:lpwstr>https://www.delta-esourcing.com/delta/respondToList.html?accessCode=63C54GY6PJ</vt:lpwstr>
      </vt:variant>
      <vt:variant>
        <vt:lpwstr/>
      </vt:variant>
      <vt:variant>
        <vt:i4>3932175</vt:i4>
      </vt:variant>
      <vt:variant>
        <vt:i4>75</vt:i4>
      </vt:variant>
      <vt:variant>
        <vt:i4>0</vt:i4>
      </vt:variant>
      <vt:variant>
        <vt:i4>5</vt:i4>
      </vt:variant>
      <vt:variant>
        <vt:lpwstr>mailto:thomas.drew@beis.gov.uk</vt:lpwstr>
      </vt:variant>
      <vt:variant>
        <vt:lpwstr/>
      </vt:variant>
      <vt:variant>
        <vt:i4>1048632</vt:i4>
      </vt:variant>
      <vt:variant>
        <vt:i4>68</vt:i4>
      </vt:variant>
      <vt:variant>
        <vt:i4>0</vt:i4>
      </vt:variant>
      <vt:variant>
        <vt:i4>5</vt:i4>
      </vt:variant>
      <vt:variant>
        <vt:lpwstr/>
      </vt:variant>
      <vt:variant>
        <vt:lpwstr>_Toc85461054</vt:lpwstr>
      </vt:variant>
      <vt:variant>
        <vt:i4>1507384</vt:i4>
      </vt:variant>
      <vt:variant>
        <vt:i4>62</vt:i4>
      </vt:variant>
      <vt:variant>
        <vt:i4>0</vt:i4>
      </vt:variant>
      <vt:variant>
        <vt:i4>5</vt:i4>
      </vt:variant>
      <vt:variant>
        <vt:lpwstr/>
      </vt:variant>
      <vt:variant>
        <vt:lpwstr>_Toc85461053</vt:lpwstr>
      </vt:variant>
      <vt:variant>
        <vt:i4>1441848</vt:i4>
      </vt:variant>
      <vt:variant>
        <vt:i4>56</vt:i4>
      </vt:variant>
      <vt:variant>
        <vt:i4>0</vt:i4>
      </vt:variant>
      <vt:variant>
        <vt:i4>5</vt:i4>
      </vt:variant>
      <vt:variant>
        <vt:lpwstr/>
      </vt:variant>
      <vt:variant>
        <vt:lpwstr>_Toc85461052</vt:lpwstr>
      </vt:variant>
      <vt:variant>
        <vt:i4>1376312</vt:i4>
      </vt:variant>
      <vt:variant>
        <vt:i4>50</vt:i4>
      </vt:variant>
      <vt:variant>
        <vt:i4>0</vt:i4>
      </vt:variant>
      <vt:variant>
        <vt:i4>5</vt:i4>
      </vt:variant>
      <vt:variant>
        <vt:lpwstr/>
      </vt:variant>
      <vt:variant>
        <vt:lpwstr>_Toc85461051</vt:lpwstr>
      </vt:variant>
      <vt:variant>
        <vt:i4>1310776</vt:i4>
      </vt:variant>
      <vt:variant>
        <vt:i4>44</vt:i4>
      </vt:variant>
      <vt:variant>
        <vt:i4>0</vt:i4>
      </vt:variant>
      <vt:variant>
        <vt:i4>5</vt:i4>
      </vt:variant>
      <vt:variant>
        <vt:lpwstr/>
      </vt:variant>
      <vt:variant>
        <vt:lpwstr>_Toc85461050</vt:lpwstr>
      </vt:variant>
      <vt:variant>
        <vt:i4>1900601</vt:i4>
      </vt:variant>
      <vt:variant>
        <vt:i4>38</vt:i4>
      </vt:variant>
      <vt:variant>
        <vt:i4>0</vt:i4>
      </vt:variant>
      <vt:variant>
        <vt:i4>5</vt:i4>
      </vt:variant>
      <vt:variant>
        <vt:lpwstr/>
      </vt:variant>
      <vt:variant>
        <vt:lpwstr>_Toc85461049</vt:lpwstr>
      </vt:variant>
      <vt:variant>
        <vt:i4>1835065</vt:i4>
      </vt:variant>
      <vt:variant>
        <vt:i4>32</vt:i4>
      </vt:variant>
      <vt:variant>
        <vt:i4>0</vt:i4>
      </vt:variant>
      <vt:variant>
        <vt:i4>5</vt:i4>
      </vt:variant>
      <vt:variant>
        <vt:lpwstr/>
      </vt:variant>
      <vt:variant>
        <vt:lpwstr>_Toc85461048</vt:lpwstr>
      </vt:variant>
      <vt:variant>
        <vt:i4>1245241</vt:i4>
      </vt:variant>
      <vt:variant>
        <vt:i4>26</vt:i4>
      </vt:variant>
      <vt:variant>
        <vt:i4>0</vt:i4>
      </vt:variant>
      <vt:variant>
        <vt:i4>5</vt:i4>
      </vt:variant>
      <vt:variant>
        <vt:lpwstr/>
      </vt:variant>
      <vt:variant>
        <vt:lpwstr>_Toc85461047</vt:lpwstr>
      </vt:variant>
      <vt:variant>
        <vt:i4>1179705</vt:i4>
      </vt:variant>
      <vt:variant>
        <vt:i4>20</vt:i4>
      </vt:variant>
      <vt:variant>
        <vt:i4>0</vt:i4>
      </vt:variant>
      <vt:variant>
        <vt:i4>5</vt:i4>
      </vt:variant>
      <vt:variant>
        <vt:lpwstr/>
      </vt:variant>
      <vt:variant>
        <vt:lpwstr>_Toc85461046</vt:lpwstr>
      </vt:variant>
      <vt:variant>
        <vt:i4>1114169</vt:i4>
      </vt:variant>
      <vt:variant>
        <vt:i4>14</vt:i4>
      </vt:variant>
      <vt:variant>
        <vt:i4>0</vt:i4>
      </vt:variant>
      <vt:variant>
        <vt:i4>5</vt:i4>
      </vt:variant>
      <vt:variant>
        <vt:lpwstr/>
      </vt:variant>
      <vt:variant>
        <vt:lpwstr>_Toc85461045</vt:lpwstr>
      </vt:variant>
      <vt:variant>
        <vt:i4>1048633</vt:i4>
      </vt:variant>
      <vt:variant>
        <vt:i4>8</vt:i4>
      </vt:variant>
      <vt:variant>
        <vt:i4>0</vt:i4>
      </vt:variant>
      <vt:variant>
        <vt:i4>5</vt:i4>
      </vt:variant>
      <vt:variant>
        <vt:lpwstr/>
      </vt:variant>
      <vt:variant>
        <vt:lpwstr>_Toc85461044</vt:lpwstr>
      </vt:variant>
      <vt:variant>
        <vt:i4>1507385</vt:i4>
      </vt:variant>
      <vt:variant>
        <vt:i4>2</vt:i4>
      </vt:variant>
      <vt:variant>
        <vt:i4>0</vt:i4>
      </vt:variant>
      <vt:variant>
        <vt:i4>5</vt:i4>
      </vt:variant>
      <vt:variant>
        <vt:lpwstr/>
      </vt:variant>
      <vt:variant>
        <vt:lpwstr>_Toc85461043</vt:lpwstr>
      </vt:variant>
      <vt:variant>
        <vt:i4>5832755</vt:i4>
      </vt:variant>
      <vt:variant>
        <vt:i4>3</vt:i4>
      </vt:variant>
      <vt:variant>
        <vt:i4>0</vt:i4>
      </vt:variant>
      <vt:variant>
        <vt:i4>5</vt:i4>
      </vt:variant>
      <vt:variant>
        <vt:lpwstr>https://www.ey.com/en_uk/attractiveness/20/uk-attractiveness-survey</vt:lpwstr>
      </vt:variant>
      <vt:variant>
        <vt:lpwstr/>
      </vt:variant>
      <vt:variant>
        <vt:i4>5308532</vt:i4>
      </vt:variant>
      <vt:variant>
        <vt:i4>0</vt:i4>
      </vt:variant>
      <vt:variant>
        <vt:i4>0</vt:i4>
      </vt:variant>
      <vt:variant>
        <vt:i4>5</vt:i4>
      </vt:variant>
      <vt:variant>
        <vt:lpwstr>https://www.ey.com/en_uk/attractiveness/21/how-uk-resilience-in-winning-fdi-creates-opportunity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Wisby, Felix (Commercial)</cp:lastModifiedBy>
  <cp:revision>12</cp:revision>
  <cp:lastPrinted>2020-06-10T10:41:00Z</cp:lastPrinted>
  <dcterms:created xsi:type="dcterms:W3CDTF">2021-10-27T13:05:00Z</dcterms:created>
  <dcterms:modified xsi:type="dcterms:W3CDTF">2021-10-29T13:57:00Z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2021-10-13T13:55:17Z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1dd1596a-2c0f-4090-94e0-cffeec58a924</vt:lpwstr>
  </property>
  <property fmtid="{D5CDD505-2E9C-101B-9397-08002B2CF9AE}" pid="8" name="MSIP_Label_ba62f585-b40f-4ab9-bafe-39150f03d124_ContentBits">
    <vt:lpwstr>0</vt:lpwstr>
  </property>
  <property fmtid="{D5CDD505-2E9C-101B-9397-08002B2CF9AE}" pid="9" name="ContentTypeId">
    <vt:lpwstr>0x01010027B6D0DFEE2B924BB3DA44ADB5FFCB77</vt:lpwstr>
  </property>
  <property fmtid="{D5CDD505-2E9C-101B-9397-08002B2CF9AE}" pid="10" name="_dlc_DocIdItemGuid">
    <vt:lpwstr>36f23d46-624b-4d47-bac9-867b63d7ef82</vt:lpwstr>
  </property>
  <property fmtid="{D5CDD505-2E9C-101B-9397-08002B2CF9AE}" pid="11" name="Business Unit">
    <vt:lpwstr>222;#Commercial Directors Office|238fa97d-f15c-4150-b026-dc0dcc757911</vt:lpwstr>
  </property>
</Properties>
</file>