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5D6082D" w:rsidR="007F19E5" w:rsidRDefault="007F19E5"/>
    <w:p w14:paraId="00000002" w14:textId="77777777" w:rsidR="007F19E5" w:rsidRDefault="007F19E5"/>
    <w:p w14:paraId="66ECACDE" w14:textId="77777777" w:rsidR="002A0B9D" w:rsidRPr="002A0B9D" w:rsidRDefault="002A0B9D" w:rsidP="002A0B9D">
      <w:pPr>
        <w:keepNext/>
        <w:keepLines/>
        <w:outlineLvl w:val="0"/>
        <w:rPr>
          <w:rFonts w:eastAsia="Arial"/>
          <w:b/>
          <w:sz w:val="36"/>
          <w:szCs w:val="36"/>
          <w:lang w:eastAsia="en-GB"/>
        </w:rPr>
      </w:pPr>
      <w:bookmarkStart w:id="0" w:name="_heading=h.gjdgxs" w:colFirst="0" w:colLast="0"/>
      <w:bookmarkEnd w:id="0"/>
      <w:r w:rsidRPr="002A0B9D">
        <w:rPr>
          <w:rFonts w:eastAsia="Arial"/>
          <w:b/>
          <w:sz w:val="36"/>
          <w:szCs w:val="36"/>
          <w:lang w:eastAsia="en-GB"/>
        </w:rPr>
        <w:t>Call-Off Schedule 20 (Call-Off Specification)</w:t>
      </w:r>
    </w:p>
    <w:p w14:paraId="506C06C5" w14:textId="77777777" w:rsidR="002A0B9D" w:rsidRDefault="002A0B9D">
      <w:pPr>
        <w:spacing w:after="200" w:line="276" w:lineRule="auto"/>
        <w:rPr>
          <w:b/>
          <w:sz w:val="48"/>
          <w:szCs w:val="48"/>
        </w:rPr>
      </w:pPr>
    </w:p>
    <w:p w14:paraId="00000004" w14:textId="6A797435" w:rsidR="007F19E5" w:rsidRDefault="00D3120E">
      <w:pPr>
        <w:spacing w:after="200" w:line="276" w:lineRule="auto"/>
        <w:rPr>
          <w:b/>
          <w:sz w:val="36"/>
          <w:szCs w:val="36"/>
        </w:rPr>
      </w:pPr>
      <w:r>
        <w:rPr>
          <w:b/>
          <w:sz w:val="36"/>
          <w:szCs w:val="36"/>
        </w:rPr>
        <w:t>Statement of Requirements</w:t>
      </w:r>
    </w:p>
    <w:p w14:paraId="00000005" w14:textId="77777777" w:rsidR="007F19E5" w:rsidRDefault="00D3120E">
      <w:pPr>
        <w:spacing w:line="360" w:lineRule="auto"/>
        <w:ind w:left="2835" w:hanging="2835"/>
        <w:rPr>
          <w:sz w:val="32"/>
          <w:szCs w:val="32"/>
        </w:rPr>
      </w:pPr>
      <w:bookmarkStart w:id="1" w:name="_heading=h.30j0zll" w:colFirst="0" w:colLast="0"/>
      <w:bookmarkEnd w:id="1"/>
      <w:r>
        <w:rPr>
          <w:b/>
          <w:sz w:val="32"/>
          <w:szCs w:val="32"/>
        </w:rPr>
        <w:t xml:space="preserve">CCCC22A12 - Assurance Partner for the </w:t>
      </w:r>
      <w:proofErr w:type="spellStart"/>
      <w:r>
        <w:rPr>
          <w:b/>
          <w:sz w:val="32"/>
          <w:szCs w:val="32"/>
        </w:rPr>
        <w:t>InSite</w:t>
      </w:r>
      <w:proofErr w:type="spellEnd"/>
      <w:r>
        <w:rPr>
          <w:b/>
          <w:sz w:val="32"/>
          <w:szCs w:val="32"/>
        </w:rPr>
        <w:t xml:space="preserve"> Programme</w:t>
      </w:r>
    </w:p>
    <w:p w14:paraId="00000006" w14:textId="77777777" w:rsidR="007F19E5" w:rsidRDefault="007F19E5">
      <w:pPr>
        <w:spacing w:line="360" w:lineRule="auto"/>
        <w:ind w:left="2835" w:hanging="2835"/>
      </w:pPr>
    </w:p>
    <w:p w14:paraId="00000007" w14:textId="77777777" w:rsidR="007F19E5" w:rsidRDefault="00D3120E">
      <w:pPr>
        <w:rPr>
          <w:b/>
        </w:rPr>
      </w:pPr>
      <w:r>
        <w:br w:type="page"/>
      </w:r>
    </w:p>
    <w:p w14:paraId="00000008" w14:textId="77777777" w:rsidR="007F19E5" w:rsidRDefault="00D3120E">
      <w:pPr>
        <w:pBdr>
          <w:top w:val="nil"/>
          <w:left w:val="nil"/>
          <w:bottom w:val="nil"/>
          <w:right w:val="nil"/>
          <w:between w:val="nil"/>
        </w:pBdr>
        <w:jc w:val="center"/>
        <w:rPr>
          <w:rFonts w:eastAsia="Arial"/>
          <w:b/>
          <w:color w:val="000000"/>
          <w:szCs w:val="22"/>
        </w:rPr>
      </w:pPr>
      <w:r>
        <w:rPr>
          <w:rFonts w:eastAsia="Arial"/>
          <w:b/>
          <w:color w:val="000000"/>
          <w:szCs w:val="22"/>
        </w:rPr>
        <w:lastRenderedPageBreak/>
        <w:t>CONTENTS</w:t>
      </w:r>
    </w:p>
    <w:p w14:paraId="00000009" w14:textId="77777777" w:rsidR="007F19E5" w:rsidRDefault="007F19E5"/>
    <w:sdt>
      <w:sdtPr>
        <w:id w:val="-1465193448"/>
        <w:docPartObj>
          <w:docPartGallery w:val="Table of Contents"/>
          <w:docPartUnique/>
        </w:docPartObj>
      </w:sdtPr>
      <w:sdtEndPr/>
      <w:sdtContent>
        <w:p w14:paraId="0000000A" w14:textId="5C7F031E" w:rsidR="007F19E5" w:rsidRDefault="00D3120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2et92p0">
            <w:r w:rsidR="00D43281">
              <w:rPr>
                <w:rFonts w:eastAsia="Arial"/>
                <w:smallCaps/>
                <w:color w:val="000000"/>
                <w:szCs w:val="22"/>
              </w:rPr>
              <w:t>1.</w:t>
            </w:r>
          </w:hyperlink>
          <w:hyperlink w:anchor="_heading=h.2et92p0">
            <w:r w:rsidR="00D43281">
              <w:rPr>
                <w:rFonts w:ascii="Calibri" w:eastAsia="Calibri" w:hAnsi="Calibri" w:cs="Calibri"/>
                <w:color w:val="000000"/>
                <w:szCs w:val="22"/>
              </w:rPr>
              <w:tab/>
            </w:r>
          </w:hyperlink>
          <w:r>
            <w:fldChar w:fldCharType="begin"/>
          </w:r>
          <w:r>
            <w:instrText xml:space="preserve"> PAGEREF _heading=h.2et92p0 \h </w:instrText>
          </w:r>
          <w:r>
            <w:fldChar w:fldCharType="separate"/>
          </w:r>
          <w:r w:rsidR="00D43281">
            <w:rPr>
              <w:rFonts w:eastAsia="Arial"/>
              <w:smallCaps/>
              <w:color w:val="000000"/>
              <w:szCs w:val="22"/>
            </w:rPr>
            <w:t>PURPOSE</w:t>
          </w:r>
          <w:r w:rsidR="00D43281">
            <w:rPr>
              <w:rFonts w:eastAsia="Arial"/>
              <w:smallCaps/>
              <w:color w:val="000000"/>
              <w:szCs w:val="22"/>
            </w:rPr>
            <w:tab/>
            <w:t>3</w:t>
          </w:r>
          <w:r>
            <w:fldChar w:fldCharType="end"/>
          </w:r>
        </w:p>
        <w:p w14:paraId="0000000B" w14:textId="1E61E6D4"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dy6vkm">
            <w:r w:rsidR="00D43281">
              <w:rPr>
                <w:rFonts w:eastAsia="Arial"/>
                <w:smallCaps/>
                <w:color w:val="000000"/>
                <w:szCs w:val="22"/>
              </w:rPr>
              <w:t>2.</w:t>
            </w:r>
          </w:hyperlink>
          <w:hyperlink w:anchor="_heading=h.3dy6vkm">
            <w:r w:rsidR="00D43281">
              <w:rPr>
                <w:rFonts w:ascii="Calibri" w:eastAsia="Calibri" w:hAnsi="Calibri" w:cs="Calibri"/>
                <w:color w:val="000000"/>
                <w:szCs w:val="22"/>
              </w:rPr>
              <w:tab/>
            </w:r>
          </w:hyperlink>
          <w:r w:rsidR="00D3120E">
            <w:fldChar w:fldCharType="begin"/>
          </w:r>
          <w:r w:rsidR="00D3120E">
            <w:instrText xml:space="preserve"> PAGEREF _heading=h.3dy6vkm \h </w:instrText>
          </w:r>
          <w:r w:rsidR="00D3120E">
            <w:fldChar w:fldCharType="separate"/>
          </w:r>
          <w:r w:rsidR="00D43281">
            <w:rPr>
              <w:rFonts w:eastAsia="Arial"/>
              <w:smallCaps/>
              <w:color w:val="000000"/>
              <w:szCs w:val="22"/>
            </w:rPr>
            <w:t>BACKGROUND TO THE CONTRACTING AUTHORITY</w:t>
          </w:r>
          <w:r w:rsidR="00D43281">
            <w:rPr>
              <w:rFonts w:eastAsia="Arial"/>
              <w:smallCaps/>
              <w:color w:val="000000"/>
              <w:szCs w:val="22"/>
            </w:rPr>
            <w:tab/>
            <w:t>3</w:t>
          </w:r>
          <w:r w:rsidR="00D3120E">
            <w:fldChar w:fldCharType="end"/>
          </w:r>
        </w:p>
        <w:p w14:paraId="0000000C" w14:textId="184F5038"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d34og8">
            <w:r w:rsidR="00D43281">
              <w:rPr>
                <w:rFonts w:eastAsia="Arial"/>
                <w:smallCaps/>
                <w:color w:val="000000"/>
                <w:szCs w:val="22"/>
              </w:rPr>
              <w:t>3.</w:t>
            </w:r>
          </w:hyperlink>
          <w:hyperlink w:anchor="_heading=h.4d34og8">
            <w:r w:rsidR="00D43281">
              <w:rPr>
                <w:rFonts w:ascii="Calibri" w:eastAsia="Calibri" w:hAnsi="Calibri" w:cs="Calibri"/>
                <w:color w:val="000000"/>
                <w:szCs w:val="22"/>
              </w:rPr>
              <w:tab/>
            </w:r>
          </w:hyperlink>
          <w:r w:rsidR="00D3120E">
            <w:fldChar w:fldCharType="begin"/>
          </w:r>
          <w:r w:rsidR="00D3120E">
            <w:instrText xml:space="preserve"> PAGEREF _heading=h.4d34og8 \h </w:instrText>
          </w:r>
          <w:r w:rsidR="00D3120E">
            <w:fldChar w:fldCharType="separate"/>
          </w:r>
          <w:r w:rsidR="00D43281">
            <w:rPr>
              <w:rFonts w:eastAsia="Arial"/>
              <w:smallCaps/>
              <w:color w:val="000000"/>
              <w:szCs w:val="22"/>
            </w:rPr>
            <w:t>BACKGROUND TO REQUIREMENT/OVERVIEW OF REQUIREMENT</w:t>
          </w:r>
          <w:r w:rsidR="00D43281">
            <w:rPr>
              <w:rFonts w:eastAsia="Arial"/>
              <w:smallCaps/>
              <w:color w:val="000000"/>
              <w:szCs w:val="22"/>
            </w:rPr>
            <w:tab/>
            <w:t>4</w:t>
          </w:r>
          <w:r w:rsidR="00D3120E">
            <w:fldChar w:fldCharType="end"/>
          </w:r>
        </w:p>
        <w:p w14:paraId="0000000D" w14:textId="27C57922"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D43281">
              <w:rPr>
                <w:rFonts w:eastAsia="Arial"/>
                <w:smallCaps/>
                <w:color w:val="000000"/>
                <w:szCs w:val="22"/>
              </w:rPr>
              <w:t>4.</w:t>
            </w:r>
          </w:hyperlink>
          <w:hyperlink w:anchor="_heading=h.17dp8vu">
            <w:r w:rsidR="00D43281">
              <w:rPr>
                <w:rFonts w:ascii="Calibri" w:eastAsia="Calibri" w:hAnsi="Calibri" w:cs="Calibri"/>
                <w:color w:val="000000"/>
                <w:szCs w:val="22"/>
              </w:rPr>
              <w:tab/>
            </w:r>
          </w:hyperlink>
          <w:r w:rsidR="00D3120E">
            <w:fldChar w:fldCharType="begin"/>
          </w:r>
          <w:r w:rsidR="00D3120E">
            <w:instrText xml:space="preserve"> PAGEREF _heading=h.17dp8vu \h </w:instrText>
          </w:r>
          <w:r w:rsidR="00D3120E">
            <w:fldChar w:fldCharType="separate"/>
          </w:r>
          <w:r w:rsidR="00D43281">
            <w:rPr>
              <w:rFonts w:eastAsia="Arial"/>
              <w:smallCaps/>
              <w:color w:val="000000"/>
              <w:szCs w:val="22"/>
            </w:rPr>
            <w:t>DEFINITIONS</w:t>
          </w:r>
          <w:r w:rsidR="00D43281">
            <w:rPr>
              <w:rFonts w:eastAsia="Arial"/>
              <w:smallCaps/>
              <w:color w:val="000000"/>
              <w:szCs w:val="22"/>
            </w:rPr>
            <w:tab/>
            <w:t>7</w:t>
          </w:r>
          <w:r w:rsidR="00D3120E">
            <w:fldChar w:fldCharType="end"/>
          </w:r>
        </w:p>
        <w:p w14:paraId="0000000E" w14:textId="2B2A8DE4"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6in1rg">
            <w:r w:rsidR="00D43281">
              <w:rPr>
                <w:rFonts w:eastAsia="Arial"/>
                <w:smallCaps/>
                <w:color w:val="000000"/>
                <w:szCs w:val="22"/>
              </w:rPr>
              <w:t>5.</w:t>
            </w:r>
          </w:hyperlink>
          <w:hyperlink w:anchor="_heading=h.26in1rg">
            <w:r w:rsidR="00D43281">
              <w:rPr>
                <w:rFonts w:ascii="Calibri" w:eastAsia="Calibri" w:hAnsi="Calibri" w:cs="Calibri"/>
                <w:color w:val="000000"/>
                <w:szCs w:val="22"/>
              </w:rPr>
              <w:tab/>
            </w:r>
          </w:hyperlink>
          <w:r w:rsidR="00D3120E">
            <w:fldChar w:fldCharType="begin"/>
          </w:r>
          <w:r w:rsidR="00D3120E">
            <w:instrText xml:space="preserve"> PAGEREF _heading=h.26in1rg \h </w:instrText>
          </w:r>
          <w:r w:rsidR="00D3120E">
            <w:fldChar w:fldCharType="separate"/>
          </w:r>
          <w:r w:rsidR="00D43281">
            <w:rPr>
              <w:rFonts w:eastAsia="Arial"/>
              <w:smallCaps/>
              <w:color w:val="000000"/>
              <w:szCs w:val="22"/>
            </w:rPr>
            <w:t>THE REQUIREMENT</w:t>
          </w:r>
          <w:r w:rsidR="00D43281">
            <w:rPr>
              <w:rFonts w:eastAsia="Arial"/>
              <w:smallCaps/>
              <w:color w:val="000000"/>
              <w:szCs w:val="22"/>
            </w:rPr>
            <w:tab/>
            <w:t>8</w:t>
          </w:r>
          <w:r w:rsidR="00D3120E">
            <w:fldChar w:fldCharType="end"/>
          </w:r>
        </w:p>
        <w:p w14:paraId="0000000F" w14:textId="7153FF82"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lnxbz9">
            <w:r w:rsidR="00D43281">
              <w:rPr>
                <w:rFonts w:eastAsia="Arial"/>
                <w:smallCaps/>
                <w:color w:val="000000"/>
                <w:szCs w:val="22"/>
              </w:rPr>
              <w:t>6.</w:t>
            </w:r>
          </w:hyperlink>
          <w:hyperlink w:anchor="_heading=h.lnxbz9">
            <w:r w:rsidR="00D43281">
              <w:rPr>
                <w:rFonts w:ascii="Calibri" w:eastAsia="Calibri" w:hAnsi="Calibri" w:cs="Calibri"/>
                <w:color w:val="000000"/>
                <w:szCs w:val="22"/>
              </w:rPr>
              <w:tab/>
            </w:r>
          </w:hyperlink>
          <w:r w:rsidR="00D3120E">
            <w:fldChar w:fldCharType="begin"/>
          </w:r>
          <w:r w:rsidR="00D3120E">
            <w:instrText xml:space="preserve"> PAGEREF _heading=h.lnxbz9 \h </w:instrText>
          </w:r>
          <w:r w:rsidR="00D3120E">
            <w:fldChar w:fldCharType="separate"/>
          </w:r>
          <w:r w:rsidR="00D43281">
            <w:rPr>
              <w:rFonts w:eastAsia="Arial"/>
              <w:smallCaps/>
              <w:color w:val="000000"/>
              <w:szCs w:val="22"/>
            </w:rPr>
            <w:t>KEY MILESTONES AND DELIVERABLES</w:t>
          </w:r>
          <w:r w:rsidR="00D43281">
            <w:rPr>
              <w:rFonts w:eastAsia="Arial"/>
              <w:smallCaps/>
              <w:color w:val="000000"/>
              <w:szCs w:val="22"/>
            </w:rPr>
            <w:tab/>
            <w:t>12</w:t>
          </w:r>
          <w:r w:rsidR="00D3120E">
            <w:fldChar w:fldCharType="end"/>
          </w:r>
        </w:p>
        <w:p w14:paraId="00000010" w14:textId="11BD3DA8"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4sinio">
            <w:r w:rsidR="00D43281">
              <w:rPr>
                <w:rFonts w:eastAsia="Arial"/>
                <w:smallCaps/>
                <w:color w:val="000000"/>
                <w:szCs w:val="22"/>
              </w:rPr>
              <w:t>7.</w:t>
            </w:r>
          </w:hyperlink>
          <w:hyperlink w:anchor="_heading=h.44sinio">
            <w:r w:rsidR="00D43281">
              <w:rPr>
                <w:rFonts w:ascii="Calibri" w:eastAsia="Calibri" w:hAnsi="Calibri" w:cs="Calibri"/>
                <w:color w:val="000000"/>
                <w:szCs w:val="22"/>
              </w:rPr>
              <w:tab/>
            </w:r>
          </w:hyperlink>
          <w:r w:rsidR="00D3120E">
            <w:fldChar w:fldCharType="begin"/>
          </w:r>
          <w:r w:rsidR="00D3120E">
            <w:instrText xml:space="preserve"> PAGEREF _heading=h.44sinio \h </w:instrText>
          </w:r>
          <w:r w:rsidR="00D3120E">
            <w:fldChar w:fldCharType="separate"/>
          </w:r>
          <w:r w:rsidR="00D43281">
            <w:rPr>
              <w:rFonts w:eastAsia="Arial"/>
              <w:smallCaps/>
              <w:color w:val="000000"/>
              <w:szCs w:val="22"/>
            </w:rPr>
            <w:t>MANAGEMENT INFORMATION/REPORTING</w:t>
          </w:r>
          <w:r w:rsidR="00D43281">
            <w:rPr>
              <w:rFonts w:eastAsia="Arial"/>
              <w:smallCaps/>
              <w:color w:val="000000"/>
              <w:szCs w:val="22"/>
            </w:rPr>
            <w:tab/>
            <w:t>14</w:t>
          </w:r>
          <w:r w:rsidR="00D3120E">
            <w:fldChar w:fldCharType="end"/>
          </w:r>
        </w:p>
        <w:p w14:paraId="00000011" w14:textId="1CFF257D"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jxsxqh">
            <w:r w:rsidR="00D43281">
              <w:rPr>
                <w:rFonts w:eastAsia="Arial"/>
                <w:smallCaps/>
                <w:color w:val="000000"/>
                <w:szCs w:val="22"/>
              </w:rPr>
              <w:t>8.</w:t>
            </w:r>
          </w:hyperlink>
          <w:hyperlink w:anchor="_heading=h.2jxsxqh">
            <w:r w:rsidR="00D43281">
              <w:rPr>
                <w:rFonts w:ascii="Calibri" w:eastAsia="Calibri" w:hAnsi="Calibri" w:cs="Calibri"/>
                <w:color w:val="000000"/>
                <w:szCs w:val="22"/>
              </w:rPr>
              <w:tab/>
            </w:r>
          </w:hyperlink>
          <w:r w:rsidR="00D3120E">
            <w:fldChar w:fldCharType="begin"/>
          </w:r>
          <w:r w:rsidR="00D3120E">
            <w:instrText xml:space="preserve"> PAGEREF _heading=h.2jxsxqh \h </w:instrText>
          </w:r>
          <w:r w:rsidR="00D3120E">
            <w:fldChar w:fldCharType="separate"/>
          </w:r>
          <w:r w:rsidR="00D43281">
            <w:rPr>
              <w:rFonts w:eastAsia="Arial"/>
              <w:smallCaps/>
              <w:color w:val="000000"/>
              <w:szCs w:val="22"/>
            </w:rPr>
            <w:t>CONTINUOUS IMPROVEMENT</w:t>
          </w:r>
          <w:r w:rsidR="00D43281">
            <w:rPr>
              <w:rFonts w:eastAsia="Arial"/>
              <w:smallCaps/>
              <w:color w:val="000000"/>
              <w:szCs w:val="22"/>
            </w:rPr>
            <w:tab/>
            <w:t>14</w:t>
          </w:r>
          <w:r w:rsidR="00D3120E">
            <w:fldChar w:fldCharType="end"/>
          </w:r>
        </w:p>
        <w:p w14:paraId="00000012" w14:textId="7ADC212B"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z337ya">
            <w:r w:rsidR="00D43281">
              <w:rPr>
                <w:rFonts w:eastAsia="Arial"/>
                <w:smallCaps/>
                <w:color w:val="000000"/>
                <w:szCs w:val="22"/>
              </w:rPr>
              <w:t>9.</w:t>
            </w:r>
          </w:hyperlink>
          <w:hyperlink w:anchor="_heading=h.z337ya">
            <w:r w:rsidR="00D43281">
              <w:rPr>
                <w:rFonts w:ascii="Calibri" w:eastAsia="Calibri" w:hAnsi="Calibri" w:cs="Calibri"/>
                <w:color w:val="000000"/>
                <w:szCs w:val="22"/>
              </w:rPr>
              <w:tab/>
            </w:r>
          </w:hyperlink>
          <w:r w:rsidR="00D3120E">
            <w:fldChar w:fldCharType="begin"/>
          </w:r>
          <w:r w:rsidR="00D3120E">
            <w:instrText xml:space="preserve"> PAGEREF _heading=h.z337ya \h </w:instrText>
          </w:r>
          <w:r w:rsidR="00D3120E">
            <w:fldChar w:fldCharType="separate"/>
          </w:r>
          <w:r w:rsidR="00D43281">
            <w:rPr>
              <w:rFonts w:eastAsia="Arial"/>
              <w:smallCaps/>
              <w:color w:val="000000"/>
              <w:szCs w:val="22"/>
            </w:rPr>
            <w:t>SUSTAINABILITY</w:t>
          </w:r>
          <w:r w:rsidR="00D43281">
            <w:rPr>
              <w:rFonts w:eastAsia="Arial"/>
              <w:smallCaps/>
              <w:color w:val="000000"/>
              <w:szCs w:val="22"/>
            </w:rPr>
            <w:tab/>
            <w:t>14</w:t>
          </w:r>
          <w:r w:rsidR="00D3120E">
            <w:fldChar w:fldCharType="end"/>
          </w:r>
        </w:p>
        <w:p w14:paraId="00000013" w14:textId="6D1F6B44"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D43281">
              <w:rPr>
                <w:rFonts w:eastAsia="Arial"/>
                <w:smallCaps/>
                <w:color w:val="000000"/>
                <w:szCs w:val="22"/>
              </w:rPr>
              <w:t>10.</w:t>
            </w:r>
          </w:hyperlink>
          <w:hyperlink w:anchor="_heading=h.3j2qqm3">
            <w:r w:rsidR="00D43281">
              <w:rPr>
                <w:rFonts w:ascii="Calibri" w:eastAsia="Calibri" w:hAnsi="Calibri" w:cs="Calibri"/>
                <w:color w:val="000000"/>
                <w:szCs w:val="22"/>
              </w:rPr>
              <w:tab/>
            </w:r>
          </w:hyperlink>
          <w:r w:rsidR="00D3120E">
            <w:fldChar w:fldCharType="begin"/>
          </w:r>
          <w:r w:rsidR="00D3120E">
            <w:instrText xml:space="preserve"> PAGEREF _heading=h.3j2qqm3 \h </w:instrText>
          </w:r>
          <w:r w:rsidR="00D3120E">
            <w:fldChar w:fldCharType="separate"/>
          </w:r>
          <w:r w:rsidR="00D43281">
            <w:rPr>
              <w:rFonts w:eastAsia="Arial"/>
              <w:smallCaps/>
              <w:color w:val="000000"/>
              <w:szCs w:val="22"/>
            </w:rPr>
            <w:t>QUALITY</w:t>
          </w:r>
          <w:r w:rsidR="00D43281">
            <w:rPr>
              <w:rFonts w:eastAsia="Arial"/>
              <w:smallCaps/>
              <w:color w:val="000000"/>
              <w:szCs w:val="22"/>
            </w:rPr>
            <w:tab/>
            <w:t>14</w:t>
          </w:r>
          <w:r w:rsidR="00D3120E">
            <w:fldChar w:fldCharType="end"/>
          </w:r>
        </w:p>
        <w:p w14:paraId="00000014" w14:textId="22B217CD"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y810tw">
            <w:r w:rsidR="00D43281">
              <w:rPr>
                <w:rFonts w:eastAsia="Arial"/>
                <w:smallCaps/>
                <w:color w:val="000000"/>
                <w:szCs w:val="22"/>
              </w:rPr>
              <w:t>11.</w:t>
            </w:r>
          </w:hyperlink>
          <w:hyperlink w:anchor="_heading=h.1y810tw">
            <w:r w:rsidR="00D43281">
              <w:rPr>
                <w:rFonts w:ascii="Calibri" w:eastAsia="Calibri" w:hAnsi="Calibri" w:cs="Calibri"/>
                <w:color w:val="000000"/>
                <w:szCs w:val="22"/>
              </w:rPr>
              <w:tab/>
            </w:r>
          </w:hyperlink>
          <w:r w:rsidR="00D3120E">
            <w:fldChar w:fldCharType="begin"/>
          </w:r>
          <w:r w:rsidR="00D3120E">
            <w:instrText xml:space="preserve"> PAGEREF _heading=h.1y810tw \h </w:instrText>
          </w:r>
          <w:r w:rsidR="00D3120E">
            <w:fldChar w:fldCharType="separate"/>
          </w:r>
          <w:r w:rsidR="00D43281">
            <w:rPr>
              <w:rFonts w:eastAsia="Arial"/>
              <w:smallCaps/>
              <w:color w:val="000000"/>
              <w:szCs w:val="22"/>
            </w:rPr>
            <w:t>PRICE</w:t>
          </w:r>
          <w:r w:rsidR="00D43281">
            <w:rPr>
              <w:rFonts w:eastAsia="Arial"/>
              <w:smallCaps/>
              <w:color w:val="000000"/>
              <w:szCs w:val="22"/>
            </w:rPr>
            <w:tab/>
            <w:t>14</w:t>
          </w:r>
          <w:r w:rsidR="00D3120E">
            <w:fldChar w:fldCharType="end"/>
          </w:r>
        </w:p>
        <w:p w14:paraId="00000015" w14:textId="5B165DD7"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i7ojhp">
            <w:r w:rsidR="00D43281">
              <w:rPr>
                <w:rFonts w:eastAsia="Arial"/>
                <w:smallCaps/>
                <w:color w:val="000000"/>
                <w:szCs w:val="22"/>
              </w:rPr>
              <w:t>12.</w:t>
            </w:r>
          </w:hyperlink>
          <w:hyperlink w:anchor="_heading=h.4i7ojhp">
            <w:r w:rsidR="00D43281">
              <w:rPr>
                <w:rFonts w:ascii="Calibri" w:eastAsia="Calibri" w:hAnsi="Calibri" w:cs="Calibri"/>
                <w:color w:val="000000"/>
                <w:szCs w:val="22"/>
              </w:rPr>
              <w:tab/>
            </w:r>
          </w:hyperlink>
          <w:r w:rsidR="00D3120E">
            <w:fldChar w:fldCharType="begin"/>
          </w:r>
          <w:r w:rsidR="00D3120E">
            <w:instrText xml:space="preserve"> PAGEREF _heading=h.4i7ojhp \h </w:instrText>
          </w:r>
          <w:r w:rsidR="00D3120E">
            <w:fldChar w:fldCharType="separate"/>
          </w:r>
          <w:r w:rsidR="00D43281">
            <w:rPr>
              <w:rFonts w:eastAsia="Arial"/>
              <w:smallCaps/>
              <w:color w:val="000000"/>
              <w:szCs w:val="22"/>
            </w:rPr>
            <w:t>STAFF AND CUSTOMER SERVICE</w:t>
          </w:r>
          <w:r w:rsidR="00D43281">
            <w:rPr>
              <w:rFonts w:eastAsia="Arial"/>
              <w:smallCaps/>
              <w:color w:val="000000"/>
              <w:szCs w:val="22"/>
            </w:rPr>
            <w:tab/>
            <w:t>14</w:t>
          </w:r>
          <w:r w:rsidR="00D3120E">
            <w:fldChar w:fldCharType="end"/>
          </w:r>
        </w:p>
        <w:p w14:paraId="00000016" w14:textId="1FD61321"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xcytpi">
            <w:r w:rsidR="00D43281">
              <w:rPr>
                <w:rFonts w:eastAsia="Arial"/>
                <w:smallCaps/>
                <w:color w:val="000000"/>
                <w:szCs w:val="22"/>
              </w:rPr>
              <w:t>13.</w:t>
            </w:r>
          </w:hyperlink>
          <w:hyperlink w:anchor="_heading=h.2xcytpi">
            <w:r w:rsidR="00D43281">
              <w:rPr>
                <w:rFonts w:ascii="Calibri" w:eastAsia="Calibri" w:hAnsi="Calibri" w:cs="Calibri"/>
                <w:color w:val="000000"/>
                <w:szCs w:val="22"/>
              </w:rPr>
              <w:tab/>
            </w:r>
          </w:hyperlink>
          <w:r w:rsidR="00D3120E">
            <w:fldChar w:fldCharType="begin"/>
          </w:r>
          <w:r w:rsidR="00D3120E">
            <w:instrText xml:space="preserve"> PAGEREF _heading=h.2xcytpi \h </w:instrText>
          </w:r>
          <w:r w:rsidR="00D3120E">
            <w:fldChar w:fldCharType="separate"/>
          </w:r>
          <w:r w:rsidR="00D43281">
            <w:rPr>
              <w:rFonts w:eastAsia="Arial"/>
              <w:smallCaps/>
              <w:color w:val="000000"/>
              <w:szCs w:val="22"/>
            </w:rPr>
            <w:t>SECURITY AND CONFIDENTIALITY REQUIREMENTS</w:t>
          </w:r>
          <w:r w:rsidR="00D43281">
            <w:rPr>
              <w:rFonts w:eastAsia="Arial"/>
              <w:smallCaps/>
              <w:color w:val="000000"/>
              <w:szCs w:val="22"/>
            </w:rPr>
            <w:tab/>
            <w:t>16</w:t>
          </w:r>
          <w:r w:rsidR="00D3120E">
            <w:fldChar w:fldCharType="end"/>
          </w:r>
        </w:p>
        <w:p w14:paraId="00000017" w14:textId="0A881A71"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ci93xb">
            <w:r w:rsidR="00D43281">
              <w:rPr>
                <w:rFonts w:eastAsia="Arial"/>
                <w:smallCaps/>
                <w:color w:val="000000"/>
                <w:szCs w:val="22"/>
              </w:rPr>
              <w:t>14.</w:t>
            </w:r>
          </w:hyperlink>
          <w:hyperlink w:anchor="_heading=h.1ci93xb">
            <w:r w:rsidR="00D43281">
              <w:rPr>
                <w:rFonts w:ascii="Calibri" w:eastAsia="Calibri" w:hAnsi="Calibri" w:cs="Calibri"/>
                <w:color w:val="000000"/>
                <w:szCs w:val="22"/>
              </w:rPr>
              <w:tab/>
            </w:r>
          </w:hyperlink>
          <w:r w:rsidR="00D3120E">
            <w:fldChar w:fldCharType="begin"/>
          </w:r>
          <w:r w:rsidR="00D3120E">
            <w:instrText xml:space="preserve"> PAGEREF _heading=h.1ci93xb \h </w:instrText>
          </w:r>
          <w:r w:rsidR="00D3120E">
            <w:fldChar w:fldCharType="separate"/>
          </w:r>
          <w:r w:rsidR="00D43281">
            <w:rPr>
              <w:rFonts w:eastAsia="Arial"/>
              <w:smallCaps/>
              <w:color w:val="000000"/>
              <w:szCs w:val="22"/>
            </w:rPr>
            <w:t>PAYMENT AND INVOICING</w:t>
          </w:r>
          <w:r w:rsidR="00D43281">
            <w:rPr>
              <w:rFonts w:eastAsia="Arial"/>
              <w:smallCaps/>
              <w:color w:val="000000"/>
              <w:szCs w:val="22"/>
            </w:rPr>
            <w:tab/>
            <w:t>16</w:t>
          </w:r>
          <w:r w:rsidR="00D3120E">
            <w:fldChar w:fldCharType="end"/>
          </w:r>
        </w:p>
        <w:p w14:paraId="00000018" w14:textId="25B9C955"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whwml4">
            <w:r w:rsidR="00D43281">
              <w:rPr>
                <w:rFonts w:eastAsia="Arial"/>
                <w:smallCaps/>
                <w:color w:val="000000"/>
                <w:szCs w:val="22"/>
              </w:rPr>
              <w:t>15.</w:t>
            </w:r>
          </w:hyperlink>
          <w:hyperlink w:anchor="_heading=h.3whwml4">
            <w:r w:rsidR="00D43281">
              <w:rPr>
                <w:rFonts w:ascii="Calibri" w:eastAsia="Calibri" w:hAnsi="Calibri" w:cs="Calibri"/>
                <w:color w:val="000000"/>
                <w:szCs w:val="22"/>
              </w:rPr>
              <w:tab/>
            </w:r>
          </w:hyperlink>
          <w:r w:rsidR="00D3120E">
            <w:fldChar w:fldCharType="begin"/>
          </w:r>
          <w:r w:rsidR="00D3120E">
            <w:instrText xml:space="preserve"> PAGEREF _heading=h.3whwml4 \h </w:instrText>
          </w:r>
          <w:r w:rsidR="00D3120E">
            <w:fldChar w:fldCharType="separate"/>
          </w:r>
          <w:r w:rsidR="00D43281">
            <w:rPr>
              <w:rFonts w:eastAsia="Arial"/>
              <w:smallCaps/>
              <w:color w:val="000000"/>
              <w:szCs w:val="22"/>
            </w:rPr>
            <w:t>CONTRACT MANAGEMENT</w:t>
          </w:r>
          <w:r w:rsidR="00D43281">
            <w:rPr>
              <w:rFonts w:eastAsia="Arial"/>
              <w:smallCaps/>
              <w:color w:val="000000"/>
              <w:szCs w:val="22"/>
            </w:rPr>
            <w:tab/>
            <w:t>16</w:t>
          </w:r>
          <w:r w:rsidR="00D3120E">
            <w:fldChar w:fldCharType="end"/>
          </w:r>
        </w:p>
        <w:p w14:paraId="00000019" w14:textId="2CBCE84D" w:rsidR="007F19E5" w:rsidRDefault="0083025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bn6wsx">
            <w:r w:rsidR="00D43281">
              <w:rPr>
                <w:rFonts w:eastAsia="Arial"/>
                <w:smallCaps/>
                <w:color w:val="000000"/>
                <w:szCs w:val="22"/>
              </w:rPr>
              <w:t>16.</w:t>
            </w:r>
          </w:hyperlink>
          <w:hyperlink w:anchor="_heading=h.2bn6wsx">
            <w:r w:rsidR="00D43281">
              <w:rPr>
                <w:rFonts w:ascii="Calibri" w:eastAsia="Calibri" w:hAnsi="Calibri" w:cs="Calibri"/>
                <w:color w:val="000000"/>
                <w:szCs w:val="22"/>
              </w:rPr>
              <w:tab/>
            </w:r>
          </w:hyperlink>
          <w:r w:rsidR="00D3120E">
            <w:fldChar w:fldCharType="begin"/>
          </w:r>
          <w:r w:rsidR="00D3120E">
            <w:instrText xml:space="preserve"> PAGEREF _heading=h.2bn6wsx \h </w:instrText>
          </w:r>
          <w:r w:rsidR="00D3120E">
            <w:fldChar w:fldCharType="separate"/>
          </w:r>
          <w:r w:rsidR="00D43281">
            <w:rPr>
              <w:rFonts w:eastAsia="Arial"/>
              <w:smallCaps/>
              <w:color w:val="000000"/>
              <w:szCs w:val="22"/>
            </w:rPr>
            <w:t>LOCATION</w:t>
          </w:r>
          <w:r w:rsidR="00D43281">
            <w:rPr>
              <w:rFonts w:eastAsia="Arial"/>
              <w:smallCaps/>
              <w:color w:val="000000"/>
              <w:szCs w:val="22"/>
            </w:rPr>
            <w:tab/>
            <w:t>16</w:t>
          </w:r>
          <w:r w:rsidR="00D3120E">
            <w:fldChar w:fldCharType="end"/>
          </w:r>
        </w:p>
        <w:p w14:paraId="0000001A" w14:textId="725A0667" w:rsidR="007F19E5" w:rsidRDefault="00D3120E">
          <w:pPr>
            <w:spacing w:after="120"/>
            <w:jc w:val="center"/>
            <w:rPr>
              <w:b/>
            </w:rPr>
          </w:pPr>
          <w:r>
            <w:fldChar w:fldCharType="end"/>
          </w:r>
        </w:p>
      </w:sdtContent>
    </w:sdt>
    <w:p w14:paraId="0000001B" w14:textId="77777777" w:rsidR="007F19E5" w:rsidRDefault="007F19E5">
      <w:pPr>
        <w:spacing w:before="60" w:after="60"/>
        <w:ind w:left="142"/>
        <w:jc w:val="center"/>
        <w:rPr>
          <w:b/>
          <w:highlight w:val="yellow"/>
        </w:rPr>
      </w:pPr>
      <w:bookmarkStart w:id="2" w:name="_heading=h.1fob9te" w:colFirst="0" w:colLast="0"/>
      <w:bookmarkEnd w:id="2"/>
    </w:p>
    <w:p w14:paraId="0000001C" w14:textId="6812404F" w:rsidR="007F19E5" w:rsidRDefault="00D3120E" w:rsidP="002A0B9D">
      <w:pPr>
        <w:pStyle w:val="Heading1"/>
        <w:numPr>
          <w:ilvl w:val="0"/>
          <w:numId w:val="0"/>
        </w:numPr>
        <w:spacing w:after="120"/>
        <w:ind w:left="720"/>
      </w:pPr>
      <w:bookmarkStart w:id="3" w:name="_heading=h.3znysh7" w:colFirst="0" w:colLast="0"/>
      <w:bookmarkEnd w:id="3"/>
      <w:r>
        <w:br w:type="page"/>
      </w:r>
    </w:p>
    <w:p w14:paraId="0000001D" w14:textId="77777777" w:rsidR="007F19E5" w:rsidRDefault="00D3120E">
      <w:pPr>
        <w:pStyle w:val="Heading1"/>
        <w:numPr>
          <w:ilvl w:val="0"/>
          <w:numId w:val="1"/>
        </w:numPr>
        <w:spacing w:after="120"/>
        <w:rPr>
          <w:sz w:val="32"/>
          <w:szCs w:val="32"/>
        </w:rPr>
      </w:pPr>
      <w:bookmarkStart w:id="4" w:name="_heading=h.2et92p0" w:colFirst="0" w:colLast="0"/>
      <w:bookmarkEnd w:id="4"/>
      <w:r>
        <w:rPr>
          <w:sz w:val="32"/>
          <w:szCs w:val="32"/>
        </w:rPr>
        <w:lastRenderedPageBreak/>
        <w:t>PURPOSE</w:t>
      </w:r>
    </w:p>
    <w:p w14:paraId="0000001E" w14:textId="65644DC6" w:rsidR="007F19E5" w:rsidRDefault="00D3120E">
      <w:pPr>
        <w:pStyle w:val="Heading2"/>
        <w:numPr>
          <w:ilvl w:val="1"/>
          <w:numId w:val="1"/>
        </w:numPr>
        <w:spacing w:after="120"/>
        <w:ind w:left="709" w:hanging="709"/>
        <w:rPr>
          <w:sz w:val="24"/>
          <w:szCs w:val="24"/>
        </w:rPr>
      </w:pPr>
      <w:bookmarkStart w:id="5" w:name="_heading=h.tyjcwt" w:colFirst="0" w:colLast="0"/>
      <w:bookmarkEnd w:id="5"/>
      <w:proofErr w:type="gramStart"/>
      <w:r>
        <w:rPr>
          <w:sz w:val="24"/>
          <w:szCs w:val="24"/>
        </w:rPr>
        <w:t xml:space="preserve">The Office of Government Property (OGP), </w:t>
      </w:r>
      <w:r w:rsidR="00D43281">
        <w:rPr>
          <w:sz w:val="24"/>
          <w:szCs w:val="24"/>
        </w:rPr>
        <w:t xml:space="preserve">also </w:t>
      </w:r>
      <w:r>
        <w:rPr>
          <w:sz w:val="24"/>
          <w:szCs w:val="24"/>
        </w:rPr>
        <w:t xml:space="preserve">referred to as </w:t>
      </w:r>
      <w:r w:rsidR="00D43281">
        <w:rPr>
          <w:sz w:val="24"/>
          <w:szCs w:val="24"/>
        </w:rPr>
        <w:t>“</w:t>
      </w:r>
      <w:r>
        <w:rPr>
          <w:sz w:val="24"/>
          <w:szCs w:val="24"/>
        </w:rPr>
        <w:t>the Authority</w:t>
      </w:r>
      <w:r w:rsidR="00D43281">
        <w:rPr>
          <w:sz w:val="24"/>
          <w:szCs w:val="24"/>
        </w:rPr>
        <w:t>”</w:t>
      </w:r>
      <w:r>
        <w:rPr>
          <w:sz w:val="24"/>
          <w:szCs w:val="24"/>
        </w:rPr>
        <w:t>, provides strategic leadership to government and the wider public sector organisations to manage their estates more efficiently and effectively, helping to deliver the finest public services and supporting the government’s priorities by unlocking surplus land for housing, and encouraging the creation of public service jobs outside London to support economic growth.</w:t>
      </w:r>
      <w:proofErr w:type="gramEnd"/>
      <w:r>
        <w:rPr>
          <w:sz w:val="24"/>
          <w:szCs w:val="24"/>
        </w:rPr>
        <w:t xml:space="preserve"> OGP builds capacity and capability in the property function across government through leadership of the Government Property Profession and improving the use of data for better decision-making. The Authority does not manage any property or estate. </w:t>
      </w:r>
    </w:p>
    <w:p w14:paraId="0000001F" w14:textId="77777777" w:rsidR="007F19E5" w:rsidRDefault="00D3120E">
      <w:pPr>
        <w:pStyle w:val="Heading1"/>
        <w:numPr>
          <w:ilvl w:val="0"/>
          <w:numId w:val="1"/>
        </w:numPr>
        <w:spacing w:after="120"/>
        <w:rPr>
          <w:sz w:val="32"/>
          <w:szCs w:val="32"/>
        </w:rPr>
      </w:pPr>
      <w:bookmarkStart w:id="6" w:name="_heading=h.3dy6vkm" w:colFirst="0" w:colLast="0"/>
      <w:bookmarkEnd w:id="6"/>
      <w:r>
        <w:rPr>
          <w:sz w:val="32"/>
          <w:szCs w:val="32"/>
        </w:rPr>
        <w:t>BACKGROUND TO THE CONTRACTING aUTHORITY</w:t>
      </w:r>
    </w:p>
    <w:p w14:paraId="00000020" w14:textId="1FD02B35" w:rsidR="007F19E5" w:rsidRDefault="00D3120E">
      <w:pPr>
        <w:pStyle w:val="Heading2"/>
        <w:numPr>
          <w:ilvl w:val="1"/>
          <w:numId w:val="1"/>
        </w:numPr>
        <w:tabs>
          <w:tab w:val="left" w:pos="360"/>
        </w:tabs>
        <w:spacing w:before="120" w:after="0"/>
        <w:ind w:left="720"/>
        <w:rPr>
          <w:sz w:val="24"/>
          <w:szCs w:val="24"/>
        </w:rPr>
      </w:pPr>
      <w:bookmarkStart w:id="7" w:name="_heading=h.1t3h5sf" w:colFirst="0" w:colLast="0"/>
      <w:bookmarkEnd w:id="7"/>
      <w:r>
        <w:rPr>
          <w:sz w:val="24"/>
          <w:szCs w:val="24"/>
        </w:rPr>
        <w:tab/>
      </w:r>
      <w:r w:rsidR="00D43281">
        <w:rPr>
          <w:sz w:val="24"/>
          <w:szCs w:val="24"/>
        </w:rPr>
        <w:t>The Authority</w:t>
      </w:r>
      <w:r>
        <w:rPr>
          <w:sz w:val="24"/>
          <w:szCs w:val="24"/>
        </w:rPr>
        <w:t xml:space="preserve"> provides strategic leadership to government and the wider public sector organisations to manage their estates more efficiently and effectively, helping to deliver the finest public services and supporting the government’s priorities by unlocking surplus land for housing, and encouraging the creation of public service jobs outside London to support economic growth. OGP builds capacity and capability in the property function across government through leadership of the Government Property Profession and improving the use of data for better decision-making. The Authority does not manage any property or estate. </w:t>
      </w:r>
    </w:p>
    <w:p w14:paraId="00000021" w14:textId="77777777" w:rsidR="007F19E5" w:rsidRDefault="00D3120E">
      <w:pPr>
        <w:pStyle w:val="Heading2"/>
        <w:numPr>
          <w:ilvl w:val="1"/>
          <w:numId w:val="1"/>
        </w:numPr>
        <w:tabs>
          <w:tab w:val="left" w:pos="360"/>
        </w:tabs>
        <w:spacing w:before="120" w:after="0"/>
        <w:ind w:left="720"/>
        <w:rPr>
          <w:sz w:val="24"/>
          <w:szCs w:val="24"/>
        </w:rPr>
      </w:pPr>
      <w:r>
        <w:rPr>
          <w:sz w:val="24"/>
          <w:szCs w:val="24"/>
        </w:rPr>
        <w:tab/>
        <w:t>In line with above, the Authority developed and published the Government Property Strategy, 2022-2030</w:t>
      </w:r>
      <w:r>
        <w:rPr>
          <w:sz w:val="24"/>
          <w:szCs w:val="24"/>
          <w:vertAlign w:val="superscript"/>
        </w:rPr>
        <w:footnoteReference w:id="1"/>
      </w:r>
      <w:r>
        <w:rPr>
          <w:sz w:val="24"/>
          <w:szCs w:val="24"/>
        </w:rPr>
        <w:t>.</w:t>
      </w:r>
    </w:p>
    <w:p w14:paraId="00000022" w14:textId="77777777" w:rsidR="007F19E5" w:rsidRDefault="00D3120E">
      <w:pPr>
        <w:pStyle w:val="Heading2"/>
        <w:numPr>
          <w:ilvl w:val="1"/>
          <w:numId w:val="1"/>
        </w:numPr>
        <w:tabs>
          <w:tab w:val="left" w:pos="360"/>
        </w:tabs>
        <w:spacing w:before="120" w:after="0"/>
        <w:ind w:left="720"/>
        <w:rPr>
          <w:sz w:val="24"/>
          <w:szCs w:val="24"/>
        </w:rPr>
      </w:pPr>
      <w:r>
        <w:rPr>
          <w:sz w:val="24"/>
          <w:szCs w:val="24"/>
        </w:rPr>
        <w:tab/>
        <w:t>The OGP programmes include:</w:t>
      </w:r>
    </w:p>
    <w:p w14:paraId="00000023" w14:textId="77777777" w:rsidR="007F19E5" w:rsidRDefault="007F19E5" w:rsidP="00E81921">
      <w:pPr>
        <w:pStyle w:val="Heading2"/>
        <w:numPr>
          <w:ilvl w:val="0"/>
          <w:numId w:val="0"/>
        </w:numPr>
        <w:tabs>
          <w:tab w:val="left" w:pos="360"/>
        </w:tabs>
        <w:spacing w:before="120" w:after="0"/>
        <w:ind w:left="3413"/>
        <w:rPr>
          <w:sz w:val="24"/>
          <w:szCs w:val="24"/>
        </w:rPr>
      </w:pPr>
    </w:p>
    <w:p w14:paraId="00000024" w14:textId="77777777" w:rsidR="007F19E5" w:rsidRDefault="00D3120E">
      <w:pPr>
        <w:pStyle w:val="Heading3"/>
        <w:numPr>
          <w:ilvl w:val="2"/>
          <w:numId w:val="1"/>
        </w:numPr>
        <w:rPr>
          <w:sz w:val="24"/>
          <w:szCs w:val="24"/>
        </w:rPr>
      </w:pPr>
      <w:r>
        <w:rPr>
          <w:sz w:val="24"/>
          <w:szCs w:val="24"/>
        </w:rPr>
        <w:t>One Public Estate (OPE): a partnership between the OGP and the Local Government Association (LGA) to provide practical and technical support as well as funding to councils to deliver ambitious property-focused programmes in collaboration with central government and other public sector partners.</w:t>
      </w:r>
    </w:p>
    <w:p w14:paraId="00000025" w14:textId="00DBA5AC" w:rsidR="007F19E5" w:rsidRDefault="00D3120E">
      <w:pPr>
        <w:pStyle w:val="Heading3"/>
        <w:numPr>
          <w:ilvl w:val="2"/>
          <w:numId w:val="1"/>
        </w:numPr>
        <w:rPr>
          <w:sz w:val="24"/>
          <w:szCs w:val="24"/>
        </w:rPr>
      </w:pPr>
      <w:r>
        <w:rPr>
          <w:sz w:val="24"/>
          <w:szCs w:val="24"/>
        </w:rPr>
        <w:t>Disposals programme: OGP works with departments, seeking to manage and release government property and land, which raises capital receipts, cuts running costs, and delivers local economic growth, including new homes and jobs.</w:t>
      </w:r>
    </w:p>
    <w:p w14:paraId="00000026" w14:textId="77777777" w:rsidR="007F19E5" w:rsidRDefault="00D3120E">
      <w:pPr>
        <w:pStyle w:val="Heading3"/>
        <w:numPr>
          <w:ilvl w:val="2"/>
          <w:numId w:val="1"/>
        </w:numPr>
        <w:rPr>
          <w:sz w:val="24"/>
          <w:szCs w:val="24"/>
        </w:rPr>
      </w:pPr>
      <w:r>
        <w:rPr>
          <w:sz w:val="24"/>
          <w:szCs w:val="24"/>
        </w:rPr>
        <w:t>Places for Growth: This programme works with Departments, Professions, and Arm’s Length Bodies (ALBs) to encourage the movement and creation of civil service roles outside London.</w:t>
      </w:r>
    </w:p>
    <w:p w14:paraId="00000027" w14:textId="77777777" w:rsidR="007F19E5" w:rsidRDefault="00D3120E">
      <w:pPr>
        <w:pStyle w:val="Heading3"/>
        <w:numPr>
          <w:ilvl w:val="2"/>
          <w:numId w:val="1"/>
        </w:numPr>
        <w:rPr>
          <w:sz w:val="24"/>
          <w:szCs w:val="24"/>
        </w:rPr>
      </w:pPr>
      <w:r>
        <w:rPr>
          <w:sz w:val="24"/>
          <w:szCs w:val="24"/>
        </w:rPr>
        <w:lastRenderedPageBreak/>
        <w:t>Government Property Profession (GPP): OGP works to improve the capability of the Government property function. Working with the GPP Board, this includes specific development for the 2,000 members of the Government property profession.</w:t>
      </w:r>
    </w:p>
    <w:p w14:paraId="00000028" w14:textId="77777777" w:rsidR="007F19E5" w:rsidRDefault="00D3120E">
      <w:pPr>
        <w:pStyle w:val="Heading3"/>
        <w:numPr>
          <w:ilvl w:val="2"/>
          <w:numId w:val="1"/>
        </w:numPr>
        <w:rPr>
          <w:sz w:val="24"/>
          <w:szCs w:val="24"/>
        </w:rPr>
      </w:pPr>
      <w:r>
        <w:rPr>
          <w:sz w:val="24"/>
          <w:szCs w:val="24"/>
        </w:rPr>
        <w:t xml:space="preserve">The Government Property Function: The OGP leads the property function that exists to support the delivery of central government services.  Around 4,500 people </w:t>
      </w:r>
      <w:proofErr w:type="gramStart"/>
      <w:r>
        <w:rPr>
          <w:sz w:val="24"/>
          <w:szCs w:val="24"/>
        </w:rPr>
        <w:t>are employed</w:t>
      </w:r>
      <w:proofErr w:type="gramEnd"/>
      <w:r>
        <w:rPr>
          <w:sz w:val="24"/>
          <w:szCs w:val="24"/>
        </w:rPr>
        <w:t xml:space="preserve"> in the function across government, managing a large estate, working towards delivering the Government Estate Strategy.</w:t>
      </w:r>
    </w:p>
    <w:p w14:paraId="00000029" w14:textId="77777777" w:rsidR="007F19E5" w:rsidRDefault="00D3120E">
      <w:pPr>
        <w:pStyle w:val="Heading3"/>
        <w:numPr>
          <w:ilvl w:val="2"/>
          <w:numId w:val="1"/>
        </w:numPr>
        <w:rPr>
          <w:sz w:val="24"/>
          <w:szCs w:val="24"/>
        </w:rPr>
      </w:pPr>
      <w:r>
        <w:rPr>
          <w:sz w:val="24"/>
          <w:szCs w:val="24"/>
        </w:rPr>
        <w:t>Developing cross government strategy and policies on Facilities Management, Whole Life asset management and Sustainability.</w:t>
      </w:r>
    </w:p>
    <w:p w14:paraId="0000002A" w14:textId="77777777" w:rsidR="007F19E5" w:rsidRDefault="00D3120E">
      <w:pPr>
        <w:pStyle w:val="Heading3"/>
        <w:numPr>
          <w:ilvl w:val="2"/>
          <w:numId w:val="1"/>
        </w:numPr>
      </w:pPr>
      <w:r>
        <w:rPr>
          <w:sz w:val="24"/>
          <w:szCs w:val="24"/>
        </w:rPr>
        <w:t>Developing cross government property standards</w:t>
      </w:r>
      <w:r>
        <w:rPr>
          <w:color w:val="0B0C0C"/>
        </w:rPr>
        <w:t>.</w:t>
      </w:r>
      <w:r>
        <w:rPr>
          <w:color w:val="0B0C0C"/>
        </w:rPr>
        <w:tab/>
      </w:r>
    </w:p>
    <w:p w14:paraId="0000002B" w14:textId="77777777" w:rsidR="007F19E5" w:rsidRDefault="00D3120E">
      <w:pPr>
        <w:pStyle w:val="Heading2"/>
        <w:numPr>
          <w:ilvl w:val="1"/>
          <w:numId w:val="1"/>
        </w:numPr>
        <w:spacing w:after="120"/>
        <w:ind w:left="709" w:hanging="709"/>
        <w:rPr>
          <w:sz w:val="24"/>
          <w:szCs w:val="24"/>
        </w:rPr>
      </w:pPr>
      <w:r>
        <w:rPr>
          <w:sz w:val="24"/>
          <w:szCs w:val="24"/>
        </w:rPr>
        <w:t>The Authority has an in-house data and analytics capability that provides specialist expertise to the unit, the property function and the circa 1,200 public sector organisations that contribute data to it. The capability spans data collection, storage, management and geospatial analysis, developing insight-based management dashboards and performing financial modelling.</w:t>
      </w:r>
    </w:p>
    <w:p w14:paraId="0000002C" w14:textId="77777777" w:rsidR="007F19E5" w:rsidRDefault="007F19E5" w:rsidP="00E81921">
      <w:pPr>
        <w:pStyle w:val="Heading2"/>
        <w:numPr>
          <w:ilvl w:val="0"/>
          <w:numId w:val="0"/>
        </w:numPr>
        <w:tabs>
          <w:tab w:val="left" w:pos="360"/>
        </w:tabs>
        <w:spacing w:before="120" w:after="0"/>
        <w:ind w:left="3413"/>
        <w:rPr>
          <w:sz w:val="24"/>
          <w:szCs w:val="24"/>
        </w:rPr>
      </w:pPr>
    </w:p>
    <w:p w14:paraId="0000002D" w14:textId="77777777" w:rsidR="007F19E5" w:rsidRDefault="00D3120E">
      <w:pPr>
        <w:pStyle w:val="Heading1"/>
        <w:numPr>
          <w:ilvl w:val="0"/>
          <w:numId w:val="1"/>
        </w:numPr>
        <w:spacing w:after="120"/>
        <w:rPr>
          <w:sz w:val="32"/>
          <w:szCs w:val="32"/>
        </w:rPr>
      </w:pPr>
      <w:bookmarkStart w:id="8" w:name="_heading=h.4d34og8" w:colFirst="0" w:colLast="0"/>
      <w:bookmarkEnd w:id="8"/>
      <w:r>
        <w:rPr>
          <w:sz w:val="32"/>
          <w:szCs w:val="32"/>
        </w:rPr>
        <w:t>Background to requirement/OVERVIEW of requirement</w:t>
      </w:r>
    </w:p>
    <w:p w14:paraId="0000002E" w14:textId="77777777" w:rsidR="007F19E5" w:rsidRDefault="00D3120E">
      <w:pPr>
        <w:pStyle w:val="Heading2"/>
        <w:numPr>
          <w:ilvl w:val="1"/>
          <w:numId w:val="1"/>
        </w:numPr>
        <w:spacing w:after="120"/>
        <w:ind w:left="709" w:hanging="709"/>
        <w:rPr>
          <w:sz w:val="24"/>
          <w:szCs w:val="24"/>
        </w:rPr>
      </w:pPr>
      <w:bookmarkStart w:id="9" w:name="_heading=h.2s8eyo1" w:colFirst="0" w:colLast="0"/>
      <w:bookmarkEnd w:id="9"/>
      <w:r>
        <w:rPr>
          <w:sz w:val="24"/>
          <w:szCs w:val="24"/>
        </w:rPr>
        <w:t xml:space="preserve">The Office of Government Property (OGP) requires an </w:t>
      </w:r>
      <w:proofErr w:type="spellStart"/>
      <w:r>
        <w:rPr>
          <w:sz w:val="24"/>
          <w:szCs w:val="24"/>
        </w:rPr>
        <w:t>InSite</w:t>
      </w:r>
      <w:proofErr w:type="spellEnd"/>
      <w:r>
        <w:rPr>
          <w:sz w:val="24"/>
          <w:szCs w:val="24"/>
        </w:rPr>
        <w:t xml:space="preserve"> asset register (or the </w:t>
      </w:r>
      <w:proofErr w:type="spellStart"/>
      <w:r>
        <w:rPr>
          <w:sz w:val="24"/>
          <w:szCs w:val="24"/>
        </w:rPr>
        <w:t>InSite</w:t>
      </w:r>
      <w:proofErr w:type="spellEnd"/>
      <w:r>
        <w:rPr>
          <w:sz w:val="24"/>
          <w:szCs w:val="24"/>
        </w:rPr>
        <w:t xml:space="preserve"> system) to consolidate strategic property data from different public bodies to help support cross government policy making and strategic decisions. The purpose of this requirement is to secure procurement support to procure the Technology Supplier (hereafter referred to as the Technology Partner) for the asset register. </w:t>
      </w:r>
    </w:p>
    <w:p w14:paraId="0000002F" w14:textId="0F6C49D5" w:rsidR="007F19E5" w:rsidRDefault="00D3120E">
      <w:pPr>
        <w:pStyle w:val="Heading2"/>
        <w:numPr>
          <w:ilvl w:val="1"/>
          <w:numId w:val="1"/>
        </w:numPr>
        <w:spacing w:after="120"/>
        <w:ind w:left="709" w:hanging="709"/>
        <w:rPr>
          <w:sz w:val="24"/>
          <w:szCs w:val="24"/>
        </w:rPr>
      </w:pPr>
      <w:r>
        <w:rPr>
          <w:sz w:val="24"/>
          <w:szCs w:val="24"/>
        </w:rPr>
        <w:t xml:space="preserve">The </w:t>
      </w:r>
      <w:proofErr w:type="spellStart"/>
      <w:r>
        <w:rPr>
          <w:sz w:val="24"/>
          <w:szCs w:val="24"/>
        </w:rPr>
        <w:t>InSite</w:t>
      </w:r>
      <w:proofErr w:type="spellEnd"/>
      <w:r>
        <w:rPr>
          <w:sz w:val="24"/>
          <w:szCs w:val="24"/>
        </w:rPr>
        <w:t xml:space="preserve"> system will provide a better central line of sight of the whole government estate. </w:t>
      </w:r>
      <w:proofErr w:type="spellStart"/>
      <w:r>
        <w:rPr>
          <w:sz w:val="24"/>
          <w:szCs w:val="24"/>
        </w:rPr>
        <w:t>InSite</w:t>
      </w:r>
      <w:proofErr w:type="spellEnd"/>
      <w:r>
        <w:rPr>
          <w:sz w:val="24"/>
          <w:szCs w:val="24"/>
        </w:rPr>
        <w:t xml:space="preserve"> system will collate information on properties owned, occupied and managed by government and the wider public sector, into a central database. It will replace an existing solution</w:t>
      </w:r>
      <w:proofErr w:type="gramStart"/>
      <w:r>
        <w:rPr>
          <w:sz w:val="24"/>
          <w:szCs w:val="24"/>
        </w:rPr>
        <w:t>;</w:t>
      </w:r>
      <w:proofErr w:type="gramEnd"/>
      <w:r>
        <w:rPr>
          <w:sz w:val="24"/>
          <w:szCs w:val="24"/>
        </w:rPr>
        <w:t xml:space="preserve"> the Electronic Property Information Mapping Service (</w:t>
      </w:r>
      <w:proofErr w:type="spellStart"/>
      <w:r>
        <w:rPr>
          <w:sz w:val="24"/>
          <w:szCs w:val="24"/>
        </w:rPr>
        <w:t>ePIMS</w:t>
      </w:r>
      <w:proofErr w:type="spellEnd"/>
      <w:r>
        <w:rPr>
          <w:sz w:val="24"/>
          <w:szCs w:val="24"/>
        </w:rPr>
        <w:t>).</w:t>
      </w:r>
    </w:p>
    <w:p w14:paraId="00000030" w14:textId="115B12E4" w:rsidR="007F19E5" w:rsidRDefault="00D3120E">
      <w:pPr>
        <w:pStyle w:val="Heading2"/>
        <w:numPr>
          <w:ilvl w:val="1"/>
          <w:numId w:val="1"/>
        </w:numPr>
        <w:spacing w:after="120"/>
        <w:ind w:left="709" w:hanging="709"/>
        <w:rPr>
          <w:sz w:val="24"/>
          <w:szCs w:val="24"/>
        </w:rPr>
      </w:pPr>
      <w:r>
        <w:rPr>
          <w:sz w:val="24"/>
          <w:szCs w:val="24"/>
        </w:rPr>
        <w:t>It will operate at a portfolio level for government land, buildings, and occupancy</w:t>
      </w:r>
      <w:proofErr w:type="gramStart"/>
      <w:r>
        <w:rPr>
          <w:sz w:val="24"/>
          <w:szCs w:val="24"/>
        </w:rPr>
        <w:t>;</w:t>
      </w:r>
      <w:proofErr w:type="gramEnd"/>
      <w:r>
        <w:rPr>
          <w:sz w:val="24"/>
          <w:szCs w:val="24"/>
        </w:rPr>
        <w:t xml:space="preserve"> with strategic data only. It does not involve operating at a transactional services level such as work orders, maintenance schedules, rent rolls and leases. The operational functionality and data content are within the remit of property departments within public bodies who hold the assets concerned. It provides the Authority with the ability to review the current estate and analyse future requirements.</w:t>
      </w:r>
    </w:p>
    <w:p w14:paraId="00000031" w14:textId="77777777" w:rsidR="007F19E5" w:rsidRDefault="00D3120E">
      <w:pPr>
        <w:pStyle w:val="Heading2"/>
        <w:numPr>
          <w:ilvl w:val="1"/>
          <w:numId w:val="1"/>
        </w:numPr>
        <w:spacing w:after="120"/>
        <w:ind w:left="709" w:hanging="709"/>
        <w:rPr>
          <w:sz w:val="24"/>
          <w:szCs w:val="24"/>
        </w:rPr>
      </w:pPr>
      <w:r>
        <w:rPr>
          <w:sz w:val="24"/>
          <w:szCs w:val="24"/>
        </w:rPr>
        <w:t xml:space="preserve">It helps to support the delivery of the Government Property Strategy 2022 - 2030, a link to which </w:t>
      </w:r>
      <w:proofErr w:type="gramStart"/>
      <w:r>
        <w:rPr>
          <w:sz w:val="24"/>
          <w:szCs w:val="24"/>
        </w:rPr>
        <w:t>is provided</w:t>
      </w:r>
      <w:proofErr w:type="gramEnd"/>
      <w:r>
        <w:rPr>
          <w:sz w:val="24"/>
          <w:szCs w:val="24"/>
        </w:rPr>
        <w:t xml:space="preserve"> here:</w:t>
      </w:r>
    </w:p>
    <w:p w14:paraId="00000032" w14:textId="77777777" w:rsidR="007F19E5" w:rsidRDefault="00D3120E">
      <w:pPr>
        <w:pStyle w:val="Heading2"/>
        <w:spacing w:after="120"/>
        <w:ind w:left="709" w:firstLine="2693"/>
        <w:rPr>
          <w:sz w:val="24"/>
          <w:szCs w:val="24"/>
        </w:rPr>
      </w:pPr>
      <w:r>
        <w:rPr>
          <w:sz w:val="24"/>
          <w:szCs w:val="24"/>
        </w:rPr>
        <w:lastRenderedPageBreak/>
        <w:t>(https://www.gov.uk/government/publications/government-property-strategy-2022-2030)</w:t>
      </w:r>
    </w:p>
    <w:p w14:paraId="00000033" w14:textId="65E22617" w:rsidR="007F19E5" w:rsidRDefault="00D3120E">
      <w:pPr>
        <w:pStyle w:val="Heading2"/>
        <w:numPr>
          <w:ilvl w:val="1"/>
          <w:numId w:val="1"/>
        </w:numPr>
        <w:spacing w:after="120"/>
        <w:ind w:left="709" w:hanging="709"/>
        <w:rPr>
          <w:sz w:val="24"/>
          <w:szCs w:val="24"/>
        </w:rPr>
      </w:pPr>
      <w:r>
        <w:rPr>
          <w:sz w:val="24"/>
          <w:szCs w:val="24"/>
        </w:rPr>
        <w:t xml:space="preserve">Users in public bodies will access the property data held within the solution that </w:t>
      </w:r>
      <w:proofErr w:type="gramStart"/>
      <w:r>
        <w:rPr>
          <w:sz w:val="24"/>
          <w:szCs w:val="24"/>
        </w:rPr>
        <w:t>may have been provided</w:t>
      </w:r>
      <w:proofErr w:type="gramEnd"/>
      <w:r>
        <w:rPr>
          <w:sz w:val="24"/>
          <w:szCs w:val="24"/>
        </w:rPr>
        <w:t xml:space="preserve"> by other public bodies, subject to authorisation of the user, and security classification of each record.</w:t>
      </w:r>
    </w:p>
    <w:p w14:paraId="00000034" w14:textId="77777777" w:rsidR="007F19E5" w:rsidRDefault="00D3120E">
      <w:pPr>
        <w:pStyle w:val="Heading2"/>
        <w:numPr>
          <w:ilvl w:val="1"/>
          <w:numId w:val="1"/>
        </w:numPr>
        <w:spacing w:after="120"/>
        <w:ind w:left="709" w:hanging="709"/>
        <w:rPr>
          <w:sz w:val="24"/>
          <w:szCs w:val="24"/>
        </w:rPr>
      </w:pPr>
      <w:r>
        <w:rPr>
          <w:sz w:val="24"/>
          <w:szCs w:val="24"/>
        </w:rPr>
        <w:t xml:space="preserve">The </w:t>
      </w:r>
      <w:proofErr w:type="spellStart"/>
      <w:r>
        <w:rPr>
          <w:sz w:val="24"/>
          <w:szCs w:val="24"/>
        </w:rPr>
        <w:t>InSite</w:t>
      </w:r>
      <w:proofErr w:type="spellEnd"/>
      <w:r>
        <w:rPr>
          <w:sz w:val="24"/>
          <w:szCs w:val="24"/>
        </w:rPr>
        <w:t xml:space="preserve"> </w:t>
      </w:r>
      <w:proofErr w:type="gramStart"/>
      <w:r>
        <w:rPr>
          <w:sz w:val="24"/>
          <w:szCs w:val="24"/>
        </w:rPr>
        <w:t xml:space="preserve">system replacement is being delivered by the </w:t>
      </w:r>
      <w:proofErr w:type="spellStart"/>
      <w:r>
        <w:rPr>
          <w:sz w:val="24"/>
          <w:szCs w:val="24"/>
        </w:rPr>
        <w:t>InSite</w:t>
      </w:r>
      <w:proofErr w:type="spellEnd"/>
      <w:r>
        <w:rPr>
          <w:sz w:val="24"/>
          <w:szCs w:val="24"/>
        </w:rPr>
        <w:t xml:space="preserve"> Programme in OGP</w:t>
      </w:r>
      <w:proofErr w:type="gramEnd"/>
      <w:r>
        <w:rPr>
          <w:sz w:val="24"/>
          <w:szCs w:val="24"/>
        </w:rPr>
        <w:t xml:space="preserve">. Within this programme, </w:t>
      </w:r>
      <w:proofErr w:type="gramStart"/>
      <w:r>
        <w:rPr>
          <w:sz w:val="24"/>
          <w:szCs w:val="24"/>
        </w:rPr>
        <w:t xml:space="preserve">there is also a data </w:t>
      </w:r>
      <w:proofErr w:type="spellStart"/>
      <w:r>
        <w:rPr>
          <w:sz w:val="24"/>
          <w:szCs w:val="24"/>
        </w:rPr>
        <w:t>workstream</w:t>
      </w:r>
      <w:proofErr w:type="spellEnd"/>
      <w:r>
        <w:rPr>
          <w:sz w:val="24"/>
          <w:szCs w:val="24"/>
        </w:rPr>
        <w:t xml:space="preserve"> that</w:t>
      </w:r>
      <w:proofErr w:type="gramEnd"/>
      <w:r>
        <w:rPr>
          <w:sz w:val="24"/>
          <w:szCs w:val="24"/>
        </w:rPr>
        <w:t xml:space="preserve"> has a data standard for the property data to be held within </w:t>
      </w:r>
      <w:proofErr w:type="spellStart"/>
      <w:r>
        <w:rPr>
          <w:sz w:val="24"/>
          <w:szCs w:val="24"/>
        </w:rPr>
        <w:t>InSite</w:t>
      </w:r>
      <w:proofErr w:type="spellEnd"/>
      <w:r>
        <w:rPr>
          <w:sz w:val="24"/>
          <w:szCs w:val="24"/>
        </w:rPr>
        <w:t xml:space="preserve">. It </w:t>
      </w:r>
      <w:proofErr w:type="gramStart"/>
      <w:r>
        <w:rPr>
          <w:sz w:val="24"/>
          <w:szCs w:val="24"/>
        </w:rPr>
        <w:t>is anticipated</w:t>
      </w:r>
      <w:proofErr w:type="gramEnd"/>
      <w:r>
        <w:rPr>
          <w:sz w:val="24"/>
          <w:szCs w:val="24"/>
        </w:rPr>
        <w:t xml:space="preserve"> that the </w:t>
      </w:r>
      <w:proofErr w:type="spellStart"/>
      <w:r>
        <w:rPr>
          <w:sz w:val="24"/>
          <w:szCs w:val="24"/>
        </w:rPr>
        <w:t>InSite</w:t>
      </w:r>
      <w:proofErr w:type="spellEnd"/>
      <w:r>
        <w:rPr>
          <w:sz w:val="24"/>
          <w:szCs w:val="24"/>
        </w:rPr>
        <w:t xml:space="preserve"> system will have c.115 data fields to start with, which are defined in this data standard. </w:t>
      </w:r>
    </w:p>
    <w:p w14:paraId="00000035" w14:textId="77777777" w:rsidR="007F19E5" w:rsidRDefault="00D3120E">
      <w:pPr>
        <w:pStyle w:val="Heading2"/>
        <w:numPr>
          <w:ilvl w:val="1"/>
          <w:numId w:val="1"/>
        </w:numPr>
        <w:spacing w:after="120"/>
        <w:ind w:left="709" w:hanging="709"/>
        <w:rPr>
          <w:sz w:val="24"/>
          <w:szCs w:val="24"/>
        </w:rPr>
      </w:pPr>
      <w:r>
        <w:rPr>
          <w:sz w:val="24"/>
          <w:szCs w:val="24"/>
        </w:rPr>
        <w:t xml:space="preserve">Requirements for the replacement technology system </w:t>
      </w:r>
      <w:proofErr w:type="gramStart"/>
      <w:r>
        <w:rPr>
          <w:sz w:val="24"/>
          <w:szCs w:val="24"/>
        </w:rPr>
        <w:t>were previously defined</w:t>
      </w:r>
      <w:proofErr w:type="gramEnd"/>
      <w:r>
        <w:rPr>
          <w:sz w:val="24"/>
          <w:szCs w:val="24"/>
        </w:rPr>
        <w:t xml:space="preserve">. In </w:t>
      </w:r>
      <w:proofErr w:type="gramStart"/>
      <w:r>
        <w:rPr>
          <w:sz w:val="24"/>
          <w:szCs w:val="24"/>
        </w:rPr>
        <w:t>brief</w:t>
      </w:r>
      <w:proofErr w:type="gramEnd"/>
      <w:r>
        <w:rPr>
          <w:sz w:val="24"/>
          <w:szCs w:val="24"/>
        </w:rPr>
        <w:t xml:space="preserve"> it is a cloud-based cross-public sector property information solution that:</w:t>
      </w:r>
    </w:p>
    <w:p w14:paraId="00000036" w14:textId="77777777" w:rsidR="007F19E5" w:rsidRDefault="00D3120E">
      <w:pPr>
        <w:pStyle w:val="Heading3"/>
        <w:numPr>
          <w:ilvl w:val="2"/>
          <w:numId w:val="1"/>
        </w:numPr>
        <w:rPr>
          <w:sz w:val="24"/>
          <w:szCs w:val="24"/>
        </w:rPr>
      </w:pPr>
      <w:r>
        <w:rPr>
          <w:sz w:val="24"/>
          <w:szCs w:val="24"/>
        </w:rPr>
        <w:t>Allows manual data entry through a series of secure and intuitive GDS Service Standard compliant user interface(s)</w:t>
      </w:r>
      <w:r>
        <w:rPr>
          <w:sz w:val="24"/>
          <w:szCs w:val="24"/>
          <w:vertAlign w:val="superscript"/>
        </w:rPr>
        <w:footnoteReference w:id="2"/>
      </w:r>
      <w:r>
        <w:rPr>
          <w:sz w:val="24"/>
          <w:szCs w:val="24"/>
        </w:rPr>
        <w:t>;  </w:t>
      </w:r>
    </w:p>
    <w:p w14:paraId="00000037" w14:textId="77777777" w:rsidR="007F19E5" w:rsidRDefault="00D3120E">
      <w:pPr>
        <w:pStyle w:val="Heading3"/>
        <w:numPr>
          <w:ilvl w:val="2"/>
          <w:numId w:val="1"/>
        </w:numPr>
        <w:rPr>
          <w:sz w:val="24"/>
          <w:szCs w:val="24"/>
        </w:rPr>
      </w:pPr>
      <w:r>
        <w:rPr>
          <w:sz w:val="24"/>
          <w:szCs w:val="24"/>
        </w:rPr>
        <w:t>Allows data collection from designated government databases and 3rd party sources; </w:t>
      </w:r>
    </w:p>
    <w:p w14:paraId="00000038" w14:textId="77777777" w:rsidR="007F19E5" w:rsidRDefault="00D3120E">
      <w:pPr>
        <w:pStyle w:val="Heading3"/>
        <w:numPr>
          <w:ilvl w:val="2"/>
          <w:numId w:val="1"/>
        </w:numPr>
        <w:rPr>
          <w:sz w:val="24"/>
          <w:szCs w:val="24"/>
        </w:rPr>
      </w:pPr>
      <w:r>
        <w:rPr>
          <w:sz w:val="24"/>
          <w:szCs w:val="24"/>
        </w:rPr>
        <w:t>Validates data against the associated data standard;</w:t>
      </w:r>
    </w:p>
    <w:p w14:paraId="00000039" w14:textId="77777777" w:rsidR="007F19E5" w:rsidRDefault="00D3120E">
      <w:pPr>
        <w:pStyle w:val="Heading3"/>
        <w:numPr>
          <w:ilvl w:val="2"/>
          <w:numId w:val="1"/>
        </w:numPr>
        <w:rPr>
          <w:sz w:val="24"/>
          <w:szCs w:val="24"/>
        </w:rPr>
      </w:pPr>
      <w:r>
        <w:rPr>
          <w:sz w:val="24"/>
          <w:szCs w:val="24"/>
        </w:rPr>
        <w:t>Gives access to the data held to authorised government organisations;</w:t>
      </w:r>
    </w:p>
    <w:p w14:paraId="0000003A" w14:textId="77777777" w:rsidR="007F19E5" w:rsidRDefault="00D3120E">
      <w:pPr>
        <w:pStyle w:val="Heading3"/>
        <w:numPr>
          <w:ilvl w:val="2"/>
          <w:numId w:val="1"/>
        </w:numPr>
        <w:rPr>
          <w:sz w:val="24"/>
          <w:szCs w:val="24"/>
        </w:rPr>
      </w:pPr>
      <w:r>
        <w:rPr>
          <w:sz w:val="24"/>
          <w:szCs w:val="24"/>
        </w:rPr>
        <w:t xml:space="preserve">Uses this data to create dashboards, reports and analytics using Business Intelligence and geospatial analytics, against unique user and data permissions. For sake of clarity, it need not provide </w:t>
      </w:r>
      <w:proofErr w:type="spellStart"/>
      <w:proofErr w:type="gramStart"/>
      <w:r>
        <w:rPr>
          <w:sz w:val="24"/>
          <w:szCs w:val="24"/>
        </w:rPr>
        <w:t>self service</w:t>
      </w:r>
      <w:proofErr w:type="spellEnd"/>
      <w:proofErr w:type="gramEnd"/>
      <w:r>
        <w:rPr>
          <w:sz w:val="24"/>
          <w:szCs w:val="24"/>
        </w:rPr>
        <w:t xml:space="preserve"> ability to change those reports and analytics to all users.</w:t>
      </w:r>
    </w:p>
    <w:p w14:paraId="0000003B" w14:textId="77777777" w:rsidR="007F19E5" w:rsidRDefault="00D3120E">
      <w:pPr>
        <w:pStyle w:val="Heading3"/>
        <w:numPr>
          <w:ilvl w:val="2"/>
          <w:numId w:val="1"/>
        </w:numPr>
        <w:rPr>
          <w:sz w:val="24"/>
          <w:szCs w:val="24"/>
        </w:rPr>
      </w:pPr>
      <w:r>
        <w:rPr>
          <w:sz w:val="24"/>
          <w:szCs w:val="24"/>
        </w:rPr>
        <w:t>User volumes are in the region of 1,200+, with varying levels of activity by user credentials; many being used a limited number of times a year.</w:t>
      </w:r>
    </w:p>
    <w:p w14:paraId="0000003C" w14:textId="77777777" w:rsidR="007F19E5" w:rsidRDefault="00D3120E">
      <w:pPr>
        <w:pStyle w:val="Heading2"/>
        <w:numPr>
          <w:ilvl w:val="1"/>
          <w:numId w:val="1"/>
        </w:numPr>
        <w:spacing w:after="120"/>
        <w:ind w:left="709" w:hanging="709"/>
        <w:rPr>
          <w:sz w:val="24"/>
          <w:szCs w:val="24"/>
        </w:rPr>
      </w:pPr>
      <w:r>
        <w:rPr>
          <w:sz w:val="24"/>
          <w:szCs w:val="24"/>
        </w:rPr>
        <w:t xml:space="preserve">The </w:t>
      </w:r>
      <w:proofErr w:type="spellStart"/>
      <w:r>
        <w:rPr>
          <w:sz w:val="24"/>
          <w:szCs w:val="24"/>
        </w:rPr>
        <w:t>InSite</w:t>
      </w:r>
      <w:proofErr w:type="spellEnd"/>
      <w:r>
        <w:rPr>
          <w:sz w:val="24"/>
          <w:szCs w:val="24"/>
        </w:rPr>
        <w:t xml:space="preserve"> asset register provides a data feed to the Government Property Finder (GPF) - a website that brings all public property for sale, linked with estate agents. The existing property finder </w:t>
      </w:r>
      <w:proofErr w:type="gramStart"/>
      <w:r>
        <w:rPr>
          <w:sz w:val="24"/>
          <w:szCs w:val="24"/>
        </w:rPr>
        <w:t>can be found</w:t>
      </w:r>
      <w:proofErr w:type="gramEnd"/>
      <w:r>
        <w:rPr>
          <w:sz w:val="24"/>
          <w:szCs w:val="24"/>
        </w:rPr>
        <w:t xml:space="preserve"> here: </w:t>
      </w:r>
      <w:hyperlink r:id="rId8">
        <w:r>
          <w:rPr>
            <w:color w:val="0000FF"/>
            <w:sz w:val="24"/>
            <w:szCs w:val="24"/>
            <w:u w:val="single"/>
          </w:rPr>
          <w:t>https://e-pims.cabinetoffice.gov.uk/government-property-finder/Home.aspx</w:t>
        </w:r>
      </w:hyperlink>
      <w:r>
        <w:rPr>
          <w:sz w:val="24"/>
          <w:szCs w:val="24"/>
        </w:rPr>
        <w:t xml:space="preserve"> as is currently being redeveloped. A subset of data </w:t>
      </w:r>
      <w:proofErr w:type="gramStart"/>
      <w:r>
        <w:rPr>
          <w:sz w:val="24"/>
          <w:szCs w:val="24"/>
        </w:rPr>
        <w:t>is linked</w:t>
      </w:r>
      <w:proofErr w:type="gramEnd"/>
      <w:r>
        <w:rPr>
          <w:sz w:val="24"/>
          <w:szCs w:val="24"/>
        </w:rPr>
        <w:t xml:space="preserve"> via API from the Inset asset register solution to the GPF solution.</w:t>
      </w:r>
    </w:p>
    <w:p w14:paraId="0000003D" w14:textId="77777777" w:rsidR="007F19E5" w:rsidRDefault="00D3120E">
      <w:pPr>
        <w:pStyle w:val="Heading2"/>
        <w:numPr>
          <w:ilvl w:val="1"/>
          <w:numId w:val="1"/>
        </w:numPr>
        <w:spacing w:after="120"/>
        <w:ind w:left="709" w:hanging="709"/>
        <w:rPr>
          <w:sz w:val="24"/>
          <w:szCs w:val="24"/>
        </w:rPr>
      </w:pPr>
      <w:r>
        <w:rPr>
          <w:sz w:val="24"/>
          <w:szCs w:val="24"/>
        </w:rPr>
        <w:t xml:space="preserve">GPF development is out of scope for this procurement, but the direct data linkage between the GPF and </w:t>
      </w:r>
      <w:proofErr w:type="spellStart"/>
      <w:r>
        <w:rPr>
          <w:sz w:val="24"/>
          <w:szCs w:val="24"/>
        </w:rPr>
        <w:t>InSite</w:t>
      </w:r>
      <w:proofErr w:type="spellEnd"/>
      <w:r>
        <w:rPr>
          <w:sz w:val="24"/>
          <w:szCs w:val="24"/>
        </w:rPr>
        <w:t xml:space="preserve"> asset register needs to </w:t>
      </w:r>
      <w:proofErr w:type="gramStart"/>
      <w:r>
        <w:rPr>
          <w:sz w:val="24"/>
          <w:szCs w:val="24"/>
        </w:rPr>
        <w:t>be considered</w:t>
      </w:r>
      <w:proofErr w:type="gramEnd"/>
      <w:r>
        <w:rPr>
          <w:sz w:val="24"/>
          <w:szCs w:val="24"/>
        </w:rPr>
        <w:t>.</w:t>
      </w:r>
    </w:p>
    <w:p w14:paraId="0000003E" w14:textId="77777777" w:rsidR="007F19E5" w:rsidRDefault="00D3120E">
      <w:pPr>
        <w:pStyle w:val="Heading2"/>
        <w:numPr>
          <w:ilvl w:val="1"/>
          <w:numId w:val="1"/>
        </w:numPr>
        <w:spacing w:after="120"/>
        <w:ind w:left="709" w:hanging="709"/>
        <w:rPr>
          <w:sz w:val="24"/>
          <w:szCs w:val="24"/>
        </w:rPr>
      </w:pPr>
      <w:r>
        <w:rPr>
          <w:sz w:val="24"/>
          <w:szCs w:val="24"/>
        </w:rPr>
        <w:t xml:space="preserve">A previous attempt at creation of the </w:t>
      </w:r>
      <w:proofErr w:type="spellStart"/>
      <w:r>
        <w:rPr>
          <w:sz w:val="24"/>
          <w:szCs w:val="24"/>
        </w:rPr>
        <w:t>InSite</w:t>
      </w:r>
      <w:proofErr w:type="spellEnd"/>
      <w:r>
        <w:rPr>
          <w:sz w:val="24"/>
          <w:szCs w:val="24"/>
        </w:rPr>
        <w:t xml:space="preserve"> system resulted in the main operational aspect of the system in place to collect, validate, store and report on the data fields.  Code and design documentation to date is available for </w:t>
      </w:r>
      <w:r>
        <w:rPr>
          <w:sz w:val="24"/>
          <w:szCs w:val="24"/>
        </w:rPr>
        <w:lastRenderedPageBreak/>
        <w:t xml:space="preserve">review (hereafter referred to as the Previous Solution). It is not essential that the previous solution </w:t>
      </w:r>
      <w:proofErr w:type="gramStart"/>
      <w:r>
        <w:rPr>
          <w:sz w:val="24"/>
          <w:szCs w:val="24"/>
        </w:rPr>
        <w:t>is</w:t>
      </w:r>
      <w:proofErr w:type="gramEnd"/>
      <w:r>
        <w:rPr>
          <w:sz w:val="24"/>
          <w:szCs w:val="24"/>
        </w:rPr>
        <w:t xml:space="preserve"> carried forward, if a better solution exists.</w:t>
      </w:r>
    </w:p>
    <w:p w14:paraId="0000003F" w14:textId="77777777" w:rsidR="007F19E5" w:rsidRDefault="00D3120E">
      <w:pPr>
        <w:pStyle w:val="Heading2"/>
        <w:numPr>
          <w:ilvl w:val="1"/>
          <w:numId w:val="1"/>
        </w:numPr>
        <w:spacing w:after="120"/>
        <w:ind w:left="709" w:hanging="709"/>
        <w:rPr>
          <w:sz w:val="24"/>
          <w:szCs w:val="24"/>
        </w:rPr>
      </w:pPr>
      <w:r>
        <w:rPr>
          <w:sz w:val="24"/>
          <w:szCs w:val="24"/>
        </w:rPr>
        <w:t xml:space="preserve">Assurance </w:t>
      </w:r>
      <w:proofErr w:type="gramStart"/>
      <w:r>
        <w:rPr>
          <w:sz w:val="24"/>
          <w:szCs w:val="24"/>
        </w:rPr>
        <w:t>has been completed</w:t>
      </w:r>
      <w:proofErr w:type="gramEnd"/>
      <w:r>
        <w:rPr>
          <w:sz w:val="24"/>
          <w:szCs w:val="24"/>
        </w:rPr>
        <w:t xml:space="preserve"> on that work delivered to date, and the Supplier will have the opportunity to understand what requirements were delivered in more detail at the start of this engagement.</w:t>
      </w:r>
    </w:p>
    <w:p w14:paraId="00000040" w14:textId="77777777" w:rsidR="007F19E5" w:rsidRDefault="00D3120E">
      <w:pPr>
        <w:pStyle w:val="Heading2"/>
        <w:numPr>
          <w:ilvl w:val="1"/>
          <w:numId w:val="1"/>
        </w:numPr>
        <w:spacing w:after="120"/>
        <w:ind w:left="709" w:hanging="709"/>
        <w:rPr>
          <w:sz w:val="24"/>
          <w:szCs w:val="24"/>
        </w:rPr>
      </w:pPr>
      <w:r>
        <w:rPr>
          <w:sz w:val="24"/>
          <w:szCs w:val="24"/>
        </w:rPr>
        <w:t xml:space="preserve">The data </w:t>
      </w:r>
      <w:proofErr w:type="spellStart"/>
      <w:r>
        <w:rPr>
          <w:sz w:val="24"/>
          <w:szCs w:val="24"/>
        </w:rPr>
        <w:t>workstream</w:t>
      </w:r>
      <w:proofErr w:type="spellEnd"/>
      <w:r>
        <w:rPr>
          <w:sz w:val="24"/>
          <w:szCs w:val="24"/>
        </w:rPr>
        <w:t xml:space="preserve"> is ongoing within the OGP and wider stakeholder group. The provision of property data against this standard </w:t>
      </w:r>
      <w:proofErr w:type="gramStart"/>
      <w:r>
        <w:rPr>
          <w:sz w:val="24"/>
          <w:szCs w:val="24"/>
        </w:rPr>
        <w:t>has been mandated</w:t>
      </w:r>
      <w:proofErr w:type="gramEnd"/>
      <w:r>
        <w:rPr>
          <w:sz w:val="24"/>
          <w:szCs w:val="24"/>
        </w:rPr>
        <w:t xml:space="preserve"> by the Cabinet Office Minister and Government Organisations, who have been assessed on their readiness to provide data into </w:t>
      </w:r>
      <w:proofErr w:type="spellStart"/>
      <w:r>
        <w:rPr>
          <w:sz w:val="24"/>
          <w:szCs w:val="24"/>
        </w:rPr>
        <w:t>InSite</w:t>
      </w:r>
      <w:proofErr w:type="spellEnd"/>
      <w:r>
        <w:rPr>
          <w:sz w:val="24"/>
          <w:szCs w:val="24"/>
        </w:rPr>
        <w:t>.  </w:t>
      </w:r>
    </w:p>
    <w:p w14:paraId="00000041" w14:textId="77777777" w:rsidR="007F19E5" w:rsidRDefault="00D3120E">
      <w:pPr>
        <w:pStyle w:val="Heading2"/>
        <w:numPr>
          <w:ilvl w:val="1"/>
          <w:numId w:val="1"/>
        </w:numPr>
        <w:spacing w:after="120"/>
        <w:ind w:left="709" w:hanging="709"/>
        <w:rPr>
          <w:sz w:val="24"/>
          <w:szCs w:val="24"/>
        </w:rPr>
      </w:pPr>
      <w:r>
        <w:rPr>
          <w:sz w:val="24"/>
          <w:szCs w:val="24"/>
        </w:rPr>
        <w:t xml:space="preserve">The assurance partner (hereafter referred to as the Supplier) is key to identifying a viable way forward to complete the system build. </w:t>
      </w:r>
    </w:p>
    <w:p w14:paraId="00000042" w14:textId="77777777" w:rsidR="007F19E5" w:rsidRDefault="00D3120E">
      <w:pPr>
        <w:pStyle w:val="Heading2"/>
        <w:numPr>
          <w:ilvl w:val="1"/>
          <w:numId w:val="1"/>
        </w:numPr>
        <w:spacing w:after="120"/>
        <w:ind w:left="709" w:hanging="709"/>
        <w:rPr>
          <w:sz w:val="24"/>
          <w:szCs w:val="24"/>
        </w:rPr>
      </w:pPr>
      <w:r>
        <w:rPr>
          <w:sz w:val="24"/>
          <w:szCs w:val="24"/>
        </w:rPr>
        <w:t xml:space="preserve">The previous solution is an AWS focused solution that utilises APIs to collect and validate the data, storing in a </w:t>
      </w:r>
      <w:proofErr w:type="spellStart"/>
      <w:r>
        <w:rPr>
          <w:sz w:val="24"/>
          <w:szCs w:val="24"/>
        </w:rPr>
        <w:t>PostGres</w:t>
      </w:r>
      <w:proofErr w:type="spellEnd"/>
      <w:r>
        <w:rPr>
          <w:sz w:val="24"/>
          <w:szCs w:val="24"/>
        </w:rPr>
        <w:t xml:space="preserve"> database, with AWS </w:t>
      </w:r>
      <w:proofErr w:type="spellStart"/>
      <w:r>
        <w:rPr>
          <w:sz w:val="24"/>
          <w:szCs w:val="24"/>
        </w:rPr>
        <w:t>Microservices</w:t>
      </w:r>
      <w:proofErr w:type="spellEnd"/>
      <w:r>
        <w:rPr>
          <w:sz w:val="24"/>
          <w:szCs w:val="24"/>
        </w:rPr>
        <w:t xml:space="preserve"> enabling the processes.  The system then utilises Tableau and ESRI Software to allow users to query this data. </w:t>
      </w:r>
    </w:p>
    <w:p w14:paraId="00000043" w14:textId="4C0E4B76" w:rsidR="007F19E5" w:rsidRDefault="00D3120E">
      <w:pPr>
        <w:pStyle w:val="Heading2"/>
        <w:numPr>
          <w:ilvl w:val="1"/>
          <w:numId w:val="1"/>
        </w:numPr>
        <w:spacing w:after="120"/>
        <w:ind w:left="709" w:hanging="709"/>
        <w:rPr>
          <w:sz w:val="24"/>
          <w:szCs w:val="24"/>
        </w:rPr>
      </w:pPr>
      <w:r>
        <w:rPr>
          <w:sz w:val="24"/>
          <w:szCs w:val="24"/>
        </w:rPr>
        <w:t xml:space="preserve">The </w:t>
      </w:r>
      <w:r w:rsidR="007F3696">
        <w:rPr>
          <w:sz w:val="24"/>
          <w:szCs w:val="24"/>
        </w:rPr>
        <w:t>S</w:t>
      </w:r>
      <w:r>
        <w:rPr>
          <w:sz w:val="24"/>
          <w:szCs w:val="24"/>
        </w:rPr>
        <w:t>upplier who worked on the previous solution has now handed over the partially complete product to the Authority, along with all completed artefacts including documentation.</w:t>
      </w:r>
    </w:p>
    <w:p w14:paraId="00000044" w14:textId="77777777" w:rsidR="007F19E5" w:rsidRDefault="00D3120E">
      <w:pPr>
        <w:pStyle w:val="Heading2"/>
        <w:numPr>
          <w:ilvl w:val="1"/>
          <w:numId w:val="1"/>
        </w:numPr>
        <w:spacing w:after="120"/>
        <w:ind w:left="709" w:hanging="709"/>
        <w:rPr>
          <w:sz w:val="24"/>
          <w:szCs w:val="24"/>
        </w:rPr>
      </w:pPr>
      <w:r>
        <w:rPr>
          <w:sz w:val="24"/>
          <w:szCs w:val="24"/>
        </w:rPr>
        <w:t>The following items have been included to give the Supplier some background information of that phase for which the Authority requires technical assurance and support.</w:t>
      </w:r>
    </w:p>
    <w:p w14:paraId="00000045" w14:textId="77777777" w:rsidR="007F19E5" w:rsidRDefault="00D3120E">
      <w:pPr>
        <w:pStyle w:val="Heading3"/>
        <w:numPr>
          <w:ilvl w:val="2"/>
          <w:numId w:val="1"/>
        </w:numPr>
        <w:rPr>
          <w:sz w:val="24"/>
          <w:szCs w:val="24"/>
        </w:rPr>
      </w:pPr>
      <w:r>
        <w:rPr>
          <w:sz w:val="24"/>
          <w:szCs w:val="24"/>
        </w:rPr>
        <w:t>Annex A – Requirements.</w:t>
      </w:r>
    </w:p>
    <w:p w14:paraId="00000046" w14:textId="77777777" w:rsidR="007F19E5" w:rsidRDefault="00D3120E">
      <w:pPr>
        <w:pStyle w:val="Heading3"/>
        <w:numPr>
          <w:ilvl w:val="2"/>
          <w:numId w:val="1"/>
        </w:numPr>
        <w:rPr>
          <w:sz w:val="24"/>
          <w:szCs w:val="24"/>
        </w:rPr>
      </w:pPr>
      <w:r>
        <w:rPr>
          <w:sz w:val="24"/>
          <w:szCs w:val="24"/>
        </w:rPr>
        <w:t>Annex B – A Technical Report on the Previous Solution.</w:t>
      </w:r>
    </w:p>
    <w:p w14:paraId="00000047" w14:textId="77777777" w:rsidR="007F19E5" w:rsidRDefault="00D3120E">
      <w:pPr>
        <w:pStyle w:val="Heading3"/>
        <w:numPr>
          <w:ilvl w:val="2"/>
          <w:numId w:val="1"/>
        </w:numPr>
        <w:rPr>
          <w:sz w:val="24"/>
          <w:szCs w:val="24"/>
        </w:rPr>
      </w:pPr>
      <w:r>
        <w:rPr>
          <w:sz w:val="24"/>
          <w:szCs w:val="24"/>
        </w:rPr>
        <w:t>Annex C: The data standard with 110 data fields identified with a flag.</w:t>
      </w:r>
    </w:p>
    <w:p w14:paraId="00000048" w14:textId="77777777" w:rsidR="007F19E5" w:rsidRDefault="00D3120E">
      <w:pPr>
        <w:pStyle w:val="Heading2"/>
        <w:numPr>
          <w:ilvl w:val="1"/>
          <w:numId w:val="1"/>
        </w:numPr>
        <w:spacing w:after="120"/>
        <w:ind w:left="709" w:hanging="709"/>
        <w:rPr>
          <w:sz w:val="24"/>
          <w:szCs w:val="24"/>
        </w:rPr>
      </w:pPr>
      <w:r>
        <w:rPr>
          <w:sz w:val="24"/>
          <w:szCs w:val="24"/>
        </w:rPr>
        <w:t xml:space="preserve">The Authority has accepted the following </w:t>
      </w:r>
      <w:proofErr w:type="gramStart"/>
      <w:r>
        <w:rPr>
          <w:sz w:val="24"/>
          <w:szCs w:val="24"/>
        </w:rPr>
        <w:t>aspects which</w:t>
      </w:r>
      <w:proofErr w:type="gramEnd"/>
      <w:r>
        <w:rPr>
          <w:sz w:val="24"/>
          <w:szCs w:val="24"/>
        </w:rPr>
        <w:t xml:space="preserve"> have been ratified by the previous technology assurance partner:</w:t>
      </w:r>
    </w:p>
    <w:p w14:paraId="00000049" w14:textId="77777777" w:rsidR="007F19E5" w:rsidRDefault="00D3120E">
      <w:pPr>
        <w:pStyle w:val="Heading3"/>
        <w:numPr>
          <w:ilvl w:val="2"/>
          <w:numId w:val="1"/>
        </w:numPr>
        <w:rPr>
          <w:sz w:val="24"/>
          <w:szCs w:val="24"/>
        </w:rPr>
      </w:pPr>
      <w:r>
        <w:rPr>
          <w:sz w:val="24"/>
          <w:szCs w:val="24"/>
        </w:rPr>
        <w:t>API, Taxonomy API, Reference API, Implementation Guide, Reference API Guide(s).</w:t>
      </w:r>
    </w:p>
    <w:p w14:paraId="0000004A" w14:textId="77777777" w:rsidR="007F19E5" w:rsidRDefault="00D3120E">
      <w:pPr>
        <w:pStyle w:val="Heading3"/>
        <w:numPr>
          <w:ilvl w:val="2"/>
          <w:numId w:val="1"/>
        </w:numPr>
        <w:rPr>
          <w:sz w:val="24"/>
          <w:szCs w:val="24"/>
        </w:rPr>
      </w:pPr>
      <w:r>
        <w:rPr>
          <w:sz w:val="24"/>
          <w:szCs w:val="24"/>
        </w:rPr>
        <w:t xml:space="preserve">Operational database with full data standard. User management, data workflow, system administration, </w:t>
      </w:r>
      <w:proofErr w:type="gramStart"/>
      <w:r>
        <w:rPr>
          <w:sz w:val="24"/>
          <w:szCs w:val="24"/>
        </w:rPr>
        <w:t>data quality rule management</w:t>
      </w:r>
      <w:proofErr w:type="gramEnd"/>
      <w:r>
        <w:rPr>
          <w:sz w:val="24"/>
          <w:szCs w:val="24"/>
        </w:rPr>
        <w:t>.</w:t>
      </w:r>
    </w:p>
    <w:p w14:paraId="0000004B" w14:textId="77777777" w:rsidR="007F19E5" w:rsidRDefault="00D3120E">
      <w:pPr>
        <w:pStyle w:val="Heading3"/>
        <w:numPr>
          <w:ilvl w:val="2"/>
          <w:numId w:val="1"/>
        </w:numPr>
        <w:rPr>
          <w:sz w:val="24"/>
          <w:szCs w:val="24"/>
        </w:rPr>
      </w:pPr>
      <w:r>
        <w:rPr>
          <w:sz w:val="24"/>
          <w:szCs w:val="24"/>
        </w:rPr>
        <w:t>API CSV, API Validation Rules – Schema / Business Documentation.</w:t>
      </w:r>
    </w:p>
    <w:p w14:paraId="0000004C" w14:textId="77777777" w:rsidR="007F19E5" w:rsidRDefault="00D3120E">
      <w:pPr>
        <w:pStyle w:val="Heading2"/>
        <w:numPr>
          <w:ilvl w:val="1"/>
          <w:numId w:val="1"/>
        </w:numPr>
        <w:spacing w:after="120"/>
        <w:ind w:left="709" w:hanging="709"/>
        <w:rPr>
          <w:sz w:val="24"/>
          <w:szCs w:val="24"/>
        </w:rPr>
      </w:pPr>
      <w:r>
        <w:rPr>
          <w:sz w:val="24"/>
          <w:szCs w:val="24"/>
        </w:rPr>
        <w:t xml:space="preserve">The functionality still outstanding in the previous solution </w:t>
      </w:r>
      <w:proofErr w:type="gramStart"/>
      <w:r>
        <w:rPr>
          <w:sz w:val="24"/>
          <w:szCs w:val="24"/>
        </w:rPr>
        <w:t>is split into the following milestones and built upon previous deliverables that the original produced</w:t>
      </w:r>
      <w:proofErr w:type="gramEnd"/>
      <w:r>
        <w:rPr>
          <w:sz w:val="24"/>
          <w:szCs w:val="24"/>
        </w:rPr>
        <w:t>:</w:t>
      </w:r>
    </w:p>
    <w:p w14:paraId="0000004D" w14:textId="77777777" w:rsidR="007F19E5" w:rsidRDefault="00D3120E">
      <w:pPr>
        <w:pStyle w:val="Heading3"/>
        <w:numPr>
          <w:ilvl w:val="2"/>
          <w:numId w:val="1"/>
        </w:numPr>
        <w:rPr>
          <w:sz w:val="24"/>
          <w:szCs w:val="24"/>
        </w:rPr>
      </w:pPr>
      <w:r>
        <w:rPr>
          <w:sz w:val="24"/>
          <w:szCs w:val="24"/>
        </w:rPr>
        <w:t>Design, build, test of all user interface pages.</w:t>
      </w:r>
    </w:p>
    <w:p w14:paraId="0000004E" w14:textId="09CC0CF7" w:rsidR="007F19E5" w:rsidRDefault="00D3120E">
      <w:pPr>
        <w:pStyle w:val="Heading3"/>
        <w:numPr>
          <w:ilvl w:val="2"/>
          <w:numId w:val="1"/>
        </w:numPr>
        <w:rPr>
          <w:sz w:val="24"/>
          <w:szCs w:val="24"/>
        </w:rPr>
      </w:pPr>
      <w:r>
        <w:rPr>
          <w:sz w:val="24"/>
          <w:szCs w:val="24"/>
        </w:rPr>
        <w:t>Design and build of reporting database, visualisations and reports</w:t>
      </w:r>
      <w:r w:rsidR="007F3696">
        <w:rPr>
          <w:sz w:val="24"/>
          <w:szCs w:val="24"/>
        </w:rPr>
        <w:t>.</w:t>
      </w:r>
      <w:r>
        <w:rPr>
          <w:sz w:val="24"/>
          <w:szCs w:val="24"/>
        </w:rPr>
        <w:t xml:space="preserve">  </w:t>
      </w:r>
    </w:p>
    <w:p w14:paraId="0000004F" w14:textId="77777777" w:rsidR="007F19E5" w:rsidRDefault="00D3120E">
      <w:pPr>
        <w:pStyle w:val="Heading3"/>
        <w:numPr>
          <w:ilvl w:val="2"/>
          <w:numId w:val="1"/>
        </w:numPr>
        <w:rPr>
          <w:sz w:val="24"/>
          <w:szCs w:val="24"/>
        </w:rPr>
      </w:pPr>
      <w:r>
        <w:rPr>
          <w:sz w:val="24"/>
          <w:szCs w:val="24"/>
        </w:rPr>
        <w:lastRenderedPageBreak/>
        <w:t>User companion guides, metadata documentations and video recordings.</w:t>
      </w:r>
    </w:p>
    <w:p w14:paraId="00000050" w14:textId="77777777" w:rsidR="007F19E5" w:rsidRDefault="00D3120E">
      <w:pPr>
        <w:pStyle w:val="Heading3"/>
        <w:numPr>
          <w:ilvl w:val="2"/>
          <w:numId w:val="1"/>
        </w:numPr>
        <w:rPr>
          <w:sz w:val="24"/>
          <w:szCs w:val="24"/>
        </w:rPr>
      </w:pPr>
      <w:r>
        <w:rPr>
          <w:sz w:val="24"/>
          <w:szCs w:val="24"/>
        </w:rPr>
        <w:t>Spatial data capture against records.</w:t>
      </w:r>
    </w:p>
    <w:p w14:paraId="00000051" w14:textId="0AE89656" w:rsidR="007F19E5" w:rsidRDefault="00D3120E">
      <w:pPr>
        <w:pStyle w:val="Heading2"/>
        <w:numPr>
          <w:ilvl w:val="1"/>
          <w:numId w:val="1"/>
        </w:numPr>
        <w:spacing w:after="120"/>
        <w:ind w:left="709" w:hanging="709"/>
        <w:rPr>
          <w:sz w:val="24"/>
          <w:szCs w:val="24"/>
        </w:rPr>
      </w:pPr>
      <w:r>
        <w:rPr>
          <w:sz w:val="24"/>
          <w:szCs w:val="24"/>
        </w:rPr>
        <w:t>The next phase of the programme is to procure a new Technology Partner in a way that leverages the work completed to date, if viable. </w:t>
      </w:r>
    </w:p>
    <w:p w14:paraId="00000052" w14:textId="77777777" w:rsidR="007F19E5" w:rsidRDefault="00D3120E">
      <w:pPr>
        <w:pStyle w:val="Heading2"/>
        <w:numPr>
          <w:ilvl w:val="1"/>
          <w:numId w:val="1"/>
        </w:numPr>
        <w:spacing w:after="120"/>
        <w:ind w:left="709" w:hanging="709"/>
        <w:rPr>
          <w:sz w:val="24"/>
          <w:szCs w:val="24"/>
        </w:rPr>
      </w:pPr>
      <w:r>
        <w:rPr>
          <w:sz w:val="24"/>
          <w:szCs w:val="24"/>
        </w:rPr>
        <w:t>Further background detail on the system requirements include;</w:t>
      </w:r>
    </w:p>
    <w:p w14:paraId="00000053" w14:textId="77777777" w:rsidR="007F19E5" w:rsidRDefault="00D3120E">
      <w:pPr>
        <w:pStyle w:val="Heading3"/>
        <w:numPr>
          <w:ilvl w:val="2"/>
          <w:numId w:val="1"/>
        </w:numPr>
        <w:rPr>
          <w:sz w:val="24"/>
          <w:szCs w:val="24"/>
        </w:rPr>
      </w:pPr>
      <w:r>
        <w:rPr>
          <w:sz w:val="24"/>
          <w:szCs w:val="24"/>
        </w:rPr>
        <w:t xml:space="preserve">The system will provide for approximately 115 business data fields when it first goes live. E.g. location/ address, cost, rent, value, lease expiry dates, floor areas.  These fields are contained in the Data Standard in Annex C. Operational property management data, such as transactional data, </w:t>
      </w:r>
      <w:r>
        <w:rPr>
          <w:b/>
          <w:sz w:val="24"/>
          <w:szCs w:val="24"/>
          <w:u w:val="single"/>
        </w:rPr>
        <w:t>is not required in this system</w:t>
      </w:r>
      <w:r>
        <w:rPr>
          <w:sz w:val="24"/>
          <w:szCs w:val="24"/>
        </w:rPr>
        <w:t>.</w:t>
      </w:r>
    </w:p>
    <w:p w14:paraId="00000054" w14:textId="77777777" w:rsidR="007F19E5" w:rsidRDefault="00D3120E">
      <w:pPr>
        <w:pStyle w:val="Heading3"/>
        <w:numPr>
          <w:ilvl w:val="2"/>
          <w:numId w:val="1"/>
        </w:numPr>
        <w:rPr>
          <w:sz w:val="24"/>
          <w:szCs w:val="24"/>
        </w:rPr>
      </w:pPr>
      <w:r>
        <w:rPr>
          <w:sz w:val="24"/>
          <w:szCs w:val="24"/>
        </w:rPr>
        <w:t xml:space="preserve">Responsibility for the base data accuracy will primarily rest with the public bodies. The system will need business as well as technical validation rules on the data </w:t>
      </w:r>
      <w:proofErr w:type="gramStart"/>
      <w:r>
        <w:rPr>
          <w:sz w:val="24"/>
          <w:szCs w:val="24"/>
        </w:rPr>
        <w:t>being entered</w:t>
      </w:r>
      <w:proofErr w:type="gramEnd"/>
      <w:r>
        <w:rPr>
          <w:sz w:val="24"/>
          <w:szCs w:val="24"/>
        </w:rPr>
        <w:t>. There are currently over 187 such validation rules, 87 schema and 100 business.</w:t>
      </w:r>
    </w:p>
    <w:p w14:paraId="00000055" w14:textId="77777777" w:rsidR="007F19E5" w:rsidRDefault="00D3120E">
      <w:pPr>
        <w:pStyle w:val="Heading3"/>
        <w:numPr>
          <w:ilvl w:val="2"/>
          <w:numId w:val="1"/>
        </w:numPr>
        <w:rPr>
          <w:sz w:val="24"/>
          <w:szCs w:val="24"/>
        </w:rPr>
      </w:pPr>
      <w:r>
        <w:rPr>
          <w:sz w:val="24"/>
          <w:szCs w:val="24"/>
        </w:rPr>
        <w:t>The system must contain support for data management and governance.</w:t>
      </w:r>
    </w:p>
    <w:p w14:paraId="00000056" w14:textId="391F1205" w:rsidR="007F19E5" w:rsidRDefault="00D3120E">
      <w:pPr>
        <w:pStyle w:val="Heading3"/>
        <w:numPr>
          <w:ilvl w:val="2"/>
          <w:numId w:val="1"/>
        </w:numPr>
        <w:rPr>
          <w:sz w:val="24"/>
          <w:szCs w:val="24"/>
        </w:rPr>
      </w:pPr>
      <w:r>
        <w:rPr>
          <w:sz w:val="24"/>
          <w:szCs w:val="24"/>
        </w:rPr>
        <w:t xml:space="preserve">It must incorporate simple business intelligence and analytics </w:t>
      </w:r>
      <w:proofErr w:type="gramStart"/>
      <w:r>
        <w:rPr>
          <w:sz w:val="24"/>
          <w:szCs w:val="24"/>
        </w:rPr>
        <w:t>outputs which</w:t>
      </w:r>
      <w:proofErr w:type="gramEnd"/>
      <w:r>
        <w:rPr>
          <w:sz w:val="24"/>
          <w:szCs w:val="24"/>
        </w:rPr>
        <w:t xml:space="preserve"> surface the data to </w:t>
      </w:r>
      <w:r w:rsidR="007F3696">
        <w:rPr>
          <w:sz w:val="24"/>
          <w:szCs w:val="24"/>
        </w:rPr>
        <w:t>non-technical</w:t>
      </w:r>
      <w:r>
        <w:rPr>
          <w:sz w:val="24"/>
          <w:szCs w:val="24"/>
        </w:rPr>
        <w:t xml:space="preserve"> users. It must also incorporate web front-end mapping.</w:t>
      </w:r>
    </w:p>
    <w:p w14:paraId="00000057" w14:textId="7ACF21EC" w:rsidR="007F19E5" w:rsidRDefault="00D3120E">
      <w:pPr>
        <w:pStyle w:val="Heading3"/>
        <w:numPr>
          <w:ilvl w:val="2"/>
          <w:numId w:val="1"/>
        </w:numPr>
        <w:rPr>
          <w:sz w:val="24"/>
          <w:szCs w:val="24"/>
        </w:rPr>
      </w:pPr>
      <w:r>
        <w:rPr>
          <w:sz w:val="24"/>
          <w:szCs w:val="24"/>
        </w:rPr>
        <w:t>It </w:t>
      </w:r>
      <w:proofErr w:type="gramStart"/>
      <w:r>
        <w:rPr>
          <w:sz w:val="24"/>
          <w:szCs w:val="24"/>
        </w:rPr>
        <w:t>will be based</w:t>
      </w:r>
      <w:proofErr w:type="gramEnd"/>
      <w:r>
        <w:rPr>
          <w:sz w:val="24"/>
          <w:szCs w:val="24"/>
        </w:rPr>
        <w:t xml:space="preserve"> on Cabinet Office supported technologies. In addition, it should be compliant with the GDS Service Standard</w:t>
      </w:r>
      <w:r>
        <w:rPr>
          <w:sz w:val="24"/>
          <w:szCs w:val="24"/>
          <w:vertAlign w:val="superscript"/>
        </w:rPr>
        <w:footnoteReference w:id="3"/>
      </w:r>
      <w:r>
        <w:rPr>
          <w:sz w:val="24"/>
          <w:szCs w:val="24"/>
        </w:rPr>
        <w:t>. </w:t>
      </w:r>
    </w:p>
    <w:p w14:paraId="00000058" w14:textId="772E6F19" w:rsidR="007F19E5" w:rsidRDefault="00D3120E">
      <w:pPr>
        <w:pStyle w:val="Heading3"/>
        <w:numPr>
          <w:ilvl w:val="2"/>
          <w:numId w:val="1"/>
        </w:numPr>
        <w:rPr>
          <w:sz w:val="24"/>
          <w:szCs w:val="24"/>
        </w:rPr>
      </w:pPr>
      <w:r>
        <w:rPr>
          <w:sz w:val="24"/>
          <w:szCs w:val="24"/>
        </w:rPr>
        <w:t xml:space="preserve">It does not require </w:t>
      </w:r>
      <w:r w:rsidR="007F3696">
        <w:rPr>
          <w:sz w:val="24"/>
          <w:szCs w:val="24"/>
        </w:rPr>
        <w:t>self-service</w:t>
      </w:r>
      <w:r>
        <w:rPr>
          <w:sz w:val="24"/>
          <w:szCs w:val="24"/>
        </w:rPr>
        <w:t xml:space="preserve"> analytics for all users. It may contain self-service capability for only the Authority users, who will also manage the user administration of the system. These will be about 20 such users at the maximum. </w:t>
      </w:r>
    </w:p>
    <w:p w14:paraId="00000059" w14:textId="5393755D" w:rsidR="007F19E5" w:rsidRDefault="00D3120E">
      <w:pPr>
        <w:pStyle w:val="Heading1"/>
        <w:numPr>
          <w:ilvl w:val="0"/>
          <w:numId w:val="1"/>
        </w:numPr>
        <w:spacing w:after="120"/>
        <w:rPr>
          <w:sz w:val="32"/>
          <w:szCs w:val="32"/>
        </w:rPr>
      </w:pPr>
      <w:bookmarkStart w:id="10" w:name="_heading=h.17dp8vu" w:colFirst="0" w:colLast="0"/>
      <w:bookmarkEnd w:id="10"/>
      <w:r>
        <w:rPr>
          <w:sz w:val="32"/>
          <w:szCs w:val="32"/>
        </w:rPr>
        <w:t xml:space="preserve">definitions </w:t>
      </w:r>
    </w:p>
    <w:tbl>
      <w:tblPr>
        <w:tblStyle w:val="TableGrid"/>
        <w:tblW w:w="0" w:type="auto"/>
        <w:tblInd w:w="421" w:type="dxa"/>
        <w:tblLook w:val="04A0" w:firstRow="1" w:lastRow="0" w:firstColumn="1" w:lastColumn="0" w:noHBand="0" w:noVBand="1"/>
      </w:tblPr>
      <w:tblGrid>
        <w:gridCol w:w="2347"/>
        <w:gridCol w:w="6251"/>
      </w:tblGrid>
      <w:tr w:rsidR="00E81921" w:rsidRPr="001A45DF" w14:paraId="2C1198BD" w14:textId="77777777" w:rsidTr="00291D66">
        <w:tc>
          <w:tcPr>
            <w:tcW w:w="2347" w:type="dxa"/>
            <w:shd w:val="clear" w:color="auto" w:fill="B8CCE4" w:themeFill="accent1" w:themeFillTint="66"/>
          </w:tcPr>
          <w:p w14:paraId="56F5CC3D" w14:textId="77777777" w:rsidR="00E81921" w:rsidRPr="001A45DF" w:rsidRDefault="00E81921" w:rsidP="00291D66">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251" w:type="dxa"/>
            <w:shd w:val="clear" w:color="auto" w:fill="B8CCE4" w:themeFill="accent1" w:themeFillTint="66"/>
          </w:tcPr>
          <w:p w14:paraId="2EA932E0" w14:textId="77777777" w:rsidR="00E81921" w:rsidRPr="001A45DF" w:rsidRDefault="00E81921" w:rsidP="00291D66">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E81921" w:rsidRPr="001A45DF" w14:paraId="1A6FD735" w14:textId="77777777" w:rsidTr="00291D66">
        <w:tc>
          <w:tcPr>
            <w:tcW w:w="2347" w:type="dxa"/>
          </w:tcPr>
          <w:p w14:paraId="3A1D4A93" w14:textId="77777777" w:rsidR="00E81921" w:rsidRPr="001A45DF" w:rsidRDefault="00E81921" w:rsidP="00291D66">
            <w:pPr>
              <w:pStyle w:val="Heading2"/>
              <w:numPr>
                <w:ilvl w:val="0"/>
                <w:numId w:val="0"/>
              </w:numPr>
              <w:spacing w:after="120"/>
              <w:ind w:left="720" w:hanging="720"/>
              <w:outlineLvl w:val="1"/>
              <w:rPr>
                <w:sz w:val="24"/>
                <w:szCs w:val="24"/>
                <w:highlight w:val="yellow"/>
              </w:rPr>
            </w:pPr>
            <w:r>
              <w:rPr>
                <w:sz w:val="24"/>
                <w:szCs w:val="24"/>
              </w:rPr>
              <w:t>ALB</w:t>
            </w:r>
          </w:p>
        </w:tc>
        <w:tc>
          <w:tcPr>
            <w:tcW w:w="6251" w:type="dxa"/>
          </w:tcPr>
          <w:p w14:paraId="10C2C0EC" w14:textId="77777777" w:rsidR="00E81921" w:rsidRPr="001A45DF" w:rsidRDefault="00E81921" w:rsidP="00291D66">
            <w:pPr>
              <w:pStyle w:val="Heading2"/>
              <w:numPr>
                <w:ilvl w:val="0"/>
                <w:numId w:val="0"/>
              </w:numPr>
              <w:spacing w:after="120"/>
              <w:outlineLvl w:val="1"/>
              <w:rPr>
                <w:sz w:val="24"/>
                <w:szCs w:val="24"/>
                <w:highlight w:val="yellow"/>
              </w:rPr>
            </w:pPr>
            <w:r>
              <w:rPr>
                <w:sz w:val="24"/>
                <w:szCs w:val="24"/>
              </w:rPr>
              <w:t>Arm’s Length Bodies</w:t>
            </w:r>
          </w:p>
        </w:tc>
      </w:tr>
      <w:tr w:rsidR="00E81921" w:rsidRPr="001A45DF" w14:paraId="352991E1" w14:textId="77777777" w:rsidTr="00291D66">
        <w:tc>
          <w:tcPr>
            <w:tcW w:w="2347" w:type="dxa"/>
          </w:tcPr>
          <w:p w14:paraId="4F9FCBF1" w14:textId="77777777" w:rsidR="00E81921" w:rsidRPr="00082732" w:rsidRDefault="00E81921" w:rsidP="00291D66">
            <w:pPr>
              <w:pStyle w:val="Heading2"/>
              <w:numPr>
                <w:ilvl w:val="0"/>
                <w:numId w:val="0"/>
              </w:numPr>
              <w:spacing w:after="120"/>
              <w:ind w:left="720" w:hanging="720"/>
              <w:outlineLvl w:val="1"/>
              <w:rPr>
                <w:sz w:val="24"/>
                <w:szCs w:val="24"/>
                <w:shd w:val="clear" w:color="auto" w:fill="FFFF99"/>
              </w:rPr>
            </w:pPr>
            <w:r>
              <w:rPr>
                <w:sz w:val="24"/>
                <w:szCs w:val="24"/>
              </w:rPr>
              <w:t>API</w:t>
            </w:r>
          </w:p>
        </w:tc>
        <w:tc>
          <w:tcPr>
            <w:tcW w:w="6251" w:type="dxa"/>
          </w:tcPr>
          <w:p w14:paraId="405FC587" w14:textId="77777777" w:rsidR="00E81921" w:rsidRPr="001A45DF" w:rsidRDefault="00E81921" w:rsidP="00291D66">
            <w:pPr>
              <w:pStyle w:val="Heading2"/>
              <w:numPr>
                <w:ilvl w:val="0"/>
                <w:numId w:val="0"/>
              </w:numPr>
              <w:spacing w:after="120"/>
              <w:outlineLvl w:val="1"/>
              <w:rPr>
                <w:sz w:val="24"/>
                <w:szCs w:val="24"/>
              </w:rPr>
            </w:pPr>
            <w:r>
              <w:rPr>
                <w:sz w:val="24"/>
                <w:szCs w:val="24"/>
              </w:rPr>
              <w:t>Application Programming Interface.</w:t>
            </w:r>
          </w:p>
        </w:tc>
      </w:tr>
      <w:tr w:rsidR="00E81921" w:rsidRPr="001A45DF" w14:paraId="4A4462E0" w14:textId="77777777" w:rsidTr="00291D66">
        <w:tc>
          <w:tcPr>
            <w:tcW w:w="2347" w:type="dxa"/>
          </w:tcPr>
          <w:p w14:paraId="16CE234E" w14:textId="77777777" w:rsidR="00E81921" w:rsidRPr="001A45DF" w:rsidRDefault="00E81921" w:rsidP="00291D66">
            <w:pPr>
              <w:pStyle w:val="Heading2"/>
              <w:numPr>
                <w:ilvl w:val="0"/>
                <w:numId w:val="0"/>
              </w:numPr>
              <w:spacing w:after="120"/>
              <w:ind w:left="720" w:hanging="720"/>
              <w:outlineLvl w:val="1"/>
              <w:rPr>
                <w:sz w:val="24"/>
                <w:szCs w:val="24"/>
                <w:highlight w:val="yellow"/>
              </w:rPr>
            </w:pPr>
            <w:r>
              <w:rPr>
                <w:sz w:val="24"/>
                <w:szCs w:val="24"/>
              </w:rPr>
              <w:t>AWS</w:t>
            </w:r>
          </w:p>
        </w:tc>
        <w:tc>
          <w:tcPr>
            <w:tcW w:w="6251" w:type="dxa"/>
          </w:tcPr>
          <w:p w14:paraId="7D2D3482" w14:textId="77777777" w:rsidR="00E81921" w:rsidRPr="001A45DF" w:rsidRDefault="00E81921" w:rsidP="00291D66">
            <w:pPr>
              <w:pStyle w:val="Heading2"/>
              <w:numPr>
                <w:ilvl w:val="0"/>
                <w:numId w:val="0"/>
              </w:numPr>
              <w:spacing w:after="120"/>
              <w:outlineLvl w:val="1"/>
              <w:rPr>
                <w:sz w:val="24"/>
                <w:szCs w:val="24"/>
                <w:highlight w:val="yellow"/>
              </w:rPr>
            </w:pPr>
            <w:r>
              <w:rPr>
                <w:color w:val="0B0C0C"/>
                <w:sz w:val="24"/>
                <w:szCs w:val="24"/>
                <w:highlight w:val="white"/>
              </w:rPr>
              <w:t>Amazon Web Services</w:t>
            </w:r>
          </w:p>
        </w:tc>
      </w:tr>
      <w:tr w:rsidR="00E81921" w14:paraId="09B7DBF8" w14:textId="77777777" w:rsidTr="00291D66">
        <w:tc>
          <w:tcPr>
            <w:tcW w:w="2347" w:type="dxa"/>
          </w:tcPr>
          <w:p w14:paraId="3C920AC2" w14:textId="77777777" w:rsidR="00E81921" w:rsidRDefault="00E81921" w:rsidP="00291D66">
            <w:pPr>
              <w:pStyle w:val="Heading2"/>
              <w:numPr>
                <w:ilvl w:val="0"/>
                <w:numId w:val="0"/>
              </w:numPr>
              <w:spacing w:after="120"/>
              <w:ind w:left="720" w:hanging="720"/>
              <w:outlineLvl w:val="1"/>
              <w:rPr>
                <w:sz w:val="24"/>
                <w:szCs w:val="24"/>
              </w:rPr>
            </w:pPr>
            <w:r>
              <w:rPr>
                <w:sz w:val="24"/>
                <w:szCs w:val="24"/>
              </w:rPr>
              <w:t>CDIO</w:t>
            </w:r>
          </w:p>
        </w:tc>
        <w:tc>
          <w:tcPr>
            <w:tcW w:w="6251" w:type="dxa"/>
          </w:tcPr>
          <w:p w14:paraId="49B39715" w14:textId="77777777" w:rsidR="00E81921" w:rsidRDefault="00E81921" w:rsidP="00291D66">
            <w:pPr>
              <w:pStyle w:val="Heading2"/>
              <w:numPr>
                <w:ilvl w:val="0"/>
                <w:numId w:val="0"/>
              </w:numPr>
              <w:spacing w:after="120"/>
              <w:outlineLvl w:val="1"/>
              <w:rPr>
                <w:color w:val="0B0C0C"/>
                <w:sz w:val="24"/>
                <w:szCs w:val="24"/>
                <w:highlight w:val="white"/>
              </w:rPr>
            </w:pPr>
            <w:r>
              <w:rPr>
                <w:color w:val="0B0C0C"/>
                <w:sz w:val="24"/>
                <w:szCs w:val="24"/>
                <w:highlight w:val="white"/>
              </w:rPr>
              <w:t>Cabinet Office Chief Digital Information Office</w:t>
            </w:r>
          </w:p>
        </w:tc>
      </w:tr>
      <w:tr w:rsidR="00E81921" w14:paraId="1C508414" w14:textId="77777777" w:rsidTr="00291D66">
        <w:tc>
          <w:tcPr>
            <w:tcW w:w="2347" w:type="dxa"/>
          </w:tcPr>
          <w:p w14:paraId="6D7E7CAD" w14:textId="77777777" w:rsidR="00E81921" w:rsidRDefault="00E81921" w:rsidP="00291D66">
            <w:pPr>
              <w:pStyle w:val="Heading2"/>
              <w:numPr>
                <w:ilvl w:val="0"/>
                <w:numId w:val="0"/>
              </w:numPr>
              <w:spacing w:after="120"/>
              <w:ind w:left="720" w:hanging="720"/>
              <w:outlineLvl w:val="1"/>
              <w:rPr>
                <w:sz w:val="24"/>
                <w:szCs w:val="24"/>
              </w:rPr>
            </w:pPr>
            <w:r>
              <w:rPr>
                <w:sz w:val="24"/>
                <w:szCs w:val="24"/>
              </w:rPr>
              <w:lastRenderedPageBreak/>
              <w:t>CSV</w:t>
            </w:r>
          </w:p>
        </w:tc>
        <w:tc>
          <w:tcPr>
            <w:tcW w:w="6251" w:type="dxa"/>
          </w:tcPr>
          <w:p w14:paraId="2881F2E8" w14:textId="77777777" w:rsidR="00E81921" w:rsidRDefault="00E81921" w:rsidP="00291D66">
            <w:pPr>
              <w:pStyle w:val="Heading2"/>
              <w:numPr>
                <w:ilvl w:val="0"/>
                <w:numId w:val="0"/>
              </w:numPr>
              <w:spacing w:after="120"/>
              <w:outlineLvl w:val="1"/>
              <w:rPr>
                <w:color w:val="0B0C0C"/>
                <w:sz w:val="24"/>
                <w:szCs w:val="24"/>
                <w:highlight w:val="white"/>
              </w:rPr>
            </w:pPr>
            <w:r>
              <w:rPr>
                <w:sz w:val="24"/>
                <w:szCs w:val="24"/>
              </w:rPr>
              <w:t>Comma Separated Value</w:t>
            </w:r>
          </w:p>
        </w:tc>
      </w:tr>
      <w:tr w:rsidR="00E81921" w14:paraId="418C3142" w14:textId="77777777" w:rsidTr="00291D66">
        <w:tc>
          <w:tcPr>
            <w:tcW w:w="2347" w:type="dxa"/>
          </w:tcPr>
          <w:p w14:paraId="57E7A5EB" w14:textId="77777777" w:rsidR="00E81921" w:rsidRDefault="00E81921" w:rsidP="00291D66">
            <w:pPr>
              <w:pStyle w:val="Heading2"/>
              <w:numPr>
                <w:ilvl w:val="0"/>
                <w:numId w:val="0"/>
              </w:numPr>
              <w:spacing w:after="120"/>
              <w:ind w:left="720" w:hanging="720"/>
              <w:outlineLvl w:val="1"/>
              <w:rPr>
                <w:sz w:val="24"/>
                <w:szCs w:val="24"/>
              </w:rPr>
            </w:pPr>
            <w:proofErr w:type="gramStart"/>
            <w:r>
              <w:rPr>
                <w:sz w:val="24"/>
                <w:szCs w:val="24"/>
              </w:rPr>
              <w:t>Technology  Partner</w:t>
            </w:r>
            <w:proofErr w:type="gramEnd"/>
          </w:p>
        </w:tc>
        <w:tc>
          <w:tcPr>
            <w:tcW w:w="6251" w:type="dxa"/>
          </w:tcPr>
          <w:p w14:paraId="6CD4FA1E" w14:textId="77777777" w:rsidR="00E81921" w:rsidRDefault="00E81921" w:rsidP="00291D66">
            <w:pPr>
              <w:pStyle w:val="Heading2"/>
              <w:numPr>
                <w:ilvl w:val="0"/>
                <w:numId w:val="0"/>
              </w:numPr>
              <w:spacing w:after="120"/>
              <w:outlineLvl w:val="1"/>
              <w:rPr>
                <w:sz w:val="24"/>
                <w:szCs w:val="24"/>
              </w:rPr>
            </w:pPr>
            <w:r>
              <w:rPr>
                <w:sz w:val="24"/>
                <w:szCs w:val="24"/>
              </w:rPr>
              <w:t xml:space="preserve">The successful contracted Supplier who will be responsible for the development of the </w:t>
            </w:r>
            <w:proofErr w:type="spellStart"/>
            <w:r>
              <w:rPr>
                <w:sz w:val="24"/>
                <w:szCs w:val="24"/>
              </w:rPr>
              <w:t>Insite</w:t>
            </w:r>
            <w:proofErr w:type="spellEnd"/>
            <w:r>
              <w:rPr>
                <w:sz w:val="24"/>
                <w:szCs w:val="24"/>
              </w:rPr>
              <w:t xml:space="preserve"> solution.</w:t>
            </w:r>
          </w:p>
        </w:tc>
      </w:tr>
      <w:tr w:rsidR="00E81921" w14:paraId="3090CEB7" w14:textId="77777777" w:rsidTr="00291D66">
        <w:tc>
          <w:tcPr>
            <w:tcW w:w="2347" w:type="dxa"/>
          </w:tcPr>
          <w:p w14:paraId="3A4A7B3B" w14:textId="77777777" w:rsidR="00E81921" w:rsidRDefault="00E81921" w:rsidP="00291D66">
            <w:pPr>
              <w:pStyle w:val="Heading2"/>
              <w:numPr>
                <w:ilvl w:val="0"/>
                <w:numId w:val="0"/>
              </w:numPr>
              <w:spacing w:after="120"/>
              <w:ind w:left="720" w:hanging="720"/>
              <w:outlineLvl w:val="1"/>
              <w:rPr>
                <w:sz w:val="24"/>
                <w:szCs w:val="24"/>
              </w:rPr>
            </w:pPr>
            <w:proofErr w:type="spellStart"/>
            <w:r>
              <w:rPr>
                <w:sz w:val="24"/>
                <w:szCs w:val="24"/>
              </w:rPr>
              <w:t>InSite</w:t>
            </w:r>
            <w:proofErr w:type="spellEnd"/>
            <w:r>
              <w:rPr>
                <w:sz w:val="24"/>
                <w:szCs w:val="24"/>
              </w:rPr>
              <w:t xml:space="preserve"> system </w:t>
            </w:r>
          </w:p>
        </w:tc>
        <w:tc>
          <w:tcPr>
            <w:tcW w:w="6251" w:type="dxa"/>
          </w:tcPr>
          <w:p w14:paraId="5666607F" w14:textId="77777777" w:rsidR="00E81921" w:rsidRDefault="00E81921" w:rsidP="00291D66">
            <w:pPr>
              <w:pStyle w:val="Heading2"/>
              <w:numPr>
                <w:ilvl w:val="0"/>
                <w:numId w:val="0"/>
              </w:numPr>
              <w:spacing w:after="120"/>
              <w:outlineLvl w:val="1"/>
              <w:rPr>
                <w:sz w:val="24"/>
                <w:szCs w:val="24"/>
              </w:rPr>
            </w:pPr>
            <w:r>
              <w:rPr>
                <w:sz w:val="24"/>
                <w:szCs w:val="24"/>
              </w:rPr>
              <w:t xml:space="preserve">Another name used for the </w:t>
            </w:r>
            <w:proofErr w:type="spellStart"/>
            <w:r>
              <w:rPr>
                <w:sz w:val="24"/>
                <w:szCs w:val="24"/>
              </w:rPr>
              <w:t>InSite</w:t>
            </w:r>
            <w:proofErr w:type="spellEnd"/>
            <w:r>
              <w:rPr>
                <w:sz w:val="24"/>
                <w:szCs w:val="24"/>
              </w:rPr>
              <w:t xml:space="preserve"> asset register in this document.</w:t>
            </w:r>
          </w:p>
        </w:tc>
      </w:tr>
      <w:tr w:rsidR="00E81921" w14:paraId="2A4797F4" w14:textId="77777777" w:rsidTr="00291D66">
        <w:tc>
          <w:tcPr>
            <w:tcW w:w="2347" w:type="dxa"/>
          </w:tcPr>
          <w:p w14:paraId="3E570F82" w14:textId="77777777" w:rsidR="00E81921" w:rsidRDefault="00E81921" w:rsidP="00291D66">
            <w:pPr>
              <w:pStyle w:val="Heading2"/>
              <w:numPr>
                <w:ilvl w:val="0"/>
                <w:numId w:val="0"/>
              </w:numPr>
              <w:spacing w:after="120"/>
              <w:ind w:left="720" w:hanging="720"/>
              <w:outlineLvl w:val="1"/>
              <w:rPr>
                <w:sz w:val="24"/>
                <w:szCs w:val="24"/>
              </w:rPr>
            </w:pPr>
            <w:r>
              <w:rPr>
                <w:sz w:val="24"/>
                <w:szCs w:val="24"/>
              </w:rPr>
              <w:t>ESRI</w:t>
            </w:r>
          </w:p>
        </w:tc>
        <w:tc>
          <w:tcPr>
            <w:tcW w:w="6251" w:type="dxa"/>
          </w:tcPr>
          <w:p w14:paraId="2CFABD94" w14:textId="77777777" w:rsidR="00E81921" w:rsidRDefault="00E81921" w:rsidP="00291D66">
            <w:pPr>
              <w:pStyle w:val="Heading2"/>
              <w:numPr>
                <w:ilvl w:val="0"/>
                <w:numId w:val="0"/>
              </w:numPr>
              <w:spacing w:after="120"/>
              <w:outlineLvl w:val="1"/>
              <w:rPr>
                <w:sz w:val="24"/>
                <w:szCs w:val="24"/>
              </w:rPr>
            </w:pPr>
            <w:r>
              <w:rPr>
                <w:sz w:val="24"/>
                <w:szCs w:val="24"/>
              </w:rPr>
              <w:t>Environmental Systems Research Institute</w:t>
            </w:r>
          </w:p>
        </w:tc>
      </w:tr>
      <w:tr w:rsidR="00E81921" w14:paraId="423AB3EB" w14:textId="77777777" w:rsidTr="00291D66">
        <w:tc>
          <w:tcPr>
            <w:tcW w:w="2347" w:type="dxa"/>
          </w:tcPr>
          <w:p w14:paraId="179D4688" w14:textId="77777777" w:rsidR="00E81921" w:rsidRDefault="00E81921" w:rsidP="00291D66">
            <w:pPr>
              <w:pStyle w:val="Heading2"/>
              <w:numPr>
                <w:ilvl w:val="0"/>
                <w:numId w:val="0"/>
              </w:numPr>
              <w:spacing w:after="120"/>
              <w:ind w:left="720" w:hanging="720"/>
              <w:outlineLvl w:val="1"/>
              <w:rPr>
                <w:sz w:val="24"/>
                <w:szCs w:val="24"/>
              </w:rPr>
            </w:pPr>
            <w:r>
              <w:rPr>
                <w:sz w:val="24"/>
                <w:szCs w:val="24"/>
              </w:rPr>
              <w:t>GDS</w:t>
            </w:r>
          </w:p>
        </w:tc>
        <w:tc>
          <w:tcPr>
            <w:tcW w:w="6251" w:type="dxa"/>
          </w:tcPr>
          <w:p w14:paraId="07A78F8C" w14:textId="77777777" w:rsidR="00E81921" w:rsidRDefault="00E81921" w:rsidP="00291D66">
            <w:pPr>
              <w:pStyle w:val="Heading2"/>
              <w:numPr>
                <w:ilvl w:val="0"/>
                <w:numId w:val="0"/>
              </w:numPr>
              <w:spacing w:after="120"/>
              <w:outlineLvl w:val="1"/>
              <w:rPr>
                <w:sz w:val="24"/>
                <w:szCs w:val="24"/>
              </w:rPr>
            </w:pPr>
            <w:r>
              <w:rPr>
                <w:sz w:val="24"/>
                <w:szCs w:val="24"/>
              </w:rPr>
              <w:t>The Government Digital Service, part of the Cabinet Office, is a centre of excellence in digital, technology and data, collaborating with Departments to assist with their system transformation.</w:t>
            </w:r>
          </w:p>
        </w:tc>
      </w:tr>
      <w:tr w:rsidR="00E81921" w14:paraId="232D4491" w14:textId="77777777" w:rsidTr="00291D66">
        <w:tc>
          <w:tcPr>
            <w:tcW w:w="2347" w:type="dxa"/>
          </w:tcPr>
          <w:p w14:paraId="611511D7" w14:textId="77777777" w:rsidR="00E81921" w:rsidRDefault="00E81921" w:rsidP="00291D66">
            <w:pPr>
              <w:pStyle w:val="Heading2"/>
              <w:numPr>
                <w:ilvl w:val="0"/>
                <w:numId w:val="0"/>
              </w:numPr>
              <w:spacing w:after="120"/>
              <w:ind w:left="720" w:hanging="720"/>
              <w:outlineLvl w:val="1"/>
              <w:rPr>
                <w:sz w:val="24"/>
                <w:szCs w:val="24"/>
              </w:rPr>
            </w:pPr>
            <w:r>
              <w:rPr>
                <w:sz w:val="24"/>
                <w:szCs w:val="24"/>
              </w:rPr>
              <w:t>GPF</w:t>
            </w:r>
          </w:p>
        </w:tc>
        <w:tc>
          <w:tcPr>
            <w:tcW w:w="6251" w:type="dxa"/>
          </w:tcPr>
          <w:p w14:paraId="005A4C49" w14:textId="77777777" w:rsidR="00E81921" w:rsidRDefault="00E81921" w:rsidP="00291D66">
            <w:pPr>
              <w:pStyle w:val="Heading2"/>
              <w:numPr>
                <w:ilvl w:val="0"/>
                <w:numId w:val="0"/>
              </w:numPr>
              <w:spacing w:after="120"/>
              <w:outlineLvl w:val="1"/>
              <w:rPr>
                <w:sz w:val="24"/>
                <w:szCs w:val="24"/>
              </w:rPr>
            </w:pPr>
            <w:proofErr w:type="spellStart"/>
            <w:r>
              <w:rPr>
                <w:sz w:val="24"/>
                <w:szCs w:val="24"/>
              </w:rPr>
              <w:t>InSite</w:t>
            </w:r>
            <w:proofErr w:type="spellEnd"/>
            <w:r>
              <w:rPr>
                <w:sz w:val="24"/>
                <w:szCs w:val="24"/>
              </w:rPr>
              <w:t xml:space="preserve"> Government Property Finder.</w:t>
            </w:r>
          </w:p>
        </w:tc>
      </w:tr>
      <w:tr w:rsidR="00E81921" w14:paraId="5E92B71E" w14:textId="77777777" w:rsidTr="00291D66">
        <w:tc>
          <w:tcPr>
            <w:tcW w:w="2347" w:type="dxa"/>
          </w:tcPr>
          <w:p w14:paraId="1AAC436C" w14:textId="77777777" w:rsidR="00E81921" w:rsidRDefault="00E81921" w:rsidP="00291D66">
            <w:pPr>
              <w:pStyle w:val="Heading2"/>
              <w:numPr>
                <w:ilvl w:val="0"/>
                <w:numId w:val="0"/>
              </w:numPr>
              <w:spacing w:after="120"/>
              <w:ind w:left="720" w:hanging="720"/>
              <w:outlineLvl w:val="1"/>
              <w:rPr>
                <w:sz w:val="24"/>
                <w:szCs w:val="24"/>
              </w:rPr>
            </w:pPr>
            <w:r>
              <w:rPr>
                <w:sz w:val="24"/>
                <w:szCs w:val="24"/>
              </w:rPr>
              <w:t>GPP</w:t>
            </w:r>
          </w:p>
        </w:tc>
        <w:tc>
          <w:tcPr>
            <w:tcW w:w="6251" w:type="dxa"/>
          </w:tcPr>
          <w:p w14:paraId="5DA358CE" w14:textId="77777777" w:rsidR="00E81921" w:rsidRDefault="00E81921" w:rsidP="00291D66">
            <w:pPr>
              <w:pStyle w:val="Heading2"/>
              <w:numPr>
                <w:ilvl w:val="0"/>
                <w:numId w:val="0"/>
              </w:numPr>
              <w:spacing w:after="120"/>
              <w:outlineLvl w:val="1"/>
              <w:rPr>
                <w:sz w:val="24"/>
                <w:szCs w:val="24"/>
              </w:rPr>
            </w:pPr>
            <w:r>
              <w:rPr>
                <w:sz w:val="24"/>
                <w:szCs w:val="24"/>
              </w:rPr>
              <w:t>Government Property Profession</w:t>
            </w:r>
          </w:p>
        </w:tc>
      </w:tr>
      <w:tr w:rsidR="00E81921" w14:paraId="1F4BC86B" w14:textId="77777777" w:rsidTr="00291D66">
        <w:tc>
          <w:tcPr>
            <w:tcW w:w="2347" w:type="dxa"/>
          </w:tcPr>
          <w:p w14:paraId="3D87E366" w14:textId="77777777" w:rsidR="00E81921" w:rsidRDefault="00E81921" w:rsidP="00291D66">
            <w:pPr>
              <w:pStyle w:val="Heading2"/>
              <w:numPr>
                <w:ilvl w:val="0"/>
                <w:numId w:val="0"/>
              </w:numPr>
              <w:spacing w:after="120"/>
              <w:ind w:left="720" w:hanging="720"/>
              <w:outlineLvl w:val="1"/>
              <w:rPr>
                <w:sz w:val="24"/>
                <w:szCs w:val="24"/>
              </w:rPr>
            </w:pPr>
            <w:r>
              <w:rPr>
                <w:sz w:val="24"/>
                <w:szCs w:val="24"/>
              </w:rPr>
              <w:t>LGA</w:t>
            </w:r>
          </w:p>
        </w:tc>
        <w:tc>
          <w:tcPr>
            <w:tcW w:w="6251" w:type="dxa"/>
          </w:tcPr>
          <w:p w14:paraId="212B904E" w14:textId="77777777" w:rsidR="00E81921" w:rsidRDefault="00E81921" w:rsidP="00291D66">
            <w:pPr>
              <w:pStyle w:val="Heading2"/>
              <w:numPr>
                <w:ilvl w:val="0"/>
                <w:numId w:val="0"/>
              </w:numPr>
              <w:spacing w:after="120"/>
              <w:outlineLvl w:val="1"/>
              <w:rPr>
                <w:sz w:val="24"/>
                <w:szCs w:val="24"/>
              </w:rPr>
            </w:pPr>
            <w:r>
              <w:rPr>
                <w:sz w:val="24"/>
                <w:szCs w:val="24"/>
              </w:rPr>
              <w:t>Local Government Association</w:t>
            </w:r>
          </w:p>
        </w:tc>
      </w:tr>
      <w:tr w:rsidR="00E81921" w14:paraId="168C666D" w14:textId="77777777" w:rsidTr="00291D66">
        <w:tc>
          <w:tcPr>
            <w:tcW w:w="2347" w:type="dxa"/>
          </w:tcPr>
          <w:p w14:paraId="395480AC" w14:textId="77777777" w:rsidR="00E81921" w:rsidRDefault="00E81921" w:rsidP="00291D66">
            <w:pPr>
              <w:pStyle w:val="Heading2"/>
              <w:numPr>
                <w:ilvl w:val="0"/>
                <w:numId w:val="0"/>
              </w:numPr>
              <w:spacing w:after="120"/>
              <w:ind w:left="720" w:hanging="720"/>
              <w:outlineLvl w:val="1"/>
              <w:rPr>
                <w:sz w:val="24"/>
                <w:szCs w:val="24"/>
              </w:rPr>
            </w:pPr>
            <w:r>
              <w:rPr>
                <w:sz w:val="24"/>
                <w:szCs w:val="24"/>
              </w:rPr>
              <w:t>MOG</w:t>
            </w:r>
          </w:p>
        </w:tc>
        <w:tc>
          <w:tcPr>
            <w:tcW w:w="6251" w:type="dxa"/>
          </w:tcPr>
          <w:p w14:paraId="79D90B1E" w14:textId="77777777" w:rsidR="00E81921" w:rsidRDefault="00E81921" w:rsidP="00291D66">
            <w:pPr>
              <w:pStyle w:val="Heading2"/>
              <w:numPr>
                <w:ilvl w:val="0"/>
                <w:numId w:val="0"/>
              </w:numPr>
              <w:spacing w:after="120"/>
              <w:outlineLvl w:val="1"/>
              <w:rPr>
                <w:sz w:val="24"/>
                <w:szCs w:val="24"/>
              </w:rPr>
            </w:pPr>
            <w:r>
              <w:rPr>
                <w:sz w:val="24"/>
                <w:szCs w:val="24"/>
              </w:rPr>
              <w:t>Machinery of Government</w:t>
            </w:r>
          </w:p>
        </w:tc>
      </w:tr>
      <w:tr w:rsidR="00E81921" w14:paraId="0CF16BEE" w14:textId="77777777" w:rsidTr="00291D66">
        <w:tc>
          <w:tcPr>
            <w:tcW w:w="2347" w:type="dxa"/>
          </w:tcPr>
          <w:p w14:paraId="23422610" w14:textId="77777777" w:rsidR="00E81921" w:rsidRDefault="00E81921" w:rsidP="00291D66">
            <w:pPr>
              <w:pStyle w:val="Heading2"/>
              <w:numPr>
                <w:ilvl w:val="0"/>
                <w:numId w:val="0"/>
              </w:numPr>
              <w:spacing w:after="120"/>
              <w:ind w:left="720" w:hanging="720"/>
              <w:outlineLvl w:val="1"/>
              <w:rPr>
                <w:sz w:val="24"/>
                <w:szCs w:val="24"/>
              </w:rPr>
            </w:pPr>
            <w:r>
              <w:rPr>
                <w:sz w:val="24"/>
                <w:szCs w:val="24"/>
              </w:rPr>
              <w:t>OGP</w:t>
            </w:r>
          </w:p>
        </w:tc>
        <w:tc>
          <w:tcPr>
            <w:tcW w:w="6251" w:type="dxa"/>
          </w:tcPr>
          <w:p w14:paraId="3BBAEBB6" w14:textId="77777777" w:rsidR="00E81921" w:rsidRDefault="00E81921" w:rsidP="00291D66">
            <w:pPr>
              <w:pStyle w:val="Heading2"/>
              <w:numPr>
                <w:ilvl w:val="0"/>
                <w:numId w:val="0"/>
              </w:numPr>
              <w:spacing w:after="120"/>
              <w:outlineLvl w:val="1"/>
              <w:rPr>
                <w:sz w:val="24"/>
                <w:szCs w:val="24"/>
              </w:rPr>
            </w:pPr>
            <w:r>
              <w:rPr>
                <w:sz w:val="24"/>
                <w:szCs w:val="24"/>
              </w:rPr>
              <w:t>Office of Government Property, Cabinet Office</w:t>
            </w:r>
          </w:p>
        </w:tc>
      </w:tr>
      <w:tr w:rsidR="00E81921" w14:paraId="1C4B8AE3" w14:textId="77777777" w:rsidTr="00291D66">
        <w:tc>
          <w:tcPr>
            <w:tcW w:w="2347" w:type="dxa"/>
          </w:tcPr>
          <w:p w14:paraId="24C62F87" w14:textId="77777777" w:rsidR="00E81921" w:rsidRDefault="00E81921" w:rsidP="00291D66">
            <w:pPr>
              <w:pStyle w:val="Heading2"/>
              <w:numPr>
                <w:ilvl w:val="0"/>
                <w:numId w:val="0"/>
              </w:numPr>
              <w:spacing w:after="120"/>
              <w:ind w:left="720" w:hanging="720"/>
              <w:outlineLvl w:val="1"/>
              <w:rPr>
                <w:sz w:val="24"/>
                <w:szCs w:val="24"/>
              </w:rPr>
            </w:pPr>
            <w:r>
              <w:rPr>
                <w:sz w:val="24"/>
                <w:szCs w:val="24"/>
              </w:rPr>
              <w:t>OPE</w:t>
            </w:r>
          </w:p>
        </w:tc>
        <w:tc>
          <w:tcPr>
            <w:tcW w:w="6251" w:type="dxa"/>
          </w:tcPr>
          <w:p w14:paraId="621A0C02" w14:textId="77777777" w:rsidR="00E81921" w:rsidRDefault="00E81921" w:rsidP="00291D66">
            <w:pPr>
              <w:pStyle w:val="Heading2"/>
              <w:numPr>
                <w:ilvl w:val="0"/>
                <w:numId w:val="0"/>
              </w:numPr>
              <w:spacing w:after="120"/>
              <w:outlineLvl w:val="1"/>
              <w:rPr>
                <w:sz w:val="24"/>
                <w:szCs w:val="24"/>
              </w:rPr>
            </w:pPr>
            <w:r>
              <w:rPr>
                <w:sz w:val="24"/>
                <w:szCs w:val="24"/>
              </w:rPr>
              <w:t>One Public Estate: a programme of the Office of Government Property.</w:t>
            </w:r>
          </w:p>
        </w:tc>
      </w:tr>
      <w:tr w:rsidR="00E81921" w14:paraId="3941D6F1" w14:textId="77777777" w:rsidTr="00291D66">
        <w:tc>
          <w:tcPr>
            <w:tcW w:w="2347" w:type="dxa"/>
          </w:tcPr>
          <w:p w14:paraId="191BD7FF" w14:textId="77777777" w:rsidR="00E81921" w:rsidRDefault="00E81921" w:rsidP="00291D66">
            <w:pPr>
              <w:pStyle w:val="Heading2"/>
              <w:numPr>
                <w:ilvl w:val="0"/>
                <w:numId w:val="0"/>
              </w:numPr>
              <w:spacing w:after="120"/>
              <w:ind w:left="720" w:hanging="720"/>
              <w:outlineLvl w:val="1"/>
              <w:rPr>
                <w:sz w:val="24"/>
                <w:szCs w:val="24"/>
              </w:rPr>
            </w:pPr>
            <w:proofErr w:type="gramStart"/>
            <w:r>
              <w:rPr>
                <w:sz w:val="24"/>
                <w:szCs w:val="24"/>
              </w:rPr>
              <w:t>e-PIMS</w:t>
            </w:r>
            <w:proofErr w:type="gramEnd"/>
          </w:p>
        </w:tc>
        <w:tc>
          <w:tcPr>
            <w:tcW w:w="6251" w:type="dxa"/>
          </w:tcPr>
          <w:p w14:paraId="5C3A0795" w14:textId="77777777" w:rsidR="00E81921" w:rsidRDefault="00E81921" w:rsidP="00291D66">
            <w:pPr>
              <w:pStyle w:val="Heading2"/>
              <w:numPr>
                <w:ilvl w:val="0"/>
                <w:numId w:val="0"/>
              </w:numPr>
              <w:spacing w:after="120"/>
              <w:outlineLvl w:val="1"/>
              <w:rPr>
                <w:sz w:val="24"/>
                <w:szCs w:val="24"/>
              </w:rPr>
            </w:pPr>
            <w:r>
              <w:rPr>
                <w:sz w:val="24"/>
                <w:szCs w:val="24"/>
              </w:rPr>
              <w:t xml:space="preserve">Electronic Property Information and Mapping Service. This is the existing central database of Government Central Civil Estate properties and land to </w:t>
            </w:r>
            <w:proofErr w:type="gramStart"/>
            <w:r>
              <w:rPr>
                <w:sz w:val="24"/>
                <w:szCs w:val="24"/>
              </w:rPr>
              <w:t>be replaced</w:t>
            </w:r>
            <w:proofErr w:type="gramEnd"/>
            <w:r>
              <w:rPr>
                <w:sz w:val="24"/>
                <w:szCs w:val="24"/>
              </w:rPr>
              <w:t xml:space="preserve"> by </w:t>
            </w:r>
            <w:proofErr w:type="spellStart"/>
            <w:r>
              <w:rPr>
                <w:sz w:val="24"/>
                <w:szCs w:val="24"/>
              </w:rPr>
              <w:t>InSite</w:t>
            </w:r>
            <w:proofErr w:type="spellEnd"/>
            <w:r>
              <w:rPr>
                <w:sz w:val="24"/>
                <w:szCs w:val="24"/>
              </w:rPr>
              <w:t xml:space="preserve"> asset register.</w:t>
            </w:r>
          </w:p>
        </w:tc>
      </w:tr>
      <w:tr w:rsidR="00E81921" w14:paraId="089CE98E" w14:textId="77777777" w:rsidTr="00291D66">
        <w:tc>
          <w:tcPr>
            <w:tcW w:w="2347" w:type="dxa"/>
          </w:tcPr>
          <w:p w14:paraId="2DDFA009" w14:textId="77777777" w:rsidR="00E81921" w:rsidRDefault="00E81921" w:rsidP="00291D66">
            <w:pPr>
              <w:pStyle w:val="Heading2"/>
              <w:numPr>
                <w:ilvl w:val="0"/>
                <w:numId w:val="0"/>
              </w:numPr>
              <w:spacing w:after="120"/>
              <w:ind w:left="720" w:hanging="720"/>
              <w:outlineLvl w:val="1"/>
              <w:rPr>
                <w:sz w:val="24"/>
                <w:szCs w:val="24"/>
              </w:rPr>
            </w:pPr>
            <w:r>
              <w:rPr>
                <w:sz w:val="24"/>
                <w:szCs w:val="24"/>
              </w:rPr>
              <w:t>UAT</w:t>
            </w:r>
          </w:p>
        </w:tc>
        <w:tc>
          <w:tcPr>
            <w:tcW w:w="6251" w:type="dxa"/>
          </w:tcPr>
          <w:p w14:paraId="770B53DB" w14:textId="77777777" w:rsidR="00E81921" w:rsidRDefault="00E81921" w:rsidP="00291D66">
            <w:pPr>
              <w:pStyle w:val="Heading2"/>
              <w:numPr>
                <w:ilvl w:val="0"/>
                <w:numId w:val="0"/>
              </w:numPr>
              <w:spacing w:after="120"/>
              <w:outlineLvl w:val="1"/>
              <w:rPr>
                <w:sz w:val="24"/>
                <w:szCs w:val="24"/>
              </w:rPr>
            </w:pPr>
            <w:r>
              <w:rPr>
                <w:sz w:val="24"/>
                <w:szCs w:val="24"/>
              </w:rPr>
              <w:t>User Acceptance Testing</w:t>
            </w:r>
          </w:p>
        </w:tc>
      </w:tr>
      <w:tr w:rsidR="00E81921" w14:paraId="32CBD640" w14:textId="77777777" w:rsidTr="00291D66">
        <w:tc>
          <w:tcPr>
            <w:tcW w:w="2347" w:type="dxa"/>
          </w:tcPr>
          <w:p w14:paraId="06B89CC5" w14:textId="77777777" w:rsidR="00E81921" w:rsidRDefault="00E81921" w:rsidP="00291D66">
            <w:pPr>
              <w:pStyle w:val="Heading2"/>
              <w:numPr>
                <w:ilvl w:val="0"/>
                <w:numId w:val="0"/>
              </w:numPr>
              <w:spacing w:after="120"/>
              <w:ind w:left="720" w:hanging="720"/>
              <w:outlineLvl w:val="1"/>
              <w:rPr>
                <w:sz w:val="24"/>
                <w:szCs w:val="24"/>
              </w:rPr>
            </w:pPr>
            <w:r>
              <w:rPr>
                <w:color w:val="0B0C0C"/>
                <w:sz w:val="24"/>
                <w:szCs w:val="24"/>
              </w:rPr>
              <w:t>Previous Solution</w:t>
            </w:r>
          </w:p>
        </w:tc>
        <w:tc>
          <w:tcPr>
            <w:tcW w:w="6251" w:type="dxa"/>
          </w:tcPr>
          <w:p w14:paraId="7362DD2C" w14:textId="77777777" w:rsidR="00E81921" w:rsidRDefault="00E81921" w:rsidP="00291D66">
            <w:pPr>
              <w:pStyle w:val="Heading2"/>
              <w:numPr>
                <w:ilvl w:val="0"/>
                <w:numId w:val="0"/>
              </w:numPr>
              <w:spacing w:after="120"/>
              <w:outlineLvl w:val="1"/>
              <w:rPr>
                <w:sz w:val="24"/>
                <w:szCs w:val="24"/>
              </w:rPr>
            </w:pPr>
            <w:r>
              <w:rPr>
                <w:sz w:val="24"/>
                <w:szCs w:val="24"/>
              </w:rPr>
              <w:t xml:space="preserve">A work in progress technology solution for </w:t>
            </w:r>
            <w:proofErr w:type="spellStart"/>
            <w:r>
              <w:rPr>
                <w:sz w:val="24"/>
                <w:szCs w:val="24"/>
              </w:rPr>
              <w:t>InSite</w:t>
            </w:r>
            <w:proofErr w:type="spellEnd"/>
            <w:r>
              <w:rPr>
                <w:sz w:val="24"/>
                <w:szCs w:val="24"/>
              </w:rPr>
              <w:t xml:space="preserve"> asset register that was part built which may (or may not) be taken forward.</w:t>
            </w:r>
          </w:p>
        </w:tc>
      </w:tr>
      <w:tr w:rsidR="00E81921" w14:paraId="0366CDD4" w14:textId="77777777" w:rsidTr="00291D66">
        <w:tc>
          <w:tcPr>
            <w:tcW w:w="2347" w:type="dxa"/>
          </w:tcPr>
          <w:p w14:paraId="50E71311" w14:textId="77777777" w:rsidR="00E81921" w:rsidRDefault="00E81921" w:rsidP="00291D66">
            <w:pPr>
              <w:pStyle w:val="Heading2"/>
              <w:numPr>
                <w:ilvl w:val="0"/>
                <w:numId w:val="0"/>
              </w:numPr>
              <w:spacing w:after="120"/>
              <w:ind w:left="720" w:hanging="720"/>
              <w:outlineLvl w:val="1"/>
              <w:rPr>
                <w:color w:val="0B0C0C"/>
                <w:sz w:val="24"/>
                <w:szCs w:val="24"/>
              </w:rPr>
            </w:pPr>
            <w:r>
              <w:rPr>
                <w:color w:val="0B0C0C"/>
                <w:sz w:val="24"/>
                <w:szCs w:val="24"/>
              </w:rPr>
              <w:t>Assurance partner</w:t>
            </w:r>
          </w:p>
        </w:tc>
        <w:tc>
          <w:tcPr>
            <w:tcW w:w="6251" w:type="dxa"/>
          </w:tcPr>
          <w:p w14:paraId="4BD34765" w14:textId="77777777" w:rsidR="00E81921" w:rsidRDefault="00E81921" w:rsidP="00291D66">
            <w:pPr>
              <w:pStyle w:val="Heading2"/>
              <w:numPr>
                <w:ilvl w:val="0"/>
                <w:numId w:val="0"/>
              </w:numPr>
              <w:spacing w:after="120"/>
              <w:outlineLvl w:val="1"/>
              <w:rPr>
                <w:sz w:val="24"/>
                <w:szCs w:val="24"/>
              </w:rPr>
            </w:pPr>
            <w:r>
              <w:rPr>
                <w:sz w:val="24"/>
                <w:szCs w:val="24"/>
              </w:rPr>
              <w:t>The winner of this tender/ future provider of services for this statement of requirement.</w:t>
            </w:r>
          </w:p>
        </w:tc>
      </w:tr>
    </w:tbl>
    <w:p w14:paraId="00000082" w14:textId="794D26B6" w:rsidR="007F19E5" w:rsidRDefault="007F19E5" w:rsidP="00E81921">
      <w:pPr>
        <w:pStyle w:val="Heading1"/>
        <w:numPr>
          <w:ilvl w:val="0"/>
          <w:numId w:val="0"/>
        </w:numPr>
        <w:spacing w:after="120"/>
        <w:rPr>
          <w:sz w:val="32"/>
          <w:szCs w:val="32"/>
        </w:rPr>
      </w:pPr>
      <w:bookmarkStart w:id="11" w:name="_heading=h.3rdcrjn" w:colFirst="0" w:colLast="0"/>
      <w:bookmarkEnd w:id="11"/>
    </w:p>
    <w:p w14:paraId="00000083" w14:textId="77777777" w:rsidR="007F19E5" w:rsidRDefault="00D3120E">
      <w:pPr>
        <w:pStyle w:val="Heading1"/>
        <w:numPr>
          <w:ilvl w:val="0"/>
          <w:numId w:val="1"/>
        </w:numPr>
        <w:spacing w:after="120"/>
        <w:rPr>
          <w:sz w:val="32"/>
          <w:szCs w:val="32"/>
        </w:rPr>
      </w:pPr>
      <w:bookmarkStart w:id="12" w:name="_heading=h.26in1rg" w:colFirst="0" w:colLast="0"/>
      <w:bookmarkEnd w:id="12"/>
      <w:r>
        <w:rPr>
          <w:sz w:val="32"/>
          <w:szCs w:val="32"/>
        </w:rPr>
        <w:t>The requirement</w:t>
      </w:r>
    </w:p>
    <w:p w14:paraId="00000084" w14:textId="77777777" w:rsidR="007F19E5" w:rsidRDefault="00D3120E">
      <w:pPr>
        <w:pStyle w:val="Heading2"/>
        <w:numPr>
          <w:ilvl w:val="1"/>
          <w:numId w:val="1"/>
        </w:numPr>
        <w:ind w:left="709" w:hanging="709"/>
        <w:rPr>
          <w:sz w:val="24"/>
          <w:szCs w:val="24"/>
        </w:rPr>
      </w:pPr>
      <w:r>
        <w:rPr>
          <w:sz w:val="24"/>
          <w:szCs w:val="24"/>
        </w:rPr>
        <w:t>The Authority has set out a summary of suggested activities to achieve the required results; and the Authority will expect the Supplier to provide a detailed plan and agree any changes to these within the first week of the engagement. The requirement is detailed in the below elements / stages;</w:t>
      </w:r>
    </w:p>
    <w:p w14:paraId="00000085" w14:textId="77777777" w:rsidR="007F19E5" w:rsidRDefault="00D3120E">
      <w:pPr>
        <w:pStyle w:val="Heading2"/>
        <w:numPr>
          <w:ilvl w:val="1"/>
          <w:numId w:val="1"/>
        </w:numPr>
        <w:ind w:left="709" w:hanging="709"/>
        <w:rPr>
          <w:sz w:val="24"/>
          <w:szCs w:val="24"/>
        </w:rPr>
      </w:pPr>
      <w:r>
        <w:rPr>
          <w:sz w:val="24"/>
          <w:szCs w:val="24"/>
          <w:u w:val="single"/>
        </w:rPr>
        <w:t>Familiarisation and gap analysis</w:t>
      </w:r>
    </w:p>
    <w:p w14:paraId="00000086" w14:textId="77777777" w:rsidR="007F19E5" w:rsidRDefault="00D3120E">
      <w:pPr>
        <w:pStyle w:val="Heading3"/>
        <w:numPr>
          <w:ilvl w:val="2"/>
          <w:numId w:val="1"/>
        </w:numPr>
        <w:rPr>
          <w:sz w:val="24"/>
          <w:szCs w:val="24"/>
        </w:rPr>
      </w:pPr>
      <w:r>
        <w:rPr>
          <w:sz w:val="24"/>
          <w:szCs w:val="24"/>
        </w:rPr>
        <w:t xml:space="preserve">A review of work undertaken to date to inform soft and formal procurement activities. Review of the solution context. Review of the </w:t>
      </w:r>
      <w:r>
        <w:rPr>
          <w:sz w:val="24"/>
          <w:szCs w:val="24"/>
        </w:rPr>
        <w:lastRenderedPageBreak/>
        <w:t>existing functional and non-functional requirements that defines the overall solution requirements.  </w:t>
      </w:r>
    </w:p>
    <w:p w14:paraId="00000087" w14:textId="77777777" w:rsidR="007F19E5" w:rsidRDefault="00D3120E">
      <w:pPr>
        <w:pStyle w:val="Heading3"/>
        <w:numPr>
          <w:ilvl w:val="2"/>
          <w:numId w:val="1"/>
        </w:numPr>
        <w:rPr>
          <w:sz w:val="24"/>
          <w:szCs w:val="24"/>
        </w:rPr>
      </w:pPr>
      <w:r>
        <w:rPr>
          <w:sz w:val="24"/>
          <w:szCs w:val="24"/>
        </w:rPr>
        <w:t xml:space="preserve">An articulation of outstanding functional and non-functional requirements through existing internal knowledge, and artefacts (code base, project team reports, meeting and speaking with OGP team) to inform soft and formal procurement activities. </w:t>
      </w:r>
    </w:p>
    <w:p w14:paraId="00000088" w14:textId="77777777" w:rsidR="007F19E5" w:rsidRDefault="00D3120E">
      <w:pPr>
        <w:pStyle w:val="Heading3"/>
        <w:numPr>
          <w:ilvl w:val="2"/>
          <w:numId w:val="1"/>
        </w:numPr>
        <w:rPr>
          <w:sz w:val="24"/>
          <w:szCs w:val="24"/>
        </w:rPr>
      </w:pPr>
      <w:r>
        <w:rPr>
          <w:sz w:val="24"/>
          <w:szCs w:val="24"/>
        </w:rPr>
        <w:t xml:space="preserve">Ensure requirements bring out the extent of work required and focus of the work for the Technology Partner.  Ensure the requirements </w:t>
      </w:r>
      <w:proofErr w:type="gramStart"/>
      <w:r>
        <w:rPr>
          <w:sz w:val="24"/>
          <w:szCs w:val="24"/>
        </w:rPr>
        <w:t>are aligned</w:t>
      </w:r>
      <w:proofErr w:type="gramEnd"/>
      <w:r>
        <w:rPr>
          <w:sz w:val="24"/>
          <w:szCs w:val="24"/>
        </w:rPr>
        <w:t xml:space="preserve"> to GDS Service standard to meet criteria, e.g. data provenance, user research, project delivery approach.</w:t>
      </w:r>
    </w:p>
    <w:p w14:paraId="00000089" w14:textId="11AB40B5" w:rsidR="007F19E5" w:rsidRDefault="00D3120E">
      <w:pPr>
        <w:pStyle w:val="Heading3"/>
        <w:numPr>
          <w:ilvl w:val="2"/>
          <w:numId w:val="1"/>
        </w:numPr>
        <w:rPr>
          <w:sz w:val="24"/>
          <w:szCs w:val="24"/>
        </w:rPr>
      </w:pPr>
      <w:r>
        <w:rPr>
          <w:sz w:val="24"/>
          <w:szCs w:val="24"/>
        </w:rPr>
        <w:t xml:space="preserve">Scope out the best practice mobilisation phase and key documents / induction processes needed to support the Technology Partner. Identify draft appropriate milestones that </w:t>
      </w:r>
      <w:proofErr w:type="gramStart"/>
      <w:r>
        <w:rPr>
          <w:sz w:val="24"/>
          <w:szCs w:val="24"/>
        </w:rPr>
        <w:t>would be best applied</w:t>
      </w:r>
      <w:proofErr w:type="gramEnd"/>
      <w:r>
        <w:rPr>
          <w:sz w:val="24"/>
          <w:szCs w:val="24"/>
        </w:rPr>
        <w:t xml:space="preserve"> to the system development that ensure the programme is on track and aligned to requirements and best practice. </w:t>
      </w:r>
      <w:r w:rsidR="001E7606">
        <w:rPr>
          <w:sz w:val="24"/>
          <w:szCs w:val="24"/>
        </w:rPr>
        <w:t>The m</w:t>
      </w:r>
      <w:r>
        <w:rPr>
          <w:sz w:val="24"/>
          <w:szCs w:val="24"/>
        </w:rPr>
        <w:t>ilestones</w:t>
      </w:r>
      <w:r w:rsidR="001E7606">
        <w:rPr>
          <w:sz w:val="24"/>
          <w:szCs w:val="24"/>
        </w:rPr>
        <w:t xml:space="preserve"> are</w:t>
      </w:r>
      <w:r>
        <w:rPr>
          <w:sz w:val="24"/>
          <w:szCs w:val="24"/>
        </w:rPr>
        <w:t xml:space="preserve"> likely to </w:t>
      </w:r>
      <w:proofErr w:type="gramStart"/>
      <w:r>
        <w:rPr>
          <w:sz w:val="24"/>
          <w:szCs w:val="24"/>
        </w:rPr>
        <w:t>be based</w:t>
      </w:r>
      <w:proofErr w:type="gramEnd"/>
      <w:r>
        <w:rPr>
          <w:sz w:val="24"/>
          <w:szCs w:val="24"/>
        </w:rPr>
        <w:t xml:space="preserve"> around functionality.</w:t>
      </w:r>
    </w:p>
    <w:p w14:paraId="0000008A" w14:textId="77777777" w:rsidR="007F19E5" w:rsidRDefault="00D3120E">
      <w:pPr>
        <w:pStyle w:val="Heading2"/>
        <w:numPr>
          <w:ilvl w:val="1"/>
          <w:numId w:val="1"/>
        </w:numPr>
        <w:ind w:left="709" w:hanging="709"/>
        <w:rPr>
          <w:sz w:val="24"/>
          <w:szCs w:val="24"/>
        </w:rPr>
      </w:pPr>
      <w:r>
        <w:rPr>
          <w:sz w:val="24"/>
          <w:szCs w:val="24"/>
          <w:u w:val="single"/>
        </w:rPr>
        <w:t>Technical documentation for a soft market activity and formal procurement</w:t>
      </w:r>
    </w:p>
    <w:p w14:paraId="0000008B" w14:textId="77777777" w:rsidR="007F19E5" w:rsidRDefault="00D3120E">
      <w:pPr>
        <w:pStyle w:val="Heading3"/>
        <w:numPr>
          <w:ilvl w:val="2"/>
          <w:numId w:val="1"/>
        </w:numPr>
        <w:rPr>
          <w:sz w:val="24"/>
          <w:szCs w:val="24"/>
        </w:rPr>
      </w:pPr>
      <w:r>
        <w:rPr>
          <w:sz w:val="24"/>
          <w:szCs w:val="24"/>
        </w:rPr>
        <w:t>Use the work conducted in 5.2 above to create technical documentation required for procurement of the Delivery Partner. The documents produced will form; </w:t>
      </w:r>
    </w:p>
    <w:p w14:paraId="0000008C" w14:textId="34E76B49" w:rsidR="007F19E5" w:rsidRDefault="00D3120E">
      <w:pPr>
        <w:pStyle w:val="Heading2"/>
        <w:ind w:left="709" w:firstLine="2693"/>
        <w:rPr>
          <w:sz w:val="24"/>
          <w:szCs w:val="24"/>
        </w:rPr>
      </w:pPr>
      <w:proofErr w:type="gramStart"/>
      <w:r>
        <w:rPr>
          <w:sz w:val="24"/>
          <w:szCs w:val="24"/>
        </w:rPr>
        <w:t>a</w:t>
      </w:r>
      <w:proofErr w:type="gramEnd"/>
      <w:r>
        <w:rPr>
          <w:sz w:val="24"/>
          <w:szCs w:val="24"/>
        </w:rPr>
        <w:t xml:space="preserve">) information provided in the </w:t>
      </w:r>
      <w:r w:rsidR="001E7606">
        <w:rPr>
          <w:sz w:val="24"/>
          <w:szCs w:val="24"/>
        </w:rPr>
        <w:t>pre-bid</w:t>
      </w:r>
      <w:r>
        <w:rPr>
          <w:sz w:val="24"/>
          <w:szCs w:val="24"/>
        </w:rPr>
        <w:t xml:space="preserve"> soft market engagement activity and </w:t>
      </w:r>
    </w:p>
    <w:p w14:paraId="0000008D" w14:textId="77777777" w:rsidR="007F19E5" w:rsidRDefault="00D3120E">
      <w:pPr>
        <w:pStyle w:val="Heading2"/>
        <w:ind w:left="709" w:firstLine="2693"/>
        <w:rPr>
          <w:sz w:val="24"/>
          <w:szCs w:val="24"/>
        </w:rPr>
      </w:pPr>
      <w:r>
        <w:rPr>
          <w:sz w:val="24"/>
          <w:szCs w:val="24"/>
        </w:rPr>
        <w:t xml:space="preserve">b) </w:t>
      </w:r>
      <w:proofErr w:type="gramStart"/>
      <w:r>
        <w:rPr>
          <w:sz w:val="24"/>
          <w:szCs w:val="24"/>
        </w:rPr>
        <w:t>a</w:t>
      </w:r>
      <w:proofErr w:type="gramEnd"/>
      <w:r>
        <w:rPr>
          <w:sz w:val="24"/>
          <w:szCs w:val="24"/>
        </w:rPr>
        <w:t xml:space="preserve"> full bid-pack creation for a digital marketplace listing.</w:t>
      </w:r>
    </w:p>
    <w:p w14:paraId="0000008E" w14:textId="77777777" w:rsidR="007F19E5" w:rsidRDefault="00D3120E">
      <w:pPr>
        <w:pStyle w:val="Heading3"/>
        <w:numPr>
          <w:ilvl w:val="2"/>
          <w:numId w:val="1"/>
        </w:numPr>
        <w:rPr>
          <w:i/>
          <w:sz w:val="24"/>
          <w:szCs w:val="24"/>
        </w:rPr>
      </w:pPr>
      <w:r>
        <w:rPr>
          <w:i/>
          <w:sz w:val="24"/>
          <w:szCs w:val="24"/>
        </w:rPr>
        <w:t>For the soft market engagement: </w:t>
      </w:r>
    </w:p>
    <w:p w14:paraId="0000008F" w14:textId="77777777" w:rsidR="007F19E5" w:rsidRDefault="00D3120E">
      <w:pPr>
        <w:pStyle w:val="Heading4"/>
        <w:numPr>
          <w:ilvl w:val="3"/>
          <w:numId w:val="1"/>
        </w:numPr>
        <w:rPr>
          <w:sz w:val="24"/>
          <w:szCs w:val="24"/>
        </w:rPr>
      </w:pPr>
      <w:r>
        <w:rPr>
          <w:sz w:val="24"/>
          <w:szCs w:val="24"/>
        </w:rPr>
        <w:t>The full format of documentation required for this phase will be agreed in-flight dependent on the soft launch approach taken. It should however include: </w:t>
      </w:r>
    </w:p>
    <w:p w14:paraId="00000090" w14:textId="77777777" w:rsidR="007F19E5" w:rsidRDefault="00D3120E">
      <w:pPr>
        <w:pStyle w:val="Heading5"/>
        <w:numPr>
          <w:ilvl w:val="4"/>
          <w:numId w:val="1"/>
        </w:numPr>
        <w:rPr>
          <w:sz w:val="24"/>
          <w:szCs w:val="24"/>
        </w:rPr>
      </w:pPr>
      <w:proofErr w:type="gramStart"/>
      <w:r>
        <w:rPr>
          <w:sz w:val="24"/>
          <w:szCs w:val="24"/>
        </w:rPr>
        <w:t>document(s)</w:t>
      </w:r>
      <w:proofErr w:type="gramEnd"/>
      <w:r>
        <w:rPr>
          <w:sz w:val="24"/>
          <w:szCs w:val="24"/>
        </w:rPr>
        <w:t xml:space="preserve"> setting out the objective and key questions that soft market testing will seek to answer; </w:t>
      </w:r>
    </w:p>
    <w:p w14:paraId="00000091" w14:textId="77777777" w:rsidR="007F19E5" w:rsidRDefault="00D3120E">
      <w:pPr>
        <w:pStyle w:val="Heading5"/>
        <w:numPr>
          <w:ilvl w:val="4"/>
          <w:numId w:val="1"/>
        </w:numPr>
        <w:rPr>
          <w:sz w:val="24"/>
          <w:szCs w:val="24"/>
        </w:rPr>
      </w:pPr>
      <w:proofErr w:type="gramStart"/>
      <w:r>
        <w:rPr>
          <w:sz w:val="24"/>
          <w:szCs w:val="24"/>
        </w:rPr>
        <w:t>any</w:t>
      </w:r>
      <w:proofErr w:type="gramEnd"/>
      <w:r>
        <w:rPr>
          <w:sz w:val="24"/>
          <w:szCs w:val="24"/>
        </w:rPr>
        <w:t xml:space="preserve"> relevant design documentation to date.</w:t>
      </w:r>
    </w:p>
    <w:p w14:paraId="00000092" w14:textId="77777777" w:rsidR="007F19E5" w:rsidRDefault="00D3120E">
      <w:pPr>
        <w:pStyle w:val="Heading3"/>
        <w:numPr>
          <w:ilvl w:val="2"/>
          <w:numId w:val="1"/>
        </w:numPr>
        <w:rPr>
          <w:i/>
          <w:sz w:val="24"/>
          <w:szCs w:val="24"/>
        </w:rPr>
      </w:pPr>
      <w:r>
        <w:rPr>
          <w:i/>
          <w:sz w:val="24"/>
          <w:szCs w:val="24"/>
        </w:rPr>
        <w:t>For the procurement activity:</w:t>
      </w:r>
    </w:p>
    <w:p w14:paraId="00000093" w14:textId="77777777" w:rsidR="007F19E5" w:rsidRDefault="00D3120E">
      <w:pPr>
        <w:pStyle w:val="Heading4"/>
        <w:numPr>
          <w:ilvl w:val="3"/>
          <w:numId w:val="1"/>
        </w:numPr>
        <w:rPr>
          <w:sz w:val="24"/>
          <w:szCs w:val="24"/>
        </w:rPr>
      </w:pPr>
      <w:r>
        <w:rPr>
          <w:sz w:val="24"/>
          <w:szCs w:val="24"/>
        </w:rPr>
        <w:t xml:space="preserve">It should identify relevant technical questions and draft evaluation criteria that supports delivering the right solution </w:t>
      </w:r>
      <w:r>
        <w:rPr>
          <w:sz w:val="24"/>
          <w:szCs w:val="24"/>
        </w:rPr>
        <w:lastRenderedPageBreak/>
        <w:t>and ensuring the supplier has the right capabilities and capacity, including:</w:t>
      </w:r>
    </w:p>
    <w:p w14:paraId="00000094" w14:textId="77777777" w:rsidR="007F19E5" w:rsidRDefault="00D3120E">
      <w:pPr>
        <w:pStyle w:val="Heading5"/>
        <w:numPr>
          <w:ilvl w:val="4"/>
          <w:numId w:val="1"/>
        </w:numPr>
        <w:rPr>
          <w:sz w:val="24"/>
          <w:szCs w:val="24"/>
        </w:rPr>
      </w:pPr>
      <w:proofErr w:type="gramStart"/>
      <w:r>
        <w:rPr>
          <w:sz w:val="24"/>
          <w:szCs w:val="24"/>
        </w:rPr>
        <w:t>a</w:t>
      </w:r>
      <w:proofErr w:type="gramEnd"/>
      <w:r>
        <w:rPr>
          <w:sz w:val="24"/>
          <w:szCs w:val="24"/>
        </w:rPr>
        <w:t xml:space="preserve"> Digital </w:t>
      </w:r>
      <w:proofErr w:type="spellStart"/>
      <w:r>
        <w:rPr>
          <w:sz w:val="24"/>
          <w:szCs w:val="24"/>
        </w:rPr>
        <w:t>MarketPlace</w:t>
      </w:r>
      <w:proofErr w:type="spellEnd"/>
      <w:r>
        <w:rPr>
          <w:sz w:val="24"/>
          <w:szCs w:val="24"/>
        </w:rPr>
        <w:t xml:space="preserve"> Shortlisting criteria to ensure suppliers have the necessary capability and capability to deliver;</w:t>
      </w:r>
    </w:p>
    <w:p w14:paraId="00000095" w14:textId="77777777" w:rsidR="007F19E5" w:rsidRDefault="00D3120E">
      <w:pPr>
        <w:pStyle w:val="Heading5"/>
        <w:numPr>
          <w:ilvl w:val="4"/>
          <w:numId w:val="1"/>
        </w:numPr>
        <w:rPr>
          <w:sz w:val="24"/>
          <w:szCs w:val="24"/>
        </w:rPr>
      </w:pPr>
      <w:proofErr w:type="gramStart"/>
      <w:r>
        <w:rPr>
          <w:sz w:val="24"/>
          <w:szCs w:val="24"/>
        </w:rPr>
        <w:t>specific</w:t>
      </w:r>
      <w:proofErr w:type="gramEnd"/>
      <w:r>
        <w:rPr>
          <w:sz w:val="24"/>
          <w:szCs w:val="24"/>
        </w:rPr>
        <w:t xml:space="preserve"> technical questions for the bidders to respond to;</w:t>
      </w:r>
    </w:p>
    <w:p w14:paraId="00000096" w14:textId="3FA09F14" w:rsidR="007F19E5" w:rsidRDefault="00D3120E">
      <w:pPr>
        <w:pStyle w:val="Heading5"/>
        <w:numPr>
          <w:ilvl w:val="4"/>
          <w:numId w:val="1"/>
        </w:numPr>
        <w:rPr>
          <w:sz w:val="24"/>
          <w:szCs w:val="24"/>
        </w:rPr>
      </w:pPr>
      <w:proofErr w:type="gramStart"/>
      <w:r>
        <w:rPr>
          <w:sz w:val="24"/>
          <w:szCs w:val="24"/>
        </w:rPr>
        <w:t>an</w:t>
      </w:r>
      <w:proofErr w:type="gramEnd"/>
      <w:r>
        <w:rPr>
          <w:sz w:val="24"/>
          <w:szCs w:val="24"/>
        </w:rPr>
        <w:t xml:space="preserve"> evaluation</w:t>
      </w:r>
      <w:r w:rsidR="001E7606">
        <w:rPr>
          <w:sz w:val="24"/>
          <w:szCs w:val="24"/>
        </w:rPr>
        <w:t xml:space="preserve"> </w:t>
      </w:r>
      <w:r>
        <w:rPr>
          <w:sz w:val="24"/>
          <w:szCs w:val="24"/>
        </w:rPr>
        <w:t>criteria aligned to each technical question to support OGP in identifying what good looks like;</w:t>
      </w:r>
    </w:p>
    <w:p w14:paraId="00000097" w14:textId="77777777" w:rsidR="007F19E5" w:rsidRDefault="00D3120E">
      <w:pPr>
        <w:pStyle w:val="Heading5"/>
        <w:numPr>
          <w:ilvl w:val="4"/>
          <w:numId w:val="1"/>
        </w:numPr>
        <w:rPr>
          <w:sz w:val="24"/>
          <w:szCs w:val="24"/>
        </w:rPr>
      </w:pPr>
      <w:proofErr w:type="gramStart"/>
      <w:r>
        <w:rPr>
          <w:sz w:val="24"/>
          <w:szCs w:val="24"/>
        </w:rPr>
        <w:t>a</w:t>
      </w:r>
      <w:proofErr w:type="gramEnd"/>
      <w:r>
        <w:rPr>
          <w:sz w:val="24"/>
          <w:szCs w:val="24"/>
        </w:rPr>
        <w:t xml:space="preserve"> proposed pricing evaluation; </w:t>
      </w:r>
    </w:p>
    <w:p w14:paraId="00000098" w14:textId="77777777" w:rsidR="007F19E5" w:rsidRDefault="00D3120E">
      <w:pPr>
        <w:pStyle w:val="Heading5"/>
        <w:numPr>
          <w:ilvl w:val="4"/>
          <w:numId w:val="1"/>
        </w:numPr>
        <w:rPr>
          <w:sz w:val="24"/>
          <w:szCs w:val="24"/>
        </w:rPr>
      </w:pPr>
      <w:proofErr w:type="gramStart"/>
      <w:r>
        <w:rPr>
          <w:sz w:val="24"/>
          <w:szCs w:val="24"/>
        </w:rPr>
        <w:t>project</w:t>
      </w:r>
      <w:proofErr w:type="gramEnd"/>
      <w:r>
        <w:rPr>
          <w:sz w:val="24"/>
          <w:szCs w:val="24"/>
        </w:rPr>
        <w:t xml:space="preserve"> context documentation, including but not limited to relevant systems-agnostic design documentation to date.</w:t>
      </w:r>
    </w:p>
    <w:p w14:paraId="00000099" w14:textId="77777777" w:rsidR="007F19E5" w:rsidRDefault="00D3120E">
      <w:pPr>
        <w:pStyle w:val="Heading3"/>
        <w:numPr>
          <w:ilvl w:val="2"/>
          <w:numId w:val="1"/>
        </w:numPr>
        <w:rPr>
          <w:sz w:val="24"/>
          <w:szCs w:val="24"/>
        </w:rPr>
      </w:pPr>
      <w:r>
        <w:rPr>
          <w:sz w:val="24"/>
          <w:szCs w:val="24"/>
        </w:rPr>
        <w:t>Help fill a gap in technical knowledge to ensure the exercise is a success and the build of the new service can resume. This should cover the soft market engagement, initial digital marketplace short listing and assessment of shortlisted suppliers. </w:t>
      </w:r>
    </w:p>
    <w:p w14:paraId="0000009A" w14:textId="77777777" w:rsidR="007F19E5" w:rsidRDefault="00D3120E">
      <w:pPr>
        <w:pStyle w:val="Heading2"/>
        <w:numPr>
          <w:ilvl w:val="1"/>
          <w:numId w:val="1"/>
        </w:numPr>
        <w:ind w:left="709" w:hanging="709"/>
        <w:rPr>
          <w:sz w:val="24"/>
          <w:szCs w:val="24"/>
        </w:rPr>
      </w:pPr>
      <w:r>
        <w:rPr>
          <w:sz w:val="24"/>
          <w:szCs w:val="24"/>
          <w:u w:val="single"/>
        </w:rPr>
        <w:t>Soft market engagement</w:t>
      </w:r>
    </w:p>
    <w:p w14:paraId="0000009B" w14:textId="77777777" w:rsidR="007F19E5" w:rsidRDefault="00D3120E">
      <w:pPr>
        <w:pStyle w:val="Heading3"/>
        <w:numPr>
          <w:ilvl w:val="2"/>
          <w:numId w:val="1"/>
        </w:numPr>
        <w:rPr>
          <w:sz w:val="24"/>
          <w:szCs w:val="24"/>
        </w:rPr>
      </w:pPr>
      <w:r>
        <w:rPr>
          <w:sz w:val="24"/>
          <w:szCs w:val="24"/>
        </w:rPr>
        <w:t xml:space="preserve">Support with soft market testing, in order to stimulate the market, </w:t>
      </w:r>
      <w:proofErr w:type="gramStart"/>
      <w:r>
        <w:rPr>
          <w:sz w:val="24"/>
          <w:szCs w:val="24"/>
        </w:rPr>
        <w:t>and also</w:t>
      </w:r>
      <w:proofErr w:type="gramEnd"/>
      <w:r>
        <w:rPr>
          <w:sz w:val="24"/>
          <w:szCs w:val="24"/>
        </w:rPr>
        <w:t xml:space="preserve"> validate the possible direction being taken out to formal procurement. Provide OGP with the evidence required to validate the brief </w:t>
      </w:r>
      <w:proofErr w:type="gramStart"/>
      <w:r>
        <w:rPr>
          <w:sz w:val="24"/>
          <w:szCs w:val="24"/>
        </w:rPr>
        <w:t>being taken out</w:t>
      </w:r>
      <w:proofErr w:type="gramEnd"/>
      <w:r>
        <w:rPr>
          <w:sz w:val="24"/>
          <w:szCs w:val="24"/>
        </w:rPr>
        <w:t xml:space="preserve"> to formal procurement, and secure senior stakeholder buy-in. </w:t>
      </w:r>
    </w:p>
    <w:p w14:paraId="0000009C" w14:textId="77777777" w:rsidR="007F19E5" w:rsidRDefault="00D3120E">
      <w:pPr>
        <w:pStyle w:val="Heading3"/>
        <w:numPr>
          <w:ilvl w:val="2"/>
          <w:numId w:val="1"/>
        </w:numPr>
        <w:rPr>
          <w:sz w:val="24"/>
          <w:szCs w:val="24"/>
        </w:rPr>
      </w:pPr>
      <w:r>
        <w:rPr>
          <w:sz w:val="24"/>
          <w:szCs w:val="24"/>
        </w:rPr>
        <w:t>Create documents outlining the objective and key questions that soft market testing will seek to answer.  </w:t>
      </w:r>
    </w:p>
    <w:p w14:paraId="0000009D" w14:textId="77777777" w:rsidR="007F19E5" w:rsidRDefault="00D3120E">
      <w:pPr>
        <w:pStyle w:val="Heading3"/>
        <w:numPr>
          <w:ilvl w:val="2"/>
          <w:numId w:val="1"/>
        </w:numPr>
        <w:rPr>
          <w:sz w:val="24"/>
          <w:szCs w:val="24"/>
        </w:rPr>
      </w:pPr>
      <w:r>
        <w:rPr>
          <w:sz w:val="24"/>
          <w:szCs w:val="24"/>
        </w:rPr>
        <w:t>Act in the capacity of technical ‘Critical Friend’ for this activity, critically assessing supplier responses and advising OGP on trends, whether suppliers have met the requirements, and recommendations for next steps. Support with answering specific supplier questions and publishing answers. </w:t>
      </w:r>
    </w:p>
    <w:p w14:paraId="0000009E" w14:textId="08F58B8D" w:rsidR="007F19E5" w:rsidRDefault="00D3120E">
      <w:pPr>
        <w:pStyle w:val="Heading3"/>
        <w:numPr>
          <w:ilvl w:val="2"/>
          <w:numId w:val="1"/>
        </w:numPr>
        <w:rPr>
          <w:sz w:val="24"/>
          <w:szCs w:val="24"/>
        </w:rPr>
      </w:pPr>
      <w:r>
        <w:rPr>
          <w:sz w:val="24"/>
          <w:szCs w:val="24"/>
        </w:rPr>
        <w:t>Report on soft market engagement findings. The result of the soft market testing should frame and report feedback against objectives and key questions agreed as part of activity in point 3.3 (technical documentation for procurement). Specifically</w:t>
      </w:r>
      <w:r w:rsidR="001E7606">
        <w:rPr>
          <w:sz w:val="24"/>
          <w:szCs w:val="24"/>
        </w:rPr>
        <w:t>,</w:t>
      </w:r>
      <w:r>
        <w:rPr>
          <w:sz w:val="24"/>
          <w:szCs w:val="24"/>
        </w:rPr>
        <w:t xml:space="preserve"> it will address a </w:t>
      </w:r>
      <w:r w:rsidR="001E7606">
        <w:rPr>
          <w:sz w:val="24"/>
          <w:szCs w:val="24"/>
        </w:rPr>
        <w:t>high-level</w:t>
      </w:r>
      <w:r>
        <w:rPr>
          <w:sz w:val="24"/>
          <w:szCs w:val="24"/>
        </w:rPr>
        <w:t xml:space="preserve"> summary of technical responses, synthesis of common trends, any risks identified, whether suppliers have demonstrated an ability </w:t>
      </w:r>
      <w:r>
        <w:rPr>
          <w:sz w:val="24"/>
          <w:szCs w:val="24"/>
        </w:rPr>
        <w:lastRenderedPageBreak/>
        <w:t>to meet the technical requirements, and recommendations for next steps built on this evidence.</w:t>
      </w:r>
    </w:p>
    <w:p w14:paraId="0000009F" w14:textId="77777777" w:rsidR="007F19E5" w:rsidRDefault="00D3120E">
      <w:pPr>
        <w:pStyle w:val="Heading2"/>
        <w:numPr>
          <w:ilvl w:val="1"/>
          <w:numId w:val="1"/>
        </w:numPr>
        <w:ind w:left="709" w:hanging="709"/>
        <w:rPr>
          <w:sz w:val="24"/>
          <w:szCs w:val="24"/>
        </w:rPr>
      </w:pPr>
      <w:r>
        <w:rPr>
          <w:sz w:val="24"/>
          <w:szCs w:val="24"/>
          <w:u w:val="single"/>
        </w:rPr>
        <w:t>Updating technical documentation for procurement </w:t>
      </w:r>
    </w:p>
    <w:p w14:paraId="000000A0" w14:textId="77777777" w:rsidR="007F19E5" w:rsidRDefault="00D3120E">
      <w:pPr>
        <w:pStyle w:val="Heading3"/>
        <w:numPr>
          <w:ilvl w:val="2"/>
          <w:numId w:val="1"/>
        </w:numPr>
        <w:rPr>
          <w:sz w:val="24"/>
          <w:szCs w:val="24"/>
        </w:rPr>
      </w:pPr>
      <w:r>
        <w:rPr>
          <w:sz w:val="24"/>
          <w:szCs w:val="24"/>
        </w:rPr>
        <w:t xml:space="preserve">Ahead of formal procurement, revisit the technical document produced before the soft market engagement and ensure it is still applicable and accurate. If the soft market </w:t>
      </w:r>
      <w:proofErr w:type="gramStart"/>
      <w:r>
        <w:rPr>
          <w:sz w:val="24"/>
          <w:szCs w:val="24"/>
        </w:rPr>
        <w:t>engagement,</w:t>
      </w:r>
      <w:proofErr w:type="gramEnd"/>
      <w:r>
        <w:rPr>
          <w:sz w:val="24"/>
          <w:szCs w:val="24"/>
        </w:rPr>
        <w:t xml:space="preserve"> or board approval changed anything, ensure the documentation is updated accordingly. </w:t>
      </w:r>
    </w:p>
    <w:p w14:paraId="000000A1" w14:textId="77777777" w:rsidR="007F19E5" w:rsidRDefault="00D3120E">
      <w:pPr>
        <w:pStyle w:val="Heading3"/>
        <w:numPr>
          <w:ilvl w:val="2"/>
          <w:numId w:val="1"/>
        </w:numPr>
        <w:rPr>
          <w:sz w:val="24"/>
          <w:szCs w:val="24"/>
        </w:rPr>
      </w:pPr>
      <w:r>
        <w:rPr>
          <w:sz w:val="24"/>
          <w:szCs w:val="24"/>
        </w:rPr>
        <w:t xml:space="preserve">A final bid pack </w:t>
      </w:r>
      <w:proofErr w:type="gramStart"/>
      <w:r>
        <w:rPr>
          <w:sz w:val="24"/>
          <w:szCs w:val="24"/>
        </w:rPr>
        <w:t>will be produced</w:t>
      </w:r>
      <w:proofErr w:type="gramEnd"/>
      <w:r>
        <w:rPr>
          <w:sz w:val="24"/>
          <w:szCs w:val="24"/>
        </w:rPr>
        <w:t xml:space="preserve"> which includes:</w:t>
      </w:r>
    </w:p>
    <w:p w14:paraId="000000A2" w14:textId="77777777" w:rsidR="007F19E5" w:rsidRDefault="00D3120E">
      <w:pPr>
        <w:pStyle w:val="Heading4"/>
        <w:numPr>
          <w:ilvl w:val="3"/>
          <w:numId w:val="1"/>
        </w:numPr>
        <w:rPr>
          <w:sz w:val="24"/>
          <w:szCs w:val="24"/>
        </w:rPr>
      </w:pPr>
      <w:r>
        <w:rPr>
          <w:sz w:val="24"/>
          <w:szCs w:val="24"/>
        </w:rPr>
        <w:t>A requirement that details the technical specification being sought by OGP;</w:t>
      </w:r>
    </w:p>
    <w:p w14:paraId="000000A3" w14:textId="77777777" w:rsidR="007F19E5" w:rsidRDefault="00D3120E">
      <w:pPr>
        <w:pStyle w:val="Heading4"/>
        <w:numPr>
          <w:ilvl w:val="3"/>
          <w:numId w:val="1"/>
        </w:numPr>
        <w:rPr>
          <w:sz w:val="24"/>
          <w:szCs w:val="24"/>
        </w:rPr>
      </w:pPr>
      <w:r>
        <w:rPr>
          <w:sz w:val="24"/>
          <w:szCs w:val="24"/>
        </w:rPr>
        <w:t>Contextual design documentation to date;</w:t>
      </w:r>
    </w:p>
    <w:p w14:paraId="000000A4" w14:textId="77777777" w:rsidR="007F19E5" w:rsidRDefault="00D3120E">
      <w:pPr>
        <w:pStyle w:val="Heading4"/>
        <w:numPr>
          <w:ilvl w:val="3"/>
          <w:numId w:val="1"/>
        </w:numPr>
        <w:rPr>
          <w:sz w:val="24"/>
          <w:szCs w:val="24"/>
        </w:rPr>
      </w:pPr>
      <w:r>
        <w:rPr>
          <w:sz w:val="24"/>
          <w:szCs w:val="24"/>
        </w:rPr>
        <w:t>Technical questions and tender pack;</w:t>
      </w:r>
    </w:p>
    <w:p w14:paraId="000000A5" w14:textId="77777777" w:rsidR="007F19E5" w:rsidRDefault="00D3120E">
      <w:pPr>
        <w:pStyle w:val="Heading4"/>
        <w:numPr>
          <w:ilvl w:val="3"/>
          <w:numId w:val="1"/>
        </w:numPr>
        <w:rPr>
          <w:sz w:val="24"/>
          <w:szCs w:val="24"/>
        </w:rPr>
      </w:pPr>
      <w:r>
        <w:rPr>
          <w:sz w:val="24"/>
          <w:szCs w:val="24"/>
        </w:rPr>
        <w:t>Technical evaluation process (How to Bid document); </w:t>
      </w:r>
    </w:p>
    <w:p w14:paraId="000000A6" w14:textId="77777777" w:rsidR="007F19E5" w:rsidRDefault="00D3120E">
      <w:pPr>
        <w:pStyle w:val="Heading4"/>
        <w:numPr>
          <w:ilvl w:val="3"/>
          <w:numId w:val="1"/>
        </w:numPr>
        <w:rPr>
          <w:sz w:val="24"/>
          <w:szCs w:val="24"/>
        </w:rPr>
      </w:pPr>
      <w:r>
        <w:rPr>
          <w:sz w:val="24"/>
          <w:szCs w:val="24"/>
        </w:rPr>
        <w:t>Pricing evaluation;</w:t>
      </w:r>
    </w:p>
    <w:p w14:paraId="000000A7" w14:textId="77777777" w:rsidR="007F19E5" w:rsidRDefault="00D3120E">
      <w:pPr>
        <w:pStyle w:val="Heading4"/>
        <w:numPr>
          <w:ilvl w:val="3"/>
          <w:numId w:val="1"/>
        </w:numPr>
        <w:rPr>
          <w:sz w:val="24"/>
          <w:szCs w:val="24"/>
        </w:rPr>
      </w:pPr>
      <w:r>
        <w:rPr>
          <w:sz w:val="24"/>
          <w:szCs w:val="24"/>
        </w:rPr>
        <w:t>Terms and conditions (based on the selected framework) including any special terms advised to OGP.</w:t>
      </w:r>
    </w:p>
    <w:p w14:paraId="000000A8" w14:textId="77777777" w:rsidR="007F19E5" w:rsidRDefault="00D3120E">
      <w:pPr>
        <w:pStyle w:val="Heading2"/>
        <w:numPr>
          <w:ilvl w:val="1"/>
          <w:numId w:val="1"/>
        </w:numPr>
        <w:ind w:left="709" w:hanging="709"/>
        <w:rPr>
          <w:sz w:val="24"/>
          <w:szCs w:val="24"/>
        </w:rPr>
      </w:pPr>
      <w:r>
        <w:rPr>
          <w:sz w:val="24"/>
          <w:szCs w:val="24"/>
          <w:u w:val="single"/>
        </w:rPr>
        <w:t>Procurement evaluation support</w:t>
      </w:r>
    </w:p>
    <w:p w14:paraId="000000A9" w14:textId="77777777" w:rsidR="007F19E5" w:rsidRDefault="00D3120E">
      <w:pPr>
        <w:pStyle w:val="Heading3"/>
        <w:numPr>
          <w:ilvl w:val="2"/>
          <w:numId w:val="1"/>
        </w:numPr>
        <w:rPr>
          <w:sz w:val="24"/>
          <w:szCs w:val="24"/>
        </w:rPr>
      </w:pPr>
      <w:r>
        <w:rPr>
          <w:sz w:val="24"/>
          <w:szCs w:val="24"/>
        </w:rPr>
        <w:t>Operate on the evaluation panel. Recommend best practice, such as on scoring and evaluation. Produce a scoring rubric to ensure impartial and consistent technical evaluation. Score suitable suppliers on their ability to deliver.</w:t>
      </w:r>
    </w:p>
    <w:p w14:paraId="000000AA" w14:textId="77777777" w:rsidR="007F19E5" w:rsidRDefault="00D3120E">
      <w:pPr>
        <w:pStyle w:val="Heading3"/>
        <w:numPr>
          <w:ilvl w:val="2"/>
          <w:numId w:val="1"/>
        </w:numPr>
        <w:rPr>
          <w:sz w:val="24"/>
          <w:szCs w:val="24"/>
        </w:rPr>
      </w:pPr>
      <w:r>
        <w:rPr>
          <w:sz w:val="24"/>
          <w:szCs w:val="24"/>
        </w:rPr>
        <w:t>Throughout formal procurement, operate as a technical ‘Critical Friend’, supporting the interrogation of supplier proposals against the identified requirements.</w:t>
      </w:r>
    </w:p>
    <w:p w14:paraId="000000AB" w14:textId="607F9EAC" w:rsidR="007F19E5" w:rsidRDefault="00D3120E">
      <w:pPr>
        <w:pStyle w:val="Heading3"/>
        <w:numPr>
          <w:ilvl w:val="2"/>
          <w:numId w:val="1"/>
        </w:numPr>
        <w:rPr>
          <w:sz w:val="24"/>
          <w:szCs w:val="24"/>
        </w:rPr>
      </w:pPr>
      <w:r>
        <w:rPr>
          <w:sz w:val="24"/>
          <w:szCs w:val="24"/>
        </w:rPr>
        <w:t xml:space="preserve">Up to a </w:t>
      </w:r>
      <w:proofErr w:type="gramStart"/>
      <w:r>
        <w:rPr>
          <w:sz w:val="24"/>
          <w:szCs w:val="24"/>
        </w:rPr>
        <w:t>four/five</w:t>
      </w:r>
      <w:proofErr w:type="gramEnd"/>
      <w:r>
        <w:rPr>
          <w:sz w:val="24"/>
          <w:szCs w:val="24"/>
        </w:rPr>
        <w:t xml:space="preserve"> week pause will be required within the project delivery duration to allow bidders to respond, which will not impact upon day rates and durations stated in the pricing schedule above.</w:t>
      </w:r>
    </w:p>
    <w:p w14:paraId="000000AC" w14:textId="77777777" w:rsidR="007F19E5" w:rsidRDefault="00D3120E">
      <w:pPr>
        <w:pStyle w:val="Heading3"/>
        <w:numPr>
          <w:ilvl w:val="2"/>
          <w:numId w:val="1"/>
        </w:numPr>
        <w:rPr>
          <w:sz w:val="24"/>
          <w:szCs w:val="24"/>
        </w:rPr>
      </w:pPr>
      <w:r>
        <w:rPr>
          <w:sz w:val="24"/>
          <w:szCs w:val="24"/>
        </w:rPr>
        <w:t>In scope for this requirement is the procurement for the Technology Partner and activities prior to and required for a live procurement. OGP will provide the Supplier the necessary contextual information and documentation relating to the development to date. All requirements are mandatory.</w:t>
      </w:r>
    </w:p>
    <w:p w14:paraId="000000AD" w14:textId="77777777" w:rsidR="007F19E5" w:rsidRDefault="00D3120E">
      <w:pPr>
        <w:pStyle w:val="Heading3"/>
        <w:numPr>
          <w:ilvl w:val="2"/>
          <w:numId w:val="1"/>
        </w:numPr>
        <w:rPr>
          <w:sz w:val="24"/>
          <w:szCs w:val="24"/>
        </w:rPr>
      </w:pPr>
      <w:r>
        <w:rPr>
          <w:sz w:val="24"/>
          <w:szCs w:val="24"/>
        </w:rPr>
        <w:lastRenderedPageBreak/>
        <w:t>Out of scope for this requirement;</w:t>
      </w:r>
    </w:p>
    <w:p w14:paraId="000000AE" w14:textId="77777777" w:rsidR="007F19E5" w:rsidRDefault="00D3120E">
      <w:pPr>
        <w:pStyle w:val="Heading4"/>
        <w:numPr>
          <w:ilvl w:val="3"/>
          <w:numId w:val="1"/>
        </w:numPr>
        <w:rPr>
          <w:sz w:val="24"/>
          <w:szCs w:val="24"/>
        </w:rPr>
      </w:pPr>
      <w:r>
        <w:rPr>
          <w:sz w:val="24"/>
          <w:szCs w:val="24"/>
        </w:rPr>
        <w:t>Support after the appointment of the Technology Partner, or the delivery phase; </w:t>
      </w:r>
    </w:p>
    <w:p w14:paraId="000000AF" w14:textId="77777777" w:rsidR="007F19E5" w:rsidRDefault="00D3120E">
      <w:pPr>
        <w:pStyle w:val="Heading4"/>
        <w:numPr>
          <w:ilvl w:val="3"/>
          <w:numId w:val="1"/>
        </w:numPr>
        <w:rPr>
          <w:sz w:val="24"/>
          <w:szCs w:val="24"/>
        </w:rPr>
      </w:pPr>
      <w:r>
        <w:rPr>
          <w:sz w:val="24"/>
          <w:szCs w:val="24"/>
        </w:rPr>
        <w:t xml:space="preserve">Satellite solutions / systems associated with </w:t>
      </w:r>
      <w:proofErr w:type="spellStart"/>
      <w:r>
        <w:rPr>
          <w:sz w:val="24"/>
          <w:szCs w:val="24"/>
        </w:rPr>
        <w:t>Insite</w:t>
      </w:r>
      <w:proofErr w:type="spellEnd"/>
      <w:r>
        <w:rPr>
          <w:sz w:val="24"/>
          <w:szCs w:val="24"/>
        </w:rPr>
        <w:t xml:space="preserve"> themselves (e.g. Government Property Finder, Government Property Profession Portal); </w:t>
      </w:r>
    </w:p>
    <w:p w14:paraId="000000B0" w14:textId="77777777" w:rsidR="007F19E5" w:rsidRDefault="00D3120E">
      <w:pPr>
        <w:pStyle w:val="Heading1"/>
        <w:numPr>
          <w:ilvl w:val="0"/>
          <w:numId w:val="1"/>
        </w:numPr>
        <w:spacing w:after="120"/>
        <w:rPr>
          <w:sz w:val="32"/>
          <w:szCs w:val="32"/>
        </w:rPr>
      </w:pPr>
      <w:bookmarkStart w:id="13" w:name="_heading=h.lnxbz9" w:colFirst="0" w:colLast="0"/>
      <w:bookmarkEnd w:id="13"/>
      <w:r>
        <w:rPr>
          <w:sz w:val="32"/>
          <w:szCs w:val="32"/>
        </w:rPr>
        <w:t>key milestones and Deliverables</w:t>
      </w:r>
    </w:p>
    <w:p w14:paraId="000000B1" w14:textId="77777777" w:rsidR="007F19E5" w:rsidRDefault="00D3120E">
      <w:pPr>
        <w:pStyle w:val="Heading2"/>
        <w:numPr>
          <w:ilvl w:val="1"/>
          <w:numId w:val="1"/>
        </w:numPr>
        <w:spacing w:after="120"/>
        <w:ind w:left="709" w:hanging="709"/>
        <w:rPr>
          <w:sz w:val="24"/>
          <w:szCs w:val="24"/>
        </w:rPr>
      </w:pPr>
      <w:r>
        <w:rPr>
          <w:sz w:val="24"/>
          <w:szCs w:val="24"/>
        </w:rPr>
        <w:t xml:space="preserve">The potential provider should note the following project milestones that the Authority will measure the quality of delivery </w:t>
      </w:r>
      <w:proofErr w:type="gramStart"/>
      <w:r>
        <w:rPr>
          <w:sz w:val="24"/>
          <w:szCs w:val="24"/>
        </w:rPr>
        <w:t>against</w:t>
      </w:r>
      <w:proofErr w:type="gramEnd"/>
      <w:r>
        <w:rPr>
          <w:sz w:val="24"/>
          <w:szCs w:val="24"/>
        </w:rPr>
        <w:t>:</w:t>
      </w:r>
    </w:p>
    <w:p w14:paraId="000000B2" w14:textId="607BA7CE" w:rsidR="007F19E5" w:rsidRDefault="00D3120E">
      <w:pPr>
        <w:pStyle w:val="Heading2"/>
        <w:numPr>
          <w:ilvl w:val="1"/>
          <w:numId w:val="1"/>
        </w:numPr>
        <w:spacing w:after="120"/>
        <w:ind w:left="709" w:hanging="709"/>
        <w:rPr>
          <w:sz w:val="24"/>
          <w:szCs w:val="24"/>
        </w:rPr>
      </w:pPr>
      <w:r>
        <w:rPr>
          <w:sz w:val="24"/>
          <w:szCs w:val="24"/>
        </w:rPr>
        <w:t>The following Contract milestones/deliverables shall apply:</w:t>
      </w:r>
    </w:p>
    <w:p w14:paraId="02E179B5" w14:textId="7B4B1796" w:rsidR="00211094" w:rsidRDefault="00211094" w:rsidP="00211094">
      <w:pPr>
        <w:pStyle w:val="Heading2"/>
        <w:numPr>
          <w:ilvl w:val="0"/>
          <w:numId w:val="0"/>
        </w:numPr>
        <w:spacing w:after="120"/>
        <w:ind w:left="709"/>
        <w:rPr>
          <w:sz w:val="24"/>
          <w:szCs w:val="24"/>
        </w:rPr>
      </w:pPr>
    </w:p>
    <w:tbl>
      <w:tblPr>
        <w:tblStyle w:val="TableGrid10"/>
        <w:tblW w:w="5000" w:type="pct"/>
        <w:tblLook w:val="04A0" w:firstRow="1" w:lastRow="0" w:firstColumn="1" w:lastColumn="0" w:noHBand="0" w:noVBand="1"/>
      </w:tblPr>
      <w:tblGrid>
        <w:gridCol w:w="2671"/>
        <w:gridCol w:w="3947"/>
        <w:gridCol w:w="2401"/>
      </w:tblGrid>
      <w:tr w:rsidR="00211094" w:rsidRPr="00211094" w14:paraId="76FF1BEA" w14:textId="77777777" w:rsidTr="00291D66">
        <w:tc>
          <w:tcPr>
            <w:tcW w:w="898" w:type="pct"/>
            <w:shd w:val="clear" w:color="auto" w:fill="B8CCE4" w:themeFill="accent1" w:themeFillTint="66"/>
            <w:vAlign w:val="center"/>
          </w:tcPr>
          <w:p w14:paraId="402BE154" w14:textId="77777777" w:rsidR="00211094" w:rsidRPr="00211094" w:rsidRDefault="00211094" w:rsidP="00211094">
            <w:pPr>
              <w:spacing w:after="120"/>
              <w:jc w:val="center"/>
              <w:outlineLvl w:val="2"/>
              <w:rPr>
                <w:rFonts w:ascii="Arial" w:eastAsia="STZhongsong" w:hAnsi="Arial" w:cs="Arial"/>
                <w:b/>
                <w:sz w:val="24"/>
              </w:rPr>
            </w:pPr>
            <w:r w:rsidRPr="00211094">
              <w:rPr>
                <w:rFonts w:ascii="Arial" w:eastAsia="STZhongsong" w:hAnsi="Arial" w:cs="Arial"/>
                <w:b/>
                <w:sz w:val="24"/>
              </w:rPr>
              <w:t>Milestone/Deliverable</w:t>
            </w:r>
          </w:p>
        </w:tc>
        <w:tc>
          <w:tcPr>
            <w:tcW w:w="2480" w:type="pct"/>
            <w:shd w:val="clear" w:color="auto" w:fill="B8CCE4" w:themeFill="accent1" w:themeFillTint="66"/>
            <w:vAlign w:val="center"/>
          </w:tcPr>
          <w:p w14:paraId="6E703B70" w14:textId="77777777" w:rsidR="00211094" w:rsidRPr="00211094" w:rsidRDefault="00211094" w:rsidP="00211094">
            <w:pPr>
              <w:spacing w:after="120"/>
              <w:jc w:val="center"/>
              <w:outlineLvl w:val="2"/>
              <w:rPr>
                <w:rFonts w:ascii="Arial" w:eastAsia="STZhongsong" w:hAnsi="Arial" w:cs="Arial"/>
                <w:b/>
                <w:sz w:val="24"/>
              </w:rPr>
            </w:pPr>
            <w:r w:rsidRPr="00211094">
              <w:rPr>
                <w:rFonts w:ascii="Arial" w:eastAsia="STZhongsong" w:hAnsi="Arial" w:cs="Arial"/>
                <w:b/>
                <w:sz w:val="24"/>
              </w:rPr>
              <w:t>Description</w:t>
            </w:r>
          </w:p>
        </w:tc>
        <w:tc>
          <w:tcPr>
            <w:tcW w:w="1622" w:type="pct"/>
            <w:shd w:val="clear" w:color="auto" w:fill="B8CCE4" w:themeFill="accent1" w:themeFillTint="66"/>
            <w:vAlign w:val="center"/>
          </w:tcPr>
          <w:p w14:paraId="62A5356A" w14:textId="77777777" w:rsidR="00211094" w:rsidRPr="00211094" w:rsidRDefault="00211094" w:rsidP="00211094">
            <w:pPr>
              <w:spacing w:after="120"/>
              <w:jc w:val="center"/>
              <w:outlineLvl w:val="2"/>
              <w:rPr>
                <w:rFonts w:ascii="Arial" w:eastAsia="STZhongsong" w:hAnsi="Arial" w:cs="Arial"/>
                <w:b/>
                <w:sz w:val="24"/>
              </w:rPr>
            </w:pPr>
            <w:r w:rsidRPr="00211094">
              <w:rPr>
                <w:rFonts w:ascii="Arial" w:eastAsia="STZhongsong" w:hAnsi="Arial" w:cs="Arial"/>
                <w:b/>
                <w:sz w:val="24"/>
              </w:rPr>
              <w:t>Timeframe or Delivery Date</w:t>
            </w:r>
          </w:p>
        </w:tc>
      </w:tr>
      <w:tr w:rsidR="00211094" w:rsidRPr="00211094" w14:paraId="7AF405B0" w14:textId="77777777" w:rsidTr="00291D66">
        <w:tc>
          <w:tcPr>
            <w:tcW w:w="898" w:type="pct"/>
            <w:shd w:val="clear" w:color="auto" w:fill="auto"/>
            <w:vAlign w:val="center"/>
          </w:tcPr>
          <w:p w14:paraId="33DEDC3D"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1</w:t>
            </w:r>
          </w:p>
        </w:tc>
        <w:tc>
          <w:tcPr>
            <w:tcW w:w="2480" w:type="pct"/>
            <w:shd w:val="clear" w:color="auto" w:fill="auto"/>
            <w:vAlign w:val="center"/>
          </w:tcPr>
          <w:p w14:paraId="07B3F04C"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Contract returned and signed</w:t>
            </w:r>
          </w:p>
        </w:tc>
        <w:tc>
          <w:tcPr>
            <w:tcW w:w="1622" w:type="pct"/>
            <w:shd w:val="clear" w:color="auto" w:fill="auto"/>
            <w:vAlign w:val="center"/>
          </w:tcPr>
          <w:p w14:paraId="1D1648D0"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Within 1 working day of contract award</w:t>
            </w:r>
          </w:p>
        </w:tc>
      </w:tr>
      <w:tr w:rsidR="00211094" w:rsidRPr="00211094" w14:paraId="0F56CF18" w14:textId="77777777" w:rsidTr="00291D66">
        <w:tc>
          <w:tcPr>
            <w:tcW w:w="898" w:type="pct"/>
            <w:shd w:val="clear" w:color="auto" w:fill="auto"/>
            <w:vAlign w:val="center"/>
          </w:tcPr>
          <w:p w14:paraId="7E8B1EA1"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2</w:t>
            </w:r>
          </w:p>
        </w:tc>
        <w:tc>
          <w:tcPr>
            <w:tcW w:w="2480" w:type="pct"/>
            <w:shd w:val="clear" w:color="auto" w:fill="auto"/>
            <w:vAlign w:val="center"/>
          </w:tcPr>
          <w:p w14:paraId="3A2303B2"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Mobilise</w:t>
            </w:r>
          </w:p>
        </w:tc>
        <w:tc>
          <w:tcPr>
            <w:tcW w:w="1622" w:type="pct"/>
            <w:shd w:val="clear" w:color="auto" w:fill="auto"/>
            <w:vAlign w:val="center"/>
          </w:tcPr>
          <w:p w14:paraId="6C518B38"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Within 4 working days of contract award</w:t>
            </w:r>
          </w:p>
        </w:tc>
      </w:tr>
      <w:tr w:rsidR="00211094" w:rsidRPr="00211094" w14:paraId="18557216" w14:textId="77777777" w:rsidTr="00291D66">
        <w:tc>
          <w:tcPr>
            <w:tcW w:w="898" w:type="pct"/>
            <w:shd w:val="clear" w:color="auto" w:fill="auto"/>
            <w:vAlign w:val="center"/>
          </w:tcPr>
          <w:p w14:paraId="105386FE"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3</w:t>
            </w:r>
          </w:p>
        </w:tc>
        <w:tc>
          <w:tcPr>
            <w:tcW w:w="2480" w:type="pct"/>
            <w:shd w:val="clear" w:color="auto" w:fill="auto"/>
            <w:vAlign w:val="center"/>
          </w:tcPr>
          <w:p w14:paraId="6F6E6562"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Familiarisation and gap analysis -</w:t>
            </w:r>
          </w:p>
          <w:p w14:paraId="793459C2" w14:textId="77777777" w:rsidR="00211094" w:rsidRPr="00211094" w:rsidRDefault="00211094" w:rsidP="00211094">
            <w:pPr>
              <w:spacing w:after="120"/>
              <w:outlineLvl w:val="2"/>
              <w:rPr>
                <w:rFonts w:ascii="Arial" w:eastAsia="STZhongsong" w:hAnsi="Arial" w:cs="Arial"/>
                <w:sz w:val="24"/>
                <w:szCs w:val="20"/>
              </w:rPr>
            </w:pPr>
          </w:p>
          <w:p w14:paraId="68645CBD" w14:textId="77777777" w:rsidR="00211094" w:rsidRPr="00211094" w:rsidRDefault="00211094" w:rsidP="00211094">
            <w:pPr>
              <w:numPr>
                <w:ilvl w:val="0"/>
                <w:numId w:val="23"/>
              </w:numPr>
              <w:spacing w:after="120"/>
              <w:outlineLvl w:val="2"/>
              <w:rPr>
                <w:rFonts w:ascii="Arial" w:eastAsia="STZhongsong" w:hAnsi="Arial" w:cs="Arial"/>
                <w:sz w:val="24"/>
                <w:szCs w:val="20"/>
              </w:rPr>
            </w:pPr>
            <w:r w:rsidRPr="00211094">
              <w:rPr>
                <w:rFonts w:ascii="Arial" w:eastAsia="STZhongsong" w:hAnsi="Arial" w:cs="Arial"/>
                <w:sz w:val="24"/>
                <w:szCs w:val="20"/>
              </w:rPr>
              <w:t>Review all of the existing artefacts and produce an outline report on completed and outstanding functional and non-functional requirements, mobilisation approach and key milestones.</w:t>
            </w:r>
          </w:p>
          <w:p w14:paraId="6D46A2D6" w14:textId="77777777" w:rsidR="00211094" w:rsidRPr="00211094" w:rsidRDefault="00211094" w:rsidP="00211094">
            <w:pPr>
              <w:spacing w:after="120"/>
              <w:outlineLvl w:val="2"/>
              <w:rPr>
                <w:rFonts w:ascii="Arial" w:eastAsia="STZhongsong" w:hAnsi="Arial" w:cs="Arial"/>
                <w:sz w:val="24"/>
                <w:szCs w:val="20"/>
              </w:rPr>
            </w:pPr>
          </w:p>
        </w:tc>
        <w:tc>
          <w:tcPr>
            <w:tcW w:w="1622" w:type="pct"/>
            <w:shd w:val="clear" w:color="auto" w:fill="auto"/>
            <w:vAlign w:val="center"/>
          </w:tcPr>
          <w:p w14:paraId="49E1E653"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2 weeks, or within 3 weeks of contract award.</w:t>
            </w:r>
          </w:p>
          <w:p w14:paraId="7A4DDE48" w14:textId="77777777" w:rsidR="00211094" w:rsidRPr="00211094" w:rsidRDefault="00211094" w:rsidP="00211094">
            <w:pPr>
              <w:spacing w:after="120"/>
              <w:jc w:val="center"/>
              <w:outlineLvl w:val="2"/>
              <w:rPr>
                <w:rFonts w:ascii="Arial" w:eastAsia="STZhongsong" w:hAnsi="Arial" w:cs="Arial"/>
                <w:sz w:val="24"/>
                <w:szCs w:val="20"/>
              </w:rPr>
            </w:pPr>
          </w:p>
        </w:tc>
      </w:tr>
      <w:tr w:rsidR="00211094" w:rsidRPr="00211094" w14:paraId="7FAD93B1" w14:textId="77777777" w:rsidTr="00291D66">
        <w:tc>
          <w:tcPr>
            <w:tcW w:w="898" w:type="pct"/>
            <w:vAlign w:val="center"/>
          </w:tcPr>
          <w:p w14:paraId="21066845" w14:textId="77777777" w:rsidR="00211094" w:rsidRPr="00211094" w:rsidRDefault="00211094" w:rsidP="00211094">
            <w:pPr>
              <w:spacing w:after="120"/>
              <w:jc w:val="center"/>
              <w:outlineLvl w:val="2"/>
              <w:rPr>
                <w:rFonts w:ascii="Arial" w:eastAsia="STZhongsong" w:hAnsi="Arial" w:cs="Arial"/>
                <w:sz w:val="24"/>
                <w:highlight w:val="yellow"/>
              </w:rPr>
            </w:pPr>
            <w:r w:rsidRPr="00211094">
              <w:rPr>
                <w:rFonts w:ascii="Arial" w:eastAsia="STZhongsong" w:hAnsi="Arial" w:cs="Arial"/>
                <w:sz w:val="24"/>
                <w:szCs w:val="20"/>
              </w:rPr>
              <w:t>4</w:t>
            </w:r>
          </w:p>
        </w:tc>
        <w:tc>
          <w:tcPr>
            <w:tcW w:w="2480" w:type="pct"/>
            <w:vAlign w:val="center"/>
          </w:tcPr>
          <w:p w14:paraId="0DDAF457"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Technical documentation for procurement -</w:t>
            </w:r>
          </w:p>
          <w:p w14:paraId="23DC55D8" w14:textId="77777777" w:rsidR="00211094" w:rsidRPr="00211094" w:rsidRDefault="00211094" w:rsidP="00211094">
            <w:pPr>
              <w:spacing w:after="120"/>
              <w:outlineLvl w:val="2"/>
              <w:rPr>
                <w:rFonts w:ascii="Arial" w:eastAsia="STZhongsong" w:hAnsi="Arial" w:cs="Arial"/>
                <w:sz w:val="24"/>
                <w:szCs w:val="20"/>
              </w:rPr>
            </w:pPr>
          </w:p>
          <w:p w14:paraId="56D607B3" w14:textId="77777777" w:rsidR="00211094" w:rsidRPr="00211094" w:rsidRDefault="00211094" w:rsidP="00211094">
            <w:pPr>
              <w:numPr>
                <w:ilvl w:val="0"/>
                <w:numId w:val="22"/>
              </w:numPr>
              <w:spacing w:after="120"/>
              <w:outlineLvl w:val="2"/>
              <w:rPr>
                <w:rFonts w:ascii="Arial" w:eastAsia="STZhongsong" w:hAnsi="Arial" w:cs="Arial"/>
                <w:sz w:val="24"/>
                <w:szCs w:val="20"/>
              </w:rPr>
            </w:pPr>
            <w:r w:rsidRPr="00211094">
              <w:rPr>
                <w:rFonts w:ascii="Arial" w:eastAsia="STZhongsong" w:hAnsi="Arial" w:cs="Arial"/>
                <w:sz w:val="24"/>
                <w:szCs w:val="20"/>
              </w:rPr>
              <w:t>Objectives and key technical questions list.</w:t>
            </w:r>
          </w:p>
          <w:p w14:paraId="6BF23BC3" w14:textId="77777777" w:rsidR="00211094" w:rsidRPr="00211094" w:rsidRDefault="00211094" w:rsidP="00211094">
            <w:pPr>
              <w:numPr>
                <w:ilvl w:val="0"/>
                <w:numId w:val="22"/>
              </w:numPr>
              <w:spacing w:after="120"/>
              <w:outlineLvl w:val="2"/>
              <w:rPr>
                <w:rFonts w:ascii="Arial" w:eastAsia="STZhongsong" w:hAnsi="Arial" w:cs="Arial"/>
                <w:sz w:val="24"/>
                <w:szCs w:val="20"/>
              </w:rPr>
            </w:pPr>
            <w:r w:rsidRPr="00211094">
              <w:rPr>
                <w:rFonts w:ascii="Arial" w:eastAsia="STZhongsong" w:hAnsi="Arial" w:cs="Arial"/>
                <w:sz w:val="24"/>
                <w:szCs w:val="20"/>
              </w:rPr>
              <w:t xml:space="preserve">Digital </w:t>
            </w:r>
            <w:proofErr w:type="spellStart"/>
            <w:r w:rsidRPr="00211094">
              <w:rPr>
                <w:rFonts w:ascii="Arial" w:eastAsia="STZhongsong" w:hAnsi="Arial" w:cs="Arial"/>
                <w:sz w:val="24"/>
                <w:szCs w:val="20"/>
              </w:rPr>
              <w:t>MarketPlace</w:t>
            </w:r>
            <w:proofErr w:type="spellEnd"/>
            <w:r w:rsidRPr="00211094">
              <w:rPr>
                <w:rFonts w:ascii="Arial" w:eastAsia="STZhongsong" w:hAnsi="Arial" w:cs="Arial"/>
                <w:sz w:val="24"/>
                <w:szCs w:val="20"/>
              </w:rPr>
              <w:t xml:space="preserve"> shortlisting criteria.</w:t>
            </w:r>
          </w:p>
          <w:p w14:paraId="46EB8A98" w14:textId="77777777" w:rsidR="00211094" w:rsidRPr="00211094" w:rsidRDefault="00211094" w:rsidP="00211094">
            <w:pPr>
              <w:numPr>
                <w:ilvl w:val="0"/>
                <w:numId w:val="22"/>
              </w:numPr>
              <w:spacing w:after="120"/>
              <w:outlineLvl w:val="2"/>
              <w:rPr>
                <w:rFonts w:ascii="Arial" w:eastAsia="STZhongsong" w:hAnsi="Arial" w:cs="Arial"/>
                <w:sz w:val="24"/>
                <w:szCs w:val="20"/>
              </w:rPr>
            </w:pPr>
            <w:r w:rsidRPr="00211094">
              <w:rPr>
                <w:rFonts w:ascii="Arial" w:eastAsia="STZhongsong" w:hAnsi="Arial" w:cs="Arial"/>
                <w:sz w:val="24"/>
                <w:szCs w:val="20"/>
              </w:rPr>
              <w:lastRenderedPageBreak/>
              <w:t>Evaluation criteria. </w:t>
            </w:r>
          </w:p>
          <w:p w14:paraId="5530D2A4" w14:textId="77777777" w:rsidR="00211094" w:rsidRPr="00211094" w:rsidRDefault="00211094" w:rsidP="00211094">
            <w:pPr>
              <w:numPr>
                <w:ilvl w:val="0"/>
                <w:numId w:val="22"/>
              </w:numPr>
              <w:spacing w:after="120"/>
              <w:outlineLvl w:val="2"/>
              <w:rPr>
                <w:rFonts w:ascii="Arial" w:eastAsia="STZhongsong" w:hAnsi="Arial" w:cs="Arial"/>
                <w:sz w:val="24"/>
                <w:szCs w:val="20"/>
              </w:rPr>
            </w:pPr>
            <w:r w:rsidRPr="00211094">
              <w:rPr>
                <w:rFonts w:ascii="Arial" w:eastAsia="STZhongsong" w:hAnsi="Arial" w:cs="Arial"/>
                <w:sz w:val="24"/>
                <w:szCs w:val="20"/>
              </w:rPr>
              <w:t>Proposed pricing evaluation.</w:t>
            </w:r>
          </w:p>
          <w:p w14:paraId="4D0DCD39" w14:textId="77777777" w:rsidR="00211094" w:rsidRPr="00211094" w:rsidRDefault="00211094" w:rsidP="00211094">
            <w:pPr>
              <w:numPr>
                <w:ilvl w:val="0"/>
                <w:numId w:val="22"/>
              </w:numPr>
              <w:spacing w:after="120"/>
              <w:outlineLvl w:val="2"/>
              <w:rPr>
                <w:rFonts w:ascii="Arial" w:eastAsia="STZhongsong" w:hAnsi="Arial" w:cs="Arial"/>
                <w:sz w:val="24"/>
                <w:szCs w:val="20"/>
              </w:rPr>
            </w:pPr>
            <w:proofErr w:type="gramStart"/>
            <w:r w:rsidRPr="00211094">
              <w:rPr>
                <w:rFonts w:ascii="Arial" w:eastAsia="STZhongsong" w:hAnsi="Arial" w:cs="Arial"/>
                <w:sz w:val="24"/>
                <w:szCs w:val="20"/>
              </w:rPr>
              <w:t>Background project context documents</w:t>
            </w:r>
            <w:proofErr w:type="gramEnd"/>
            <w:r w:rsidRPr="00211094">
              <w:rPr>
                <w:rFonts w:ascii="Arial" w:eastAsia="STZhongsong" w:hAnsi="Arial" w:cs="Arial"/>
                <w:sz w:val="24"/>
                <w:szCs w:val="20"/>
              </w:rPr>
              <w:t>.</w:t>
            </w:r>
          </w:p>
          <w:p w14:paraId="2586CFE9" w14:textId="77777777" w:rsidR="00211094" w:rsidRPr="00211094" w:rsidRDefault="00211094" w:rsidP="00211094">
            <w:pPr>
              <w:spacing w:after="120"/>
              <w:outlineLvl w:val="2"/>
              <w:rPr>
                <w:rFonts w:ascii="Arial" w:eastAsia="STZhongsong" w:hAnsi="Arial" w:cs="Arial"/>
                <w:sz w:val="24"/>
                <w:szCs w:val="20"/>
              </w:rPr>
            </w:pPr>
          </w:p>
        </w:tc>
        <w:tc>
          <w:tcPr>
            <w:tcW w:w="1622" w:type="pct"/>
            <w:vAlign w:val="center"/>
          </w:tcPr>
          <w:p w14:paraId="3FE2ED12"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lastRenderedPageBreak/>
              <w:t>5 weeks, or within 8 weeks of contract award.</w:t>
            </w:r>
          </w:p>
        </w:tc>
      </w:tr>
      <w:tr w:rsidR="00211094" w:rsidRPr="00211094" w14:paraId="24D2FC4F" w14:textId="77777777" w:rsidTr="00291D66">
        <w:tc>
          <w:tcPr>
            <w:tcW w:w="898" w:type="pct"/>
            <w:vAlign w:val="center"/>
          </w:tcPr>
          <w:p w14:paraId="4107EA6E"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5</w:t>
            </w:r>
          </w:p>
        </w:tc>
        <w:tc>
          <w:tcPr>
            <w:tcW w:w="2480" w:type="pct"/>
            <w:vAlign w:val="center"/>
          </w:tcPr>
          <w:p w14:paraId="67B964FC"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Soft marketing engagement and updating technical documentation for procurement</w:t>
            </w:r>
          </w:p>
          <w:p w14:paraId="4E640E62" w14:textId="77777777" w:rsidR="00211094" w:rsidRPr="00211094" w:rsidRDefault="00211094" w:rsidP="00211094">
            <w:pPr>
              <w:spacing w:after="120"/>
              <w:outlineLvl w:val="2"/>
              <w:rPr>
                <w:rFonts w:ascii="Arial" w:eastAsia="STZhongsong" w:hAnsi="Arial" w:cs="Arial"/>
                <w:sz w:val="24"/>
                <w:szCs w:val="20"/>
              </w:rPr>
            </w:pPr>
          </w:p>
          <w:p w14:paraId="6F88A296" w14:textId="77777777" w:rsidR="00211094" w:rsidRPr="00211094" w:rsidRDefault="00211094" w:rsidP="00211094">
            <w:pPr>
              <w:numPr>
                <w:ilvl w:val="0"/>
                <w:numId w:val="24"/>
              </w:numPr>
              <w:spacing w:after="120"/>
              <w:outlineLvl w:val="2"/>
              <w:rPr>
                <w:rFonts w:ascii="Arial" w:eastAsia="STZhongsong" w:hAnsi="Arial" w:cs="Arial"/>
                <w:sz w:val="24"/>
                <w:szCs w:val="20"/>
              </w:rPr>
            </w:pPr>
            <w:r w:rsidRPr="00211094">
              <w:rPr>
                <w:rFonts w:ascii="Arial" w:eastAsia="STZhongsong" w:hAnsi="Arial" w:cs="Arial"/>
                <w:sz w:val="24"/>
                <w:szCs w:val="20"/>
              </w:rPr>
              <w:t>Document outlining objective and key questions.</w:t>
            </w:r>
          </w:p>
          <w:p w14:paraId="67D23E4A" w14:textId="77777777" w:rsidR="00211094" w:rsidRPr="00211094" w:rsidRDefault="00211094" w:rsidP="00211094">
            <w:pPr>
              <w:numPr>
                <w:ilvl w:val="0"/>
                <w:numId w:val="24"/>
              </w:numPr>
              <w:spacing w:after="120"/>
              <w:outlineLvl w:val="2"/>
              <w:rPr>
                <w:rFonts w:ascii="Arial" w:eastAsia="STZhongsong" w:hAnsi="Arial" w:cs="Arial"/>
                <w:sz w:val="24"/>
                <w:szCs w:val="20"/>
              </w:rPr>
            </w:pPr>
            <w:r w:rsidRPr="00211094">
              <w:rPr>
                <w:rFonts w:ascii="Arial" w:eastAsia="STZhongsong" w:hAnsi="Arial" w:cs="Arial"/>
                <w:sz w:val="24"/>
                <w:szCs w:val="20"/>
              </w:rPr>
              <w:t>Participate in the soft market test</w:t>
            </w:r>
          </w:p>
          <w:p w14:paraId="07AC8902" w14:textId="77777777" w:rsidR="00211094" w:rsidRPr="00211094" w:rsidRDefault="00211094" w:rsidP="00211094">
            <w:pPr>
              <w:numPr>
                <w:ilvl w:val="0"/>
                <w:numId w:val="24"/>
              </w:numPr>
              <w:spacing w:after="120"/>
              <w:outlineLvl w:val="2"/>
              <w:rPr>
                <w:rFonts w:ascii="Arial" w:eastAsia="STZhongsong" w:hAnsi="Arial" w:cs="Arial"/>
                <w:sz w:val="24"/>
                <w:szCs w:val="20"/>
              </w:rPr>
            </w:pPr>
            <w:r w:rsidRPr="00211094">
              <w:rPr>
                <w:rFonts w:ascii="Arial" w:eastAsia="STZhongsong" w:hAnsi="Arial" w:cs="Arial"/>
                <w:sz w:val="24"/>
                <w:szCs w:val="20"/>
              </w:rPr>
              <w:t>Report on soft market engagement findings.</w:t>
            </w:r>
          </w:p>
          <w:p w14:paraId="0110C954" w14:textId="77777777" w:rsidR="00211094" w:rsidRPr="00211094" w:rsidRDefault="00211094" w:rsidP="00211094">
            <w:pPr>
              <w:numPr>
                <w:ilvl w:val="0"/>
                <w:numId w:val="25"/>
              </w:numPr>
              <w:spacing w:after="120"/>
              <w:outlineLvl w:val="2"/>
              <w:rPr>
                <w:rFonts w:ascii="Arial" w:eastAsia="STZhongsong" w:hAnsi="Arial" w:cs="Arial"/>
                <w:sz w:val="24"/>
                <w:szCs w:val="20"/>
              </w:rPr>
            </w:pPr>
            <w:r w:rsidRPr="00211094">
              <w:rPr>
                <w:rFonts w:ascii="Arial" w:eastAsia="STZhongsong" w:hAnsi="Arial" w:cs="Arial"/>
                <w:sz w:val="24"/>
                <w:szCs w:val="20"/>
              </w:rPr>
              <w:t>Full bid pack finalisation with any relevant updates from soft market engagement findings and Terms and Conditions.</w:t>
            </w:r>
          </w:p>
          <w:p w14:paraId="7C084672" w14:textId="77777777" w:rsidR="00211094" w:rsidRPr="00211094" w:rsidRDefault="00211094" w:rsidP="00211094">
            <w:pPr>
              <w:spacing w:after="120"/>
              <w:outlineLvl w:val="2"/>
              <w:rPr>
                <w:rFonts w:ascii="Arial" w:eastAsia="STZhongsong" w:hAnsi="Arial" w:cs="Arial"/>
                <w:sz w:val="24"/>
                <w:szCs w:val="20"/>
              </w:rPr>
            </w:pPr>
          </w:p>
        </w:tc>
        <w:tc>
          <w:tcPr>
            <w:tcW w:w="1622" w:type="pct"/>
            <w:vAlign w:val="center"/>
          </w:tcPr>
          <w:p w14:paraId="648386B0"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4 weeks, or within 12 weeks of contract award.</w:t>
            </w:r>
          </w:p>
        </w:tc>
      </w:tr>
      <w:tr w:rsidR="00211094" w:rsidRPr="00211094" w14:paraId="7D438423" w14:textId="77777777" w:rsidTr="00291D66">
        <w:tc>
          <w:tcPr>
            <w:tcW w:w="898" w:type="pct"/>
            <w:vAlign w:val="center"/>
          </w:tcPr>
          <w:p w14:paraId="4D262B87"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6</w:t>
            </w:r>
          </w:p>
        </w:tc>
        <w:tc>
          <w:tcPr>
            <w:tcW w:w="2480" w:type="pct"/>
            <w:vAlign w:val="center"/>
          </w:tcPr>
          <w:p w14:paraId="4C60C929"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Procurement evaluation support</w:t>
            </w:r>
          </w:p>
          <w:p w14:paraId="3812120C" w14:textId="77777777" w:rsidR="00211094" w:rsidRPr="00211094" w:rsidRDefault="00211094" w:rsidP="00211094">
            <w:pPr>
              <w:spacing w:after="120"/>
              <w:outlineLvl w:val="2"/>
              <w:rPr>
                <w:rFonts w:ascii="Arial" w:eastAsia="STZhongsong" w:hAnsi="Arial" w:cs="Arial"/>
                <w:sz w:val="24"/>
                <w:szCs w:val="20"/>
              </w:rPr>
            </w:pPr>
            <w:r w:rsidRPr="00211094">
              <w:rPr>
                <w:rFonts w:ascii="Arial" w:eastAsia="STZhongsong" w:hAnsi="Arial" w:cs="Arial"/>
                <w:sz w:val="24"/>
                <w:szCs w:val="20"/>
              </w:rPr>
              <w:t>Bid will go live and there will be a pause of 4 to 5 weeks for suppliers to respond</w:t>
            </w:r>
          </w:p>
          <w:p w14:paraId="284B1C45" w14:textId="77777777" w:rsidR="00211094" w:rsidRPr="00211094" w:rsidRDefault="00211094" w:rsidP="00211094">
            <w:pPr>
              <w:spacing w:after="120"/>
              <w:outlineLvl w:val="2"/>
              <w:rPr>
                <w:rFonts w:ascii="Arial" w:eastAsia="STZhongsong" w:hAnsi="Arial" w:cs="Arial"/>
                <w:sz w:val="24"/>
                <w:szCs w:val="20"/>
              </w:rPr>
            </w:pPr>
          </w:p>
          <w:p w14:paraId="64884899" w14:textId="77777777" w:rsidR="00211094" w:rsidRPr="00211094" w:rsidRDefault="00211094" w:rsidP="00211094">
            <w:pPr>
              <w:numPr>
                <w:ilvl w:val="0"/>
                <w:numId w:val="26"/>
              </w:numPr>
              <w:spacing w:after="120"/>
              <w:outlineLvl w:val="2"/>
              <w:rPr>
                <w:rFonts w:ascii="Arial" w:eastAsia="STZhongsong" w:hAnsi="Arial" w:cs="Arial"/>
                <w:sz w:val="24"/>
                <w:szCs w:val="20"/>
              </w:rPr>
            </w:pPr>
            <w:r w:rsidRPr="00211094">
              <w:rPr>
                <w:rFonts w:ascii="Arial" w:eastAsia="STZhongsong" w:hAnsi="Arial" w:cs="Arial"/>
                <w:sz w:val="24"/>
                <w:szCs w:val="20"/>
              </w:rPr>
              <w:t>Provide responses to any technical questions from suppliers.</w:t>
            </w:r>
          </w:p>
          <w:p w14:paraId="5B560500" w14:textId="77777777" w:rsidR="00211094" w:rsidRPr="00211094" w:rsidRDefault="00211094" w:rsidP="00211094">
            <w:pPr>
              <w:numPr>
                <w:ilvl w:val="0"/>
                <w:numId w:val="26"/>
              </w:numPr>
              <w:spacing w:after="120"/>
              <w:outlineLvl w:val="2"/>
              <w:rPr>
                <w:rFonts w:ascii="Arial" w:eastAsia="STZhongsong" w:hAnsi="Arial" w:cs="Arial"/>
                <w:sz w:val="24"/>
                <w:szCs w:val="20"/>
              </w:rPr>
            </w:pPr>
            <w:r w:rsidRPr="00211094">
              <w:rPr>
                <w:rFonts w:ascii="Arial" w:eastAsia="STZhongsong" w:hAnsi="Arial" w:cs="Arial"/>
                <w:sz w:val="24"/>
                <w:szCs w:val="20"/>
              </w:rPr>
              <w:t>Scoring rubric and technical evaluation.</w:t>
            </w:r>
          </w:p>
          <w:p w14:paraId="0E0AAEAA" w14:textId="77777777" w:rsidR="00211094" w:rsidRPr="00211094" w:rsidRDefault="00211094" w:rsidP="00211094">
            <w:pPr>
              <w:numPr>
                <w:ilvl w:val="0"/>
                <w:numId w:val="26"/>
              </w:numPr>
              <w:spacing w:after="120"/>
              <w:outlineLvl w:val="2"/>
              <w:rPr>
                <w:rFonts w:ascii="Arial" w:eastAsia="STZhongsong" w:hAnsi="Arial" w:cs="Arial"/>
                <w:sz w:val="24"/>
                <w:szCs w:val="20"/>
              </w:rPr>
            </w:pPr>
            <w:r w:rsidRPr="00211094">
              <w:rPr>
                <w:rFonts w:ascii="Arial" w:eastAsia="STZhongsong" w:hAnsi="Arial" w:cs="Arial"/>
                <w:sz w:val="24"/>
                <w:szCs w:val="20"/>
              </w:rPr>
              <w:t>Evaluation panel assessment and scoring.</w:t>
            </w:r>
          </w:p>
          <w:p w14:paraId="4ADB652E" w14:textId="77777777" w:rsidR="00211094" w:rsidRPr="00211094" w:rsidRDefault="00211094" w:rsidP="00211094">
            <w:pPr>
              <w:spacing w:after="120"/>
              <w:outlineLvl w:val="2"/>
              <w:rPr>
                <w:rFonts w:ascii="Arial" w:eastAsia="STZhongsong" w:hAnsi="Arial" w:cs="Arial"/>
                <w:sz w:val="24"/>
                <w:szCs w:val="20"/>
              </w:rPr>
            </w:pPr>
          </w:p>
        </w:tc>
        <w:tc>
          <w:tcPr>
            <w:tcW w:w="1622" w:type="pct"/>
            <w:vAlign w:val="center"/>
          </w:tcPr>
          <w:p w14:paraId="5DC5831B" w14:textId="77777777" w:rsidR="00211094" w:rsidRPr="00211094" w:rsidRDefault="00211094" w:rsidP="00211094">
            <w:pPr>
              <w:spacing w:after="120"/>
              <w:jc w:val="center"/>
              <w:outlineLvl w:val="2"/>
              <w:rPr>
                <w:rFonts w:ascii="Arial" w:eastAsia="STZhongsong" w:hAnsi="Arial" w:cs="Arial"/>
                <w:sz w:val="24"/>
                <w:szCs w:val="20"/>
              </w:rPr>
            </w:pPr>
            <w:r w:rsidRPr="00211094">
              <w:rPr>
                <w:rFonts w:ascii="Arial" w:eastAsia="STZhongsong" w:hAnsi="Arial" w:cs="Arial"/>
                <w:sz w:val="24"/>
                <w:szCs w:val="20"/>
              </w:rPr>
              <w:t>3 weeks, or within 15 weeks of contract award.</w:t>
            </w:r>
          </w:p>
        </w:tc>
      </w:tr>
    </w:tbl>
    <w:p w14:paraId="0AD4D433" w14:textId="0484DB72" w:rsidR="00211094" w:rsidRDefault="00211094" w:rsidP="00211094">
      <w:pPr>
        <w:pStyle w:val="Heading2"/>
        <w:numPr>
          <w:ilvl w:val="0"/>
          <w:numId w:val="0"/>
        </w:numPr>
        <w:spacing w:after="120"/>
        <w:ind w:left="709"/>
        <w:rPr>
          <w:sz w:val="24"/>
          <w:szCs w:val="24"/>
        </w:rPr>
      </w:pPr>
    </w:p>
    <w:p w14:paraId="000000E0" w14:textId="77777777" w:rsidR="007F19E5" w:rsidRDefault="00D3120E">
      <w:pPr>
        <w:pBdr>
          <w:top w:val="nil"/>
          <w:left w:val="nil"/>
          <w:bottom w:val="nil"/>
          <w:right w:val="nil"/>
          <w:between w:val="nil"/>
        </w:pBdr>
        <w:spacing w:before="120" w:after="120"/>
        <w:rPr>
          <w:rFonts w:ascii="Times New Roman" w:eastAsia="Times New Roman" w:hAnsi="Times New Roman" w:cs="Times New Roman"/>
          <w:color w:val="000000"/>
          <w:sz w:val="24"/>
        </w:rPr>
      </w:pPr>
      <w:bookmarkStart w:id="14" w:name="_heading=h.35nkun2" w:colFirst="0" w:colLast="0"/>
      <w:bookmarkStart w:id="15" w:name="_heading=h.1ksv4uv" w:colFirst="0" w:colLast="0"/>
      <w:bookmarkEnd w:id="14"/>
      <w:bookmarkEnd w:id="15"/>
      <w:r>
        <w:rPr>
          <w:color w:val="000000"/>
          <w:sz w:val="24"/>
        </w:rPr>
        <w:t>The supplier will immediately inform the Authority at any time it experiences issues with any part of the project timelines or issues with delivery.</w:t>
      </w:r>
    </w:p>
    <w:p w14:paraId="000000E1" w14:textId="77777777" w:rsidR="007F19E5" w:rsidRDefault="007F19E5" w:rsidP="00211094">
      <w:pPr>
        <w:pStyle w:val="Heading1"/>
        <w:numPr>
          <w:ilvl w:val="0"/>
          <w:numId w:val="0"/>
        </w:numPr>
        <w:spacing w:after="120"/>
        <w:rPr>
          <w:sz w:val="32"/>
          <w:szCs w:val="32"/>
        </w:rPr>
      </w:pPr>
    </w:p>
    <w:p w14:paraId="000000E2" w14:textId="77777777" w:rsidR="007F19E5" w:rsidRDefault="00D3120E">
      <w:pPr>
        <w:pStyle w:val="Heading1"/>
        <w:numPr>
          <w:ilvl w:val="0"/>
          <w:numId w:val="1"/>
        </w:numPr>
        <w:spacing w:after="120"/>
        <w:ind w:left="709" w:hanging="709"/>
        <w:rPr>
          <w:sz w:val="32"/>
          <w:szCs w:val="32"/>
        </w:rPr>
      </w:pPr>
      <w:bookmarkStart w:id="16" w:name="_heading=h.44sinio" w:colFirst="0" w:colLast="0"/>
      <w:bookmarkEnd w:id="16"/>
      <w:r>
        <w:rPr>
          <w:sz w:val="32"/>
          <w:szCs w:val="32"/>
        </w:rPr>
        <w:t>MANAGEMENT INFORMATION/reporting</w:t>
      </w:r>
    </w:p>
    <w:p w14:paraId="000000E3" w14:textId="77777777" w:rsidR="007F19E5" w:rsidRDefault="00D3120E">
      <w:pPr>
        <w:pStyle w:val="Heading2"/>
        <w:numPr>
          <w:ilvl w:val="1"/>
          <w:numId w:val="1"/>
        </w:numPr>
        <w:spacing w:after="120"/>
        <w:ind w:left="709" w:hanging="709"/>
        <w:rPr>
          <w:sz w:val="24"/>
          <w:szCs w:val="24"/>
        </w:rPr>
      </w:pPr>
      <w:r>
        <w:rPr>
          <w:sz w:val="24"/>
          <w:szCs w:val="24"/>
        </w:rPr>
        <w:t xml:space="preserve">Weekly stand-up review meetings with the </w:t>
      </w:r>
      <w:proofErr w:type="spellStart"/>
      <w:r>
        <w:rPr>
          <w:sz w:val="24"/>
          <w:szCs w:val="24"/>
        </w:rPr>
        <w:t>InSite</w:t>
      </w:r>
      <w:proofErr w:type="spellEnd"/>
      <w:r>
        <w:rPr>
          <w:sz w:val="24"/>
          <w:szCs w:val="24"/>
        </w:rPr>
        <w:t xml:space="preserve"> Programme Director. </w:t>
      </w:r>
    </w:p>
    <w:p w14:paraId="000000E4" w14:textId="77777777" w:rsidR="007F19E5" w:rsidRDefault="00D3120E">
      <w:pPr>
        <w:pStyle w:val="Heading2"/>
        <w:numPr>
          <w:ilvl w:val="1"/>
          <w:numId w:val="1"/>
        </w:numPr>
        <w:spacing w:after="120"/>
        <w:ind w:left="709" w:hanging="709"/>
        <w:rPr>
          <w:sz w:val="24"/>
          <w:szCs w:val="24"/>
        </w:rPr>
      </w:pPr>
      <w:r>
        <w:rPr>
          <w:sz w:val="24"/>
          <w:szCs w:val="24"/>
        </w:rPr>
        <w:t xml:space="preserve">Weekly Draft reporting in line with key milestones and deliverables. </w:t>
      </w:r>
    </w:p>
    <w:p w14:paraId="000000E5" w14:textId="77777777" w:rsidR="007F19E5" w:rsidRDefault="00D3120E">
      <w:pPr>
        <w:pStyle w:val="Heading2"/>
        <w:numPr>
          <w:ilvl w:val="1"/>
          <w:numId w:val="1"/>
        </w:numPr>
        <w:spacing w:after="120"/>
        <w:ind w:left="709" w:hanging="709"/>
        <w:rPr>
          <w:sz w:val="24"/>
          <w:szCs w:val="24"/>
        </w:rPr>
      </w:pPr>
      <w:r>
        <w:rPr>
          <w:sz w:val="24"/>
          <w:szCs w:val="24"/>
        </w:rPr>
        <w:t xml:space="preserve">All key milestones </w:t>
      </w:r>
      <w:proofErr w:type="gramStart"/>
      <w:r>
        <w:rPr>
          <w:sz w:val="24"/>
          <w:szCs w:val="24"/>
        </w:rPr>
        <w:t>should be delivered</w:t>
      </w:r>
      <w:proofErr w:type="gramEnd"/>
      <w:r>
        <w:rPr>
          <w:sz w:val="24"/>
          <w:szCs w:val="24"/>
        </w:rPr>
        <w:t xml:space="preserve"> as detailed in this Statement of Requirements. </w:t>
      </w:r>
    </w:p>
    <w:p w14:paraId="000000E6" w14:textId="77777777" w:rsidR="007F19E5" w:rsidRDefault="00D3120E">
      <w:pPr>
        <w:pStyle w:val="Heading2"/>
        <w:numPr>
          <w:ilvl w:val="1"/>
          <w:numId w:val="1"/>
        </w:numPr>
        <w:spacing w:after="120"/>
        <w:ind w:left="709" w:hanging="709"/>
        <w:rPr>
          <w:sz w:val="24"/>
          <w:szCs w:val="24"/>
        </w:rPr>
      </w:pPr>
      <w:r>
        <w:rPr>
          <w:color w:val="000000"/>
          <w:sz w:val="24"/>
          <w:szCs w:val="24"/>
        </w:rPr>
        <w:t xml:space="preserve">Provide technical input into governance forums and presentations where needed, such as the </w:t>
      </w:r>
      <w:proofErr w:type="spellStart"/>
      <w:r>
        <w:rPr>
          <w:color w:val="000000"/>
          <w:sz w:val="24"/>
          <w:szCs w:val="24"/>
        </w:rPr>
        <w:t>InSite</w:t>
      </w:r>
      <w:proofErr w:type="spellEnd"/>
      <w:r>
        <w:rPr>
          <w:color w:val="000000"/>
          <w:sz w:val="24"/>
          <w:szCs w:val="24"/>
        </w:rPr>
        <w:t xml:space="preserve"> Programme Board, </w:t>
      </w:r>
      <w:proofErr w:type="spellStart"/>
      <w:r>
        <w:rPr>
          <w:color w:val="000000"/>
          <w:sz w:val="24"/>
          <w:szCs w:val="24"/>
        </w:rPr>
        <w:t>InSite</w:t>
      </w:r>
      <w:proofErr w:type="spellEnd"/>
      <w:r>
        <w:rPr>
          <w:color w:val="000000"/>
          <w:sz w:val="24"/>
          <w:szCs w:val="24"/>
        </w:rPr>
        <w:t xml:space="preserve"> Steering Group, </w:t>
      </w:r>
      <w:r>
        <w:rPr>
          <w:color w:val="000000"/>
          <w:sz w:val="24"/>
          <w:szCs w:val="24"/>
          <w:highlight w:val="white"/>
        </w:rPr>
        <w:t>CDIO Advisory Board, the CDIO Enterprise Architecture Board.</w:t>
      </w:r>
    </w:p>
    <w:p w14:paraId="000000E7" w14:textId="77777777" w:rsidR="007F19E5" w:rsidRDefault="00D3120E">
      <w:pPr>
        <w:pStyle w:val="Heading2"/>
        <w:numPr>
          <w:ilvl w:val="1"/>
          <w:numId w:val="1"/>
        </w:numPr>
        <w:spacing w:after="120"/>
        <w:ind w:left="709" w:hanging="709"/>
        <w:rPr>
          <w:sz w:val="24"/>
          <w:szCs w:val="24"/>
        </w:rPr>
      </w:pPr>
      <w:r>
        <w:rPr>
          <w:color w:val="000000"/>
          <w:sz w:val="24"/>
          <w:szCs w:val="24"/>
        </w:rPr>
        <w:t xml:space="preserve">The Supplier will utilise management tools to record and ensure all team details and KPIs </w:t>
      </w:r>
      <w:proofErr w:type="gramStart"/>
      <w:r>
        <w:rPr>
          <w:color w:val="000000"/>
          <w:sz w:val="24"/>
          <w:szCs w:val="24"/>
        </w:rPr>
        <w:t>are kept</w:t>
      </w:r>
      <w:proofErr w:type="gramEnd"/>
      <w:r>
        <w:rPr>
          <w:color w:val="000000"/>
          <w:sz w:val="24"/>
          <w:szCs w:val="24"/>
        </w:rPr>
        <w:t xml:space="preserve"> updated.</w:t>
      </w:r>
    </w:p>
    <w:p w14:paraId="000000E8" w14:textId="77777777" w:rsidR="007F19E5" w:rsidRDefault="00D3120E">
      <w:pPr>
        <w:pStyle w:val="Heading1"/>
        <w:numPr>
          <w:ilvl w:val="0"/>
          <w:numId w:val="1"/>
        </w:numPr>
        <w:spacing w:after="120"/>
        <w:ind w:left="709" w:hanging="709"/>
        <w:rPr>
          <w:sz w:val="32"/>
          <w:szCs w:val="32"/>
        </w:rPr>
      </w:pPr>
      <w:bookmarkStart w:id="17" w:name="_heading=h.2jxsxqh" w:colFirst="0" w:colLast="0"/>
      <w:bookmarkEnd w:id="17"/>
      <w:r>
        <w:rPr>
          <w:sz w:val="32"/>
          <w:szCs w:val="32"/>
        </w:rPr>
        <w:t>continuous improvement</w:t>
      </w:r>
    </w:p>
    <w:p w14:paraId="000000E9" w14:textId="77777777" w:rsidR="007F19E5" w:rsidRDefault="00D3120E">
      <w:pPr>
        <w:pStyle w:val="Heading2"/>
        <w:numPr>
          <w:ilvl w:val="1"/>
          <w:numId w:val="1"/>
        </w:numPr>
        <w:spacing w:after="120"/>
        <w:ind w:left="709" w:hanging="709"/>
        <w:rPr>
          <w:sz w:val="24"/>
          <w:szCs w:val="24"/>
        </w:rPr>
      </w:pPr>
      <w:r>
        <w:rPr>
          <w:sz w:val="24"/>
          <w:szCs w:val="24"/>
        </w:rPr>
        <w:t xml:space="preserve">The Supplier </w:t>
      </w:r>
      <w:proofErr w:type="gramStart"/>
      <w:r>
        <w:rPr>
          <w:sz w:val="24"/>
          <w:szCs w:val="24"/>
        </w:rPr>
        <w:t>will be expected</w:t>
      </w:r>
      <w:proofErr w:type="gramEnd"/>
      <w:r>
        <w:rPr>
          <w:sz w:val="24"/>
          <w:szCs w:val="24"/>
        </w:rPr>
        <w:t xml:space="preserve"> to continually improve the way in which the required Services are to be delivered throughout the Contract duration.</w:t>
      </w:r>
    </w:p>
    <w:p w14:paraId="000000EA" w14:textId="77777777" w:rsidR="007F19E5" w:rsidRDefault="00D3120E">
      <w:pPr>
        <w:pStyle w:val="Heading2"/>
        <w:numPr>
          <w:ilvl w:val="1"/>
          <w:numId w:val="1"/>
        </w:numPr>
        <w:spacing w:after="120"/>
        <w:ind w:left="709" w:hanging="709"/>
        <w:rPr>
          <w:sz w:val="24"/>
          <w:szCs w:val="24"/>
        </w:rPr>
      </w:pPr>
      <w:r>
        <w:rPr>
          <w:sz w:val="24"/>
          <w:szCs w:val="24"/>
        </w:rPr>
        <w:t xml:space="preserve">The Supplier should present new ways of working to the Authority during Contract review meetings. </w:t>
      </w:r>
    </w:p>
    <w:p w14:paraId="000000EB" w14:textId="77777777" w:rsidR="007F19E5" w:rsidRDefault="00D3120E">
      <w:pPr>
        <w:pStyle w:val="Heading2"/>
        <w:numPr>
          <w:ilvl w:val="1"/>
          <w:numId w:val="1"/>
        </w:numPr>
        <w:spacing w:after="120"/>
        <w:ind w:left="709" w:hanging="709"/>
        <w:rPr>
          <w:sz w:val="24"/>
          <w:szCs w:val="24"/>
        </w:rPr>
      </w:pPr>
      <w:r>
        <w:rPr>
          <w:sz w:val="24"/>
          <w:szCs w:val="24"/>
        </w:rPr>
        <w:t xml:space="preserve">Changes to the way in which the Services are to </w:t>
      </w:r>
      <w:proofErr w:type="gramStart"/>
      <w:r>
        <w:rPr>
          <w:sz w:val="24"/>
          <w:szCs w:val="24"/>
        </w:rPr>
        <w:t>be delivered</w:t>
      </w:r>
      <w:proofErr w:type="gramEnd"/>
      <w:r>
        <w:rPr>
          <w:sz w:val="24"/>
          <w:szCs w:val="24"/>
        </w:rPr>
        <w:t xml:space="preserve"> must be brought to the Authority’s attention and agreed prior to any changes being implemented.</w:t>
      </w:r>
    </w:p>
    <w:p w14:paraId="000000EC" w14:textId="77777777" w:rsidR="007F19E5" w:rsidRDefault="00D3120E">
      <w:pPr>
        <w:pStyle w:val="Heading1"/>
        <w:numPr>
          <w:ilvl w:val="0"/>
          <w:numId w:val="1"/>
        </w:numPr>
        <w:rPr>
          <w:sz w:val="32"/>
          <w:szCs w:val="32"/>
        </w:rPr>
      </w:pPr>
      <w:bookmarkStart w:id="18" w:name="_heading=h.z337ya" w:colFirst="0" w:colLast="0"/>
      <w:bookmarkEnd w:id="18"/>
      <w:r>
        <w:rPr>
          <w:sz w:val="32"/>
          <w:szCs w:val="32"/>
        </w:rPr>
        <w:t>Sustainability</w:t>
      </w:r>
    </w:p>
    <w:p w14:paraId="000000ED" w14:textId="3991C8C4" w:rsidR="007F19E5" w:rsidRDefault="00D3120E">
      <w:pPr>
        <w:pStyle w:val="Heading2"/>
        <w:numPr>
          <w:ilvl w:val="1"/>
          <w:numId w:val="1"/>
        </w:numPr>
        <w:spacing w:after="120"/>
        <w:ind w:left="709" w:hanging="709"/>
        <w:rPr>
          <w:sz w:val="24"/>
          <w:szCs w:val="24"/>
        </w:rPr>
      </w:pPr>
      <w:r>
        <w:rPr>
          <w:sz w:val="24"/>
          <w:szCs w:val="24"/>
        </w:rPr>
        <w:t xml:space="preserve">Please include details of any sustainability considerations Potential </w:t>
      </w:r>
      <w:r w:rsidR="001E7606">
        <w:rPr>
          <w:sz w:val="24"/>
          <w:szCs w:val="24"/>
        </w:rPr>
        <w:t>Suppliers should</w:t>
      </w:r>
      <w:r>
        <w:rPr>
          <w:sz w:val="24"/>
          <w:szCs w:val="24"/>
        </w:rPr>
        <w:t xml:space="preserve"> include in their submissions.</w:t>
      </w:r>
    </w:p>
    <w:p w14:paraId="000000F0" w14:textId="77777777" w:rsidR="007F19E5" w:rsidRDefault="00D3120E">
      <w:pPr>
        <w:pStyle w:val="Heading1"/>
        <w:numPr>
          <w:ilvl w:val="0"/>
          <w:numId w:val="1"/>
        </w:numPr>
        <w:spacing w:after="120"/>
        <w:ind w:left="709" w:hanging="709"/>
        <w:rPr>
          <w:sz w:val="32"/>
          <w:szCs w:val="32"/>
        </w:rPr>
      </w:pPr>
      <w:bookmarkStart w:id="19" w:name="_heading=h.3j2qqm3" w:colFirst="0" w:colLast="0"/>
      <w:bookmarkStart w:id="20" w:name="_heading=h.1y810tw" w:colFirst="0" w:colLast="0"/>
      <w:bookmarkEnd w:id="19"/>
      <w:bookmarkEnd w:id="20"/>
      <w:r>
        <w:rPr>
          <w:sz w:val="32"/>
          <w:szCs w:val="32"/>
        </w:rPr>
        <w:t>PRICE</w:t>
      </w:r>
    </w:p>
    <w:p w14:paraId="000000F1" w14:textId="77777777" w:rsidR="007F19E5" w:rsidRDefault="00D3120E">
      <w:pPr>
        <w:pStyle w:val="Heading2"/>
        <w:numPr>
          <w:ilvl w:val="1"/>
          <w:numId w:val="1"/>
        </w:numPr>
        <w:spacing w:after="120"/>
        <w:ind w:left="709" w:hanging="709"/>
        <w:rPr>
          <w:sz w:val="24"/>
          <w:szCs w:val="24"/>
        </w:rPr>
      </w:pPr>
      <w:r>
        <w:rPr>
          <w:sz w:val="24"/>
          <w:szCs w:val="24"/>
        </w:rPr>
        <w:t xml:space="preserve">Prices are to </w:t>
      </w:r>
      <w:proofErr w:type="gramStart"/>
      <w:r>
        <w:rPr>
          <w:sz w:val="24"/>
          <w:szCs w:val="24"/>
        </w:rPr>
        <w:t>be submitted</w:t>
      </w:r>
      <w:proofErr w:type="gramEnd"/>
      <w:r>
        <w:rPr>
          <w:sz w:val="24"/>
          <w:szCs w:val="24"/>
        </w:rPr>
        <w:t xml:space="preserve"> via the e-Sourcing Suite Attachment 4 – Price Schedule excluding VAT and including all other expenses relating to Contract delivery.</w:t>
      </w:r>
    </w:p>
    <w:p w14:paraId="000000F2" w14:textId="77777777" w:rsidR="007F19E5" w:rsidRDefault="00D3120E">
      <w:pPr>
        <w:pStyle w:val="Heading1"/>
        <w:numPr>
          <w:ilvl w:val="0"/>
          <w:numId w:val="1"/>
        </w:numPr>
        <w:spacing w:after="120"/>
        <w:ind w:left="709" w:hanging="709"/>
        <w:rPr>
          <w:sz w:val="32"/>
          <w:szCs w:val="32"/>
        </w:rPr>
      </w:pPr>
      <w:bookmarkStart w:id="21" w:name="_heading=h.4i7ojhp" w:colFirst="0" w:colLast="0"/>
      <w:bookmarkEnd w:id="21"/>
      <w:r>
        <w:rPr>
          <w:sz w:val="32"/>
          <w:szCs w:val="32"/>
        </w:rPr>
        <w:t>STAFF AND CUSTOMER SERVICE</w:t>
      </w:r>
    </w:p>
    <w:p w14:paraId="000000F3" w14:textId="77777777" w:rsidR="007F19E5" w:rsidRDefault="00D3120E">
      <w:pPr>
        <w:pStyle w:val="Heading2"/>
        <w:numPr>
          <w:ilvl w:val="1"/>
          <w:numId w:val="1"/>
        </w:numPr>
        <w:spacing w:after="120"/>
        <w:ind w:left="709" w:hanging="709"/>
        <w:rPr>
          <w:sz w:val="24"/>
          <w:szCs w:val="24"/>
        </w:rPr>
      </w:pPr>
      <w:r>
        <w:rPr>
          <w:sz w:val="24"/>
          <w:szCs w:val="24"/>
        </w:rPr>
        <w:t xml:space="preserve">The Supplier shall provide a sufficient level of resource throughout the duration of the Contract </w:t>
      </w:r>
      <w:proofErr w:type="gramStart"/>
      <w:r>
        <w:rPr>
          <w:sz w:val="24"/>
          <w:szCs w:val="24"/>
        </w:rPr>
        <w:t>in order to consistently deliver</w:t>
      </w:r>
      <w:proofErr w:type="gramEnd"/>
      <w:r>
        <w:rPr>
          <w:sz w:val="24"/>
          <w:szCs w:val="24"/>
        </w:rPr>
        <w:t xml:space="preserve"> a quality service.</w:t>
      </w:r>
    </w:p>
    <w:p w14:paraId="000000F4" w14:textId="77777777" w:rsidR="007F19E5" w:rsidRDefault="00D3120E">
      <w:pPr>
        <w:pStyle w:val="Heading2"/>
        <w:numPr>
          <w:ilvl w:val="1"/>
          <w:numId w:val="1"/>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14:paraId="000000F5" w14:textId="77777777" w:rsidR="007F19E5" w:rsidRDefault="00D3120E">
      <w:pPr>
        <w:pStyle w:val="Heading2"/>
        <w:numPr>
          <w:ilvl w:val="1"/>
          <w:numId w:val="1"/>
        </w:numPr>
        <w:spacing w:after="120"/>
        <w:ind w:left="709" w:hanging="709"/>
        <w:rPr>
          <w:sz w:val="24"/>
          <w:szCs w:val="24"/>
        </w:rPr>
      </w:pPr>
      <w:r>
        <w:rPr>
          <w:sz w:val="24"/>
          <w:szCs w:val="24"/>
        </w:rPr>
        <w:t xml:space="preserve">A Supplier Team shall, should be Baseline Personnel Security Standard cleared, which </w:t>
      </w:r>
      <w:proofErr w:type="gramStart"/>
      <w:r>
        <w:rPr>
          <w:sz w:val="24"/>
          <w:szCs w:val="24"/>
        </w:rPr>
        <w:t>must be dated</w:t>
      </w:r>
      <w:proofErr w:type="gramEnd"/>
      <w:r>
        <w:rPr>
          <w:sz w:val="24"/>
          <w:szCs w:val="24"/>
        </w:rPr>
        <w:t xml:space="preserve"> within three months of the date of signing the contract.</w:t>
      </w:r>
    </w:p>
    <w:p w14:paraId="000000F6" w14:textId="77777777" w:rsidR="007F19E5" w:rsidRDefault="00D3120E">
      <w:pPr>
        <w:pStyle w:val="Heading2"/>
        <w:numPr>
          <w:ilvl w:val="1"/>
          <w:numId w:val="1"/>
        </w:numPr>
        <w:spacing w:after="120"/>
        <w:ind w:left="709" w:hanging="709"/>
        <w:rPr>
          <w:sz w:val="24"/>
          <w:szCs w:val="24"/>
        </w:rPr>
      </w:pPr>
      <w:r>
        <w:rPr>
          <w:sz w:val="24"/>
          <w:szCs w:val="24"/>
        </w:rPr>
        <w:t>The Supplier shall have relevant experience working within complex multi-supplier technical ecosystems.</w:t>
      </w:r>
    </w:p>
    <w:p w14:paraId="000000F7" w14:textId="77777777" w:rsidR="007F19E5" w:rsidRDefault="00D3120E">
      <w:pPr>
        <w:pStyle w:val="Heading2"/>
        <w:numPr>
          <w:ilvl w:val="1"/>
          <w:numId w:val="1"/>
        </w:numPr>
        <w:spacing w:after="120"/>
        <w:ind w:left="709" w:hanging="709"/>
        <w:rPr>
          <w:sz w:val="24"/>
          <w:szCs w:val="24"/>
        </w:rPr>
      </w:pPr>
      <w:r>
        <w:rPr>
          <w:sz w:val="24"/>
          <w:szCs w:val="24"/>
        </w:rPr>
        <w:lastRenderedPageBreak/>
        <w:t xml:space="preserve">The Supplier </w:t>
      </w:r>
      <w:proofErr w:type="gramStart"/>
      <w:r>
        <w:rPr>
          <w:sz w:val="24"/>
          <w:szCs w:val="24"/>
        </w:rPr>
        <w:t>will be expected</w:t>
      </w:r>
      <w:proofErr w:type="gramEnd"/>
      <w:r>
        <w:rPr>
          <w:sz w:val="24"/>
          <w:szCs w:val="24"/>
        </w:rPr>
        <w:t xml:space="preserve"> to be conversant with real estate data knowledge in order to interpret the underlying conceptual data model and therefore the validation rules and system design being applied.</w:t>
      </w:r>
    </w:p>
    <w:p w14:paraId="000000F8" w14:textId="77777777" w:rsidR="007F19E5" w:rsidRDefault="00D3120E">
      <w:pPr>
        <w:pStyle w:val="Heading2"/>
        <w:numPr>
          <w:ilvl w:val="1"/>
          <w:numId w:val="1"/>
        </w:numPr>
        <w:spacing w:after="120"/>
        <w:ind w:left="709" w:hanging="709"/>
        <w:rPr>
          <w:sz w:val="24"/>
          <w:szCs w:val="24"/>
        </w:rPr>
      </w:pPr>
      <w:r>
        <w:rPr>
          <w:sz w:val="24"/>
          <w:szCs w:val="24"/>
        </w:rPr>
        <w:t xml:space="preserve">The Supplier will be expected to specify as a minimum, a named </w:t>
      </w:r>
      <w:proofErr w:type="gramStart"/>
      <w:r>
        <w:rPr>
          <w:sz w:val="24"/>
          <w:szCs w:val="24"/>
        </w:rPr>
        <w:t>Overall</w:t>
      </w:r>
      <w:proofErr w:type="gramEnd"/>
      <w:r>
        <w:rPr>
          <w:sz w:val="24"/>
          <w:szCs w:val="24"/>
        </w:rPr>
        <w:t xml:space="preserve"> engagement Director, a Bid Manager and a Technical Architect with relevant skill set available for the duration of the contract, excluding the four/ five week bid response/ pause period.</w:t>
      </w:r>
    </w:p>
    <w:p w14:paraId="000000F9" w14:textId="77777777" w:rsidR="007F19E5" w:rsidRDefault="00D3120E">
      <w:pPr>
        <w:pStyle w:val="Heading2"/>
        <w:numPr>
          <w:ilvl w:val="1"/>
          <w:numId w:val="1"/>
        </w:numPr>
        <w:spacing w:after="120"/>
        <w:ind w:left="709" w:hanging="709"/>
        <w:rPr>
          <w:sz w:val="24"/>
          <w:szCs w:val="24"/>
        </w:rPr>
      </w:pPr>
      <w:r>
        <w:rPr>
          <w:sz w:val="24"/>
          <w:szCs w:val="24"/>
        </w:rPr>
        <w:t xml:space="preserve"> Experience in complex solutions architecture is essential. This includes cloud-based solutions including deployment, design and management of AWS environments, understanding of database technologies, API design and integration, COTS integration, user licensing models, government security principles, User Acceptance Testing and single sign-on approaches for integrating solutions. Experience in UI and accessibility would ideally include government specific GDS service assessment. Experience working within the government Service Standard would be beneficial. </w:t>
      </w:r>
    </w:p>
    <w:p w14:paraId="000000FA" w14:textId="77777777" w:rsidR="007F19E5" w:rsidRDefault="00D3120E">
      <w:pPr>
        <w:pStyle w:val="Heading2"/>
        <w:numPr>
          <w:ilvl w:val="1"/>
          <w:numId w:val="1"/>
        </w:numPr>
        <w:spacing w:after="120"/>
        <w:ind w:left="709" w:hanging="709"/>
        <w:rPr>
          <w:sz w:val="24"/>
          <w:szCs w:val="24"/>
        </w:rPr>
      </w:pPr>
      <w:r>
        <w:rPr>
          <w:sz w:val="24"/>
          <w:szCs w:val="24"/>
        </w:rPr>
        <w:t xml:space="preserve">Any changes to Supplier staff within the duration of the contract period </w:t>
      </w:r>
      <w:proofErr w:type="gramStart"/>
      <w:r>
        <w:rPr>
          <w:sz w:val="24"/>
          <w:szCs w:val="24"/>
        </w:rPr>
        <w:t>should be agreed</w:t>
      </w:r>
      <w:proofErr w:type="gramEnd"/>
      <w:r>
        <w:rPr>
          <w:sz w:val="24"/>
          <w:szCs w:val="24"/>
        </w:rPr>
        <w:t xml:space="preserve"> in writing with the Authority. </w:t>
      </w:r>
    </w:p>
    <w:p w14:paraId="000000FB" w14:textId="77777777" w:rsidR="007F19E5" w:rsidRDefault="00D3120E">
      <w:pPr>
        <w:pStyle w:val="Heading2"/>
        <w:numPr>
          <w:ilvl w:val="1"/>
          <w:numId w:val="1"/>
        </w:numPr>
        <w:spacing w:after="120"/>
        <w:ind w:left="709" w:hanging="709"/>
        <w:rPr>
          <w:sz w:val="24"/>
          <w:szCs w:val="24"/>
        </w:rPr>
      </w:pPr>
      <w:r>
        <w:rPr>
          <w:sz w:val="24"/>
          <w:szCs w:val="24"/>
        </w:rPr>
        <w:t xml:space="preserve">The Supplier shall work as a self-organising team, using </w:t>
      </w:r>
      <w:proofErr w:type="gramStart"/>
      <w:r>
        <w:rPr>
          <w:sz w:val="24"/>
          <w:szCs w:val="24"/>
        </w:rPr>
        <w:t>Agile</w:t>
      </w:r>
      <w:proofErr w:type="gramEnd"/>
      <w:r>
        <w:rPr>
          <w:sz w:val="24"/>
          <w:szCs w:val="24"/>
        </w:rPr>
        <w:t xml:space="preserve"> principles and methodologies, delivered as per the GDS Service Manual (e.g. agile delivery aligned to scrum methodology) or other methodologies as required. </w:t>
      </w:r>
    </w:p>
    <w:p w14:paraId="000000FC" w14:textId="77777777" w:rsidR="007F19E5" w:rsidRDefault="00D3120E">
      <w:pPr>
        <w:pStyle w:val="Heading2"/>
        <w:numPr>
          <w:ilvl w:val="1"/>
          <w:numId w:val="1"/>
        </w:numPr>
        <w:spacing w:after="120"/>
        <w:ind w:left="709" w:hanging="709"/>
        <w:rPr>
          <w:sz w:val="24"/>
          <w:szCs w:val="24"/>
        </w:rPr>
      </w:pPr>
      <w:r>
        <w:rPr>
          <w:sz w:val="24"/>
          <w:szCs w:val="24"/>
        </w:rPr>
        <w:t xml:space="preserve">The Supplier shall identify any conflicts of interest and, where identified, shall inform </w:t>
      </w:r>
      <w:proofErr w:type="gramStart"/>
      <w:r>
        <w:rPr>
          <w:sz w:val="24"/>
          <w:szCs w:val="24"/>
        </w:rPr>
        <w:t>the Buyer of such conflicts of interest and how they plan to mitigate the risk</w:t>
      </w:r>
      <w:proofErr w:type="gramEnd"/>
      <w:r>
        <w:rPr>
          <w:sz w:val="24"/>
          <w:szCs w:val="24"/>
        </w:rPr>
        <w:t xml:space="preserve">. The Authority will require a Declaration of Interests to be populated (Please see Annex D – Declaration of Interests) by the Winning Supplier at Contract Award stage to perform this engagement. </w:t>
      </w:r>
    </w:p>
    <w:p w14:paraId="000000FD" w14:textId="77777777" w:rsidR="007F19E5" w:rsidRDefault="00D3120E">
      <w:pPr>
        <w:pStyle w:val="Heading2"/>
        <w:numPr>
          <w:ilvl w:val="1"/>
          <w:numId w:val="1"/>
        </w:numPr>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000000FE" w14:textId="77777777" w:rsidR="007F19E5" w:rsidRDefault="00D3120E">
      <w:pPr>
        <w:pStyle w:val="Heading2"/>
        <w:numPr>
          <w:ilvl w:val="1"/>
          <w:numId w:val="1"/>
        </w:numPr>
        <w:spacing w:after="120"/>
        <w:ind w:left="709" w:hanging="709"/>
        <w:rPr>
          <w:sz w:val="24"/>
          <w:szCs w:val="24"/>
        </w:rPr>
      </w:pPr>
      <w:r>
        <w:rPr>
          <w:sz w:val="24"/>
          <w:szCs w:val="24"/>
        </w:rPr>
        <w:t xml:space="preserve">Any supplier staff who will have access to data in this project should be Baseline Personnel Security Standard cleared. Those members of the project team who will be on the premises, at the location set out below, </w:t>
      </w:r>
      <w:proofErr w:type="gramStart"/>
      <w:r>
        <w:rPr>
          <w:sz w:val="24"/>
          <w:szCs w:val="24"/>
        </w:rPr>
        <w:t>will be expected</w:t>
      </w:r>
      <w:proofErr w:type="gramEnd"/>
      <w:r>
        <w:rPr>
          <w:sz w:val="24"/>
          <w:szCs w:val="24"/>
        </w:rPr>
        <w:t xml:space="preserve"> to adhere to the security process in place at the building. </w:t>
      </w:r>
    </w:p>
    <w:p w14:paraId="000000FF" w14:textId="77777777" w:rsidR="007F19E5" w:rsidRDefault="00D3120E">
      <w:pPr>
        <w:pStyle w:val="Heading2"/>
        <w:numPr>
          <w:ilvl w:val="1"/>
          <w:numId w:val="1"/>
        </w:numPr>
        <w:spacing w:after="120"/>
        <w:ind w:left="709" w:hanging="709"/>
        <w:rPr>
          <w:sz w:val="24"/>
          <w:szCs w:val="24"/>
        </w:rPr>
      </w:pPr>
      <w:r>
        <w:rPr>
          <w:sz w:val="24"/>
          <w:szCs w:val="24"/>
        </w:rPr>
        <w:t xml:space="preserve">The details for the project team who will be carrying out the work </w:t>
      </w:r>
      <w:proofErr w:type="gramStart"/>
      <w:r>
        <w:rPr>
          <w:sz w:val="24"/>
          <w:szCs w:val="24"/>
        </w:rPr>
        <w:t>must be supplied</w:t>
      </w:r>
      <w:proofErr w:type="gramEnd"/>
      <w:r>
        <w:rPr>
          <w:sz w:val="24"/>
          <w:szCs w:val="24"/>
        </w:rPr>
        <w:t xml:space="preserve"> to the Authority as part of the evaluation process and confirmation of the clearance that they currently hold.</w:t>
      </w:r>
    </w:p>
    <w:p w14:paraId="00000100" w14:textId="77777777" w:rsidR="007F19E5" w:rsidRDefault="00D3120E">
      <w:pPr>
        <w:pStyle w:val="Heading1"/>
        <w:numPr>
          <w:ilvl w:val="0"/>
          <w:numId w:val="1"/>
        </w:numPr>
        <w:spacing w:after="120"/>
        <w:rPr>
          <w:sz w:val="32"/>
          <w:szCs w:val="32"/>
        </w:rPr>
      </w:pPr>
      <w:bookmarkStart w:id="22" w:name="_heading=h.2xcytpi" w:colFirst="0" w:colLast="0"/>
      <w:bookmarkEnd w:id="22"/>
      <w:r>
        <w:rPr>
          <w:sz w:val="32"/>
          <w:szCs w:val="32"/>
        </w:rPr>
        <w:t>Security and CONFIDENTIALITY requirements</w:t>
      </w:r>
    </w:p>
    <w:p w14:paraId="00000101" w14:textId="77777777" w:rsidR="007F19E5" w:rsidRDefault="00D3120E">
      <w:pPr>
        <w:pStyle w:val="Heading2"/>
        <w:numPr>
          <w:ilvl w:val="1"/>
          <w:numId w:val="1"/>
        </w:numPr>
        <w:spacing w:after="120"/>
        <w:ind w:left="709" w:hanging="709"/>
        <w:rPr>
          <w:sz w:val="24"/>
          <w:szCs w:val="24"/>
        </w:rPr>
      </w:pPr>
      <w:r>
        <w:rPr>
          <w:sz w:val="24"/>
          <w:szCs w:val="24"/>
        </w:rPr>
        <w:t xml:space="preserve">Please see Call </w:t>
      </w:r>
      <w:proofErr w:type="gramStart"/>
      <w:r>
        <w:rPr>
          <w:sz w:val="24"/>
          <w:szCs w:val="24"/>
        </w:rPr>
        <w:t>Off</w:t>
      </w:r>
      <w:proofErr w:type="gramEnd"/>
      <w:r>
        <w:rPr>
          <w:sz w:val="24"/>
          <w:szCs w:val="24"/>
        </w:rPr>
        <w:t xml:space="preserve"> Schedule 9 for further details. </w:t>
      </w:r>
    </w:p>
    <w:p w14:paraId="00000102" w14:textId="77777777" w:rsidR="007F19E5" w:rsidRDefault="00D3120E">
      <w:pPr>
        <w:pStyle w:val="Heading1"/>
        <w:numPr>
          <w:ilvl w:val="0"/>
          <w:numId w:val="1"/>
        </w:numPr>
        <w:spacing w:after="120"/>
        <w:ind w:left="709" w:hanging="709"/>
        <w:rPr>
          <w:sz w:val="32"/>
          <w:szCs w:val="32"/>
        </w:rPr>
      </w:pPr>
      <w:bookmarkStart w:id="23" w:name="_heading=h.1ci93xb" w:colFirst="0" w:colLast="0"/>
      <w:bookmarkEnd w:id="23"/>
      <w:r>
        <w:rPr>
          <w:sz w:val="32"/>
          <w:szCs w:val="32"/>
        </w:rPr>
        <w:t xml:space="preserve">payment AND INVOICING </w:t>
      </w:r>
    </w:p>
    <w:p w14:paraId="00000103" w14:textId="77777777" w:rsidR="007F19E5" w:rsidRDefault="00D3120E">
      <w:pPr>
        <w:pStyle w:val="Heading2"/>
        <w:numPr>
          <w:ilvl w:val="1"/>
          <w:numId w:val="1"/>
        </w:numPr>
        <w:spacing w:after="120"/>
        <w:ind w:left="709" w:hanging="709"/>
        <w:rPr>
          <w:sz w:val="24"/>
          <w:szCs w:val="24"/>
        </w:rPr>
      </w:pPr>
      <w:r>
        <w:rPr>
          <w:sz w:val="24"/>
          <w:szCs w:val="24"/>
        </w:rPr>
        <w:t xml:space="preserve">Payment </w:t>
      </w:r>
      <w:proofErr w:type="gramStart"/>
      <w:r>
        <w:rPr>
          <w:sz w:val="24"/>
          <w:szCs w:val="24"/>
        </w:rPr>
        <w:t>can only be made</w:t>
      </w:r>
      <w:proofErr w:type="gramEnd"/>
      <w:r>
        <w:rPr>
          <w:sz w:val="24"/>
          <w:szCs w:val="24"/>
        </w:rPr>
        <w:t xml:space="preserve"> following satisfactory delivery of the items of work as listed in the pricing schedule.</w:t>
      </w:r>
    </w:p>
    <w:p w14:paraId="00000104" w14:textId="77777777" w:rsidR="007F19E5" w:rsidRDefault="00D3120E">
      <w:pPr>
        <w:pStyle w:val="Heading2"/>
        <w:numPr>
          <w:ilvl w:val="1"/>
          <w:numId w:val="1"/>
        </w:numPr>
        <w:spacing w:after="120"/>
        <w:ind w:left="709" w:hanging="709"/>
        <w:rPr>
          <w:sz w:val="24"/>
          <w:szCs w:val="24"/>
        </w:rPr>
      </w:pPr>
      <w:r>
        <w:rPr>
          <w:sz w:val="24"/>
          <w:szCs w:val="24"/>
        </w:rPr>
        <w:lastRenderedPageBreak/>
        <w:t xml:space="preserve">Before payment </w:t>
      </w:r>
      <w:proofErr w:type="gramStart"/>
      <w:r>
        <w:rPr>
          <w:sz w:val="24"/>
          <w:szCs w:val="24"/>
        </w:rPr>
        <w:t>can be considered</w:t>
      </w:r>
      <w:proofErr w:type="gramEnd"/>
      <w:r>
        <w:rPr>
          <w:sz w:val="24"/>
          <w:szCs w:val="24"/>
        </w:rPr>
        <w:t xml:space="preserve">, each invoice must include a detailed elemental breakdown of work completed and the associated costs. </w:t>
      </w:r>
    </w:p>
    <w:p w14:paraId="00000105" w14:textId="6FA7B9AC" w:rsidR="007F19E5" w:rsidRDefault="00D3120E">
      <w:pPr>
        <w:pStyle w:val="Heading2"/>
        <w:numPr>
          <w:ilvl w:val="1"/>
          <w:numId w:val="1"/>
        </w:numPr>
        <w:spacing w:after="120"/>
        <w:ind w:left="709" w:hanging="709"/>
        <w:rPr>
          <w:sz w:val="24"/>
          <w:szCs w:val="24"/>
        </w:rPr>
      </w:pPr>
      <w:r>
        <w:rPr>
          <w:sz w:val="24"/>
          <w:szCs w:val="24"/>
        </w:rPr>
        <w:t xml:space="preserve">The Authority will issue a purchase order at the start of the contract. To enable prompt payment the Potential Bidder should submit invoices for payment clearly quoting the purchase order number </w:t>
      </w:r>
      <w:proofErr w:type="gramStart"/>
      <w:r>
        <w:rPr>
          <w:sz w:val="24"/>
          <w:szCs w:val="24"/>
        </w:rPr>
        <w:t>to</w:t>
      </w:r>
      <w:proofErr w:type="gramEnd"/>
      <w:r>
        <w:rPr>
          <w:sz w:val="24"/>
          <w:szCs w:val="24"/>
        </w:rPr>
        <w:t>:</w:t>
      </w:r>
    </w:p>
    <w:p w14:paraId="108AF82B" w14:textId="460FA5B4" w:rsidR="003D6BEF" w:rsidRPr="003D6BEF" w:rsidRDefault="003D6BEF">
      <w:pPr>
        <w:pStyle w:val="Heading2"/>
        <w:numPr>
          <w:ilvl w:val="1"/>
          <w:numId w:val="1"/>
        </w:numPr>
        <w:spacing w:after="120"/>
        <w:ind w:left="709" w:hanging="709"/>
        <w:rPr>
          <w:b/>
          <w:sz w:val="24"/>
          <w:szCs w:val="24"/>
        </w:rPr>
      </w:pPr>
      <w:r w:rsidRPr="003D6BEF">
        <w:rPr>
          <w:b/>
          <w:sz w:val="24"/>
          <w:szCs w:val="24"/>
        </w:rPr>
        <w:t>[Redacted]</w:t>
      </w:r>
    </w:p>
    <w:p w14:paraId="00000106" w14:textId="30F0E6C0" w:rsidR="007F19E5" w:rsidRDefault="007F19E5" w:rsidP="00211094">
      <w:pPr>
        <w:pStyle w:val="Heading2"/>
        <w:numPr>
          <w:ilvl w:val="0"/>
          <w:numId w:val="0"/>
        </w:numPr>
        <w:spacing w:after="120"/>
        <w:ind w:left="1080"/>
        <w:rPr>
          <w:sz w:val="24"/>
          <w:szCs w:val="24"/>
        </w:rPr>
      </w:pPr>
    </w:p>
    <w:p w14:paraId="00000107" w14:textId="77777777" w:rsidR="007F19E5" w:rsidRDefault="00D3120E">
      <w:pPr>
        <w:pStyle w:val="Heading1"/>
        <w:numPr>
          <w:ilvl w:val="0"/>
          <w:numId w:val="1"/>
        </w:numPr>
        <w:spacing w:after="120"/>
        <w:ind w:left="709" w:hanging="709"/>
        <w:rPr>
          <w:sz w:val="32"/>
          <w:szCs w:val="32"/>
        </w:rPr>
      </w:pPr>
      <w:bookmarkStart w:id="24" w:name="_heading=h.3whwml4" w:colFirst="0" w:colLast="0"/>
      <w:bookmarkEnd w:id="24"/>
      <w:r>
        <w:rPr>
          <w:sz w:val="32"/>
          <w:szCs w:val="32"/>
        </w:rPr>
        <w:t xml:space="preserve">CONTRACT MANAGEMENT </w:t>
      </w:r>
    </w:p>
    <w:p w14:paraId="00000108" w14:textId="77777777" w:rsidR="007F19E5" w:rsidRDefault="00D3120E">
      <w:pPr>
        <w:pStyle w:val="Heading2"/>
        <w:numPr>
          <w:ilvl w:val="1"/>
          <w:numId w:val="1"/>
        </w:numPr>
        <w:spacing w:after="120"/>
        <w:ind w:left="709" w:hanging="709"/>
        <w:rPr>
          <w:sz w:val="24"/>
          <w:szCs w:val="24"/>
        </w:rPr>
      </w:pPr>
      <w:r>
        <w:rPr>
          <w:sz w:val="24"/>
          <w:szCs w:val="24"/>
        </w:rPr>
        <w:t>The Authority shall provide access to all previous relevant design documentation, technical assurance documentation and development code for the existing solution development to-date.</w:t>
      </w:r>
    </w:p>
    <w:p w14:paraId="00000109" w14:textId="77777777" w:rsidR="007F19E5" w:rsidRDefault="00D3120E">
      <w:pPr>
        <w:pStyle w:val="Heading2"/>
        <w:numPr>
          <w:ilvl w:val="1"/>
          <w:numId w:val="1"/>
        </w:numPr>
        <w:spacing w:after="120"/>
        <w:ind w:left="709" w:hanging="709"/>
        <w:rPr>
          <w:sz w:val="24"/>
          <w:szCs w:val="24"/>
        </w:rPr>
      </w:pPr>
      <w:r>
        <w:rPr>
          <w:sz w:val="24"/>
          <w:szCs w:val="24"/>
        </w:rPr>
        <w:t>Attendance at Contract Review meetings shall be at the Supplier’s own expense.</w:t>
      </w:r>
    </w:p>
    <w:p w14:paraId="0000010A" w14:textId="77777777" w:rsidR="007F19E5" w:rsidRDefault="00D3120E">
      <w:pPr>
        <w:pStyle w:val="Heading1"/>
        <w:numPr>
          <w:ilvl w:val="0"/>
          <w:numId w:val="1"/>
        </w:numPr>
        <w:spacing w:after="120"/>
        <w:rPr>
          <w:sz w:val="32"/>
          <w:szCs w:val="32"/>
        </w:rPr>
      </w:pPr>
      <w:bookmarkStart w:id="25" w:name="_heading=h.2bn6wsx" w:colFirst="0" w:colLast="0"/>
      <w:bookmarkEnd w:id="25"/>
      <w:r>
        <w:rPr>
          <w:sz w:val="32"/>
          <w:szCs w:val="32"/>
        </w:rPr>
        <w:t xml:space="preserve">Location </w:t>
      </w:r>
    </w:p>
    <w:p w14:paraId="0000010B" w14:textId="77777777" w:rsidR="007F19E5" w:rsidRDefault="00D3120E">
      <w:pPr>
        <w:pStyle w:val="Heading2"/>
        <w:numPr>
          <w:ilvl w:val="1"/>
          <w:numId w:val="1"/>
        </w:numPr>
        <w:spacing w:after="120"/>
        <w:ind w:left="709" w:hanging="709"/>
        <w:rPr>
          <w:sz w:val="24"/>
          <w:szCs w:val="24"/>
        </w:rPr>
      </w:pPr>
      <w:r>
        <w:rPr>
          <w:sz w:val="24"/>
          <w:szCs w:val="24"/>
        </w:rPr>
        <w:t>The base location of the Services will be carried out at the Authority’s office at 10 South Colonnade, London, E14 4QQ. Review sessions will be scheduled in advance to ensure attendance can be secured if required.</w:t>
      </w:r>
    </w:p>
    <w:p w14:paraId="0000010C" w14:textId="77777777" w:rsidR="007F19E5" w:rsidRDefault="00D3120E">
      <w:pPr>
        <w:pStyle w:val="Heading2"/>
        <w:numPr>
          <w:ilvl w:val="1"/>
          <w:numId w:val="1"/>
        </w:numPr>
        <w:spacing w:after="120"/>
        <w:ind w:left="709" w:hanging="709"/>
        <w:rPr>
          <w:sz w:val="24"/>
          <w:szCs w:val="24"/>
        </w:rPr>
      </w:pPr>
      <w:r>
        <w:rPr>
          <w:sz w:val="24"/>
          <w:szCs w:val="24"/>
        </w:rPr>
        <w:t>The Authority uses Google Meet for remote collaboration in support of this approach and expects the supplier to be able to access this tool.</w:t>
      </w:r>
    </w:p>
    <w:p w14:paraId="00000112" w14:textId="77777777" w:rsidR="007F19E5" w:rsidRDefault="007F19E5">
      <w:pPr>
        <w:tabs>
          <w:tab w:val="left" w:pos="1392"/>
        </w:tabs>
      </w:pPr>
      <w:bookmarkStart w:id="26" w:name="_GoBack"/>
      <w:bookmarkEnd w:id="26"/>
    </w:p>
    <w:sectPr w:rsidR="007F19E5">
      <w:headerReference w:type="default" r:id="rId9"/>
      <w:footerReference w:type="default" r:id="rId10"/>
      <w:pgSz w:w="11909" w:h="16834"/>
      <w:pgMar w:top="1440" w:right="1440" w:bottom="1559" w:left="1440" w:header="425" w:footer="431"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2F8A8" w16cid:durableId="26F3C92E"/>
  <w16cid:commentId w16cid:paraId="61A44A6F" w16cid:durableId="26F3CB17"/>
  <w16cid:commentId w16cid:paraId="00000120" w16cid:durableId="26F3C7A8"/>
  <w16cid:commentId w16cid:paraId="598FDFDC" w16cid:durableId="26F3CD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6CA54" w14:textId="77777777" w:rsidR="00830250" w:rsidRDefault="00830250">
      <w:r>
        <w:separator/>
      </w:r>
    </w:p>
  </w:endnote>
  <w:endnote w:type="continuationSeparator" w:id="0">
    <w:p w14:paraId="22146DEC" w14:textId="77777777" w:rsidR="00830250" w:rsidRDefault="0083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8" w14:textId="77777777" w:rsidR="007F19E5" w:rsidRDefault="00D3120E">
    <w:pPr>
      <w:pBdr>
        <w:top w:val="nil"/>
        <w:left w:val="nil"/>
        <w:bottom w:val="nil"/>
        <w:right w:val="nil"/>
        <w:between w:val="nil"/>
      </w:pBdr>
      <w:tabs>
        <w:tab w:val="center" w:pos="4153"/>
        <w:tab w:val="right" w:pos="8306"/>
      </w:tabs>
      <w:jc w:val="center"/>
      <w:rPr>
        <w:rFonts w:eastAsia="Arial"/>
        <w:color w:val="000000"/>
        <w:szCs w:val="22"/>
      </w:rPr>
    </w:pPr>
    <w:r>
      <w:rPr>
        <w:noProof/>
        <w:lang w:eastAsia="en-GB"/>
      </w:rPr>
      <mc:AlternateContent>
        <mc:Choice Requires="wps">
          <w:drawing>
            <wp:anchor distT="0" distB="0" distL="114300" distR="114300" simplePos="0" relativeHeight="251658240" behindDoc="0" locked="0" layoutInCell="1" hidden="0" allowOverlap="1" wp14:anchorId="3C38290A" wp14:editId="518B38ED">
              <wp:simplePos x="0" y="0"/>
              <wp:positionH relativeFrom="column">
                <wp:posOffset>-25399</wp:posOffset>
              </wp:positionH>
              <wp:positionV relativeFrom="paragraph">
                <wp:posOffset>38100</wp:posOffset>
              </wp:positionV>
              <wp:extent cx="952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14:paraId="00000119" w14:textId="77777777" w:rsidR="007F19E5" w:rsidRDefault="00D3120E">
    <w:pPr>
      <w:pBdr>
        <w:top w:val="nil"/>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0000011A" w14:textId="05ACBF73" w:rsidR="007F19E5" w:rsidRDefault="007F19E5">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p>
  <w:p w14:paraId="0000011B" w14:textId="53A3D862" w:rsidR="007F19E5" w:rsidRDefault="00D3120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w:t>
    </w:r>
    <w:r w:rsidR="00D43281">
      <w:rPr>
        <w:sz w:val="20"/>
        <w:szCs w:val="20"/>
      </w:rPr>
      <w:t xml:space="preserve"> </w:t>
    </w:r>
    <w:r>
      <w:rPr>
        <w:sz w:val="20"/>
        <w:szCs w:val="20"/>
      </w:rPr>
      <w:t xml:space="preserve">CCCC22A12     </w:t>
    </w:r>
    <w:r>
      <w:rPr>
        <w:sz w:val="20"/>
        <w:szCs w:val="20"/>
      </w:rPr>
      <w:tab/>
    </w:r>
    <w:r>
      <w:rPr>
        <w:sz w:val="20"/>
        <w:szCs w:val="20"/>
      </w:rPr>
      <w:tab/>
    </w:r>
    <w:r>
      <w:rPr>
        <w:sz w:val="20"/>
        <w:szCs w:val="20"/>
      </w:rPr>
      <w:tab/>
    </w:r>
    <w:r>
      <w:rPr>
        <w:sz w:val="20"/>
        <w:szCs w:val="20"/>
      </w:rPr>
      <w:tab/>
    </w:r>
    <w:r>
      <w:rPr>
        <w:sz w:val="20"/>
        <w:szCs w:val="20"/>
      </w:rPr>
      <w:tab/>
      <w:t xml:space="preserve">                    Page </w:t>
    </w:r>
    <w:r>
      <w:rPr>
        <w:sz w:val="20"/>
        <w:szCs w:val="20"/>
      </w:rPr>
      <w:fldChar w:fldCharType="begin"/>
    </w:r>
    <w:r>
      <w:rPr>
        <w:sz w:val="20"/>
        <w:szCs w:val="20"/>
      </w:rPr>
      <w:instrText>PAGE</w:instrText>
    </w:r>
    <w:r>
      <w:rPr>
        <w:sz w:val="20"/>
        <w:szCs w:val="20"/>
      </w:rPr>
      <w:fldChar w:fldCharType="separate"/>
    </w:r>
    <w:r w:rsidR="003D6BEF">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3D6BEF">
      <w:rPr>
        <w:noProof/>
        <w:sz w:val="20"/>
        <w:szCs w:val="20"/>
      </w:rPr>
      <w:t>16</w:t>
    </w:r>
    <w:r>
      <w:rPr>
        <w:sz w:val="20"/>
        <w:szCs w:val="20"/>
      </w:rPr>
      <w:fldChar w:fldCharType="end"/>
    </w:r>
    <w:r>
      <w:rPr>
        <w:sz w:val="20"/>
        <w:szCs w:val="20"/>
      </w:rPr>
      <w:t xml:space="preserve"> </w:t>
    </w:r>
  </w:p>
  <w:p w14:paraId="0000011C" w14:textId="6FC37C9B" w:rsidR="007F19E5" w:rsidRDefault="00D3120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GWG T15 v1.0 </w:t>
    </w:r>
  </w:p>
  <w:p w14:paraId="0000011D" w14:textId="77777777" w:rsidR="007F19E5" w:rsidRDefault="00D3120E">
    <w:pPr>
      <w:pBdr>
        <w:top w:val="nil"/>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 Crown Copyright 2020</w:t>
    </w:r>
    <w:r>
      <w:rPr>
        <w:rFonts w:eastAsia="Arial"/>
        <w:color w:val="000000"/>
        <w:sz w:val="20"/>
        <w:szCs w:val="20"/>
      </w:rPr>
      <w:tab/>
    </w:r>
  </w:p>
  <w:p w14:paraId="0000011E" w14:textId="77777777" w:rsidR="007F19E5" w:rsidRDefault="007F19E5">
    <w:pPr>
      <w:pBdr>
        <w:top w:val="nil"/>
        <w:left w:val="nil"/>
        <w:bottom w:val="nil"/>
        <w:right w:val="nil"/>
        <w:between w:val="nil"/>
      </w:pBdr>
      <w:tabs>
        <w:tab w:val="center" w:pos="4153"/>
        <w:tab w:val="right" w:pos="8306"/>
      </w:tabs>
      <w:jc w:val="center"/>
      <w:rPr>
        <w:rFonts w:eastAsia="Arial"/>
        <w:color w:val="000000"/>
        <w:szCs w:val="22"/>
      </w:rPr>
    </w:pPr>
  </w:p>
  <w:p w14:paraId="0000011F" w14:textId="77777777" w:rsidR="007F19E5" w:rsidRDefault="007F19E5">
    <w:pPr>
      <w:pBdr>
        <w:top w:val="nil"/>
        <w:left w:val="nil"/>
        <w:bottom w:val="nil"/>
        <w:right w:val="nil"/>
        <w:between w:val="nil"/>
      </w:pBdr>
      <w:tabs>
        <w:tab w:val="center" w:pos="4153"/>
        <w:tab w:val="right" w:pos="8306"/>
      </w:tabs>
      <w:rPr>
        <w:rFonts w:eastAsia="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DB505" w14:textId="77777777" w:rsidR="00830250" w:rsidRDefault="00830250">
      <w:r>
        <w:separator/>
      </w:r>
    </w:p>
  </w:footnote>
  <w:footnote w:type="continuationSeparator" w:id="0">
    <w:p w14:paraId="1BCEEB00" w14:textId="77777777" w:rsidR="00830250" w:rsidRDefault="00830250">
      <w:r>
        <w:continuationSeparator/>
      </w:r>
    </w:p>
  </w:footnote>
  <w:footnote w:id="1">
    <w:p w14:paraId="00000113" w14:textId="77777777" w:rsidR="007F19E5" w:rsidRDefault="00D3120E">
      <w:pPr>
        <w:rPr>
          <w:sz w:val="20"/>
          <w:szCs w:val="20"/>
        </w:rPr>
      </w:pPr>
      <w:r>
        <w:rPr>
          <w:rStyle w:val="FootnoteReference"/>
        </w:rPr>
        <w:footnoteRef/>
      </w:r>
      <w:r>
        <w:rPr>
          <w:sz w:val="20"/>
          <w:szCs w:val="20"/>
        </w:rPr>
        <w:t xml:space="preserve"> https://www.gov.uk/government/publications/government-property-strategy-2022-2030#:~:text=The%20Government%20Property%20Strategy%202022,achieving%20better%20value%20for%20money.</w:t>
      </w:r>
    </w:p>
  </w:footnote>
  <w:footnote w:id="2">
    <w:p w14:paraId="00000114" w14:textId="77777777" w:rsidR="007F19E5" w:rsidRDefault="00D3120E">
      <w:pPr>
        <w:rPr>
          <w:sz w:val="20"/>
          <w:szCs w:val="20"/>
        </w:rPr>
      </w:pPr>
      <w:r>
        <w:rPr>
          <w:rStyle w:val="FootnoteReference"/>
        </w:rPr>
        <w:footnoteRef/>
      </w:r>
      <w:r>
        <w:rPr>
          <w:sz w:val="20"/>
          <w:szCs w:val="20"/>
        </w:rPr>
        <w:t xml:space="preserve"> https://www.gov.uk/service-manual/service-standard</w:t>
      </w:r>
    </w:p>
  </w:footnote>
  <w:footnote w:id="3">
    <w:p w14:paraId="00000115" w14:textId="77777777" w:rsidR="007F19E5" w:rsidRDefault="00D3120E">
      <w:pPr>
        <w:rPr>
          <w:sz w:val="20"/>
          <w:szCs w:val="20"/>
        </w:rPr>
      </w:pPr>
      <w:r>
        <w:rPr>
          <w:rStyle w:val="FootnoteReference"/>
        </w:rPr>
        <w:footnoteRef/>
      </w:r>
      <w:r>
        <w:rPr>
          <w:sz w:val="20"/>
          <w:szCs w:val="20"/>
        </w:rPr>
        <w:t xml:space="preserve"> https://www.gov.uk/service-manual/service-standard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6" w14:textId="77777777" w:rsidR="007F19E5" w:rsidRDefault="007F19E5">
    <w:pPr>
      <w:pBdr>
        <w:top w:val="nil"/>
        <w:left w:val="nil"/>
        <w:bottom w:val="nil"/>
        <w:right w:val="nil"/>
        <w:between w:val="nil"/>
      </w:pBdr>
      <w:tabs>
        <w:tab w:val="center" w:pos="4153"/>
        <w:tab w:val="right" w:pos="8306"/>
      </w:tabs>
      <w:jc w:val="center"/>
      <w:rPr>
        <w:rFonts w:eastAsia="Arial"/>
        <w:color w:val="000000"/>
        <w:sz w:val="20"/>
        <w:szCs w:val="20"/>
        <w:highlight w:val="yellow"/>
      </w:rPr>
    </w:pPr>
  </w:p>
  <w:p w14:paraId="51CD048B" w14:textId="77777777" w:rsidR="002A0B9D" w:rsidRDefault="002A0B9D" w:rsidP="002A0B9D">
    <w:pPr>
      <w:pBdr>
        <w:top w:val="nil"/>
        <w:left w:val="nil"/>
        <w:bottom w:val="nil"/>
        <w:right w:val="nil"/>
        <w:between w:val="nil"/>
      </w:pBdr>
      <w:tabs>
        <w:tab w:val="center" w:pos="4513"/>
        <w:tab w:val="right" w:pos="9026"/>
      </w:tabs>
      <w:rPr>
        <w:color w:val="000000"/>
      </w:rPr>
    </w:pPr>
    <w:r>
      <w:rPr>
        <w:rFonts w:eastAsia="Arial"/>
        <w:color w:val="000000"/>
        <w:sz w:val="20"/>
        <w:szCs w:val="20"/>
      </w:rPr>
      <w:t>Call-Off Schedule 20 (Call-Off Specification)</w:t>
    </w:r>
  </w:p>
  <w:p w14:paraId="41343B5D" w14:textId="77777777" w:rsidR="002A0B9D" w:rsidRDefault="002A0B9D" w:rsidP="002A0B9D">
    <w:pPr>
      <w:pBdr>
        <w:top w:val="nil"/>
        <w:left w:val="nil"/>
        <w:bottom w:val="nil"/>
        <w:right w:val="nil"/>
        <w:between w:val="nil"/>
      </w:pBdr>
      <w:tabs>
        <w:tab w:val="center" w:pos="4513"/>
        <w:tab w:val="right" w:pos="9026"/>
      </w:tabs>
      <w:rPr>
        <w:color w:val="000000"/>
      </w:rPr>
    </w:pPr>
    <w:r>
      <w:rPr>
        <w:rFonts w:eastAsia="Arial"/>
        <w:color w:val="000000"/>
        <w:sz w:val="20"/>
        <w:szCs w:val="20"/>
      </w:rPr>
      <w:t>Call-Off Ref: CCCC22A12</w:t>
    </w:r>
  </w:p>
  <w:p w14:paraId="0BD623B9" w14:textId="77777777" w:rsidR="002A0B9D" w:rsidRDefault="002A0B9D" w:rsidP="002A0B9D">
    <w:pPr>
      <w:pBdr>
        <w:top w:val="nil"/>
        <w:left w:val="nil"/>
        <w:bottom w:val="nil"/>
        <w:right w:val="nil"/>
        <w:between w:val="nil"/>
      </w:pBdr>
      <w:tabs>
        <w:tab w:val="center" w:pos="4513"/>
        <w:tab w:val="right" w:pos="9026"/>
      </w:tabs>
      <w:rPr>
        <w:color w:val="000000"/>
      </w:rPr>
    </w:pPr>
    <w:r>
      <w:rPr>
        <w:rFonts w:eastAsia="Arial"/>
        <w:color w:val="000000"/>
        <w:sz w:val="20"/>
        <w:szCs w:val="20"/>
      </w:rPr>
      <w:t>Crown Copyright 2018</w:t>
    </w:r>
  </w:p>
  <w:p w14:paraId="00000117" w14:textId="77777777" w:rsidR="007F19E5" w:rsidRDefault="007F19E5">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3CD"/>
    <w:multiLevelType w:val="multilevel"/>
    <w:tmpl w:val="144E6A3A"/>
    <w:lvl w:ilvl="0">
      <w:start w:val="1"/>
      <w:numFmt w:val="bullet"/>
      <w:pStyle w:val="SchHead"/>
      <w:lvlText w:val="●"/>
      <w:lvlJc w:val="left"/>
      <w:pPr>
        <w:ind w:left="720" w:hanging="360"/>
      </w:pPr>
      <w:rPr>
        <w:rFonts w:ascii="Noto Sans" w:eastAsia="Noto Sans" w:hAnsi="Noto Sans" w:cs="Noto Sans"/>
        <w:sz w:val="20"/>
        <w:szCs w:val="20"/>
      </w:rPr>
    </w:lvl>
    <w:lvl w:ilvl="1">
      <w:start w:val="1"/>
      <w:numFmt w:val="bullet"/>
      <w:pStyle w:val="SchPart"/>
      <w:lvlText w:val="o"/>
      <w:lvlJc w:val="left"/>
      <w:pPr>
        <w:ind w:left="1440" w:hanging="360"/>
      </w:pPr>
      <w:rPr>
        <w:rFonts w:ascii="Courier New" w:eastAsia="Courier New" w:hAnsi="Courier New" w:cs="Courier New"/>
        <w:sz w:val="20"/>
        <w:szCs w:val="20"/>
      </w:rPr>
    </w:lvl>
    <w:lvl w:ilvl="2">
      <w:start w:val="1"/>
      <w:numFmt w:val="bullet"/>
      <w:pStyle w:val="SchSection"/>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 w15:restartNumberingAfterBreak="0">
    <w:nsid w:val="03D82FE2"/>
    <w:multiLevelType w:val="multilevel"/>
    <w:tmpl w:val="42EE31D4"/>
    <w:lvl w:ilvl="0">
      <w:start w:val="1"/>
      <w:numFmt w:val="bullet"/>
      <w:pStyle w:val="BodyTextIndent"/>
      <w:lvlText w:val="●"/>
      <w:lvlJc w:val="left"/>
      <w:pPr>
        <w:ind w:left="720" w:hanging="360"/>
      </w:pPr>
      <w:rPr>
        <w:u w:val="none"/>
      </w:rPr>
    </w:lvl>
    <w:lvl w:ilvl="1">
      <w:start w:val="1"/>
      <w:numFmt w:val="bullet"/>
      <w:pStyle w:val="BodyTextIndent2"/>
      <w:lvlText w:val="○"/>
      <w:lvlJc w:val="left"/>
      <w:pPr>
        <w:ind w:left="1440" w:hanging="360"/>
      </w:pPr>
      <w:rPr>
        <w:u w:val="none"/>
      </w:rPr>
    </w:lvl>
    <w:lvl w:ilvl="2">
      <w:start w:val="1"/>
      <w:numFmt w:val="bullet"/>
      <w:pStyle w:val="DefinitionNumbering1"/>
      <w:lvlText w:val="■"/>
      <w:lvlJc w:val="left"/>
      <w:pPr>
        <w:ind w:left="2160" w:hanging="360"/>
      </w:pPr>
      <w:rPr>
        <w:u w:val="none"/>
      </w:rPr>
    </w:lvl>
    <w:lvl w:ilvl="3">
      <w:start w:val="1"/>
      <w:numFmt w:val="bullet"/>
      <w:pStyle w:val="DefinitionNumbering2"/>
      <w:lvlText w:val="●"/>
      <w:lvlJc w:val="left"/>
      <w:pPr>
        <w:ind w:left="2880" w:hanging="360"/>
      </w:pPr>
      <w:rPr>
        <w:u w:val="none"/>
      </w:rPr>
    </w:lvl>
    <w:lvl w:ilvl="4">
      <w:start w:val="1"/>
      <w:numFmt w:val="bullet"/>
      <w:pStyle w:val="DefinitionNumbering3"/>
      <w:lvlText w:val="○"/>
      <w:lvlJc w:val="left"/>
      <w:pPr>
        <w:ind w:left="3600" w:hanging="360"/>
      </w:pPr>
      <w:rPr>
        <w:u w:val="none"/>
      </w:rPr>
    </w:lvl>
    <w:lvl w:ilvl="5">
      <w:start w:val="1"/>
      <w:numFmt w:val="bullet"/>
      <w:pStyle w:val="DefinitionNumbering4"/>
      <w:lvlText w:val="■"/>
      <w:lvlJc w:val="left"/>
      <w:pPr>
        <w:ind w:left="4320" w:hanging="360"/>
      </w:pPr>
      <w:rPr>
        <w:u w:val="none"/>
      </w:rPr>
    </w:lvl>
    <w:lvl w:ilvl="6">
      <w:start w:val="1"/>
      <w:numFmt w:val="bullet"/>
      <w:pStyle w:val="DefinitionNumbering5"/>
      <w:lvlText w:val="●"/>
      <w:lvlJc w:val="left"/>
      <w:pPr>
        <w:ind w:left="5040" w:hanging="360"/>
      </w:pPr>
      <w:rPr>
        <w:u w:val="none"/>
      </w:rPr>
    </w:lvl>
    <w:lvl w:ilvl="7">
      <w:start w:val="1"/>
      <w:numFmt w:val="bullet"/>
      <w:pStyle w:val="DefinitionNumbering6"/>
      <w:lvlText w:val="○"/>
      <w:lvlJc w:val="left"/>
      <w:pPr>
        <w:ind w:left="5760" w:hanging="360"/>
      </w:pPr>
      <w:rPr>
        <w:u w:val="none"/>
      </w:rPr>
    </w:lvl>
    <w:lvl w:ilvl="8">
      <w:start w:val="1"/>
      <w:numFmt w:val="bullet"/>
      <w:pStyle w:val="DefinitionNumbering7"/>
      <w:lvlText w:val="■"/>
      <w:lvlJc w:val="left"/>
      <w:pPr>
        <w:ind w:left="6480" w:hanging="360"/>
      </w:pPr>
      <w:rPr>
        <w:u w:val="none"/>
      </w:rPr>
    </w:lvl>
  </w:abstractNum>
  <w:abstractNum w:abstractNumId="2" w15:restartNumberingAfterBreak="0">
    <w:nsid w:val="16056788"/>
    <w:multiLevelType w:val="multilevel"/>
    <w:tmpl w:val="257A3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BC64426"/>
    <w:multiLevelType w:val="multilevel"/>
    <w:tmpl w:val="33B2BC36"/>
    <w:lvl w:ilvl="0">
      <w:start w:val="1"/>
      <w:numFmt w:val="decimal"/>
      <w:lvlText w:val="%1."/>
      <w:lvlJc w:val="left"/>
      <w:pPr>
        <w:ind w:left="720" w:hanging="720"/>
      </w:pPr>
      <w:rPr>
        <w:smallCaps w:val="0"/>
      </w:rPr>
    </w:lvl>
    <w:lvl w:ilvl="1">
      <w:start w:val="1"/>
      <w:numFmt w:val="decimal"/>
      <w:lvlText w:val="%1.%2"/>
      <w:lvlJc w:val="left"/>
      <w:pPr>
        <w:ind w:left="3413" w:hanging="720"/>
      </w:pPr>
      <w:rPr>
        <w:smallCaps w:val="0"/>
        <w:sz w:val="24"/>
        <w:szCs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FE95D59"/>
    <w:multiLevelType w:val="multilevel"/>
    <w:tmpl w:val="D7603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F65656"/>
    <w:multiLevelType w:val="multilevel"/>
    <w:tmpl w:val="E56E6E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6F9253B"/>
    <w:multiLevelType w:val="multilevel"/>
    <w:tmpl w:val="1F16EAD2"/>
    <w:lvl w:ilvl="0">
      <w:start w:val="1"/>
      <w:numFmt w:val="bullet"/>
      <w:pStyle w:val="AppHead"/>
      <w:lvlText w:val="●"/>
      <w:lvlJc w:val="left"/>
      <w:pPr>
        <w:ind w:left="720" w:hanging="360"/>
      </w:pPr>
      <w:rPr>
        <w:rFonts w:ascii="Noto Sans" w:eastAsia="Noto Sans" w:hAnsi="Noto Sans" w:cs="Noto Sans"/>
        <w:sz w:val="20"/>
        <w:szCs w:val="20"/>
      </w:rPr>
    </w:lvl>
    <w:lvl w:ilvl="1">
      <w:start w:val="1"/>
      <w:numFmt w:val="bullet"/>
      <w:pStyle w:val="AppPar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7" w15:restartNumberingAfterBreak="0">
    <w:nsid w:val="465F69C2"/>
    <w:multiLevelType w:val="multilevel"/>
    <w:tmpl w:val="1310B7E2"/>
    <w:lvl w:ilvl="0">
      <w:start w:val="1"/>
      <w:numFmt w:val="decimal"/>
      <w:pStyle w:val="ListBullet1"/>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pStyle w:val="ListBullet3"/>
      <w:lvlText w:val="%3."/>
      <w:lvlJc w:val="left"/>
      <w:pPr>
        <w:tabs>
          <w:tab w:val="num" w:pos="2160"/>
        </w:tabs>
        <w:ind w:left="2160" w:hanging="720"/>
      </w:pPr>
    </w:lvl>
    <w:lvl w:ilvl="3">
      <w:start w:val="1"/>
      <w:numFmt w:val="decimal"/>
      <w:pStyle w:val="ListBullet4"/>
      <w:lvlText w:val="%4."/>
      <w:lvlJc w:val="left"/>
      <w:pPr>
        <w:tabs>
          <w:tab w:val="num" w:pos="2880"/>
        </w:tabs>
        <w:ind w:left="2880" w:hanging="720"/>
      </w:pPr>
    </w:lvl>
    <w:lvl w:ilvl="4">
      <w:start w:val="1"/>
      <w:numFmt w:val="decimal"/>
      <w:pStyle w:val="ListBullet5"/>
      <w:lvlText w:val="%5."/>
      <w:lvlJc w:val="left"/>
      <w:pPr>
        <w:tabs>
          <w:tab w:val="num" w:pos="3600"/>
        </w:tabs>
        <w:ind w:left="3600" w:hanging="720"/>
      </w:pPr>
    </w:lvl>
    <w:lvl w:ilvl="5">
      <w:start w:val="1"/>
      <w:numFmt w:val="decimal"/>
      <w:pStyle w:val="ListBullet6"/>
      <w:lvlText w:val="%6."/>
      <w:lvlJc w:val="left"/>
      <w:pPr>
        <w:tabs>
          <w:tab w:val="num" w:pos="4320"/>
        </w:tabs>
        <w:ind w:left="4320" w:hanging="720"/>
      </w:pPr>
    </w:lvl>
    <w:lvl w:ilvl="6">
      <w:start w:val="1"/>
      <w:numFmt w:val="decimal"/>
      <w:pStyle w:val="ListBullet7"/>
      <w:lvlText w:val="%7."/>
      <w:lvlJc w:val="left"/>
      <w:pPr>
        <w:tabs>
          <w:tab w:val="num" w:pos="5040"/>
        </w:tabs>
        <w:ind w:left="5040" w:hanging="720"/>
      </w:pPr>
    </w:lvl>
    <w:lvl w:ilvl="7">
      <w:start w:val="1"/>
      <w:numFmt w:val="decimal"/>
      <w:pStyle w:val="ListBullet8"/>
      <w:lvlText w:val="%8."/>
      <w:lvlJc w:val="left"/>
      <w:pPr>
        <w:tabs>
          <w:tab w:val="num" w:pos="5760"/>
        </w:tabs>
        <w:ind w:left="5760" w:hanging="720"/>
      </w:pPr>
    </w:lvl>
    <w:lvl w:ilvl="8">
      <w:start w:val="1"/>
      <w:numFmt w:val="decimal"/>
      <w:pStyle w:val="ListBullet9"/>
      <w:lvlText w:val="%9."/>
      <w:lvlJc w:val="left"/>
      <w:pPr>
        <w:tabs>
          <w:tab w:val="num" w:pos="6480"/>
        </w:tabs>
        <w:ind w:left="6480" w:hanging="720"/>
      </w:pPr>
    </w:lvl>
  </w:abstractNum>
  <w:abstractNum w:abstractNumId="8" w15:restartNumberingAfterBreak="0">
    <w:nsid w:val="576E6D6A"/>
    <w:multiLevelType w:val="multilevel"/>
    <w:tmpl w:val="8F74D358"/>
    <w:lvl w:ilvl="0">
      <w:start w:val="1"/>
      <w:numFmt w:val="bullet"/>
      <w:pStyle w:val="ScheduleL1"/>
      <w:lvlText w:val="●"/>
      <w:lvlJc w:val="left"/>
      <w:pPr>
        <w:ind w:left="720" w:hanging="360"/>
      </w:pPr>
      <w:rPr>
        <w:rFonts w:ascii="Noto Sans" w:eastAsia="Noto Sans" w:hAnsi="Noto Sans" w:cs="Noto Sans"/>
        <w:sz w:val="20"/>
        <w:szCs w:val="20"/>
      </w:rPr>
    </w:lvl>
    <w:lvl w:ilvl="1">
      <w:start w:val="1"/>
      <w:numFmt w:val="bullet"/>
      <w:pStyle w:val="ScheduleL2"/>
      <w:lvlText w:val="o"/>
      <w:lvlJc w:val="left"/>
      <w:pPr>
        <w:ind w:left="1440" w:hanging="360"/>
      </w:pPr>
      <w:rPr>
        <w:rFonts w:ascii="Courier New" w:eastAsia="Courier New" w:hAnsi="Courier New" w:cs="Courier New"/>
        <w:sz w:val="20"/>
        <w:szCs w:val="20"/>
      </w:rPr>
    </w:lvl>
    <w:lvl w:ilvl="2">
      <w:start w:val="1"/>
      <w:numFmt w:val="bullet"/>
      <w:pStyle w:val="ScheduleL3"/>
      <w:lvlText w:val="▪"/>
      <w:lvlJc w:val="left"/>
      <w:pPr>
        <w:ind w:left="2160" w:hanging="360"/>
      </w:pPr>
      <w:rPr>
        <w:rFonts w:ascii="Noto Sans" w:eastAsia="Noto Sans" w:hAnsi="Noto Sans" w:cs="Noto Sans"/>
        <w:sz w:val="20"/>
        <w:szCs w:val="20"/>
      </w:rPr>
    </w:lvl>
    <w:lvl w:ilvl="3">
      <w:start w:val="1"/>
      <w:numFmt w:val="bullet"/>
      <w:pStyle w:val="ScheduleL4"/>
      <w:lvlText w:val="▪"/>
      <w:lvlJc w:val="left"/>
      <w:pPr>
        <w:ind w:left="2880" w:hanging="360"/>
      </w:pPr>
      <w:rPr>
        <w:rFonts w:ascii="Noto Sans" w:eastAsia="Noto Sans" w:hAnsi="Noto Sans" w:cs="Noto Sans"/>
        <w:sz w:val="20"/>
        <w:szCs w:val="20"/>
      </w:rPr>
    </w:lvl>
    <w:lvl w:ilvl="4">
      <w:start w:val="1"/>
      <w:numFmt w:val="bullet"/>
      <w:pStyle w:val="ScheduleL5"/>
      <w:lvlText w:val="▪"/>
      <w:lvlJc w:val="left"/>
      <w:pPr>
        <w:ind w:left="3600" w:hanging="360"/>
      </w:pPr>
      <w:rPr>
        <w:rFonts w:ascii="Noto Sans" w:eastAsia="Noto Sans" w:hAnsi="Noto Sans" w:cs="Noto Sans"/>
        <w:sz w:val="20"/>
        <w:szCs w:val="20"/>
      </w:rPr>
    </w:lvl>
    <w:lvl w:ilvl="5">
      <w:start w:val="1"/>
      <w:numFmt w:val="bullet"/>
      <w:pStyle w:val="ScheduleL6"/>
      <w:lvlText w:val="▪"/>
      <w:lvlJc w:val="left"/>
      <w:pPr>
        <w:ind w:left="4320" w:hanging="360"/>
      </w:pPr>
      <w:rPr>
        <w:rFonts w:ascii="Noto Sans" w:eastAsia="Noto Sans" w:hAnsi="Noto Sans" w:cs="Noto Sans"/>
        <w:sz w:val="20"/>
        <w:szCs w:val="20"/>
      </w:rPr>
    </w:lvl>
    <w:lvl w:ilvl="6">
      <w:start w:val="1"/>
      <w:numFmt w:val="bullet"/>
      <w:pStyle w:val="ScheduleL7"/>
      <w:lvlText w:val="▪"/>
      <w:lvlJc w:val="left"/>
      <w:pPr>
        <w:ind w:left="5040" w:hanging="360"/>
      </w:pPr>
      <w:rPr>
        <w:rFonts w:ascii="Noto Sans" w:eastAsia="Noto Sans" w:hAnsi="Noto Sans" w:cs="Noto Sans"/>
        <w:sz w:val="20"/>
        <w:szCs w:val="20"/>
      </w:rPr>
    </w:lvl>
    <w:lvl w:ilvl="7">
      <w:start w:val="1"/>
      <w:numFmt w:val="bullet"/>
      <w:pStyle w:val="ScheduleL8"/>
      <w:lvlText w:val="▪"/>
      <w:lvlJc w:val="left"/>
      <w:pPr>
        <w:ind w:left="5760" w:hanging="360"/>
      </w:pPr>
      <w:rPr>
        <w:rFonts w:ascii="Noto Sans" w:eastAsia="Noto Sans" w:hAnsi="Noto Sans" w:cs="Noto Sans"/>
        <w:sz w:val="20"/>
        <w:szCs w:val="20"/>
      </w:rPr>
    </w:lvl>
    <w:lvl w:ilvl="8">
      <w:start w:val="1"/>
      <w:numFmt w:val="bullet"/>
      <w:pStyle w:val="ScheduleL9"/>
      <w:lvlText w:val="▪"/>
      <w:lvlJc w:val="left"/>
      <w:pPr>
        <w:ind w:left="6480" w:hanging="360"/>
      </w:pPr>
      <w:rPr>
        <w:rFonts w:ascii="Noto Sans" w:eastAsia="Noto Sans" w:hAnsi="Noto Sans" w:cs="Noto Sans"/>
        <w:sz w:val="20"/>
        <w:szCs w:val="20"/>
      </w:rPr>
    </w:lvl>
  </w:abstractNum>
  <w:abstractNum w:abstractNumId="9" w15:restartNumberingAfterBreak="0">
    <w:nsid w:val="682B7F13"/>
    <w:multiLevelType w:val="multilevel"/>
    <w:tmpl w:val="978EB3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6AC6CB8"/>
    <w:multiLevelType w:val="multilevel"/>
    <w:tmpl w:val="763EAE5E"/>
    <w:lvl w:ilvl="0">
      <w:start w:val="1"/>
      <w:numFmt w:val="bullet"/>
      <w:pStyle w:val="Heading1"/>
      <w:lvlText w:val="●"/>
      <w:lvlJc w:val="left"/>
      <w:pPr>
        <w:ind w:left="720" w:hanging="360"/>
      </w:pPr>
      <w:rPr>
        <w:rFonts w:ascii="Noto Sans" w:eastAsia="Noto Sans" w:hAnsi="Noto Sans" w:cs="Noto Sans"/>
        <w:sz w:val="20"/>
        <w:szCs w:val="20"/>
      </w:rPr>
    </w:lvl>
    <w:lvl w:ilvl="1">
      <w:start w:val="1"/>
      <w:numFmt w:val="bullet"/>
      <w:pStyle w:val="Heading2"/>
      <w:lvlText w:val="o"/>
      <w:lvlJc w:val="left"/>
      <w:pPr>
        <w:ind w:left="1440" w:hanging="360"/>
      </w:pPr>
      <w:rPr>
        <w:rFonts w:ascii="Courier New" w:eastAsia="Courier New" w:hAnsi="Courier New" w:cs="Courier New"/>
        <w:color w:val="auto"/>
        <w:sz w:val="20"/>
        <w:szCs w:val="20"/>
      </w:rPr>
    </w:lvl>
    <w:lvl w:ilvl="2">
      <w:start w:val="1"/>
      <w:numFmt w:val="bullet"/>
      <w:pStyle w:val="Heading3"/>
      <w:lvlText w:val="▪"/>
      <w:lvlJc w:val="left"/>
      <w:pPr>
        <w:ind w:left="2160" w:hanging="360"/>
      </w:pPr>
      <w:rPr>
        <w:rFonts w:ascii="Noto Sans" w:eastAsia="Noto Sans" w:hAnsi="Noto Sans" w:cs="Noto Sans"/>
        <w:sz w:val="20"/>
        <w:szCs w:val="20"/>
      </w:rPr>
    </w:lvl>
    <w:lvl w:ilvl="3">
      <w:start w:val="1"/>
      <w:numFmt w:val="bullet"/>
      <w:pStyle w:val="Heading4"/>
      <w:lvlText w:val="▪"/>
      <w:lvlJc w:val="left"/>
      <w:pPr>
        <w:ind w:left="2880" w:hanging="360"/>
      </w:pPr>
      <w:rPr>
        <w:rFonts w:ascii="Noto Sans" w:eastAsia="Noto Sans" w:hAnsi="Noto Sans" w:cs="Noto Sans"/>
        <w:sz w:val="20"/>
        <w:szCs w:val="20"/>
      </w:rPr>
    </w:lvl>
    <w:lvl w:ilvl="4">
      <w:start w:val="1"/>
      <w:numFmt w:val="bullet"/>
      <w:pStyle w:val="Heading5"/>
      <w:lvlText w:val="▪"/>
      <w:lvlJc w:val="left"/>
      <w:pPr>
        <w:ind w:left="3600" w:hanging="360"/>
      </w:pPr>
      <w:rPr>
        <w:rFonts w:ascii="Noto Sans" w:eastAsia="Noto Sans" w:hAnsi="Noto Sans" w:cs="Noto Sans"/>
        <w:sz w:val="20"/>
        <w:szCs w:val="20"/>
      </w:rPr>
    </w:lvl>
    <w:lvl w:ilvl="5">
      <w:start w:val="1"/>
      <w:numFmt w:val="bullet"/>
      <w:pStyle w:val="Heading6"/>
      <w:lvlText w:val="▪"/>
      <w:lvlJc w:val="left"/>
      <w:pPr>
        <w:ind w:left="4320" w:hanging="360"/>
      </w:pPr>
      <w:rPr>
        <w:rFonts w:ascii="Noto Sans" w:eastAsia="Noto Sans" w:hAnsi="Noto Sans" w:cs="Noto Sans"/>
        <w:sz w:val="20"/>
        <w:szCs w:val="20"/>
      </w:rPr>
    </w:lvl>
    <w:lvl w:ilvl="6">
      <w:start w:val="1"/>
      <w:numFmt w:val="bullet"/>
      <w:pStyle w:val="Heading7"/>
      <w:lvlText w:val="▪"/>
      <w:lvlJc w:val="left"/>
      <w:pPr>
        <w:ind w:left="5040" w:hanging="360"/>
      </w:pPr>
      <w:rPr>
        <w:rFonts w:ascii="Noto Sans" w:eastAsia="Noto Sans" w:hAnsi="Noto Sans" w:cs="Noto Sans"/>
        <w:sz w:val="20"/>
        <w:szCs w:val="20"/>
      </w:rPr>
    </w:lvl>
    <w:lvl w:ilvl="7">
      <w:start w:val="1"/>
      <w:numFmt w:val="bullet"/>
      <w:pStyle w:val="Heading8"/>
      <w:lvlText w:val="▪"/>
      <w:lvlJc w:val="left"/>
      <w:pPr>
        <w:ind w:left="5760" w:hanging="360"/>
      </w:pPr>
      <w:rPr>
        <w:rFonts w:ascii="Noto Sans" w:eastAsia="Noto Sans" w:hAnsi="Noto Sans" w:cs="Noto Sans"/>
        <w:sz w:val="20"/>
        <w:szCs w:val="20"/>
      </w:rPr>
    </w:lvl>
    <w:lvl w:ilvl="8">
      <w:start w:val="1"/>
      <w:numFmt w:val="bullet"/>
      <w:pStyle w:val="Heading9"/>
      <w:lvlText w:val="▪"/>
      <w:lvlJc w:val="left"/>
      <w:pPr>
        <w:ind w:left="6480" w:hanging="360"/>
      </w:pPr>
      <w:rPr>
        <w:rFonts w:ascii="Noto Sans" w:eastAsia="Noto Sans" w:hAnsi="Noto Sans" w:cs="Noto Sans"/>
        <w:sz w:val="20"/>
        <w:szCs w:val="20"/>
      </w:rPr>
    </w:lvl>
  </w:abstractNum>
  <w:abstractNum w:abstractNumId="11" w15:restartNumberingAfterBreak="0">
    <w:nsid w:val="7F233546"/>
    <w:multiLevelType w:val="multilevel"/>
    <w:tmpl w:val="0D548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0"/>
  </w:num>
  <w:num w:numId="3">
    <w:abstractNumId w:val="8"/>
  </w:num>
  <w:num w:numId="4">
    <w:abstractNumId w:val="6"/>
  </w:num>
  <w:num w:numId="5">
    <w:abstractNumId w:val="1"/>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 w:numId="24">
    <w:abstractNumId w:val="11"/>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E5"/>
    <w:rsid w:val="000D4853"/>
    <w:rsid w:val="001E7606"/>
    <w:rsid w:val="00211094"/>
    <w:rsid w:val="002A0B9D"/>
    <w:rsid w:val="003D6BEF"/>
    <w:rsid w:val="007F19E5"/>
    <w:rsid w:val="007F3696"/>
    <w:rsid w:val="00830250"/>
    <w:rsid w:val="00BC1C78"/>
    <w:rsid w:val="00D3120E"/>
    <w:rsid w:val="00D43281"/>
    <w:rsid w:val="00E81921"/>
    <w:rsid w:val="00E8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8A04"/>
  <w15:docId w15:val="{52E2B0BE-CC08-4611-8049-5BB757BC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uiPriority w:val="39"/>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TableGrid10">
    <w:name w:val="Table Grid1"/>
    <w:basedOn w:val="TableNormal"/>
    <w:next w:val="TableGrid"/>
    <w:uiPriority w:val="59"/>
    <w:rsid w:val="00211094"/>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pims.cabinetoffice.gov.uk/government-property-finder/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mGz+L+mY8igz53aGidJJv+j90Q==">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4203</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2023-03-06T16:58:00Z</dcterms:created>
  <dcterms:modified xsi:type="dcterms:W3CDTF">2023-03-06T16:58:00Z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