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2D8" w:rsidRDefault="009612D8" w:rsidP="009612D8">
      <w:pPr>
        <w:jc w:val="center"/>
        <w:rPr>
          <w:b/>
        </w:rPr>
      </w:pPr>
    </w:p>
    <w:p w:rsidR="00731E9D" w:rsidRDefault="0074072E" w:rsidP="00B21EE8">
      <w:pPr>
        <w:jc w:val="center"/>
      </w:pPr>
      <w:r>
        <w:rPr>
          <w:rFonts w:cs="Arial"/>
          <w:bCs/>
          <w:noProof/>
          <w:lang w:eastAsia="en-GB"/>
        </w:rPr>
        <w:drawing>
          <wp:anchor distT="0" distB="0" distL="114300" distR="114300" simplePos="0" relativeHeight="251730944" behindDoc="0" locked="0" layoutInCell="1" allowOverlap="1" wp14:anchorId="53D3AB21" wp14:editId="7A58E6A1">
            <wp:simplePos x="0" y="0"/>
            <wp:positionH relativeFrom="column">
              <wp:posOffset>3241675</wp:posOffset>
            </wp:positionH>
            <wp:positionV relativeFrom="paragraph">
              <wp:posOffset>-503555</wp:posOffset>
            </wp:positionV>
            <wp:extent cx="2939810" cy="405441"/>
            <wp:effectExtent l="19050" t="0" r="0" b="0"/>
            <wp:wrapNone/>
            <wp:docPr id="1" name="Picture 8" descr="C:\Documents and Settings\colin.cairns\My Documents\My Pictures\GWH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colin.cairns\My Documents\My Pictures\GWH logo colour.JPG"/>
                    <pic:cNvPicPr>
                      <a:picLocks noChangeAspect="1" noChangeArrowheads="1"/>
                    </pic:cNvPicPr>
                  </pic:nvPicPr>
                  <pic:blipFill>
                    <a:blip r:embed="rId10"/>
                    <a:srcRect/>
                    <a:stretch>
                      <a:fillRect/>
                    </a:stretch>
                  </pic:blipFill>
                  <pic:spPr bwMode="auto">
                    <a:xfrm>
                      <a:off x="0" y="0"/>
                      <a:ext cx="2939810" cy="405441"/>
                    </a:xfrm>
                    <a:prstGeom prst="rect">
                      <a:avLst/>
                    </a:prstGeom>
                    <a:noFill/>
                    <a:ln w="9525">
                      <a:noFill/>
                      <a:miter lim="800000"/>
                      <a:headEnd/>
                      <a:tailEnd/>
                    </a:ln>
                  </pic:spPr>
                </pic:pic>
              </a:graphicData>
            </a:graphic>
          </wp:anchor>
        </w:drawing>
      </w:r>
    </w:p>
    <w:p w:rsidR="00715437" w:rsidRDefault="00715437" w:rsidP="00715437">
      <w:pPr>
        <w:jc w:val="center"/>
        <w:rPr>
          <w:b/>
        </w:rPr>
      </w:pPr>
    </w:p>
    <w:p w:rsidR="00715437" w:rsidRDefault="00715437" w:rsidP="00715437">
      <w:pPr>
        <w:jc w:val="center"/>
        <w:rPr>
          <w:b/>
        </w:rPr>
      </w:pPr>
      <w:r>
        <w:rPr>
          <w:b/>
        </w:rPr>
        <w:t xml:space="preserve">INVITATION TO TENDER FOR </w:t>
      </w:r>
    </w:p>
    <w:p w:rsidR="00715437" w:rsidRDefault="00715437" w:rsidP="00715437">
      <w:pPr>
        <w:jc w:val="center"/>
        <w:rPr>
          <w:b/>
        </w:rPr>
      </w:pPr>
      <w:r>
        <w:rPr>
          <w:b/>
        </w:rPr>
        <w:t>BELOW-THRESHOLD PROCUREMENTS</w:t>
      </w:r>
    </w:p>
    <w:p w:rsidR="00715437" w:rsidRDefault="00715437" w:rsidP="00715437">
      <w:pPr>
        <w:jc w:val="center"/>
        <w:rPr>
          <w:b/>
        </w:rPr>
      </w:pPr>
      <w:r>
        <w:rPr>
          <w:b/>
        </w:rPr>
        <w:t xml:space="preserve">SECTION B: TENDER SCHEDULES </w:t>
      </w:r>
    </w:p>
    <w:p w:rsidR="00715437" w:rsidRDefault="00715437" w:rsidP="00715437">
      <w:pPr>
        <w:jc w:val="center"/>
        <w:rPr>
          <w:b/>
        </w:rPr>
      </w:pPr>
      <w:r>
        <w:rPr>
          <w:b/>
        </w:rPr>
        <w:t xml:space="preserve"> TO BE COMPLETED AND</w:t>
      </w:r>
      <w:bookmarkStart w:id="0" w:name="_GoBack"/>
      <w:bookmarkEnd w:id="0"/>
      <w:r>
        <w:rPr>
          <w:b/>
        </w:rPr>
        <w:t xml:space="preserve"> RETURNED BY BIDDERS</w:t>
      </w:r>
    </w:p>
    <w:p w:rsidR="00731E9D" w:rsidRDefault="00731E9D" w:rsidP="00715437">
      <w:pPr>
        <w:pStyle w:val="Heading2"/>
        <w:numPr>
          <w:ilvl w:val="0"/>
          <w:numId w:val="0"/>
        </w:numPr>
        <w:jc w:val="center"/>
      </w:pPr>
    </w:p>
    <w:p w:rsidR="00731E9D" w:rsidRDefault="00731E9D" w:rsidP="00731E9D">
      <w:pPr>
        <w:pStyle w:val="Heading2"/>
        <w:numPr>
          <w:ilvl w:val="0"/>
          <w:numId w:val="0"/>
        </w:numPr>
        <w:jc w:val="center"/>
      </w:pPr>
    </w:p>
    <w:p w:rsidR="00731E9D" w:rsidRDefault="0074072E" w:rsidP="00731E9D">
      <w:pPr>
        <w:pStyle w:val="Heading2"/>
        <w:numPr>
          <w:ilvl w:val="0"/>
          <w:numId w:val="0"/>
        </w:numPr>
        <w:jc w:val="center"/>
      </w:pPr>
      <w:r>
        <w:t>Great Western Hospital NHS Foundation Trust</w:t>
      </w:r>
    </w:p>
    <w:p w:rsidR="00731E9D" w:rsidRDefault="00731E9D" w:rsidP="00731E9D">
      <w:pPr>
        <w:pStyle w:val="Heading2"/>
        <w:numPr>
          <w:ilvl w:val="0"/>
          <w:numId w:val="0"/>
        </w:numPr>
        <w:jc w:val="center"/>
      </w:pPr>
    </w:p>
    <w:p w:rsidR="00731E9D" w:rsidRPr="00177FB3" w:rsidRDefault="00731E9D" w:rsidP="00731E9D">
      <w:pPr>
        <w:pStyle w:val="Heading2"/>
        <w:numPr>
          <w:ilvl w:val="0"/>
          <w:numId w:val="0"/>
        </w:numPr>
        <w:jc w:val="center"/>
      </w:pPr>
      <w:r>
        <w:t xml:space="preserve">Invitation to tender for the </w:t>
      </w:r>
      <w:r w:rsidR="0074072E" w:rsidRPr="00715437">
        <w:t>provision of External</w:t>
      </w:r>
      <w:r w:rsidR="00E6584D" w:rsidRPr="00715437">
        <w:t xml:space="preserve"> Clinically Led</w:t>
      </w:r>
      <w:r w:rsidR="0074072E" w:rsidRPr="00715437">
        <w:t xml:space="preserve"> Review of Diabetes Service</w:t>
      </w:r>
      <w:r w:rsidR="0074072E" w:rsidRPr="00177FB3">
        <w:t xml:space="preserve"> </w:t>
      </w: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A04003" w:rsidRDefault="00A04003" w:rsidP="00A04003">
      <w:pPr>
        <w:pStyle w:val="Heading2"/>
        <w:numPr>
          <w:ilvl w:val="0"/>
          <w:numId w:val="0"/>
        </w:numPr>
        <w:jc w:val="center"/>
        <w:rPr>
          <w:shd w:val="clear" w:color="auto" w:fill="FFFF66"/>
        </w:rPr>
      </w:pPr>
      <w:r>
        <w:t>Date of advertisement on Contract Finder</w:t>
      </w:r>
      <w:r w:rsidR="00731E9D">
        <w:t xml:space="preserve">:  </w:t>
      </w:r>
      <w:r w:rsidR="00715437">
        <w:t>1</w:t>
      </w:r>
      <w:r w:rsidR="00715437" w:rsidRPr="00715437">
        <w:rPr>
          <w:vertAlign w:val="superscript"/>
        </w:rPr>
        <w:t>st</w:t>
      </w:r>
      <w:r w:rsidR="00715437">
        <w:t xml:space="preserve"> July 2015</w:t>
      </w:r>
    </w:p>
    <w:p w:rsidR="00A04003" w:rsidRDefault="00A04003" w:rsidP="00A04003">
      <w:pPr>
        <w:pStyle w:val="Heading2"/>
        <w:numPr>
          <w:ilvl w:val="0"/>
          <w:numId w:val="0"/>
        </w:numPr>
        <w:jc w:val="center"/>
        <w:rPr>
          <w:shd w:val="clear" w:color="auto" w:fill="FFFF66"/>
        </w:rPr>
      </w:pPr>
    </w:p>
    <w:p w:rsidR="00731E9D" w:rsidRDefault="00A04003" w:rsidP="00A04003">
      <w:pPr>
        <w:pStyle w:val="Heading2"/>
        <w:numPr>
          <w:ilvl w:val="0"/>
          <w:numId w:val="0"/>
        </w:numPr>
        <w:jc w:val="center"/>
      </w:pPr>
      <w:r w:rsidRPr="00A04003">
        <w:t xml:space="preserve">Authority's reference number: </w:t>
      </w:r>
      <w:r w:rsidR="00715437">
        <w:t>RN3/</w:t>
      </w:r>
      <w:r w:rsidR="00FE7CDA">
        <w:t>001428/07</w:t>
      </w:r>
      <w:r w:rsidR="00715437">
        <w:t>/15</w:t>
      </w: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r>
        <w:t xml:space="preserve">Deadline for Tenders to be received:  </w:t>
      </w:r>
      <w:r w:rsidR="00715437">
        <w:t xml:space="preserve">13:00 </w:t>
      </w:r>
      <w:r w:rsidR="00FE7CDA">
        <w:t>21st</w:t>
      </w:r>
      <w:r w:rsidR="00715437">
        <w:t xml:space="preserve"> July 2015</w:t>
      </w: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1" w:name="_Toc403575413"/>
      <w:bookmarkStart w:id="2" w:name="_Toc403644308"/>
      <w:bookmarkStart w:id="3" w:name="_Toc403557261"/>
      <w:bookmarkStart w:id="4" w:name="_Toc403557357"/>
      <w:bookmarkStart w:id="5" w:name="_Toc403567320"/>
      <w:bookmarkStart w:id="6" w:name="_Toc403567450"/>
      <w:bookmarkStart w:id="7" w:name="_Toc403573346"/>
      <w:r>
        <w:t>TABLE OF CONTENTS</w:t>
      </w:r>
      <w:bookmarkEnd w:id="1"/>
      <w:bookmarkEnd w:id="2"/>
    </w:p>
    <w:bookmarkStart w:id="8"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7820AD">
          <w:rPr>
            <w:noProof/>
            <w:webHidden/>
          </w:rPr>
          <w:t>1</w:t>
        </w:r>
        <w:r>
          <w:rPr>
            <w:noProof/>
            <w:webHidden/>
          </w:rPr>
          <w:fldChar w:fldCharType="end"/>
        </w:r>
      </w:hyperlink>
    </w:p>
    <w:p w:rsidR="007A6CEC" w:rsidRDefault="00810B2A">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7820AD">
          <w:rPr>
            <w:noProof/>
            <w:webHidden/>
          </w:rPr>
          <w:t>11</w:t>
        </w:r>
        <w:r w:rsidR="007A6CEC">
          <w:rPr>
            <w:noProof/>
            <w:webHidden/>
          </w:rPr>
          <w:fldChar w:fldCharType="end"/>
        </w:r>
      </w:hyperlink>
    </w:p>
    <w:p w:rsidR="007A6CEC" w:rsidRDefault="00810B2A">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7820AD">
          <w:rPr>
            <w:noProof/>
            <w:webHidden/>
          </w:rPr>
          <w:t>17</w:t>
        </w:r>
        <w:r w:rsidR="007A6CEC">
          <w:rPr>
            <w:noProof/>
            <w:webHidden/>
          </w:rPr>
          <w:fldChar w:fldCharType="end"/>
        </w:r>
      </w:hyperlink>
    </w:p>
    <w:p w:rsidR="007A6CEC" w:rsidRDefault="00810B2A">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7820AD">
          <w:rPr>
            <w:noProof/>
            <w:webHidden/>
          </w:rPr>
          <w:t>18</w:t>
        </w:r>
        <w:r w:rsidR="007A6CEC">
          <w:rPr>
            <w:noProof/>
            <w:webHidden/>
          </w:rPr>
          <w:fldChar w:fldCharType="end"/>
        </w:r>
      </w:hyperlink>
    </w:p>
    <w:p w:rsidR="007A6CEC" w:rsidRDefault="00810B2A">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7820AD">
          <w:rPr>
            <w:noProof/>
            <w:webHidden/>
          </w:rPr>
          <w:t>20</w:t>
        </w:r>
        <w:r w:rsidR="007A6CEC">
          <w:rPr>
            <w:noProof/>
            <w:webHidden/>
          </w:rPr>
          <w:fldChar w:fldCharType="end"/>
        </w:r>
      </w:hyperlink>
    </w:p>
    <w:p w:rsidR="007A6CEC" w:rsidRDefault="00810B2A">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7820AD">
          <w:rPr>
            <w:noProof/>
            <w:webHidden/>
          </w:rPr>
          <w:t>21</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1"/>
          <w:footerReference w:type="first" r:id="rId12"/>
          <w:type w:val="continuous"/>
          <w:pgSz w:w="11907" w:h="16840" w:code="9"/>
          <w:pgMar w:top="1418" w:right="1418" w:bottom="1418" w:left="1418" w:header="709" w:footer="567" w:gutter="0"/>
          <w:pgNumType w:start="1"/>
          <w:cols w:space="708"/>
          <w:titlePg/>
          <w:docGrid w:linePitch="360"/>
        </w:sectPr>
      </w:pPr>
    </w:p>
    <w:p w:rsidR="00731E9D" w:rsidRPr="00061A7F" w:rsidRDefault="009612D8" w:rsidP="00DD5B00">
      <w:pPr>
        <w:pStyle w:val="DH"/>
      </w:pPr>
      <w:bookmarkStart w:id="9" w:name="_Toc406659025"/>
      <w:bookmarkStart w:id="10" w:name="_Toc413145495"/>
      <w:bookmarkStart w:id="11" w:name="_Toc403644309"/>
      <w:r w:rsidRPr="00F75E9C">
        <w:lastRenderedPageBreak/>
        <w:t>ANNEX B</w:t>
      </w:r>
      <w:bookmarkEnd w:id="3"/>
      <w:r w:rsidRPr="00F75E9C">
        <w:t>1</w:t>
      </w:r>
      <w:r w:rsidR="00061A7F">
        <w:br/>
      </w:r>
      <w:r w:rsidR="00731E9D" w:rsidRPr="003F0440">
        <w:t>ELIGIBILITY QUESTIONS AND RESPONSES</w:t>
      </w:r>
      <w:bookmarkStart w:id="12" w:name="annexbone"/>
      <w:bookmarkEnd w:id="9"/>
      <w:bookmarkEnd w:id="10"/>
      <w:bookmarkEnd w:id="12"/>
    </w:p>
    <w:p w:rsidR="00DD5B00" w:rsidRPr="00483D8C" w:rsidRDefault="00DD5B00" w:rsidP="00DD5B00">
      <w:pPr>
        <w:rPr>
          <w:rFonts w:cs="Arial"/>
        </w:rPr>
      </w:pPr>
      <w:bookmarkStart w:id="13"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Questions, the Authority will mark</w:t>
      </w:r>
      <w:r w:rsidR="00ED3917">
        <w:rPr>
          <w:rFonts w:eastAsia="Arial" w:cs="Arial"/>
        </w:rPr>
        <w:t xml:space="preserve"> </w:t>
      </w:r>
      <w:r w:rsidRPr="00ED3917">
        <w:rPr>
          <w:rFonts w:eastAsia="Arial" w:cs="Arial"/>
        </w:rPr>
        <w:t>Annex B2 (Specification) and</w:t>
      </w:r>
      <w:r>
        <w:rPr>
          <w:rFonts w:eastAsia="Arial" w:cs="Arial"/>
        </w:rPr>
        <w:t xml:space="preserve"> 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4. Please ensure that all questions are completed in full, and in the format requested. Failure to do so may result in your submission being disqualified. </w:t>
      </w:r>
      <w:proofErr w:type="gramStart"/>
      <w:r w:rsidRPr="00483D8C">
        <w:rPr>
          <w:rFonts w:eastAsia="Arial" w:cs="Arial"/>
        </w:rPr>
        <w:t>If the question does not apply to you, please state clearly ‘N/A’.</w:t>
      </w:r>
      <w:proofErr w:type="gramEnd"/>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ED3917" w:rsidRDefault="00ED3917" w:rsidP="00DD5B00">
      <w:pPr>
        <w:ind w:right="-332"/>
        <w:rPr>
          <w:rFonts w:eastAsia="Arial" w:cs="Arial"/>
        </w:rPr>
      </w:pPr>
    </w:p>
    <w:p w:rsidR="00ED3917" w:rsidRDefault="00ED3917" w:rsidP="00DD5B00">
      <w:pPr>
        <w:ind w:right="-332"/>
        <w:rPr>
          <w:rFonts w:eastAsia="Arial" w:cs="Arial"/>
        </w:rPr>
      </w:pPr>
    </w:p>
    <w:p w:rsidR="00DD5B00" w:rsidRPr="00483D8C" w:rsidRDefault="00DD5B00" w:rsidP="00DD5B00">
      <w:pPr>
        <w:ind w:right="-333"/>
        <w:rPr>
          <w:rFonts w:cs="Arial"/>
        </w:rPr>
      </w:pPr>
      <w:r w:rsidRPr="00483D8C">
        <w:rPr>
          <w:rFonts w:eastAsia="Arial" w:cs="Arial"/>
          <w:b/>
          <w:u w:val="single"/>
        </w:rPr>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ED3917" w:rsidRDefault="00ED3917">
      <w:pPr>
        <w:spacing w:after="240"/>
        <w:jc w:val="left"/>
        <w:rPr>
          <w:rFonts w:eastAsia="Arial" w:cs="Arial"/>
          <w:b/>
          <w:u w:val="single"/>
        </w:rPr>
      </w:pPr>
      <w:r>
        <w:rPr>
          <w:rFonts w:eastAsia="Arial" w:cs="Arial"/>
          <w:b/>
          <w:u w:val="single"/>
        </w:rPr>
        <w:br w:type="page"/>
      </w:r>
    </w:p>
    <w:p w:rsidR="00DD5B00" w:rsidRPr="00483D8C" w:rsidRDefault="00DD5B00" w:rsidP="00DD5B00">
      <w:pPr>
        <w:ind w:right="-333"/>
        <w:rPr>
          <w:rFonts w:cs="Arial"/>
        </w:rPr>
      </w:pPr>
      <w:r w:rsidRPr="00483D8C">
        <w:rPr>
          <w:rFonts w:eastAsia="Arial" w:cs="Arial"/>
          <w:b/>
          <w:u w:val="single"/>
        </w:rPr>
        <w:lastRenderedPageBreak/>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362B6F">
      <w:pPr>
        <w:numPr>
          <w:ilvl w:val="0"/>
          <w:numId w:val="36"/>
        </w:numPr>
        <w:ind w:right="-332" w:hanging="358"/>
        <w:contextualSpacing/>
        <w:rPr>
          <w:rFonts w:cs="Arial"/>
        </w:rPr>
      </w:pPr>
      <w:r w:rsidRPr="00483D8C">
        <w:rPr>
          <w:rFonts w:eastAsia="Arial" w:cs="Arial"/>
        </w:rPr>
        <w:t>names of all consortium members;</w:t>
      </w:r>
    </w:p>
    <w:p w:rsidR="00DD5B00" w:rsidRPr="00483D8C" w:rsidRDefault="00DD5B00" w:rsidP="00362B6F">
      <w:pPr>
        <w:numPr>
          <w:ilvl w:val="0"/>
          <w:numId w:val="36"/>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362B6F">
      <w:pPr>
        <w:numPr>
          <w:ilvl w:val="0"/>
          <w:numId w:val="36"/>
        </w:numPr>
        <w:ind w:right="-332" w:hanging="358"/>
        <w:contextualSpacing/>
        <w:rPr>
          <w:rFonts w:cs="Arial"/>
        </w:rPr>
      </w:pPr>
      <w:proofErr w:type="gramStart"/>
      <w:r w:rsidRPr="00483D8C">
        <w:rPr>
          <w:rFonts w:eastAsia="Arial" w:cs="Arial"/>
        </w:rPr>
        <w:t>if</w:t>
      </w:r>
      <w:proofErr w:type="gramEnd"/>
      <w:r w:rsidRPr="00483D8C">
        <w:rPr>
          <w:rFonts w:eastAsia="Arial" w:cs="Arial"/>
        </w:rPr>
        <w:t xml:space="preserve">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715437" w:rsidRDefault="00715437">
      <w:pPr>
        <w:spacing w:after="240"/>
        <w:jc w:val="left"/>
        <w:rPr>
          <w:rFonts w:eastAsia="Arial" w:cs="Arial"/>
          <w:b/>
          <w:color w:val="000000"/>
          <w:shd w:val="clear" w:color="auto" w:fill="DBE5F1"/>
          <w:lang w:eastAsia="en-GB"/>
        </w:rPr>
      </w:pPr>
      <w:bookmarkStart w:id="14" w:name="h.gjdgxs" w:colFirst="0" w:colLast="0"/>
      <w:bookmarkEnd w:id="14"/>
      <w:r>
        <w:rPr>
          <w:rFonts w:eastAsia="Arial" w:cs="Arial"/>
          <w:b/>
          <w:color w:val="000000"/>
          <w:shd w:val="clear" w:color="auto" w:fill="DBE5F1"/>
        </w:rPr>
        <w:br w:type="page"/>
      </w:r>
    </w:p>
    <w:p w:rsidR="00DD5B00" w:rsidRPr="00726EC6" w:rsidRDefault="00DD5B00" w:rsidP="00DD5B00">
      <w:pPr>
        <w:pStyle w:val="Heading2"/>
        <w:numPr>
          <w:ilvl w:val="0"/>
          <w:numId w:val="0"/>
        </w:numPr>
        <w:ind w:left="851" w:hanging="851"/>
        <w:rPr>
          <w:rFonts w:eastAsia="Arial" w:cs="Arial"/>
          <w:b/>
          <w:color w:val="000000"/>
          <w:shd w:val="clear" w:color="auto" w:fill="DBE5F1"/>
        </w:rPr>
      </w:pPr>
      <w:r w:rsidRPr="00726EC6">
        <w:rPr>
          <w:rFonts w:eastAsia="Arial" w:cs="Arial"/>
          <w:b/>
          <w:color w:val="000000"/>
          <w:shd w:val="clear" w:color="auto" w:fill="DBE5F1"/>
        </w:rPr>
        <w:lastRenderedPageBreak/>
        <w:t>1 - Supplier information</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8"/>
        <w:gridCol w:w="2053"/>
        <w:gridCol w:w="337"/>
        <w:gridCol w:w="3547"/>
      </w:tblGrid>
      <w:tr w:rsidR="00DD5B00" w:rsidRPr="006B0D45" w:rsidTr="00157F9F">
        <w:trPr>
          <w:trHeight w:val="340"/>
        </w:trPr>
        <w:tc>
          <w:tcPr>
            <w:tcW w:w="1796" w:type="pct"/>
          </w:tcPr>
          <w:p w:rsidR="00DD5B00" w:rsidRPr="006B0D45" w:rsidRDefault="00DD5B00" w:rsidP="00157F9F">
            <w:pPr>
              <w:rPr>
                <w:rFonts w:cs="Arial"/>
              </w:rPr>
            </w:pPr>
            <w:r w:rsidRPr="006B0D45">
              <w:rPr>
                <w:rFonts w:eastAsia="Arial" w:cs="Arial"/>
                <w:b/>
              </w:rPr>
              <w:t>1.1 Supplier details</w:t>
            </w:r>
          </w:p>
        </w:tc>
        <w:tc>
          <w:tcPr>
            <w:tcW w:w="3204" w:type="pct"/>
            <w:gridSpan w:val="3"/>
          </w:tcPr>
          <w:p w:rsidR="00DD5B00" w:rsidRPr="006B0D45" w:rsidRDefault="00DD5B00" w:rsidP="00157F9F">
            <w:pPr>
              <w:jc w:val="center"/>
              <w:rPr>
                <w:rFonts w:cs="Arial"/>
              </w:rPr>
            </w:pPr>
            <w:r w:rsidRPr="006B0D45">
              <w:rPr>
                <w:rFonts w:eastAsia="Arial" w:cs="Arial"/>
                <w:b/>
              </w:rPr>
              <w:t>Answer</w:t>
            </w:r>
          </w:p>
        </w:tc>
      </w:tr>
      <w:tr w:rsidR="00DD5B00" w:rsidRPr="006B0D45" w:rsidTr="00157F9F">
        <w:trPr>
          <w:trHeight w:val="680"/>
        </w:trPr>
        <w:tc>
          <w:tcPr>
            <w:tcW w:w="1796" w:type="pct"/>
          </w:tcPr>
          <w:p w:rsidR="00DD5B00" w:rsidRPr="006B0D45" w:rsidRDefault="00DD5B00" w:rsidP="00157F9F">
            <w:pPr>
              <w:spacing w:before="60"/>
              <w:rPr>
                <w:rFonts w:cs="Arial"/>
              </w:rPr>
            </w:pPr>
            <w:r w:rsidRPr="006B0D45">
              <w:rPr>
                <w:rFonts w:eastAsia="Arial" w:cs="Arial"/>
              </w:rPr>
              <w:t>Full name of the Supplier completing this Annex B1</w:t>
            </w:r>
          </w:p>
        </w:tc>
        <w:tc>
          <w:tcPr>
            <w:tcW w:w="3204" w:type="pct"/>
            <w:gridSpan w:val="3"/>
          </w:tcPr>
          <w:p w:rsidR="00DD5B00" w:rsidRPr="006B0D45" w:rsidRDefault="00DD5B00" w:rsidP="00157F9F">
            <w:pPr>
              <w:rPr>
                <w:rFonts w:cs="Arial"/>
              </w:rPr>
            </w:pPr>
          </w:p>
        </w:tc>
      </w:tr>
      <w:tr w:rsidR="00DD5B00" w:rsidRPr="006B0D45" w:rsidTr="00157F9F">
        <w:trPr>
          <w:trHeight w:val="560"/>
        </w:trPr>
        <w:tc>
          <w:tcPr>
            <w:tcW w:w="1796" w:type="pct"/>
          </w:tcPr>
          <w:p w:rsidR="00DD5B00" w:rsidRPr="006B0D45" w:rsidRDefault="00DD5B00" w:rsidP="00157F9F">
            <w:pPr>
              <w:spacing w:before="60"/>
              <w:rPr>
                <w:rFonts w:cs="Arial"/>
              </w:rPr>
            </w:pPr>
            <w:r w:rsidRPr="006B0D45">
              <w:rPr>
                <w:rFonts w:eastAsia="Arial" w:cs="Arial"/>
              </w:rPr>
              <w:t>Registered company address</w:t>
            </w:r>
          </w:p>
        </w:tc>
        <w:tc>
          <w:tcPr>
            <w:tcW w:w="3204" w:type="pct"/>
            <w:gridSpan w:val="3"/>
          </w:tcPr>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Registered company number</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Registered charity number</w:t>
            </w:r>
          </w:p>
          <w:p w:rsidR="00DD5B00" w:rsidRPr="006B0D45" w:rsidRDefault="00DD5B00" w:rsidP="00157F9F">
            <w:pPr>
              <w:rPr>
                <w:rFonts w:cs="Arial"/>
              </w:rPr>
            </w:pP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Registered VAT number</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Name of immediate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Name of ultimate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rPr>
          <w:trHeight w:val="400"/>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rPr>
              <w:t>Please mark ‘X’ in the relevant box to indicate your trading status</w:t>
            </w:r>
          </w:p>
          <w:p w:rsidR="00DD5B00" w:rsidRPr="006B0D45" w:rsidRDefault="00DD5B00" w:rsidP="00157F9F">
            <w:pPr>
              <w:rPr>
                <w:rFonts w:cs="Arial"/>
              </w:rPr>
            </w:pPr>
          </w:p>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roofErr w:type="spellStart"/>
            <w:r w:rsidRPr="006B0D45">
              <w:rPr>
                <w:rFonts w:eastAsia="Arial" w:cs="Arial"/>
              </w:rPr>
              <w:t>i</w:t>
            </w:r>
            <w:proofErr w:type="spellEnd"/>
            <w:r w:rsidRPr="006B0D45">
              <w:rPr>
                <w:rFonts w:eastAsia="Arial" w:cs="Arial"/>
              </w:rPr>
              <w:t xml:space="preserve">) a public limited company                    </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4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ii) a limited company</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iii) a limited liability partnership</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iv) other partnership</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30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v) sole trader</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vi) other (please specify)</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rPr>
              <w:t>Please mark ‘X’ in the relevant boxes to indicate whether any of the following classifications apply to you</w:t>
            </w:r>
          </w:p>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roofErr w:type="spellStart"/>
            <w:r w:rsidRPr="006B0D45">
              <w:rPr>
                <w:rFonts w:eastAsia="Arial" w:cs="Arial"/>
              </w:rPr>
              <w:t>i</w:t>
            </w:r>
            <w:proofErr w:type="spellEnd"/>
            <w:r w:rsidRPr="006B0D45">
              <w:rPr>
                <w:rFonts w:eastAsia="Arial" w:cs="Arial"/>
              </w:rPr>
              <w:t>)Voluntary, Community and Social Enterprise (VCSE)</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 xml:space="preserve">ii) Small or Medium Enterprise (SME) </w:t>
            </w:r>
            <w:r w:rsidRPr="006B0D45">
              <w:rPr>
                <w:rFonts w:eastAsia="Arial" w:cs="Arial"/>
                <w:vertAlign w:val="superscript"/>
              </w:rPr>
              <w:footnoteReference w:id="1"/>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iii) Sheltered workshop</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iv) Public service mutual</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70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rPr>
                <w:rFonts w:cs="Arial"/>
              </w:rPr>
            </w:pPr>
          </w:p>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b/>
              </w:rPr>
              <w:t>1.2 Bidding model</w:t>
            </w:r>
          </w:p>
        </w:tc>
      </w:tr>
      <w:tr w:rsidR="00DD5B00" w:rsidRPr="006B0D45" w:rsidTr="00157F9F">
        <w:trPr>
          <w:trHeight w:val="44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rPr>
                <w:rFonts w:cs="Arial"/>
              </w:rPr>
            </w:pPr>
            <w:r w:rsidRPr="006B0D45">
              <w:rPr>
                <w:rFonts w:eastAsia="Arial" w:cs="Arial"/>
                <w:b/>
              </w:rPr>
              <w:t>Please mark ‘X’ in the relevant box to indicate whether you are;</w:t>
            </w:r>
          </w:p>
        </w:tc>
      </w:tr>
      <w:tr w:rsidR="00DD5B00" w:rsidRPr="006B0D45" w:rsidTr="00157F9F">
        <w:trPr>
          <w:trHeight w:val="520"/>
        </w:trPr>
        <w:tc>
          <w:tcPr>
            <w:tcW w:w="3086" w:type="pct"/>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a)      Bidding as a Prime Contractor and will deliver 100% of the key  contract deliverables yourself</w:t>
            </w:r>
          </w:p>
          <w:p w:rsidR="00DD5B00" w:rsidRPr="006B0D45" w:rsidRDefault="00DD5B00" w:rsidP="00157F9F">
            <w:pPr>
              <w:ind w:left="360" w:hanging="358"/>
              <w:rPr>
                <w:rFonts w:cs="Arial"/>
              </w:rPr>
            </w:pPr>
          </w:p>
        </w:tc>
        <w:tc>
          <w:tcPr>
            <w:tcW w:w="1914" w:type="pct"/>
            <w:tcBorders>
              <w:top w:val="single" w:sz="8" w:space="0" w:color="000000"/>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b)      Bidding as a Prime Contractor and will use third parties to deliver </w:t>
            </w:r>
            <w:r w:rsidRPr="006B0D45">
              <w:rPr>
                <w:rFonts w:eastAsia="Arial" w:cs="Arial"/>
                <w:u w:val="single"/>
              </w:rPr>
              <w:t>some</w:t>
            </w:r>
            <w:r w:rsidRPr="006B0D45">
              <w:rPr>
                <w:rFonts w:eastAsia="Arial" w:cs="Arial"/>
              </w:rPr>
              <w:t xml:space="preserve"> of the services</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lastRenderedPageBreak/>
              <w:t>If yes, please provide details of your proposed bidding model that includes members of the supply chain, the percentage of work being delivered by each sub-contractor and the key contract deliverables each sub-contractor will be responsible for.</w:t>
            </w:r>
          </w:p>
          <w:p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lastRenderedPageBreak/>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lastRenderedPageBreak/>
              <w:t xml:space="preserve">c)       Bidding as Prime Contractor but will operate as a Managing Agent and will use third parties to deliver </w:t>
            </w:r>
            <w:r w:rsidRPr="006B0D45">
              <w:rPr>
                <w:rFonts w:eastAsia="Arial" w:cs="Arial"/>
                <w:u w:val="single"/>
              </w:rPr>
              <w:t>all</w:t>
            </w:r>
            <w:r w:rsidRPr="006B0D45">
              <w:rPr>
                <w:rFonts w:eastAsia="Arial" w:cs="Arial"/>
              </w:rPr>
              <w:t xml:space="preserve"> of the services</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5B00" w:rsidRPr="006B0D45" w:rsidRDefault="00DD5B00" w:rsidP="00157F9F">
            <w:pPr>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d)      Bidding as a consortium but not proposing to create a new legal entity. </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t xml:space="preserve">If yes, please include details of your consortium in the next column and use a separate Appendix to explain the alternative arrangements i.e. why a new legal entity is not being created. </w:t>
            </w:r>
          </w:p>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rPr>
              <w:t>Please note that the Authority may require the consortium to assume a specific legal form if awarded the contract, to the extent that it is necessary for the satisfactory performance of the contract.</w:t>
            </w:r>
          </w:p>
          <w:p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i/>
              </w:rPr>
              <w:t> </w:t>
            </w: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p w:rsidR="00DD5B00" w:rsidRPr="006B0D45" w:rsidRDefault="00DD5B00" w:rsidP="00157F9F">
            <w:pPr>
              <w:tabs>
                <w:tab w:val="center" w:pos="4513"/>
                <w:tab w:val="right" w:pos="9026"/>
              </w:tabs>
              <w:rPr>
                <w:rFonts w:cs="Arial"/>
              </w:rPr>
            </w:pPr>
            <w:r w:rsidRPr="006B0D45">
              <w:rPr>
                <w:rFonts w:eastAsia="Arial" w:cs="Arial"/>
                <w:b/>
                <w:u w:val="single"/>
              </w:rPr>
              <w:t>Consortium members</w:t>
            </w:r>
          </w:p>
          <w:p w:rsidR="00DD5B00" w:rsidRPr="006B0D45" w:rsidRDefault="00DD5B00" w:rsidP="00157F9F">
            <w:pPr>
              <w:rPr>
                <w:rFonts w:cs="Arial"/>
              </w:rPr>
            </w:pPr>
            <w:r w:rsidRPr="006B0D45">
              <w:rPr>
                <w:rFonts w:eastAsia="Arial" w:cs="Arial"/>
                <w:b/>
                <w:u w:val="single"/>
              </w:rPr>
              <w:t>Lead member</w:t>
            </w:r>
            <w:r w:rsidRPr="006B0D45">
              <w:rPr>
                <w:rFonts w:eastAsia="Arial" w:cs="Arial"/>
                <w:b/>
              </w:rPr>
              <w:t> </w:t>
            </w:r>
          </w:p>
          <w:p w:rsidR="00DD5B00" w:rsidRPr="006B0D45" w:rsidRDefault="00DD5B00" w:rsidP="00157F9F">
            <w:pPr>
              <w:rPr>
                <w:rFonts w:cs="Arial"/>
              </w:rPr>
            </w:pPr>
            <w:r w:rsidRPr="006B0D45">
              <w:rPr>
                <w:rFonts w:eastAsia="Arial" w:cs="Arial"/>
                <w:i/>
              </w:rPr>
              <w:t> </w:t>
            </w: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e)      Bidding as a consortium and intend to create a Special Purpose Vehicle (SPV). </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t>If yes, please include details of your consortium, current lead member and intended SPV in the next column and provide full details of the biding model using a separate Appendix.</w:t>
            </w: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t> </w:t>
            </w: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p w:rsidR="00DD5B00" w:rsidRPr="006B0D45" w:rsidRDefault="00DD5B00" w:rsidP="00157F9F">
            <w:pPr>
              <w:rPr>
                <w:rFonts w:cs="Arial"/>
              </w:rPr>
            </w:pPr>
            <w:r w:rsidRPr="006B0D45">
              <w:rPr>
                <w:rFonts w:eastAsia="Arial" w:cs="Arial"/>
                <w:b/>
                <w:u w:val="single"/>
              </w:rPr>
              <w:t>Consortium members</w:t>
            </w:r>
          </w:p>
          <w:p w:rsidR="00DD5B00" w:rsidRPr="006B0D45" w:rsidRDefault="00DD5B00" w:rsidP="00157F9F">
            <w:pPr>
              <w:rPr>
                <w:rFonts w:cs="Arial"/>
              </w:rPr>
            </w:pPr>
            <w:r w:rsidRPr="006B0D45">
              <w:rPr>
                <w:rFonts w:eastAsia="Arial" w:cs="Arial"/>
                <w:b/>
                <w:u w:val="single"/>
              </w:rPr>
              <w:t>Current lead member</w:t>
            </w:r>
          </w:p>
          <w:p w:rsidR="00DD5B00" w:rsidRPr="006B0D45" w:rsidRDefault="00DD5B00" w:rsidP="00157F9F">
            <w:pPr>
              <w:rPr>
                <w:rFonts w:cs="Arial"/>
              </w:rPr>
            </w:pPr>
            <w:r w:rsidRPr="006B0D45">
              <w:rPr>
                <w:rFonts w:eastAsia="Arial" w:cs="Arial"/>
                <w:b/>
                <w:u w:val="single"/>
              </w:rPr>
              <w:t>Name of Special Purpose Vehicle</w:t>
            </w:r>
          </w:p>
        </w:tc>
      </w:tr>
    </w:tbl>
    <w:p w:rsidR="00DD5B00" w:rsidRPr="00483D8C" w:rsidRDefault="00DD5B00" w:rsidP="00DD5B00">
      <w:pPr>
        <w:rPr>
          <w:rFonts w:cs="Arial"/>
        </w:rPr>
      </w:pPr>
    </w:p>
    <w:p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7914"/>
      </w:tblGrid>
      <w:tr w:rsidR="00DD5B00" w:rsidRPr="00483D8C" w:rsidTr="00157F9F">
        <w:trPr>
          <w:trHeight w:val="320"/>
        </w:trPr>
        <w:tc>
          <w:tcPr>
            <w:tcW w:w="9214" w:type="dxa"/>
            <w:gridSpan w:val="2"/>
          </w:tcPr>
          <w:p w:rsidR="00DD5B00" w:rsidRPr="00483D8C" w:rsidRDefault="00DD5B00" w:rsidP="00157F9F">
            <w:pPr>
              <w:rPr>
                <w:rFonts w:cs="Arial"/>
              </w:rPr>
            </w:pPr>
            <w:r w:rsidRPr="00483D8C">
              <w:rPr>
                <w:rFonts w:eastAsia="Arial" w:cs="Arial"/>
                <w:b/>
              </w:rPr>
              <w:t>1.3 Contact details</w:t>
            </w:r>
          </w:p>
        </w:tc>
      </w:tr>
      <w:tr w:rsidR="00DD5B00" w:rsidRPr="00483D8C" w:rsidTr="00157F9F">
        <w:tc>
          <w:tcPr>
            <w:tcW w:w="9214" w:type="dxa"/>
            <w:gridSpan w:val="2"/>
          </w:tcPr>
          <w:p w:rsidR="00DD5B00" w:rsidRPr="00483D8C" w:rsidRDefault="00DD5B00" w:rsidP="00157F9F">
            <w:pPr>
              <w:jc w:val="center"/>
              <w:rPr>
                <w:rFonts w:cs="Arial"/>
              </w:rPr>
            </w:pPr>
            <w:r w:rsidRPr="00483D8C">
              <w:rPr>
                <w:rFonts w:eastAsia="Arial" w:cs="Arial"/>
              </w:rPr>
              <w:t xml:space="preserve">Supplier contact details for enquiries about this </w:t>
            </w:r>
            <w:r>
              <w:rPr>
                <w:rFonts w:eastAsia="Arial" w:cs="Arial"/>
              </w:rPr>
              <w:t>Annex B1</w:t>
            </w: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Name</w:t>
            </w:r>
          </w:p>
        </w:tc>
        <w:tc>
          <w:tcPr>
            <w:tcW w:w="7914" w:type="dxa"/>
          </w:tcPr>
          <w:p w:rsidR="00DD5B00" w:rsidRPr="00483D8C" w:rsidRDefault="00DD5B00" w:rsidP="00157F9F">
            <w:pPr>
              <w:rPr>
                <w:rFonts w:cs="Arial"/>
              </w:rPr>
            </w:pPr>
          </w:p>
        </w:tc>
      </w:tr>
      <w:tr w:rsidR="00DD5B00" w:rsidRPr="00483D8C" w:rsidTr="00157F9F">
        <w:trPr>
          <w:trHeight w:val="1380"/>
        </w:trPr>
        <w:tc>
          <w:tcPr>
            <w:tcW w:w="1300" w:type="dxa"/>
          </w:tcPr>
          <w:p w:rsidR="00DD5B00" w:rsidRPr="00483D8C" w:rsidRDefault="00DD5B00" w:rsidP="00157F9F">
            <w:pPr>
              <w:rPr>
                <w:rFonts w:cs="Arial"/>
              </w:rPr>
            </w:pPr>
            <w:r w:rsidRPr="00483D8C">
              <w:rPr>
                <w:rFonts w:eastAsia="Arial" w:cs="Arial"/>
              </w:rPr>
              <w:t>Postal address</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Country</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Phone</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Mobile</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E-mail</w:t>
            </w:r>
          </w:p>
        </w:tc>
        <w:tc>
          <w:tcPr>
            <w:tcW w:w="7914" w:type="dxa"/>
          </w:tcPr>
          <w:p w:rsidR="00DD5B00" w:rsidRPr="00483D8C" w:rsidRDefault="00DD5B00" w:rsidP="00157F9F">
            <w:pPr>
              <w:rPr>
                <w:rFonts w:cs="Arial"/>
              </w:rPr>
            </w:pPr>
          </w:p>
        </w:tc>
      </w:tr>
    </w:tbl>
    <w:p w:rsidR="00DD5B00" w:rsidRPr="00483D8C" w:rsidRDefault="00DD5B00" w:rsidP="00DD5B00">
      <w:pPr>
        <w:rPr>
          <w:rFonts w:cs="Arial"/>
        </w:rPr>
      </w:pPr>
    </w:p>
    <w:p w:rsidR="00DD5B00" w:rsidRDefault="00DD5B00" w:rsidP="00DD5B00">
      <w:pPr>
        <w:rPr>
          <w:rFonts w:cs="Arial"/>
        </w:rPr>
      </w:pPr>
    </w:p>
    <w:p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3274"/>
        <w:gridCol w:w="4750"/>
      </w:tblGrid>
      <w:tr w:rsidR="00DD5B00" w:rsidRPr="00483D8C" w:rsidTr="00157F9F">
        <w:trPr>
          <w:trHeight w:val="440"/>
        </w:trPr>
        <w:tc>
          <w:tcPr>
            <w:tcW w:w="9214" w:type="dxa"/>
            <w:gridSpan w:val="3"/>
          </w:tcPr>
          <w:p w:rsidR="00DD5B00" w:rsidRPr="00483D8C" w:rsidRDefault="00DD5B00" w:rsidP="00157F9F">
            <w:pPr>
              <w:rPr>
                <w:rFonts w:cs="Arial"/>
              </w:rPr>
            </w:pPr>
            <w:r w:rsidRPr="00483D8C">
              <w:rPr>
                <w:rFonts w:eastAsia="Arial" w:cs="Arial"/>
                <w:b/>
              </w:rPr>
              <w:lastRenderedPageBreak/>
              <w:t>1.4  Licensing and registration (please mark ‘X’ in the relevant box)</w:t>
            </w:r>
          </w:p>
        </w:tc>
      </w:tr>
      <w:tr w:rsidR="00DD5B00" w:rsidRPr="00483D8C" w:rsidTr="00157F9F">
        <w:trPr>
          <w:trHeight w:val="440"/>
        </w:trPr>
        <w:tc>
          <w:tcPr>
            <w:tcW w:w="1190" w:type="dxa"/>
          </w:tcPr>
          <w:p w:rsidR="00DD5B00" w:rsidRPr="00483D8C" w:rsidRDefault="00DD5B00" w:rsidP="00157F9F">
            <w:pPr>
              <w:spacing w:after="120"/>
              <w:rPr>
                <w:rFonts w:cs="Arial"/>
              </w:rPr>
            </w:pPr>
            <w:r w:rsidRPr="00483D8C">
              <w:rPr>
                <w:rFonts w:eastAsia="Arial" w:cs="Arial"/>
              </w:rPr>
              <w:t>1.4.1</w:t>
            </w:r>
          </w:p>
        </w:tc>
        <w:tc>
          <w:tcPr>
            <w:tcW w:w="3274" w:type="dxa"/>
          </w:tcPr>
          <w:p w:rsidR="00DD5B00" w:rsidRPr="00483D8C" w:rsidRDefault="00DD5B00" w:rsidP="00157F9F">
            <w:pPr>
              <w:spacing w:after="240"/>
              <w:rPr>
                <w:rFonts w:cs="Arial"/>
              </w:rPr>
            </w:pPr>
            <w:r w:rsidRPr="00483D8C">
              <w:rPr>
                <w:rFonts w:eastAsia="Arial" w:cs="Arial"/>
              </w:rPr>
              <w:t>Registration with a professional body</w:t>
            </w:r>
          </w:p>
          <w:p w:rsidR="00DD5B00" w:rsidRPr="00483D8C" w:rsidRDefault="00DD5B00" w:rsidP="00157F9F">
            <w:pPr>
              <w:spacing w:after="240"/>
              <w:rPr>
                <w:rFonts w:cs="Arial"/>
              </w:rPr>
            </w:pPr>
            <w:r w:rsidRPr="00483D8C">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750" w:type="dxa"/>
          </w:tcPr>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rPr>
              <w:t>If Yes, please provide the registration number in this box.</w:t>
            </w:r>
          </w:p>
        </w:tc>
      </w:tr>
      <w:tr w:rsidR="00DD5B00" w:rsidRPr="00483D8C" w:rsidTr="00157F9F">
        <w:trPr>
          <w:trHeight w:val="440"/>
        </w:trPr>
        <w:tc>
          <w:tcPr>
            <w:tcW w:w="1190" w:type="dxa"/>
          </w:tcPr>
          <w:p w:rsidR="00DD5B00" w:rsidRPr="00483D8C" w:rsidRDefault="00DD5B00" w:rsidP="00157F9F">
            <w:pPr>
              <w:spacing w:after="120"/>
              <w:rPr>
                <w:rFonts w:cs="Arial"/>
              </w:rPr>
            </w:pPr>
            <w:r w:rsidRPr="00483D8C">
              <w:rPr>
                <w:rFonts w:eastAsia="Arial" w:cs="Arial"/>
              </w:rPr>
              <w:t>1.4.2</w:t>
            </w:r>
          </w:p>
        </w:tc>
        <w:tc>
          <w:tcPr>
            <w:tcW w:w="3274" w:type="dxa"/>
          </w:tcPr>
          <w:p w:rsidR="00DD5B00" w:rsidRPr="00483D8C" w:rsidRDefault="00DD5B00" w:rsidP="00157F9F">
            <w:pPr>
              <w:spacing w:after="120"/>
              <w:rPr>
                <w:rFonts w:cs="Arial"/>
              </w:rPr>
            </w:pPr>
            <w:r w:rsidRPr="00483D8C">
              <w:rPr>
                <w:rFonts w:eastAsia="Arial" w:cs="Arial"/>
              </w:rPr>
              <w:t>Is it a legal requirement in the state where you are established for you to be licensed or a member of a relevant organisation in order to provide the requirement in this procurement?</w:t>
            </w:r>
          </w:p>
        </w:tc>
        <w:tc>
          <w:tcPr>
            <w:tcW w:w="4750" w:type="dxa"/>
          </w:tcPr>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rPr>
              <w:t>If Yes, please provide additional details within this box of what is required and confirmation that you have complied with this.</w:t>
            </w:r>
          </w:p>
        </w:tc>
      </w:tr>
    </w:tbl>
    <w:p w:rsidR="00DD5B00" w:rsidRPr="00483D8C" w:rsidRDefault="00DD5B00" w:rsidP="00DD5B00">
      <w:pPr>
        <w:rPr>
          <w:rFonts w:eastAsia="Arial" w:cs="Arial"/>
          <w:b/>
          <w:shd w:val="clear" w:color="auto" w:fill="DBE5F1"/>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DD5B00" w:rsidRPr="00726EC6" w:rsidRDefault="00DD5B00" w:rsidP="00DD5B00">
      <w:pPr>
        <w:pStyle w:val="Heading2"/>
        <w:numPr>
          <w:ilvl w:val="0"/>
          <w:numId w:val="0"/>
        </w:numPr>
        <w:ind w:left="851" w:hanging="851"/>
        <w:rPr>
          <w:rFonts w:eastAsia="Arial" w:cs="Arial"/>
          <w:b/>
          <w:color w:val="000000"/>
          <w:shd w:val="clear" w:color="auto" w:fill="DBE5F1"/>
        </w:rPr>
      </w:pPr>
      <w:r w:rsidRPr="00726EC6">
        <w:rPr>
          <w:rFonts w:eastAsia="Arial" w:cs="Arial"/>
          <w:b/>
          <w:color w:val="000000"/>
          <w:shd w:val="clear" w:color="auto" w:fill="DBE5F1"/>
        </w:rPr>
        <w:lastRenderedPageBreak/>
        <w:t>2 - Grounds for mandatory exclusion</w:t>
      </w:r>
    </w:p>
    <w:p w:rsidR="00DD5B00" w:rsidRPr="00483D8C" w:rsidRDefault="00DD5B00" w:rsidP="00DD5B00">
      <w:pPr>
        <w:rPr>
          <w:rFonts w:cs="Arial"/>
        </w:rPr>
      </w:pPr>
      <w:r w:rsidRPr="00483D8C">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w:t>
      </w:r>
      <w:r>
        <w:rPr>
          <w:rFonts w:eastAsia="Arial" w:cs="Arial"/>
        </w:rPr>
        <w:t xml:space="preserve"> Appendix. You may contact the A</w:t>
      </w:r>
      <w:r w:rsidRPr="00483D8C">
        <w:rPr>
          <w:rFonts w:eastAsia="Arial" w:cs="Arial"/>
        </w:rPr>
        <w:t xml:space="preserve">uthority for advice before completing this form. </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DD5B00" w:rsidRPr="00483D8C" w:rsidTr="00157F9F">
        <w:trPr>
          <w:trHeight w:val="400"/>
        </w:trPr>
        <w:tc>
          <w:tcPr>
            <w:tcW w:w="3351" w:type="pct"/>
            <w:vMerge w:val="restart"/>
          </w:tcPr>
          <w:p w:rsidR="00DD5B00" w:rsidRPr="00483D8C" w:rsidRDefault="00DD5B00" w:rsidP="00157F9F">
            <w:pPr>
              <w:ind w:right="306"/>
              <w:rPr>
                <w:rFonts w:cs="Arial"/>
              </w:rPr>
            </w:pPr>
            <w:r w:rsidRPr="00483D8C">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649" w:type="pct"/>
            <w:gridSpan w:val="2"/>
          </w:tcPr>
          <w:p w:rsidR="00DD5B00" w:rsidRPr="00483D8C" w:rsidRDefault="00DD5B00" w:rsidP="00157F9F">
            <w:pPr>
              <w:spacing w:after="120"/>
              <w:rPr>
                <w:rFonts w:cs="Arial"/>
              </w:rPr>
            </w:pPr>
            <w:r w:rsidRPr="00483D8C">
              <w:rPr>
                <w:rFonts w:eastAsia="Arial" w:cs="Arial"/>
                <w:b/>
              </w:rPr>
              <w:t>Please indicate your answer by marking ‘X’ in the relevant box.</w:t>
            </w:r>
          </w:p>
        </w:tc>
      </w:tr>
      <w:tr w:rsidR="00DD5B00" w:rsidRPr="00483D8C" w:rsidTr="00157F9F">
        <w:trPr>
          <w:trHeight w:val="400"/>
        </w:trPr>
        <w:tc>
          <w:tcPr>
            <w:tcW w:w="3351" w:type="pct"/>
            <w:vMerge/>
          </w:tcPr>
          <w:p w:rsidR="00DD5B00" w:rsidRPr="00483D8C" w:rsidRDefault="00DD5B00" w:rsidP="00157F9F">
            <w:pPr>
              <w:ind w:right="306"/>
              <w:rPr>
                <w:rFonts w:cs="Arial"/>
              </w:rPr>
            </w:pPr>
          </w:p>
        </w:tc>
        <w:tc>
          <w:tcPr>
            <w:tcW w:w="776" w:type="pct"/>
          </w:tcPr>
          <w:p w:rsidR="00DD5B00" w:rsidRPr="00483D8C" w:rsidRDefault="00DD5B00" w:rsidP="00157F9F">
            <w:pPr>
              <w:jc w:val="center"/>
              <w:rPr>
                <w:rFonts w:cs="Arial"/>
              </w:rPr>
            </w:pPr>
            <w:r w:rsidRPr="00483D8C">
              <w:rPr>
                <w:rFonts w:eastAsia="Arial" w:cs="Arial"/>
                <w:b/>
              </w:rPr>
              <w:t>Yes</w:t>
            </w:r>
          </w:p>
        </w:tc>
        <w:tc>
          <w:tcPr>
            <w:tcW w:w="874" w:type="pct"/>
          </w:tcPr>
          <w:p w:rsidR="00DD5B00" w:rsidRPr="00483D8C" w:rsidRDefault="00DD5B00" w:rsidP="00157F9F">
            <w:pPr>
              <w:jc w:val="center"/>
              <w:rPr>
                <w:rFonts w:cs="Arial"/>
              </w:rPr>
            </w:pPr>
            <w:r w:rsidRPr="00483D8C">
              <w:rPr>
                <w:rFonts w:eastAsia="Arial" w:cs="Arial"/>
                <w:b/>
              </w:rPr>
              <w:t>No</w:t>
            </w:r>
          </w:p>
        </w:tc>
      </w:tr>
      <w:tr w:rsidR="00DD5B00" w:rsidRPr="00483D8C" w:rsidTr="00157F9F">
        <w:tc>
          <w:tcPr>
            <w:tcW w:w="3351" w:type="pct"/>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rsidR="00DD5B00" w:rsidRPr="00483D8C" w:rsidRDefault="00DD5B00" w:rsidP="00157F9F">
            <w:pPr>
              <w:spacing w:after="120"/>
              <w:ind w:left="1080"/>
              <w:rPr>
                <w:rFonts w:cs="Arial"/>
              </w:rPr>
            </w:pPr>
          </w:p>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corruption within the meaning of section 1(2) of the Public Bodies Corrupt Practices Act 1889 or section 1 of the Prevention of Corruption Act 1906;</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240"/>
        </w:trPr>
        <w:tc>
          <w:tcPr>
            <w:tcW w:w="3351" w:type="pct"/>
          </w:tcPr>
          <w:p w:rsidR="00DD5B00" w:rsidRPr="00483D8C" w:rsidRDefault="00DD5B00" w:rsidP="00362B6F">
            <w:pPr>
              <w:numPr>
                <w:ilvl w:val="0"/>
                <w:numId w:val="38"/>
              </w:numPr>
              <w:tabs>
                <w:tab w:val="left" w:pos="34"/>
              </w:tabs>
              <w:spacing w:before="120" w:after="120"/>
              <w:ind w:hanging="358"/>
              <w:contextualSpacing/>
              <w:jc w:val="left"/>
              <w:rPr>
                <w:rFonts w:eastAsia="Arial" w:cs="Arial"/>
              </w:rPr>
            </w:pPr>
            <w:r w:rsidRPr="00483D8C">
              <w:rPr>
                <w:rFonts w:eastAsia="Arial" w:cs="Arial"/>
              </w:rPr>
              <w:t>the common law offence of bribery;</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bribery within the meaning of sections 1, 2 or 6 of the Bribery Act 2010; or section 113 of the Representation of the People Act 1983;</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 the offence of cheating the Revenue;</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(ii) the offence of conspiracy to defraud;</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1000"/>
        </w:trPr>
        <w:tc>
          <w:tcPr>
            <w:tcW w:w="3351" w:type="pct"/>
          </w:tcPr>
          <w:p w:rsidR="00DD5B00" w:rsidRPr="00483D8C" w:rsidRDefault="00DD5B00" w:rsidP="00157F9F">
            <w:pPr>
              <w:spacing w:after="120"/>
              <w:ind w:left="360"/>
              <w:rPr>
                <w:rFonts w:cs="Arial"/>
              </w:rPr>
            </w:pPr>
            <w:r w:rsidRPr="00483D8C">
              <w:rPr>
                <w:rFonts w:eastAsia="Arial" w:cs="Arial"/>
              </w:rPr>
              <w:t>(iii)</w:t>
            </w:r>
            <w:r w:rsidRPr="00483D8C">
              <w:rPr>
                <w:rFonts w:eastAsia="Arial" w:cs="Arial"/>
              </w:rPr>
              <w:tab/>
              <w:t>fraud or theft within the meaning of the Theft Act 1968, the Theft Act (Northern Ireland) 1969, the Theft Act 1978 or the Theft (Northern Ireland) Order 1978;</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(iv) fraudulent trading within the meaning of section 458 of the Companies Act 1985, article 451 of the Companies (Northern Ireland) Order 1986 or section 993 of the Companies Act 2006;</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(v) fraudulent evasion within the meaning of section 170 of the Customs and Excise Management Act 1979 or section 72 of the Value Added Tax Act 1994;</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(vi) an offence in connection with taxation in the European Union within the meaning of section 71 of the Criminal Justice Act 1993;</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360"/>
        </w:trPr>
        <w:tc>
          <w:tcPr>
            <w:tcW w:w="3351" w:type="pct"/>
            <w:tcBorders>
              <w:bottom w:val="single" w:sz="4" w:space="0" w:color="000000"/>
            </w:tcBorders>
          </w:tcPr>
          <w:p w:rsidR="00DD5B00" w:rsidRPr="00483D8C" w:rsidRDefault="00DD5B00" w:rsidP="00157F9F">
            <w:pPr>
              <w:spacing w:after="120"/>
              <w:ind w:left="360"/>
              <w:rPr>
                <w:rFonts w:cs="Arial"/>
              </w:rPr>
            </w:pPr>
            <w:r w:rsidRPr="00483D8C">
              <w:rPr>
                <w:rFonts w:eastAsia="Arial" w:cs="Arial"/>
              </w:rPr>
              <w:t>(vii)</w:t>
            </w:r>
            <w:r w:rsidRPr="00483D8C">
              <w:rPr>
                <w:rFonts w:eastAsia="Arial" w:cs="Arial"/>
              </w:rPr>
              <w:tab/>
              <w:t xml:space="preserve">destroying, defacing or concealing of documents or procuring the execution of a valuable security within the meaning of section 20 of the Theft Act 1968 or section 19 of the </w:t>
            </w:r>
            <w:r w:rsidRPr="00483D8C">
              <w:rPr>
                <w:rFonts w:eastAsia="Arial" w:cs="Arial"/>
              </w:rPr>
              <w:lastRenderedPageBreak/>
              <w:t>Theft Act (Northern Ireland) 1969;</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36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lastRenderedPageBreak/>
              <w:t>(viii) fraud within the meaning of section 2, 3 or 4 of the Fraud Act 2006; or</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420"/>
        </w:trPr>
        <w:tc>
          <w:tcPr>
            <w:tcW w:w="3351" w:type="pct"/>
            <w:tcBorders>
              <w:top w:val="single" w:sz="4" w:space="0" w:color="000000"/>
            </w:tcBorders>
          </w:tcPr>
          <w:p w:rsidR="00DD5B00" w:rsidRPr="00483D8C" w:rsidRDefault="00DD5B00" w:rsidP="00157F9F">
            <w:pPr>
              <w:spacing w:after="120"/>
              <w:ind w:left="360"/>
              <w:rPr>
                <w:rFonts w:cs="Arial"/>
              </w:rPr>
            </w:pPr>
            <w:r w:rsidRPr="00483D8C">
              <w:rPr>
                <w:rFonts w:eastAsia="Arial" w:cs="Arial"/>
              </w:rPr>
              <w:t>(ix)</w:t>
            </w:r>
            <w:r w:rsidRPr="00483D8C">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560"/>
        </w:trPr>
        <w:tc>
          <w:tcPr>
            <w:tcW w:w="3351" w:type="pct"/>
            <w:tcBorders>
              <w:bottom w:val="single" w:sz="4" w:space="0" w:color="000000"/>
            </w:tcBorders>
          </w:tcPr>
          <w:p w:rsidR="00DD5B00" w:rsidRPr="00483D8C" w:rsidRDefault="00DD5B00" w:rsidP="00362B6F">
            <w:pPr>
              <w:numPr>
                <w:ilvl w:val="0"/>
                <w:numId w:val="38"/>
              </w:numPr>
              <w:spacing w:before="120" w:after="120" w:line="276" w:lineRule="auto"/>
              <w:ind w:right="232" w:hanging="358"/>
              <w:contextualSpacing/>
              <w:jc w:val="left"/>
              <w:rPr>
                <w:rFonts w:eastAsia="Arial" w:cs="Arial"/>
              </w:rPr>
            </w:pPr>
            <w:r w:rsidRPr="00483D8C">
              <w:rPr>
                <w:rFonts w:eastAsia="Arial" w:cs="Arial"/>
              </w:rPr>
              <w:t>any offence listed—</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56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in section 41 of the Counter Terrorism Act 2008; or</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68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t>(ii)</w:t>
            </w:r>
            <w:r w:rsidRPr="00483D8C">
              <w:rPr>
                <w:rFonts w:eastAsia="Arial" w:cs="Arial"/>
              </w:rPr>
              <w:tab/>
              <w:t>in Schedule 2 to that Act where the court has determined that there is a terrorist connection;</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860"/>
        </w:trPr>
        <w:tc>
          <w:tcPr>
            <w:tcW w:w="3351" w:type="pct"/>
            <w:tcBorders>
              <w:top w:val="single" w:sz="4" w:space="0" w:color="000000"/>
              <w:bottom w:val="single" w:sz="4" w:space="0" w:color="000000"/>
            </w:tcBorders>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any offence under sections 44 to 46 of the Serious Crime Act 2007 which relates to an offence covered by subparagraph (f);</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740"/>
        </w:trPr>
        <w:tc>
          <w:tcPr>
            <w:tcW w:w="3351" w:type="pct"/>
            <w:tcBorders>
              <w:top w:val="single" w:sz="4" w:space="0" w:color="000000"/>
            </w:tcBorders>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money laundering within the meaning of sections 340(11) and 415 of the Proceeds of Crime Act 2002;</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tabs>
                <w:tab w:val="left" w:pos="743"/>
              </w:tabs>
              <w:spacing w:before="120" w:after="120"/>
              <w:ind w:hanging="358"/>
              <w:contextualSpacing/>
              <w:jc w:val="left"/>
              <w:rPr>
                <w:rFonts w:eastAsia="Arial" w:cs="Arial"/>
              </w:rPr>
            </w:pPr>
            <w:r w:rsidRPr="00483D8C">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proofErr w:type="gramStart"/>
            <w:r w:rsidRPr="00483D8C">
              <w:rPr>
                <w:rFonts w:eastAsia="Arial" w:cs="Arial"/>
              </w:rPr>
              <w:t>an</w:t>
            </w:r>
            <w:proofErr w:type="gramEnd"/>
            <w:r w:rsidRPr="00483D8C">
              <w:rPr>
                <w:rFonts w:eastAsia="Arial" w:cs="Arial"/>
              </w:rPr>
              <w:t xml:space="preserve"> offence under section 4 of the Asylum and Immigration (Treatment of Claimants etc.) Act 2004;</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under section 59A of the Sexual Offences Act 2003;</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under section 71 of the Coroners and Justice Act 2009</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 offence in connection with the proceeds of drug trafficking within the meaning of section 49, 50 or 51 of the Drug Trafficking Act 1994; or</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362B6F">
            <w:pPr>
              <w:numPr>
                <w:ilvl w:val="0"/>
                <w:numId w:val="38"/>
              </w:numPr>
              <w:spacing w:before="120" w:after="120"/>
              <w:ind w:hanging="358"/>
              <w:contextualSpacing/>
              <w:jc w:val="left"/>
              <w:rPr>
                <w:rFonts w:eastAsia="Arial" w:cs="Arial"/>
              </w:rPr>
            </w:pPr>
            <w:r w:rsidRPr="00483D8C">
              <w:rPr>
                <w:rFonts w:eastAsia="Arial" w:cs="Arial"/>
              </w:rPr>
              <w:t>any other offence within the meaning of Article 57(1) of the Public Contracts Directive—</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as defined by the law of any jurisdiction outside England and Wales and Northern Ireland; or</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(ii)</w:t>
            </w:r>
            <w:r w:rsidRPr="00483D8C">
              <w:rPr>
                <w:rFonts w:eastAsia="Arial" w:cs="Arial"/>
              </w:rPr>
              <w:tab/>
            </w:r>
            <w:proofErr w:type="gramStart"/>
            <w:r w:rsidRPr="00483D8C">
              <w:rPr>
                <w:rFonts w:eastAsia="Arial" w:cs="Arial"/>
              </w:rPr>
              <w:t>created</w:t>
            </w:r>
            <w:proofErr w:type="gramEnd"/>
            <w:r w:rsidRPr="00483D8C">
              <w:rPr>
                <w:rFonts w:eastAsia="Arial" w:cs="Arial"/>
              </w:rPr>
              <w:t>, after the day on which these Regulations were made, in the law of England and Wales or Northern Ireland.</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4860"/>
        </w:trPr>
        <w:tc>
          <w:tcPr>
            <w:tcW w:w="3351" w:type="pct"/>
          </w:tcPr>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b/>
                <w:u w:val="single"/>
              </w:rPr>
              <w:t>Non-payment of taxes</w:t>
            </w:r>
          </w:p>
          <w:p w:rsidR="00DD5B00" w:rsidRPr="00483D8C" w:rsidRDefault="00DD5B00" w:rsidP="00157F9F">
            <w:pPr>
              <w:rPr>
                <w:rFonts w:cs="Arial"/>
              </w:rPr>
            </w:pPr>
            <w:r w:rsidRPr="00483D8C">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DD5B00" w:rsidRPr="00483D8C" w:rsidRDefault="00DD5B00" w:rsidP="00157F9F">
            <w:pPr>
              <w:rPr>
                <w:rFonts w:cs="Arial"/>
              </w:rPr>
            </w:pPr>
            <w:r w:rsidRPr="00483D8C">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bl>
    <w:p w:rsidR="00DD5B00" w:rsidRPr="00483D8C" w:rsidRDefault="00DD5B00" w:rsidP="00DD5B00">
      <w:pPr>
        <w:ind w:right="-333"/>
        <w:rPr>
          <w:rFonts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cols w:space="720"/>
          <w:docGrid w:linePitch="272"/>
        </w:sectPr>
      </w:pPr>
    </w:p>
    <w:p w:rsidR="00DD5B00" w:rsidRPr="00726EC6" w:rsidRDefault="00DD5B00" w:rsidP="00DD5B00">
      <w:pPr>
        <w:pStyle w:val="Heading2"/>
        <w:numPr>
          <w:ilvl w:val="0"/>
          <w:numId w:val="0"/>
        </w:numPr>
        <w:ind w:left="851" w:hanging="851"/>
        <w:rPr>
          <w:rFonts w:eastAsia="Arial" w:cs="Arial"/>
          <w:b/>
          <w:color w:val="000000"/>
          <w:shd w:val="clear" w:color="auto" w:fill="DBE5F1"/>
        </w:rPr>
      </w:pPr>
      <w:r w:rsidRPr="00726EC6">
        <w:rPr>
          <w:rFonts w:eastAsia="Arial" w:cs="Arial"/>
          <w:b/>
          <w:color w:val="000000"/>
          <w:shd w:val="clear" w:color="auto" w:fill="DBE5F1"/>
        </w:rPr>
        <w:lastRenderedPageBreak/>
        <w:t xml:space="preserve">3. Grounds for </w:t>
      </w:r>
      <w:r w:rsidR="00157F9F">
        <w:rPr>
          <w:rFonts w:eastAsia="Arial" w:cs="Arial"/>
          <w:b/>
          <w:color w:val="000000"/>
          <w:shd w:val="clear" w:color="auto" w:fill="DBE5F1"/>
        </w:rPr>
        <w:t xml:space="preserve">discretionary exclusion </w:t>
      </w:r>
    </w:p>
    <w:p w:rsidR="00DD5B00" w:rsidRPr="00483D8C" w:rsidRDefault="00DD5B00" w:rsidP="00DD5B00">
      <w:pPr>
        <w:rPr>
          <w:rFonts w:cs="Arial"/>
        </w:rPr>
      </w:pPr>
      <w:bookmarkStart w:id="15" w:name="h.30j0zll" w:colFirst="0" w:colLast="0"/>
      <w:bookmarkEnd w:id="15"/>
      <w:r>
        <w:rPr>
          <w:rFonts w:eastAsia="Arial" w:cs="Arial"/>
        </w:rPr>
        <w:t>The A</w:t>
      </w:r>
      <w:r w:rsidRPr="00483D8C">
        <w:rPr>
          <w:rFonts w:eastAsia="Arial" w:cs="Arial"/>
        </w:rPr>
        <w:t>uthority may exclude any Supplier who answers ‘Yes’ in any of the following situations set out in paragraphs (a) to (</w:t>
      </w:r>
      <w:proofErr w:type="spellStart"/>
      <w:r w:rsidRPr="00483D8C">
        <w:rPr>
          <w:rFonts w:eastAsia="Arial" w:cs="Arial"/>
        </w:rPr>
        <w:t>i</w:t>
      </w:r>
      <w:proofErr w:type="spellEnd"/>
      <w:r w:rsidRPr="00483D8C">
        <w:rPr>
          <w:rFonts w:eastAsia="Arial" w:cs="Arial"/>
        </w:rPr>
        <w:t xml:space="preserve">); </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DD5B00" w:rsidRPr="00483D8C" w:rsidTr="00157F9F">
        <w:tc>
          <w:tcPr>
            <w:tcW w:w="3490" w:type="pct"/>
            <w:vMerge w:val="restart"/>
          </w:tcPr>
          <w:p w:rsidR="00DD5B00" w:rsidRPr="00483D8C" w:rsidRDefault="00DD5B00" w:rsidP="00157F9F">
            <w:pPr>
              <w:spacing w:before="80"/>
              <w:rPr>
                <w:rFonts w:cs="Arial"/>
              </w:rPr>
            </w:pPr>
            <w:r w:rsidRPr="00483D8C">
              <w:rPr>
                <w:rFonts w:eastAsia="Arial" w:cs="Arial"/>
                <w:b/>
              </w:rPr>
              <w:t>3.1 Within the past three years, please indicate if any of the following situations have applied, or currently apply, to your organisation.</w:t>
            </w:r>
          </w:p>
        </w:tc>
        <w:tc>
          <w:tcPr>
            <w:tcW w:w="1510" w:type="pct"/>
            <w:gridSpan w:val="2"/>
          </w:tcPr>
          <w:p w:rsidR="00DD5B00" w:rsidRPr="00483D8C" w:rsidRDefault="00DD5B00" w:rsidP="00157F9F">
            <w:pPr>
              <w:jc w:val="center"/>
              <w:rPr>
                <w:rFonts w:cs="Arial"/>
              </w:rPr>
            </w:pPr>
            <w:r w:rsidRPr="00483D8C">
              <w:rPr>
                <w:rFonts w:eastAsia="Arial" w:cs="Arial"/>
                <w:b/>
              </w:rPr>
              <w:t>Please indicate your answer by marking ‘X’ in the relevant box.</w:t>
            </w:r>
          </w:p>
        </w:tc>
      </w:tr>
      <w:tr w:rsidR="00DD5B00" w:rsidRPr="00483D8C" w:rsidTr="00157F9F">
        <w:tc>
          <w:tcPr>
            <w:tcW w:w="3490" w:type="pct"/>
            <w:vMerge/>
          </w:tcPr>
          <w:p w:rsidR="00DD5B00" w:rsidRPr="00483D8C" w:rsidRDefault="00DD5B00" w:rsidP="00157F9F">
            <w:pPr>
              <w:spacing w:before="80"/>
              <w:rPr>
                <w:rFonts w:cs="Arial"/>
              </w:rPr>
            </w:pPr>
          </w:p>
        </w:tc>
        <w:tc>
          <w:tcPr>
            <w:tcW w:w="755" w:type="pct"/>
          </w:tcPr>
          <w:p w:rsidR="00DD5B00" w:rsidRPr="00483D8C" w:rsidRDefault="00DD5B00" w:rsidP="00157F9F">
            <w:pPr>
              <w:jc w:val="center"/>
              <w:rPr>
                <w:rFonts w:cs="Arial"/>
              </w:rPr>
            </w:pPr>
            <w:r w:rsidRPr="00483D8C">
              <w:rPr>
                <w:rFonts w:eastAsia="Arial" w:cs="Arial"/>
                <w:b/>
              </w:rPr>
              <w:t>Yes</w:t>
            </w:r>
          </w:p>
        </w:tc>
        <w:tc>
          <w:tcPr>
            <w:tcW w:w="755" w:type="pct"/>
          </w:tcPr>
          <w:p w:rsidR="00DD5B00" w:rsidRPr="00483D8C" w:rsidRDefault="00DD5B00" w:rsidP="00157F9F">
            <w:pPr>
              <w:jc w:val="center"/>
              <w:rPr>
                <w:rFonts w:cs="Arial"/>
              </w:rPr>
            </w:pPr>
            <w:r w:rsidRPr="00483D8C">
              <w:rPr>
                <w:rFonts w:eastAsia="Arial" w:cs="Arial"/>
                <w:b/>
              </w:rPr>
              <w:t>No</w:t>
            </w:r>
          </w:p>
        </w:tc>
      </w:tr>
      <w:tr w:rsidR="00DD5B00" w:rsidRPr="00483D8C" w:rsidTr="00157F9F">
        <w:tc>
          <w:tcPr>
            <w:tcW w:w="3490" w:type="pct"/>
          </w:tcPr>
          <w:p w:rsidR="00DD5B00" w:rsidRPr="00483D8C" w:rsidRDefault="00DD5B00" w:rsidP="00362B6F">
            <w:pPr>
              <w:numPr>
                <w:ilvl w:val="0"/>
                <w:numId w:val="37"/>
              </w:numPr>
              <w:spacing w:before="80" w:line="276" w:lineRule="auto"/>
              <w:ind w:left="720" w:hanging="358"/>
              <w:contextualSpacing/>
              <w:rPr>
                <w:rFonts w:eastAsia="Arial" w:cs="Arial"/>
              </w:rPr>
            </w:pPr>
            <w:bookmarkStart w:id="16" w:name="h.1fob9te" w:colFirst="0" w:colLast="0"/>
            <w:bookmarkEnd w:id="16"/>
            <w:r w:rsidRPr="00483D8C">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r w:rsidRPr="00483D8C">
              <w:rPr>
                <w:rFonts w:eastAsia="Arial" w:cs="Arial"/>
                <w:b/>
              </w:rPr>
              <w:t xml:space="preserve">  </w:t>
            </w:r>
          </w:p>
        </w:tc>
      </w:tr>
      <w:tr w:rsidR="00DD5B00" w:rsidRPr="00483D8C" w:rsidTr="00157F9F">
        <w:tc>
          <w:tcPr>
            <w:tcW w:w="3490" w:type="pct"/>
          </w:tcPr>
          <w:p w:rsidR="00DD5B00" w:rsidRPr="00483D8C" w:rsidRDefault="00DD5B00" w:rsidP="00362B6F">
            <w:pPr>
              <w:numPr>
                <w:ilvl w:val="0"/>
                <w:numId w:val="37"/>
              </w:numPr>
              <w:spacing w:before="80" w:line="276" w:lineRule="auto"/>
              <w:ind w:left="720" w:hanging="358"/>
              <w:contextualSpacing/>
              <w:rPr>
                <w:rFonts w:eastAsia="Arial" w:cs="Arial"/>
              </w:rPr>
            </w:pPr>
            <w:r w:rsidRPr="00483D8C">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rPr>
          <w:trHeight w:val="660"/>
        </w:trPr>
        <w:tc>
          <w:tcPr>
            <w:tcW w:w="3490" w:type="pct"/>
          </w:tcPr>
          <w:p w:rsidR="00DD5B00" w:rsidRPr="00483D8C" w:rsidRDefault="00DD5B00" w:rsidP="00362B6F">
            <w:pPr>
              <w:numPr>
                <w:ilvl w:val="0"/>
                <w:numId w:val="37"/>
              </w:numPr>
              <w:spacing w:before="80" w:line="276" w:lineRule="auto"/>
              <w:ind w:left="720" w:hanging="358"/>
              <w:contextualSpacing/>
              <w:rPr>
                <w:rFonts w:eastAsia="Arial" w:cs="Arial"/>
              </w:rPr>
            </w:pPr>
            <w:r w:rsidRPr="00483D8C">
              <w:rPr>
                <w:rFonts w:eastAsia="Arial" w:cs="Arial"/>
              </w:rPr>
              <w:t>your organisation is guilty of grave professional misconduct,  which renders its integrity questionable;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362B6F">
            <w:pPr>
              <w:numPr>
                <w:ilvl w:val="0"/>
                <w:numId w:val="37"/>
              </w:numPr>
              <w:spacing w:after="200" w:line="276" w:lineRule="auto"/>
              <w:ind w:left="720" w:hanging="358"/>
              <w:contextualSpacing/>
              <w:jc w:val="left"/>
              <w:rPr>
                <w:rFonts w:eastAsia="Arial" w:cs="Arial"/>
              </w:rPr>
            </w:pPr>
            <w:r w:rsidRPr="00483D8C">
              <w:rPr>
                <w:rFonts w:eastAsia="Arial" w:cs="Arial"/>
              </w:rPr>
              <w:t>your organisation has entered into agreements with other economic operators aimed at distorting competition;</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362B6F">
            <w:pPr>
              <w:numPr>
                <w:ilvl w:val="0"/>
                <w:numId w:val="37"/>
              </w:numPr>
              <w:spacing w:after="200" w:line="276" w:lineRule="auto"/>
              <w:ind w:left="720" w:hanging="358"/>
              <w:contextualSpacing/>
              <w:jc w:val="left"/>
              <w:rPr>
                <w:rFonts w:eastAsia="Arial" w:cs="Arial"/>
              </w:rPr>
            </w:pPr>
            <w:r w:rsidRPr="00483D8C">
              <w:rPr>
                <w:rFonts w:eastAsia="Arial" w:cs="Arial"/>
              </w:rPr>
              <w:t>your organisation has a conflict of interest within the meaning of regulation 24 of the Public Contract Regulations 2015 that cannot be effectively remedied by other, less intrusive, measures;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362B6F">
            <w:pPr>
              <w:numPr>
                <w:ilvl w:val="0"/>
                <w:numId w:val="37"/>
              </w:numPr>
              <w:spacing w:after="200" w:line="276" w:lineRule="auto"/>
              <w:ind w:left="720" w:hanging="358"/>
              <w:contextualSpacing/>
              <w:jc w:val="left"/>
              <w:rPr>
                <w:rFonts w:eastAsia="Arial" w:cs="Arial"/>
              </w:rPr>
            </w:pPr>
            <w:r w:rsidRPr="00483D8C">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362B6F">
            <w:pPr>
              <w:numPr>
                <w:ilvl w:val="0"/>
                <w:numId w:val="37"/>
              </w:numPr>
              <w:spacing w:line="276" w:lineRule="auto"/>
              <w:ind w:left="720" w:hanging="358"/>
              <w:contextualSpacing/>
              <w:jc w:val="left"/>
              <w:rPr>
                <w:rFonts w:eastAsia="Arial" w:cs="Arial"/>
              </w:rPr>
            </w:pPr>
            <w:r w:rsidRPr="00483D8C">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362B6F">
            <w:pPr>
              <w:numPr>
                <w:ilvl w:val="0"/>
                <w:numId w:val="37"/>
              </w:numPr>
              <w:spacing w:line="276" w:lineRule="auto"/>
              <w:ind w:left="720" w:hanging="358"/>
              <w:contextualSpacing/>
              <w:jc w:val="left"/>
              <w:rPr>
                <w:rFonts w:eastAsia="Arial" w:cs="Arial"/>
              </w:rPr>
            </w:pPr>
            <w:r w:rsidRPr="00483D8C">
              <w:rPr>
                <w:rFonts w:eastAsia="Arial" w:cs="Arial"/>
              </w:rPr>
              <w:t>your organisation—</w:t>
            </w:r>
          </w:p>
          <w:p w:rsidR="00DD5B00" w:rsidRPr="00483D8C" w:rsidRDefault="00DD5B00" w:rsidP="00157F9F">
            <w:pPr>
              <w:ind w:left="720"/>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w:t>
            </w:r>
            <w:r w:rsidRPr="00483D8C">
              <w:rPr>
                <w:rFonts w:eastAsia="Arial" w:cs="Arial"/>
              </w:rPr>
              <w:tab/>
              <w:t>has been guilty of serious misrepresentation in supplying the information required for the verification of the absence of grounds for exclusion or the fulfilment of the selection criteria; or</w:t>
            </w:r>
          </w:p>
          <w:p w:rsidR="00DD5B00" w:rsidRPr="00483D8C" w:rsidRDefault="00DD5B00" w:rsidP="00157F9F">
            <w:pPr>
              <w:ind w:left="720"/>
              <w:rPr>
                <w:rFonts w:cs="Arial"/>
              </w:rPr>
            </w:pPr>
            <w:r w:rsidRPr="00483D8C">
              <w:rPr>
                <w:rFonts w:eastAsia="Arial" w:cs="Arial"/>
              </w:rPr>
              <w:t>(ii)</w:t>
            </w:r>
            <w:r w:rsidRPr="00483D8C">
              <w:rPr>
                <w:rFonts w:eastAsia="Arial" w:cs="Arial"/>
              </w:rPr>
              <w:tab/>
              <w:t>has withheld such information or is not able to submit supporting documents required under regulation 59 of the Public Contract Regulations 2015;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r w:rsidRPr="00483D8C">
              <w:rPr>
                <w:rFonts w:eastAsia="Arial" w:cs="Arial"/>
              </w:rPr>
              <w:t>(</w:t>
            </w:r>
            <w:proofErr w:type="spellStart"/>
            <w:r w:rsidRPr="00483D8C">
              <w:rPr>
                <w:rFonts w:eastAsia="Arial" w:cs="Arial"/>
              </w:rPr>
              <w:t>i</w:t>
            </w:r>
            <w:proofErr w:type="spellEnd"/>
            <w:r w:rsidRPr="00483D8C">
              <w:rPr>
                <w:rFonts w:eastAsia="Arial" w:cs="Arial"/>
              </w:rPr>
              <w:t>) your organisation has undertaken to</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ind w:left="720"/>
              <w:rPr>
                <w:rFonts w:cs="Arial"/>
              </w:rPr>
            </w:pPr>
            <w:r w:rsidRPr="00483D8C">
              <w:rPr>
                <w:rFonts w:eastAsia="Arial" w:cs="Arial"/>
              </w:rPr>
              <w:t>(</w:t>
            </w:r>
            <w:proofErr w:type="spellStart"/>
            <w:r w:rsidRPr="00483D8C">
              <w:rPr>
                <w:rFonts w:eastAsia="Arial" w:cs="Arial"/>
              </w:rPr>
              <w:t>aa</w:t>
            </w:r>
            <w:proofErr w:type="spellEnd"/>
            <w:r w:rsidRPr="00483D8C">
              <w:rPr>
                <w:rFonts w:eastAsia="Arial" w:cs="Arial"/>
              </w:rPr>
              <w:t>)</w:t>
            </w:r>
            <w:r w:rsidRPr="00483D8C">
              <w:rPr>
                <w:rFonts w:eastAsia="Arial" w:cs="Arial"/>
              </w:rPr>
              <w:tab/>
              <w:t>unduly influence the decision-making process of the contracting authority,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ind w:left="720"/>
              <w:rPr>
                <w:rFonts w:cs="Arial"/>
              </w:rPr>
            </w:pPr>
            <w:r w:rsidRPr="00483D8C">
              <w:rPr>
                <w:rFonts w:eastAsia="Arial" w:cs="Arial"/>
              </w:rPr>
              <w:t>(bb)</w:t>
            </w:r>
            <w:r w:rsidRPr="00483D8C">
              <w:rPr>
                <w:rFonts w:eastAsia="Arial" w:cs="Arial"/>
              </w:rPr>
              <w:tab/>
              <w:t>obtain confidential information that may confer upon your organisation undue advantages in the procurement procedure;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r w:rsidRPr="00483D8C">
              <w:rPr>
                <w:rFonts w:eastAsia="Arial" w:cs="Arial"/>
              </w:rPr>
              <w:lastRenderedPageBreak/>
              <w:t xml:space="preserve">       (j)</w:t>
            </w:r>
            <w:r w:rsidRPr="00483D8C">
              <w:rPr>
                <w:rFonts w:eastAsia="Arial" w:cs="Arial"/>
              </w:rPr>
              <w:tab/>
            </w:r>
            <w:proofErr w:type="gramStart"/>
            <w:r w:rsidRPr="00483D8C">
              <w:rPr>
                <w:rFonts w:eastAsia="Arial" w:cs="Arial"/>
              </w:rPr>
              <w:t>your</w:t>
            </w:r>
            <w:proofErr w:type="gramEnd"/>
            <w:r w:rsidRPr="00483D8C">
              <w:rPr>
                <w:rFonts w:eastAsia="Arial" w:cs="Arial"/>
              </w:rPr>
              <w:t xml:space="preserve"> organisation has negligently provided misleading information that may have a material influence on decisions concerning exclusion, selection or award.</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bl>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7" w:name="h.3znysh7" w:colFirst="0" w:colLast="0"/>
      <w:bookmarkEnd w:id="17"/>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483D8C">
        <w:rPr>
          <w:rFonts w:eastAsia="Arial" w:cs="Arial"/>
        </w:rPr>
        <w:t>self cleans</w:t>
      </w:r>
      <w:proofErr w:type="spellEnd"/>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8" w:name="h.2et92p0" w:colFirst="0" w:colLast="0"/>
      <w:bookmarkEnd w:id="18"/>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362B6F">
      <w:pPr>
        <w:numPr>
          <w:ilvl w:val="0"/>
          <w:numId w:val="35"/>
        </w:numPr>
        <w:ind w:hanging="358"/>
        <w:contextualSpacing/>
        <w:rPr>
          <w:rFonts w:cs="Arial"/>
        </w:rPr>
      </w:pPr>
      <w:bookmarkStart w:id="19" w:name="h.tyjcwt" w:colFirst="0" w:colLast="0"/>
      <w:bookmarkEnd w:id="19"/>
      <w:r w:rsidRPr="00483D8C">
        <w:rPr>
          <w:rFonts w:eastAsia="Arial" w:cs="Arial"/>
        </w:rPr>
        <w:t>paid or undertaken to pay compensation in respect of any damage caused by the criminal offence or misconduct;</w:t>
      </w:r>
    </w:p>
    <w:p w:rsidR="00DD5B00" w:rsidRPr="00483D8C" w:rsidRDefault="00DD5B00" w:rsidP="00362B6F">
      <w:pPr>
        <w:numPr>
          <w:ilvl w:val="0"/>
          <w:numId w:val="35"/>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362B6F">
      <w:pPr>
        <w:numPr>
          <w:ilvl w:val="0"/>
          <w:numId w:val="35"/>
        </w:numPr>
        <w:ind w:hanging="358"/>
        <w:contextualSpacing/>
        <w:rPr>
          <w:rFonts w:cs="Arial"/>
        </w:rPr>
      </w:pPr>
      <w:bookmarkStart w:id="20" w:name="h.3dy6vkm" w:colFirst="0" w:colLast="0"/>
      <w:bookmarkEnd w:id="20"/>
      <w:proofErr w:type="gramStart"/>
      <w:r w:rsidRPr="00483D8C">
        <w:rPr>
          <w:rFonts w:eastAsia="Arial" w:cs="Arial"/>
        </w:rPr>
        <w:t>taken</w:t>
      </w:r>
      <w:proofErr w:type="gramEnd"/>
      <w:r w:rsidRPr="00483D8C">
        <w:rPr>
          <w:rFonts w:eastAsia="Arial" w:cs="Arial"/>
        </w:rPr>
        <w:t xml:space="preserve">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21" w:name="h.1t3h5sf" w:colFirst="0" w:colLast="0"/>
      <w:bookmarkEnd w:id="21"/>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DD5B00">
      <w:pPr>
        <w:rPr>
          <w:rFonts w:cs="Arial"/>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bookmarkStart w:id="22" w:name="_Toc413145496"/>
    <w:p w:rsidR="007A6CEC" w:rsidRPr="00715437" w:rsidRDefault="007A6CEC" w:rsidP="007A6CEC">
      <w:pPr>
        <w:pStyle w:val="DH"/>
      </w:pPr>
      <w:r w:rsidRPr="00715437">
        <w:rPr>
          <w:noProof/>
        </w:rPr>
        <w:lastRenderedPageBreak/>
        <mc:AlternateContent>
          <mc:Choice Requires="wps">
            <w:drawing>
              <wp:anchor distT="0" distB="0" distL="114300" distR="114300" simplePos="0" relativeHeight="251727872" behindDoc="0" locked="0" layoutInCell="1" allowOverlap="1" wp14:anchorId="0486A02B" wp14:editId="3BBB4E50">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715437" w:rsidRPr="00A02231" w:rsidRDefault="00715437"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NWIAIAACI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" stroked="f">
                <v:textbox>
                  <w:txbxContent>
                    <w:p w:rsidR="00715437" w:rsidRPr="00A02231" w:rsidRDefault="00715437" w:rsidP="007A6CEC">
                      <w:pPr>
                        <w:rPr>
                          <w:color w:val="FF0000"/>
                        </w:rPr>
                      </w:pPr>
                    </w:p>
                  </w:txbxContent>
                </v:textbox>
              </v:shape>
            </w:pict>
          </mc:Fallback>
        </mc:AlternateContent>
      </w:r>
      <w:r w:rsidRPr="00715437">
        <w:t>ANNEX B2</w:t>
      </w:r>
      <w:r w:rsidRPr="00715437">
        <w:br/>
        <w:t>SPECIFICATION</w:t>
      </w:r>
      <w:bookmarkEnd w:id="22"/>
    </w:p>
    <w:p w:rsidR="007A6CEC" w:rsidRPr="00715437" w:rsidRDefault="007A6CEC" w:rsidP="007A6CEC">
      <w:pPr>
        <w:spacing w:before="100" w:beforeAutospacing="1" w:after="100" w:afterAutospacing="1"/>
        <w:jc w:val="left"/>
        <w:rPr>
          <w:rFonts w:eastAsia="Times New Roman" w:cs="Arial"/>
          <w:lang w:eastAsia="en-GB"/>
        </w:rPr>
      </w:pPr>
      <w:r w:rsidRPr="00715437">
        <w:rPr>
          <w:rFonts w:eastAsia="Times New Roman" w:cs="Arial"/>
          <w:lang w:eastAsia="en-GB"/>
        </w:rPr>
        <w:t xml:space="preserve">This Specification forms part of the Specification and Tender Response Document.  It will form part of the Contract between the Authority and the Supplier. </w:t>
      </w:r>
    </w:p>
    <w:p w:rsidR="007A6CEC" w:rsidRPr="00715437" w:rsidRDefault="007A6CEC" w:rsidP="007A6CEC">
      <w:pPr>
        <w:spacing w:before="100" w:beforeAutospacing="1" w:after="100" w:afterAutospacing="1"/>
        <w:jc w:val="left"/>
        <w:rPr>
          <w:rFonts w:eastAsia="Times New Roman" w:cs="Arial"/>
          <w:lang w:eastAsia="en-GB"/>
        </w:rPr>
      </w:pPr>
      <w:r w:rsidRPr="00715437">
        <w:rPr>
          <w:rFonts w:eastAsia="Times New Roman" w:cs="Arial"/>
          <w:lang w:eastAsia="en-GB"/>
        </w:rPr>
        <w:t>Note that references in this Annex B2 to schedules and clauses are to schedules and clauses of the Contract.</w:t>
      </w:r>
      <w:r w:rsidRPr="00715437">
        <w:rPr>
          <w:b/>
          <w:noProof/>
          <w:lang w:eastAsia="en-GB"/>
        </w:rPr>
        <w:t xml:space="preserve"> </w:t>
      </w:r>
    </w:p>
    <w:p w:rsidR="007A6CEC" w:rsidRPr="00715437" w:rsidRDefault="007A6CEC" w:rsidP="007A6CEC">
      <w:pPr>
        <w:spacing w:before="100" w:beforeAutospacing="1" w:after="100" w:afterAutospacing="1"/>
        <w:jc w:val="left"/>
        <w:rPr>
          <w:rFonts w:eastAsia="Times New Roman" w:cs="Arial"/>
          <w:b/>
          <w:u w:val="single"/>
          <w:lang w:eastAsia="en-GB"/>
        </w:rPr>
      </w:pPr>
      <w:r w:rsidRPr="00715437">
        <w:rPr>
          <w:rFonts w:eastAsia="Times New Roman" w:cs="Arial"/>
          <w:b/>
          <w:u w:val="single"/>
          <w:lang w:eastAsia="en-GB"/>
        </w:rPr>
        <w:t>Note to Bidders:</w:t>
      </w:r>
    </w:p>
    <w:p w:rsidR="007A6CEC" w:rsidRPr="00715437" w:rsidRDefault="007A6CEC" w:rsidP="007A6CEC">
      <w:pPr>
        <w:spacing w:before="100" w:beforeAutospacing="1" w:after="100" w:afterAutospacing="1"/>
        <w:jc w:val="left"/>
        <w:rPr>
          <w:rFonts w:eastAsia="Times New Roman" w:cs="Arial"/>
          <w:b/>
          <w:lang w:eastAsia="en-GB"/>
        </w:rPr>
      </w:pPr>
      <w:r w:rsidRPr="00715437">
        <w:rPr>
          <w:rFonts w:eastAsia="Times New Roman" w:cs="Arial"/>
          <w:b/>
          <w:lang w:eastAsia="en-GB"/>
        </w:rPr>
        <w:t xml:space="preserve">The Bidder must respond to each row of the Specification below.  </w:t>
      </w:r>
    </w:p>
    <w:p w:rsidR="007A6CEC" w:rsidRPr="00715437" w:rsidRDefault="007A6CEC" w:rsidP="007A6CEC">
      <w:pPr>
        <w:spacing w:before="100" w:beforeAutospacing="1" w:after="100" w:afterAutospacing="1"/>
        <w:jc w:val="left"/>
        <w:rPr>
          <w:rFonts w:eastAsia="Times New Roman" w:cs="Arial"/>
          <w:b/>
          <w:lang w:eastAsia="en-GB"/>
        </w:rPr>
      </w:pPr>
      <w:r w:rsidRPr="00715437">
        <w:rPr>
          <w:rFonts w:eastAsia="Times New Roman" w:cs="Arial"/>
          <w:b/>
          <w:lang w:eastAsia="en-GB"/>
        </w:rPr>
        <w:t xml:space="preserve">Write "Confirmed" to confirm acceptance of the row.  </w:t>
      </w:r>
    </w:p>
    <w:p w:rsidR="007A6CEC" w:rsidRPr="00715437" w:rsidRDefault="007A6CEC" w:rsidP="007A6CEC">
      <w:pPr>
        <w:spacing w:before="100" w:beforeAutospacing="1" w:after="100" w:afterAutospacing="1"/>
        <w:jc w:val="left"/>
        <w:rPr>
          <w:rFonts w:eastAsia="Times New Roman" w:cs="Arial"/>
          <w:b/>
          <w:lang w:eastAsia="en-GB"/>
        </w:rPr>
      </w:pPr>
      <w:r w:rsidRPr="00715437">
        <w:rPr>
          <w:rFonts w:eastAsia="Times New Roman" w:cs="Arial"/>
          <w:b/>
          <w:lang w:eastAsia="en-GB"/>
        </w:rPr>
        <w:t xml:space="preserve">If not accepted, the Bidder must state why not and propose its alternative drafting.  This must be full form drafting capable of being inserted into the Contract.  </w:t>
      </w:r>
    </w:p>
    <w:p w:rsidR="007A6CEC" w:rsidRPr="00715437" w:rsidRDefault="007A6CEC" w:rsidP="007A6CEC">
      <w:pPr>
        <w:spacing w:before="100" w:beforeAutospacing="1" w:after="100" w:afterAutospacing="1"/>
        <w:jc w:val="left"/>
        <w:rPr>
          <w:rFonts w:eastAsia="Times New Roman" w:cs="Arial"/>
          <w:b/>
          <w:lang w:eastAsia="en-GB"/>
        </w:rPr>
      </w:pPr>
      <w:r w:rsidRPr="00715437">
        <w:rPr>
          <w:b/>
          <w:noProof/>
          <w:lang w:eastAsia="en-GB"/>
        </w:rPr>
        <mc:AlternateContent>
          <mc:Choice Requires="wps">
            <w:drawing>
              <wp:anchor distT="0" distB="0" distL="114300" distR="114300" simplePos="0" relativeHeight="251728896" behindDoc="0" locked="0" layoutInCell="1" allowOverlap="1" wp14:anchorId="596EEC39" wp14:editId="0F693D9F">
                <wp:simplePos x="0" y="0"/>
                <wp:positionH relativeFrom="column">
                  <wp:posOffset>5903958</wp:posOffset>
                </wp:positionH>
                <wp:positionV relativeFrom="paragraph">
                  <wp:posOffset>366757</wp:posOffset>
                </wp:positionV>
                <wp:extent cx="494665" cy="608965"/>
                <wp:effectExtent l="0" t="0" r="635"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715437" w:rsidRPr="00C11709" w:rsidRDefault="00715437"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4.9pt;margin-top:28.9pt;width:38.95pt;height:47.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" stroked="f">
                <v:textbox>
                  <w:txbxContent>
                    <w:p w:rsidR="00715437" w:rsidRPr="00C11709" w:rsidRDefault="00715437" w:rsidP="007A6CEC">
                      <w:pPr>
                        <w:rPr>
                          <w:color w:val="FF0000"/>
                        </w:rPr>
                      </w:pPr>
                    </w:p>
                  </w:txbxContent>
                </v:textbox>
              </v:shape>
            </w:pict>
          </mc:Fallback>
        </mc:AlternateContent>
      </w:r>
      <w:r w:rsidRPr="00715437">
        <w:rPr>
          <w:rFonts w:eastAsia="Times New Roman" w:cs="Arial"/>
          <w:b/>
          <w:lang w:eastAsia="en-GB"/>
        </w:rPr>
        <w:t xml:space="preserve">Bidders proposing no amendments will score full marks.  Bidders proposing alternative drafting will receive a lower mark, depending on the number of changes and their significance. </w:t>
      </w:r>
    </w:p>
    <w:p w:rsidR="007A6CEC" w:rsidRPr="00715437" w:rsidRDefault="007A6CEC" w:rsidP="007A6CEC">
      <w:pPr>
        <w:spacing w:before="100" w:beforeAutospacing="1" w:after="100" w:afterAutospacing="1"/>
        <w:jc w:val="left"/>
        <w:rPr>
          <w:rFonts w:eastAsia="Times New Roman" w:cs="Arial"/>
          <w:b/>
          <w:lang w:eastAsia="en-GB"/>
        </w:rPr>
      </w:pPr>
      <w:r w:rsidRPr="00715437">
        <w:rPr>
          <w:rFonts w:eastAsia="Times New Roman" w:cs="Arial"/>
          <w:b/>
          <w:lang w:eastAsia="en-GB"/>
        </w:rPr>
        <w:t>Note:  the Bidder will not be permitted to add to this list or amend proposals to the Authority's detriment after the deadline for Tender submission.</w:t>
      </w:r>
      <w:r w:rsidRPr="00715437">
        <w:rPr>
          <w:b/>
          <w:noProof/>
        </w:rPr>
        <w:t xml:space="preserve"> </w:t>
      </w:r>
    </w:p>
    <w:p w:rsidR="00F72949" w:rsidRPr="00715437" w:rsidRDefault="00F72949">
      <w:pPr>
        <w:spacing w:after="240"/>
        <w:jc w:val="left"/>
      </w:pPr>
      <w:r w:rsidRPr="00715437">
        <w:t xml:space="preserve">External Clinically Led Review of Diabetes </w:t>
      </w:r>
      <w:proofErr w:type="gramStart"/>
      <w:r w:rsidRPr="00715437">
        <w:t>Service  -</w:t>
      </w:r>
      <w:proofErr w:type="gramEnd"/>
      <w:r w:rsidRPr="00715437">
        <w:t xml:space="preserve"> Design principles</w:t>
      </w:r>
    </w:p>
    <w:p w:rsidR="00F72949" w:rsidRPr="00715437" w:rsidRDefault="00F72949">
      <w:pPr>
        <w:spacing w:after="240"/>
        <w:jc w:val="left"/>
      </w:pPr>
      <w:proofErr w:type="gramStart"/>
      <w:r w:rsidRPr="00715437">
        <w:t>A set of design principles have been agreed for this review.</w:t>
      </w:r>
      <w:proofErr w:type="gramEnd"/>
      <w:r w:rsidRPr="00715437">
        <w:t xml:space="preserve"> These are set out below.</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 xml:space="preserve">We recognise and support the need for change to ensure resources are best utilised in meeting demand - doing nothing is not an option. </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In supporting the review we will start from the position of wanting to provide effective and efficient patient centred care</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 xml:space="preserve">Securing the best possible services for patients through the principles of the right place at the right time and by the right people </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 xml:space="preserve">Whatever is proposed it must support the ability to attract, train and retain the highest quality staff to the Swindon / Wiltshire system </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 xml:space="preserve">We must be able to provide the right mix of specialist, general, integrated, community and primary care professionals for the future - and the review must be able to support the training of future professionals for that system </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 xml:space="preserve">The review will not attempt to reinvent the wheel. It will learn from work already undertaken and experiences elsewhere and share that with the partners within the review </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 xml:space="preserve">We recognise the need to make the clinical case for change and that will be at the heart of the review </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 xml:space="preserve">As department/service leaders we commit to fully participating and engaging within the review </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 xml:space="preserve">A range of clinical services will be provided from within the acute setting and outreaching into the community </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 xml:space="preserve">Care pathways will be designed without duplication and complication, to provide good outcomes for patients and to meet and help manage current and anticipated demand </w:t>
      </w:r>
    </w:p>
    <w:p w:rsidR="00F72949" w:rsidRPr="00FE7CDA" w:rsidRDefault="00F72949" w:rsidP="00F72949">
      <w:pPr>
        <w:pStyle w:val="Default"/>
        <w:numPr>
          <w:ilvl w:val="0"/>
          <w:numId w:val="39"/>
        </w:numPr>
        <w:rPr>
          <w:rFonts w:ascii="Arial" w:hAnsi="Arial" w:cs="Arial"/>
          <w:sz w:val="20"/>
          <w:szCs w:val="20"/>
        </w:rPr>
      </w:pPr>
      <w:r w:rsidRPr="00FE7CDA">
        <w:rPr>
          <w:rFonts w:ascii="Arial" w:hAnsi="Arial" w:cs="Arial"/>
          <w:sz w:val="20"/>
          <w:szCs w:val="20"/>
        </w:rPr>
        <w:t>All staff and physical resources will be used to maximum effect across Swindon</w:t>
      </w:r>
    </w:p>
    <w:p w:rsidR="00DD5B00" w:rsidRPr="009839DB" w:rsidRDefault="00DD5B00">
      <w:pPr>
        <w:spacing w:after="240"/>
        <w:jc w:val="left"/>
        <w:rPr>
          <w:rFonts w:eastAsia="Times New Roman" w:cs="Times New Roman"/>
          <w:b/>
          <w:caps/>
          <w:color w:val="000000" w:themeColor="text1"/>
          <w:highlight w:val="cyan"/>
          <w:lang w:eastAsia="en-GB"/>
        </w:rPr>
      </w:pPr>
      <w:r w:rsidRPr="009839DB">
        <w:rPr>
          <w:highlight w:val="cyan"/>
        </w:rPr>
        <w:br w:type="page"/>
      </w:r>
    </w:p>
    <w:bookmarkEnd w:id="4"/>
    <w:bookmarkEnd w:id="5"/>
    <w:bookmarkEnd w:id="6"/>
    <w:bookmarkEnd w:id="7"/>
    <w:bookmarkEnd w:id="8"/>
    <w:bookmarkEnd w:id="11"/>
    <w:bookmarkEnd w:id="13"/>
    <w:p w:rsidR="008942ED" w:rsidRPr="009839DB" w:rsidRDefault="008942ED" w:rsidP="007A6CEC">
      <w:pPr>
        <w:spacing w:after="240"/>
        <w:jc w:val="center"/>
        <w:rPr>
          <w:rFonts w:eastAsia="Times New Roman" w:cs="Arial"/>
          <w:b/>
          <w:highlight w:val="cyan"/>
          <w:lang w:eastAsia="en-GB"/>
        </w:rPr>
        <w:sectPr w:rsidR="008942ED" w:rsidRPr="009839DB" w:rsidSect="00B21EE8">
          <w:headerReference w:type="default" r:id="rId19"/>
          <w:footerReference w:type="default" r:id="rId20"/>
          <w:headerReference w:type="first" r:id="rId21"/>
          <w:footerReference w:type="first" r:id="rId22"/>
          <w:pgSz w:w="11907" w:h="16840" w:code="9"/>
          <w:pgMar w:top="1418" w:right="1418" w:bottom="1418" w:left="1418" w:header="709" w:footer="567" w:gutter="0"/>
          <w:cols w:space="708"/>
          <w:titlePg/>
          <w:docGrid w:linePitch="360"/>
        </w:sectPr>
      </w:pPr>
    </w:p>
    <w:tbl>
      <w:tblPr>
        <w:tblStyle w:val="TableGrid1"/>
        <w:tblW w:w="14993" w:type="dxa"/>
        <w:tblLayout w:type="fixed"/>
        <w:tblLook w:val="0600" w:firstRow="0" w:lastRow="0" w:firstColumn="0" w:lastColumn="0" w:noHBand="1" w:noVBand="1"/>
      </w:tblPr>
      <w:tblGrid>
        <w:gridCol w:w="7763"/>
        <w:gridCol w:w="6379"/>
        <w:gridCol w:w="851"/>
      </w:tblGrid>
      <w:tr w:rsidR="00825252" w:rsidRPr="00715437" w:rsidTr="008942ED">
        <w:tc>
          <w:tcPr>
            <w:tcW w:w="7763" w:type="dxa"/>
          </w:tcPr>
          <w:p w:rsidR="00825252" w:rsidRPr="00715437" w:rsidRDefault="00825252" w:rsidP="00825252">
            <w:pPr>
              <w:keepNext/>
              <w:spacing w:before="120" w:after="120" w:line="240" w:lineRule="atLeast"/>
              <w:ind w:left="851"/>
              <w:outlineLvl w:val="0"/>
              <w:rPr>
                <w:rFonts w:eastAsia="Times New Roman" w:cs="Times New Roman"/>
                <w:color w:val="000000" w:themeColor="text1"/>
                <w:lang w:eastAsia="en-GB"/>
              </w:rPr>
            </w:pPr>
            <w:r w:rsidRPr="00715437">
              <w:rPr>
                <w:rFonts w:eastAsia="Times New Roman" w:cs="Times New Roman"/>
                <w:color w:val="000000" w:themeColor="text1"/>
                <w:lang w:eastAsia="en-GB"/>
              </w:rPr>
              <w:lastRenderedPageBreak/>
              <w:t>Specification</w:t>
            </w:r>
          </w:p>
        </w:tc>
        <w:tc>
          <w:tcPr>
            <w:tcW w:w="6379" w:type="dxa"/>
            <w:tcBorders>
              <w:right w:val="single" w:sz="4" w:space="0" w:color="auto"/>
            </w:tcBorders>
          </w:tcPr>
          <w:p w:rsidR="00825252" w:rsidRPr="00715437" w:rsidRDefault="00825252" w:rsidP="009612D8">
            <w:pPr>
              <w:spacing w:before="120" w:after="120" w:line="240" w:lineRule="atLeast"/>
              <w:jc w:val="left"/>
              <w:rPr>
                <w:rFonts w:eastAsia="Times New Roman" w:cs="Arial"/>
                <w:b/>
                <w:lang w:eastAsia="en-GB"/>
              </w:rPr>
            </w:pPr>
            <w:r w:rsidRPr="00715437">
              <w:rPr>
                <w:rFonts w:eastAsia="Times New Roman" w:cs="Arial"/>
                <w:b/>
                <w:lang w:eastAsia="en-GB"/>
              </w:rPr>
              <w:t>Bidders Response</w:t>
            </w:r>
          </w:p>
        </w:tc>
        <w:tc>
          <w:tcPr>
            <w:tcW w:w="851" w:type="dxa"/>
            <w:tcBorders>
              <w:top w:val="nil"/>
              <w:left w:val="single" w:sz="4" w:space="0" w:color="auto"/>
              <w:bottom w:val="nil"/>
              <w:right w:val="nil"/>
            </w:tcBorders>
          </w:tcPr>
          <w:p w:rsidR="00825252" w:rsidRPr="00715437" w:rsidRDefault="00825252" w:rsidP="009612D8">
            <w:pPr>
              <w:spacing w:before="120" w:after="120" w:line="240" w:lineRule="atLeast"/>
              <w:jc w:val="left"/>
              <w:rPr>
                <w:rFonts w:ascii="Times New Roman" w:eastAsia="Times New Roman" w:hAnsi="Times New Roman" w:cs="Times New Roman"/>
                <w:sz w:val="24"/>
                <w:szCs w:val="24"/>
                <w:lang w:eastAsia="en-GB"/>
              </w:rPr>
            </w:pPr>
          </w:p>
        </w:tc>
      </w:tr>
      <w:tr w:rsidR="009612D8" w:rsidRPr="00715437" w:rsidTr="008942ED">
        <w:tc>
          <w:tcPr>
            <w:tcW w:w="7763" w:type="dxa"/>
          </w:tcPr>
          <w:p w:rsidR="009612D8" w:rsidRPr="00715437" w:rsidRDefault="00B16352" w:rsidP="002B69E3">
            <w:pPr>
              <w:keepNext/>
              <w:numPr>
                <w:ilvl w:val="0"/>
                <w:numId w:val="23"/>
              </w:numPr>
              <w:tabs>
                <w:tab w:val="clear" w:pos="851"/>
                <w:tab w:val="num" w:pos="567"/>
              </w:tabs>
              <w:spacing w:before="120" w:after="120" w:line="240" w:lineRule="atLeast"/>
              <w:outlineLvl w:val="0"/>
              <w:rPr>
                <w:rFonts w:eastAsia="Times New Roman" w:cs="Times New Roman"/>
                <w:b/>
                <w:color w:val="000000" w:themeColor="text1"/>
                <w:lang w:eastAsia="en-GB"/>
              </w:rPr>
            </w:pPr>
            <w:r w:rsidRPr="00715437">
              <w:rPr>
                <w:rFonts w:eastAsia="Times New Roman" w:cs="Times New Roman"/>
                <w:b/>
                <w:color w:val="000000" w:themeColor="text1"/>
                <w:lang w:eastAsia="en-GB"/>
              </w:rPr>
              <w:t>Methodology</w:t>
            </w:r>
          </w:p>
          <w:p w:rsidR="009612D8" w:rsidRPr="00715437" w:rsidRDefault="00527ED7" w:rsidP="002B69E3">
            <w:pPr>
              <w:numPr>
                <w:ilvl w:val="1"/>
                <w:numId w:val="4"/>
              </w:numPr>
              <w:tabs>
                <w:tab w:val="clear" w:pos="851"/>
                <w:tab w:val="num" w:pos="567"/>
              </w:tabs>
              <w:spacing w:before="120" w:after="120" w:line="240" w:lineRule="atLeast"/>
              <w:outlineLvl w:val="1"/>
              <w:rPr>
                <w:rFonts w:eastAsia="Times New Roman" w:cs="Times New Roman"/>
                <w:color w:val="000000" w:themeColor="text1"/>
                <w:lang w:eastAsia="en-GB"/>
              </w:rPr>
            </w:pPr>
            <w:r w:rsidRPr="00715437">
              <w:rPr>
                <w:rFonts w:eastAsia="Times New Roman" w:cs="Times New Roman"/>
                <w:color w:val="000000" w:themeColor="text1"/>
                <w:lang w:eastAsia="en-GB"/>
              </w:rPr>
              <w:t>Bidder to outline the plans and process</w:t>
            </w:r>
            <w:r w:rsidR="001B1584" w:rsidRPr="00715437">
              <w:rPr>
                <w:rFonts w:eastAsia="Times New Roman" w:cs="Times New Roman"/>
                <w:color w:val="000000" w:themeColor="text1"/>
                <w:lang w:eastAsia="en-GB"/>
              </w:rPr>
              <w:t xml:space="preserve"> including relevant milestones and outputs in relation to the key deliverables below</w:t>
            </w:r>
          </w:p>
          <w:p w:rsidR="008B0E1D" w:rsidRPr="00500507" w:rsidRDefault="008942ED" w:rsidP="002B69E3">
            <w:pPr>
              <w:numPr>
                <w:ilvl w:val="2"/>
                <w:numId w:val="4"/>
              </w:numPr>
              <w:tabs>
                <w:tab w:val="clear" w:pos="1701"/>
                <w:tab w:val="num" w:pos="567"/>
                <w:tab w:val="num" w:pos="1418"/>
              </w:tabs>
              <w:spacing w:before="120" w:after="120" w:line="240" w:lineRule="atLeast"/>
              <w:outlineLvl w:val="2"/>
              <w:rPr>
                <w:rFonts w:eastAsia="Times New Roman" w:cs="Times New Roman"/>
                <w:b/>
                <w:color w:val="000000" w:themeColor="text1"/>
                <w:lang w:eastAsia="en-GB"/>
              </w:rPr>
            </w:pPr>
            <w:r w:rsidRPr="00500507">
              <w:rPr>
                <w:rFonts w:eastAsia="Times New Roman" w:cs="Times New Roman"/>
                <w:b/>
                <w:color w:val="000000" w:themeColor="text1"/>
                <w:lang w:eastAsia="en-GB"/>
              </w:rPr>
              <w:t>Capacity and demand modelling</w:t>
            </w:r>
          </w:p>
          <w:p w:rsidR="006B7716" w:rsidRPr="00715437" w:rsidRDefault="006B7716" w:rsidP="002B69E3">
            <w:pPr>
              <w:pStyle w:val="Heading4"/>
              <w:tabs>
                <w:tab w:val="clear" w:pos="2552"/>
                <w:tab w:val="num" w:pos="567"/>
                <w:tab w:val="num" w:pos="2127"/>
              </w:tabs>
              <w:ind w:left="2127"/>
              <w:outlineLvl w:val="3"/>
            </w:pPr>
            <w:r w:rsidRPr="00715437">
              <w:t xml:space="preserve">Analysis of </w:t>
            </w:r>
            <w:r w:rsidR="00F24E6B" w:rsidRPr="00715437">
              <w:t xml:space="preserve">National and </w:t>
            </w:r>
            <w:r w:rsidRPr="00715437">
              <w:t>JSNA data in providing clear model</w:t>
            </w:r>
            <w:r w:rsidR="00F24E6B" w:rsidRPr="00715437">
              <w:t xml:space="preserve"> for population and prevalence rates to understand current needs and changes predicted over the 5 and 10 year periods in each of the sub-pathways </w:t>
            </w:r>
            <w:proofErr w:type="gramStart"/>
            <w:r w:rsidR="00F24E6B" w:rsidRPr="00715437">
              <w:t>of  Diabetes</w:t>
            </w:r>
            <w:proofErr w:type="gramEnd"/>
            <w:r w:rsidR="00F24E6B" w:rsidRPr="00715437">
              <w:t xml:space="preserve"> Care.</w:t>
            </w:r>
          </w:p>
          <w:p w:rsidR="006B7716" w:rsidRPr="00715437" w:rsidRDefault="006B7716" w:rsidP="002B69E3">
            <w:pPr>
              <w:pStyle w:val="Heading4"/>
              <w:tabs>
                <w:tab w:val="clear" w:pos="2552"/>
                <w:tab w:val="num" w:pos="567"/>
                <w:tab w:val="num" w:pos="2127"/>
              </w:tabs>
              <w:ind w:left="2127"/>
              <w:outlineLvl w:val="3"/>
            </w:pPr>
            <w:r w:rsidRPr="00715437">
              <w:t>Build on existing</w:t>
            </w:r>
            <w:r w:rsidR="00F24E6B" w:rsidRPr="00715437">
              <w:t xml:space="preserve"> capacity d</w:t>
            </w:r>
            <w:r w:rsidRPr="00715437">
              <w:t xml:space="preserve">emand modelling (IMAS model) in </w:t>
            </w:r>
            <w:r w:rsidR="00F24E6B" w:rsidRPr="00715437">
              <w:t>relation</w:t>
            </w:r>
            <w:r w:rsidRPr="00715437">
              <w:t xml:space="preserve"> to outpatient</w:t>
            </w:r>
            <w:r w:rsidR="00F24E6B" w:rsidRPr="00715437">
              <w:t xml:space="preserve"> activity across the same current, 5 and 10 year projections. Modelling this across the different sub pathway elements of Diabetes care</w:t>
            </w:r>
          </w:p>
          <w:p w:rsidR="00F24E6B" w:rsidRPr="00715437" w:rsidRDefault="00F24E6B" w:rsidP="002B69E3">
            <w:pPr>
              <w:pStyle w:val="Heading4"/>
              <w:tabs>
                <w:tab w:val="clear" w:pos="2552"/>
                <w:tab w:val="num" w:pos="567"/>
                <w:tab w:val="num" w:pos="2127"/>
              </w:tabs>
              <w:ind w:left="2127"/>
              <w:outlineLvl w:val="3"/>
            </w:pPr>
            <w:r w:rsidRPr="00715437">
              <w:t>Analysis of Inpatient demand for diabetes care in relation to patients on specific diabetes care pathways and those with other care pathways needing added specialist advice ensuring 7 day safe care</w:t>
            </w:r>
          </w:p>
          <w:p w:rsidR="008942ED" w:rsidRPr="00715437" w:rsidRDefault="006B7716" w:rsidP="002B69E3">
            <w:pPr>
              <w:numPr>
                <w:ilvl w:val="2"/>
                <w:numId w:val="4"/>
              </w:numPr>
              <w:tabs>
                <w:tab w:val="num" w:pos="567"/>
              </w:tabs>
              <w:spacing w:before="120" w:after="120" w:line="240" w:lineRule="atLeast"/>
              <w:outlineLvl w:val="2"/>
              <w:rPr>
                <w:rFonts w:eastAsia="Times New Roman" w:cs="Times New Roman"/>
                <w:b/>
                <w:color w:val="000000" w:themeColor="text1"/>
                <w:lang w:eastAsia="en-GB"/>
              </w:rPr>
            </w:pPr>
            <w:r w:rsidRPr="00715437">
              <w:rPr>
                <w:rFonts w:eastAsia="Times New Roman" w:cs="Times New Roman"/>
                <w:b/>
                <w:color w:val="000000" w:themeColor="text1"/>
                <w:lang w:eastAsia="en-GB"/>
              </w:rPr>
              <w:t>Benchmark comparison</w:t>
            </w:r>
          </w:p>
          <w:p w:rsidR="004723D2" w:rsidRPr="00715437" w:rsidRDefault="004723D2" w:rsidP="002B69E3">
            <w:pPr>
              <w:pStyle w:val="Heading4"/>
              <w:tabs>
                <w:tab w:val="clear" w:pos="2552"/>
                <w:tab w:val="num" w:pos="567"/>
                <w:tab w:val="num" w:pos="2410"/>
              </w:tabs>
              <w:ind w:left="2127"/>
              <w:outlineLvl w:val="3"/>
            </w:pPr>
            <w:r w:rsidRPr="00715437">
              <w:t>Baseline assessment showing performance against key clinical performance / outcome metrics across the trust and in comparison to other organisations available through benchmark information</w:t>
            </w:r>
          </w:p>
          <w:p w:rsidR="004723D2" w:rsidRPr="00715437" w:rsidRDefault="004723D2" w:rsidP="002B69E3">
            <w:pPr>
              <w:pStyle w:val="Heading4"/>
              <w:tabs>
                <w:tab w:val="clear" w:pos="2552"/>
                <w:tab w:val="num" w:pos="567"/>
                <w:tab w:val="num" w:pos="2410"/>
              </w:tabs>
              <w:ind w:left="2127"/>
              <w:outlineLvl w:val="3"/>
            </w:pPr>
            <w:r w:rsidRPr="00715437">
              <w:t xml:space="preserve">Recommendations in relation to priority areas needing to be addressed </w:t>
            </w:r>
            <w:r w:rsidR="005C217A" w:rsidRPr="00715437">
              <w:t>that delivers</w:t>
            </w:r>
            <w:r w:rsidRPr="00715437">
              <w:t>:</w:t>
            </w:r>
          </w:p>
          <w:p w:rsidR="004723D2" w:rsidRPr="00715437" w:rsidRDefault="004723D2" w:rsidP="002B69E3">
            <w:pPr>
              <w:pStyle w:val="Heading5"/>
              <w:outlineLvl w:val="4"/>
            </w:pPr>
            <w:r w:rsidRPr="00715437">
              <w:t xml:space="preserve">Increased efficiency </w:t>
            </w:r>
          </w:p>
          <w:p w:rsidR="004723D2" w:rsidRPr="00715437" w:rsidRDefault="004723D2" w:rsidP="002B69E3">
            <w:pPr>
              <w:pStyle w:val="Heading5"/>
              <w:outlineLvl w:val="4"/>
            </w:pPr>
            <w:r w:rsidRPr="00715437">
              <w:t xml:space="preserve">Increased </w:t>
            </w:r>
            <w:r w:rsidR="005C217A" w:rsidRPr="00715437">
              <w:t>productivity</w:t>
            </w:r>
          </w:p>
          <w:p w:rsidR="005C217A" w:rsidRPr="00715437" w:rsidRDefault="005C217A" w:rsidP="002B69E3">
            <w:pPr>
              <w:pStyle w:val="Heading5"/>
              <w:outlineLvl w:val="4"/>
            </w:pPr>
            <w:r w:rsidRPr="00715437">
              <w:t>Increased income generation</w:t>
            </w:r>
          </w:p>
          <w:p w:rsidR="009C3FA9" w:rsidRPr="00715437" w:rsidRDefault="009C3FA9" w:rsidP="002B69E3">
            <w:pPr>
              <w:pStyle w:val="Heading5"/>
              <w:numPr>
                <w:ilvl w:val="0"/>
                <w:numId w:val="0"/>
              </w:numPr>
              <w:tabs>
                <w:tab w:val="num" w:pos="567"/>
              </w:tabs>
              <w:ind w:left="3402"/>
              <w:outlineLvl w:val="4"/>
            </w:pPr>
          </w:p>
          <w:p w:rsidR="005C217A" w:rsidRPr="00715437" w:rsidRDefault="005C217A" w:rsidP="002B69E3">
            <w:pPr>
              <w:pStyle w:val="Heading3"/>
              <w:tabs>
                <w:tab w:val="num" w:pos="567"/>
              </w:tabs>
              <w:outlineLvl w:val="2"/>
              <w:rPr>
                <w:b/>
                <w:i/>
                <w:shd w:val="clear" w:color="auto" w:fill="FFFF66"/>
              </w:rPr>
            </w:pPr>
            <w:r w:rsidRPr="00715437">
              <w:rPr>
                <w:rFonts w:cs="Arial"/>
                <w:b/>
              </w:rPr>
              <w:t xml:space="preserve">Analysis of current service model against best practice models </w:t>
            </w:r>
            <w:proofErr w:type="spellStart"/>
            <w:r w:rsidRPr="00715437">
              <w:rPr>
                <w:rFonts w:cs="Arial"/>
                <w:b/>
              </w:rPr>
              <w:t>eg</w:t>
            </w:r>
            <w:proofErr w:type="spellEnd"/>
            <w:r w:rsidRPr="00715437">
              <w:rPr>
                <w:rFonts w:cs="Arial"/>
                <w:b/>
              </w:rPr>
              <w:t xml:space="preserve"> Super 6</w:t>
            </w:r>
          </w:p>
          <w:p w:rsidR="009C3FA9" w:rsidRPr="00715437" w:rsidRDefault="005C217A" w:rsidP="002B69E3">
            <w:pPr>
              <w:pStyle w:val="Heading4"/>
              <w:tabs>
                <w:tab w:val="clear" w:pos="2552"/>
                <w:tab w:val="num" w:pos="567"/>
                <w:tab w:val="num" w:pos="2127"/>
              </w:tabs>
              <w:ind w:left="2127"/>
              <w:outlineLvl w:val="3"/>
            </w:pPr>
            <w:r w:rsidRPr="00715437">
              <w:t>Assessment and a</w:t>
            </w:r>
            <w:r w:rsidR="004723D2" w:rsidRPr="00715437">
              <w:t>nalysis of the current service in its delivery of care across diabetes and other endocrinology</w:t>
            </w:r>
            <w:r w:rsidRPr="00715437">
              <w:t xml:space="preserve"> conditions ensuring key clinical engagement i</w:t>
            </w:r>
            <w:r w:rsidR="00AA30F5" w:rsidRPr="00715437">
              <w:t>s maintained through the review</w:t>
            </w:r>
            <w:r w:rsidRPr="00715437">
              <w:t xml:space="preserve">, recommendations and subsequently into </w:t>
            </w:r>
            <w:r w:rsidRPr="00715437">
              <w:lastRenderedPageBreak/>
              <w:t>implementation planning</w:t>
            </w:r>
            <w:r w:rsidR="00AA30F5" w:rsidRPr="00715437">
              <w:t xml:space="preserve"> post review</w:t>
            </w:r>
            <w:r w:rsidRPr="00715437">
              <w:t>.</w:t>
            </w:r>
          </w:p>
          <w:p w:rsidR="005C217A" w:rsidRPr="00715437" w:rsidRDefault="005C217A" w:rsidP="002B69E3">
            <w:pPr>
              <w:pStyle w:val="Heading4"/>
              <w:tabs>
                <w:tab w:val="clear" w:pos="2552"/>
                <w:tab w:val="num" w:pos="567"/>
                <w:tab w:val="num" w:pos="2127"/>
              </w:tabs>
              <w:ind w:left="2127"/>
              <w:outlineLvl w:val="3"/>
            </w:pPr>
            <w:r w:rsidRPr="00715437">
              <w:t>Identification</w:t>
            </w:r>
            <w:r w:rsidR="002B69E3" w:rsidRPr="00715437">
              <w:t xml:space="preserve"> / recommendation</w:t>
            </w:r>
            <w:r w:rsidRPr="00715437">
              <w:t xml:space="preserve"> of work / pathways prioritised for secondary care management</w:t>
            </w:r>
          </w:p>
          <w:p w:rsidR="005C217A" w:rsidRPr="00715437" w:rsidRDefault="005C217A" w:rsidP="002B69E3">
            <w:pPr>
              <w:pStyle w:val="Heading4"/>
              <w:tabs>
                <w:tab w:val="clear" w:pos="2552"/>
                <w:tab w:val="num" w:pos="567"/>
                <w:tab w:val="num" w:pos="2127"/>
              </w:tabs>
              <w:ind w:left="2127"/>
              <w:outlineLvl w:val="3"/>
            </w:pPr>
            <w:r w:rsidRPr="00715437">
              <w:t>Identification</w:t>
            </w:r>
            <w:r w:rsidR="002B69E3" w:rsidRPr="00715437">
              <w:t xml:space="preserve"> / recommendation</w:t>
            </w:r>
            <w:r w:rsidRPr="00715437">
              <w:t xml:space="preserve"> of work prioritised for primary / community care management</w:t>
            </w:r>
          </w:p>
          <w:p w:rsidR="005C217A" w:rsidRPr="00715437" w:rsidRDefault="002B69E3" w:rsidP="002B69E3">
            <w:pPr>
              <w:pStyle w:val="Heading4"/>
              <w:tabs>
                <w:tab w:val="clear" w:pos="2552"/>
                <w:tab w:val="num" w:pos="567"/>
                <w:tab w:val="num" w:pos="2127"/>
              </w:tabs>
              <w:ind w:left="2127"/>
              <w:outlineLvl w:val="3"/>
            </w:pPr>
            <w:r w:rsidRPr="00715437">
              <w:t>Recommendations</w:t>
            </w:r>
            <w:r w:rsidR="005C217A" w:rsidRPr="00715437">
              <w:t xml:space="preserve"> to take account of current and future predictions in relation to</w:t>
            </w:r>
          </w:p>
          <w:p w:rsidR="002B69E3" w:rsidRPr="00715437" w:rsidRDefault="002B69E3" w:rsidP="00AA30F5">
            <w:pPr>
              <w:pStyle w:val="ListParagraph"/>
              <w:numPr>
                <w:ilvl w:val="0"/>
                <w:numId w:val="47"/>
              </w:numPr>
              <w:rPr>
                <w:rFonts w:cs="Arial"/>
                <w:sz w:val="22"/>
                <w:szCs w:val="22"/>
              </w:rPr>
            </w:pPr>
            <w:r w:rsidRPr="00715437">
              <w:rPr>
                <w:rFonts w:cs="Arial"/>
                <w:sz w:val="22"/>
                <w:szCs w:val="22"/>
              </w:rPr>
              <w:t>Those individuals acutely admitted to hospital</w:t>
            </w:r>
          </w:p>
          <w:p w:rsidR="002B69E3" w:rsidRPr="00715437" w:rsidRDefault="002B69E3" w:rsidP="00AA30F5">
            <w:pPr>
              <w:pStyle w:val="ListParagraph"/>
              <w:numPr>
                <w:ilvl w:val="0"/>
                <w:numId w:val="47"/>
              </w:numPr>
              <w:rPr>
                <w:rFonts w:cs="Arial"/>
                <w:sz w:val="22"/>
                <w:szCs w:val="22"/>
              </w:rPr>
            </w:pPr>
            <w:r w:rsidRPr="00715437">
              <w:rPr>
                <w:rFonts w:cs="Arial"/>
                <w:sz w:val="22"/>
                <w:szCs w:val="22"/>
              </w:rPr>
              <w:t>Have complex Diabetes Foot problems</w:t>
            </w:r>
          </w:p>
          <w:p w:rsidR="002B69E3" w:rsidRPr="00715437" w:rsidRDefault="002B69E3" w:rsidP="00AA30F5">
            <w:pPr>
              <w:pStyle w:val="ListParagraph"/>
              <w:numPr>
                <w:ilvl w:val="0"/>
                <w:numId w:val="47"/>
              </w:numPr>
              <w:rPr>
                <w:rFonts w:cs="Arial"/>
                <w:sz w:val="22"/>
                <w:szCs w:val="22"/>
              </w:rPr>
            </w:pPr>
            <w:r w:rsidRPr="00715437">
              <w:rPr>
                <w:rFonts w:cs="Arial"/>
                <w:sz w:val="22"/>
                <w:szCs w:val="22"/>
              </w:rPr>
              <w:t>Those who are Severely Obese</w:t>
            </w:r>
          </w:p>
          <w:p w:rsidR="002B69E3" w:rsidRPr="00715437" w:rsidRDefault="002B69E3" w:rsidP="00AA30F5">
            <w:pPr>
              <w:pStyle w:val="ListParagraph"/>
              <w:numPr>
                <w:ilvl w:val="0"/>
                <w:numId w:val="47"/>
              </w:numPr>
              <w:rPr>
                <w:rFonts w:cs="Arial"/>
                <w:sz w:val="22"/>
                <w:szCs w:val="22"/>
              </w:rPr>
            </w:pPr>
            <w:r w:rsidRPr="00715437">
              <w:rPr>
                <w:rFonts w:cs="Arial"/>
                <w:sz w:val="22"/>
                <w:szCs w:val="22"/>
              </w:rPr>
              <w:t>Those who are young adults</w:t>
            </w:r>
          </w:p>
          <w:p w:rsidR="002B69E3" w:rsidRPr="00715437" w:rsidRDefault="002B69E3" w:rsidP="00AA30F5">
            <w:pPr>
              <w:pStyle w:val="ListParagraph"/>
              <w:numPr>
                <w:ilvl w:val="0"/>
                <w:numId w:val="47"/>
              </w:numPr>
              <w:rPr>
                <w:rFonts w:cs="Arial"/>
                <w:sz w:val="22"/>
                <w:szCs w:val="22"/>
              </w:rPr>
            </w:pPr>
            <w:r w:rsidRPr="00715437">
              <w:rPr>
                <w:rFonts w:cs="Arial"/>
                <w:sz w:val="22"/>
                <w:szCs w:val="22"/>
              </w:rPr>
              <w:t>Those who are planning to be or are pregnant</w:t>
            </w:r>
          </w:p>
          <w:p w:rsidR="002B69E3" w:rsidRPr="00715437" w:rsidRDefault="002B69E3" w:rsidP="00AA30F5">
            <w:pPr>
              <w:pStyle w:val="ListParagraph"/>
              <w:numPr>
                <w:ilvl w:val="0"/>
                <w:numId w:val="47"/>
              </w:numPr>
              <w:rPr>
                <w:rFonts w:cs="Arial"/>
                <w:sz w:val="22"/>
                <w:szCs w:val="22"/>
              </w:rPr>
            </w:pPr>
            <w:r w:rsidRPr="00715437">
              <w:rPr>
                <w:rFonts w:cs="Arial"/>
                <w:sz w:val="22"/>
                <w:szCs w:val="22"/>
              </w:rPr>
              <w:t>Those who are eligible for insulin pumps</w:t>
            </w:r>
          </w:p>
          <w:p w:rsidR="002B69E3" w:rsidRPr="00715437" w:rsidRDefault="002B69E3" w:rsidP="00AA30F5">
            <w:pPr>
              <w:pStyle w:val="ListParagraph"/>
              <w:numPr>
                <w:ilvl w:val="0"/>
                <w:numId w:val="47"/>
              </w:numPr>
              <w:rPr>
                <w:rFonts w:cs="Arial"/>
                <w:sz w:val="22"/>
                <w:szCs w:val="22"/>
              </w:rPr>
            </w:pPr>
            <w:r w:rsidRPr="00715437">
              <w:rPr>
                <w:rFonts w:cs="Arial"/>
                <w:sz w:val="22"/>
                <w:szCs w:val="22"/>
              </w:rPr>
              <w:t>Those who require specialist type 1 diabetes education</w:t>
            </w:r>
          </w:p>
          <w:p w:rsidR="002B69E3" w:rsidRPr="00715437" w:rsidRDefault="002B69E3" w:rsidP="00AA30F5">
            <w:pPr>
              <w:pStyle w:val="ListParagraph"/>
              <w:numPr>
                <w:ilvl w:val="0"/>
                <w:numId w:val="47"/>
              </w:numPr>
              <w:rPr>
                <w:rFonts w:cs="Arial"/>
                <w:sz w:val="22"/>
                <w:szCs w:val="22"/>
              </w:rPr>
            </w:pPr>
            <w:r w:rsidRPr="00715437">
              <w:rPr>
                <w:rFonts w:cs="Arial"/>
                <w:sz w:val="22"/>
                <w:szCs w:val="22"/>
              </w:rPr>
              <w:t>Delivery of Best Practice tariff</w:t>
            </w:r>
          </w:p>
          <w:p w:rsidR="002B69E3" w:rsidRPr="00715437" w:rsidRDefault="002B69E3" w:rsidP="00AA30F5">
            <w:pPr>
              <w:pStyle w:val="Default"/>
              <w:numPr>
                <w:ilvl w:val="0"/>
                <w:numId w:val="47"/>
              </w:numPr>
              <w:adjustRightInd/>
              <w:rPr>
                <w:rFonts w:ascii="Arial" w:hAnsi="Arial" w:cs="Arial"/>
                <w:sz w:val="22"/>
                <w:szCs w:val="22"/>
              </w:rPr>
            </w:pPr>
            <w:r w:rsidRPr="00715437">
              <w:rPr>
                <w:rFonts w:ascii="Arial" w:hAnsi="Arial" w:cs="Arial"/>
                <w:sz w:val="22"/>
                <w:szCs w:val="22"/>
              </w:rPr>
              <w:t>Future contingency plans for ever growing demands particularly the most vulnerable population-increasing elderly Type 2, Diabetic nephropathy-CKD requiring increasing specialist care, cardiovascular risk management in patients with risks, increasing incidence of maternity service needs a complex inpatient case load.</w:t>
            </w:r>
          </w:p>
          <w:p w:rsidR="007820AD" w:rsidRPr="00715437" w:rsidRDefault="002B69E3" w:rsidP="00AA30F5">
            <w:pPr>
              <w:pStyle w:val="Default"/>
              <w:numPr>
                <w:ilvl w:val="1"/>
                <w:numId w:val="48"/>
              </w:numPr>
              <w:adjustRightInd/>
              <w:ind w:left="1985"/>
              <w:rPr>
                <w:rFonts w:ascii="Arial" w:hAnsi="Arial" w:cs="Arial"/>
                <w:sz w:val="22"/>
                <w:szCs w:val="22"/>
              </w:rPr>
            </w:pPr>
            <w:r w:rsidRPr="00715437">
              <w:rPr>
                <w:rFonts w:ascii="Arial" w:hAnsi="Arial" w:cs="Arial"/>
                <w:sz w:val="22"/>
                <w:szCs w:val="22"/>
              </w:rPr>
              <w:t xml:space="preserve">Provide specialist care as drawn by super 6 </w:t>
            </w:r>
            <w:proofErr w:type="gramStart"/>
            <w:r w:rsidRPr="00715437">
              <w:rPr>
                <w:rFonts w:ascii="Arial" w:hAnsi="Arial" w:cs="Arial"/>
                <w:sz w:val="22"/>
                <w:szCs w:val="22"/>
              </w:rPr>
              <w:t>model</w:t>
            </w:r>
            <w:proofErr w:type="gramEnd"/>
            <w:r w:rsidRPr="00715437">
              <w:rPr>
                <w:rFonts w:ascii="Arial" w:hAnsi="Arial" w:cs="Arial"/>
                <w:sz w:val="22"/>
                <w:szCs w:val="22"/>
              </w:rPr>
              <w:t xml:space="preserve"> and also cater to complex, difficult to manage diabetes in community or where optimal care has not been achieved.</w:t>
            </w:r>
          </w:p>
          <w:p w:rsidR="002B69E3" w:rsidRPr="00715437" w:rsidRDefault="002B69E3" w:rsidP="00AA30F5">
            <w:pPr>
              <w:pStyle w:val="Default"/>
              <w:numPr>
                <w:ilvl w:val="1"/>
                <w:numId w:val="48"/>
              </w:numPr>
              <w:adjustRightInd/>
              <w:ind w:left="1985"/>
            </w:pPr>
            <w:r w:rsidRPr="00715437">
              <w:rPr>
                <w:rFonts w:ascii="Arial" w:hAnsi="Arial" w:cs="Arial"/>
                <w:sz w:val="22"/>
                <w:szCs w:val="22"/>
              </w:rPr>
              <w:t xml:space="preserve">Provide appropriate care for patients with multiple or significant </w:t>
            </w:r>
            <w:proofErr w:type="spellStart"/>
            <w:r w:rsidRPr="00715437">
              <w:rPr>
                <w:rFonts w:ascii="Arial" w:hAnsi="Arial" w:cs="Arial"/>
                <w:sz w:val="22"/>
                <w:szCs w:val="22"/>
              </w:rPr>
              <w:t>microvascular</w:t>
            </w:r>
            <w:proofErr w:type="spellEnd"/>
            <w:r w:rsidRPr="00715437">
              <w:rPr>
                <w:rFonts w:ascii="Arial" w:hAnsi="Arial" w:cs="Arial"/>
                <w:sz w:val="22"/>
                <w:szCs w:val="22"/>
              </w:rPr>
              <w:t xml:space="preserve"> or macro vascular or other significant associated complications with diabetes with partnership between hospital and community.</w:t>
            </w:r>
          </w:p>
          <w:p w:rsidR="009612D8" w:rsidRPr="00715437" w:rsidRDefault="00F24E6B" w:rsidP="002B69E3">
            <w:pPr>
              <w:numPr>
                <w:ilvl w:val="2"/>
                <w:numId w:val="4"/>
              </w:numPr>
              <w:tabs>
                <w:tab w:val="num" w:pos="567"/>
              </w:tabs>
              <w:spacing w:before="120" w:after="120" w:line="240" w:lineRule="atLeast"/>
              <w:outlineLvl w:val="2"/>
              <w:rPr>
                <w:rFonts w:eastAsia="Times New Roman" w:cs="Arial"/>
                <w:b/>
                <w:lang w:eastAsia="en-GB"/>
              </w:rPr>
            </w:pPr>
            <w:r w:rsidRPr="00715437">
              <w:rPr>
                <w:rFonts w:eastAsia="Times New Roman" w:cs="Times New Roman"/>
                <w:b/>
                <w:color w:val="000000" w:themeColor="text1"/>
                <w:lang w:eastAsia="en-GB"/>
              </w:rPr>
              <w:t>Workforce and Training</w:t>
            </w:r>
          </w:p>
          <w:p w:rsidR="00F24E6B" w:rsidRPr="00715437" w:rsidRDefault="00F24E6B" w:rsidP="002B69E3">
            <w:pPr>
              <w:pStyle w:val="Heading4"/>
              <w:tabs>
                <w:tab w:val="clear" w:pos="2552"/>
                <w:tab w:val="num" w:pos="567"/>
                <w:tab w:val="num" w:pos="2127"/>
              </w:tabs>
              <w:ind w:left="2127"/>
              <w:outlineLvl w:val="3"/>
            </w:pPr>
            <w:r w:rsidRPr="00715437">
              <w:t>Analysis of the current workforce in relation to skill mix</w:t>
            </w:r>
            <w:r w:rsidR="001510A1" w:rsidRPr="00715437">
              <w:t>,</w:t>
            </w:r>
            <w:r w:rsidR="004723D2" w:rsidRPr="00715437">
              <w:t xml:space="preserve"> multi-disciplinary construct,</w:t>
            </w:r>
            <w:r w:rsidR="001510A1" w:rsidRPr="00715437">
              <w:t xml:space="preserve"> training</w:t>
            </w:r>
            <w:r w:rsidR="004723D2" w:rsidRPr="00715437">
              <w:t>,</w:t>
            </w:r>
            <w:r w:rsidR="001510A1" w:rsidRPr="00715437">
              <w:t xml:space="preserve"> background, competencies in being able to deliver</w:t>
            </w:r>
          </w:p>
          <w:p w:rsidR="001510A1" w:rsidRPr="00715437" w:rsidRDefault="001510A1" w:rsidP="002B69E3">
            <w:pPr>
              <w:pStyle w:val="Heading5"/>
              <w:outlineLvl w:val="4"/>
            </w:pPr>
            <w:r w:rsidRPr="00715437">
              <w:t>Resilience to current, 5 and 10 year demands</w:t>
            </w:r>
          </w:p>
          <w:p w:rsidR="001510A1" w:rsidRPr="00715437" w:rsidRDefault="001510A1" w:rsidP="002B69E3">
            <w:pPr>
              <w:pStyle w:val="Heading5"/>
              <w:outlineLvl w:val="4"/>
            </w:pPr>
            <w:r w:rsidRPr="00715437">
              <w:lastRenderedPageBreak/>
              <w:t>Future Training and developments needs assessment and recommendations with identified priorities</w:t>
            </w:r>
          </w:p>
          <w:p w:rsidR="001510A1" w:rsidRPr="00715437" w:rsidRDefault="001510A1" w:rsidP="002B69E3">
            <w:pPr>
              <w:pStyle w:val="Heading4"/>
              <w:tabs>
                <w:tab w:val="clear" w:pos="2552"/>
                <w:tab w:val="num" w:pos="567"/>
                <w:tab w:val="num" w:pos="2127"/>
              </w:tabs>
              <w:ind w:left="2127"/>
              <w:outlineLvl w:val="3"/>
            </w:pPr>
            <w:r w:rsidRPr="00715437">
              <w:t>Analysis of current patient education programme delivery against best practice guidelines. Prioritised recommendations relating to volume and delivery locations of training across the projected demand model periods</w:t>
            </w:r>
          </w:p>
          <w:p w:rsidR="002B69E3" w:rsidRPr="00715437" w:rsidRDefault="002B69E3" w:rsidP="002B69E3">
            <w:pPr>
              <w:pStyle w:val="Heading4"/>
              <w:numPr>
                <w:ilvl w:val="0"/>
                <w:numId w:val="0"/>
              </w:numPr>
              <w:tabs>
                <w:tab w:val="num" w:pos="2127"/>
              </w:tabs>
              <w:ind w:left="2127"/>
              <w:outlineLvl w:val="3"/>
              <w:rPr>
                <w:b/>
              </w:rPr>
            </w:pPr>
          </w:p>
          <w:p w:rsidR="009C3FA9" w:rsidRPr="00715437" w:rsidRDefault="009C3FA9" w:rsidP="002B69E3">
            <w:pPr>
              <w:pStyle w:val="Heading3"/>
              <w:tabs>
                <w:tab w:val="num" w:pos="567"/>
              </w:tabs>
              <w:outlineLvl w:val="2"/>
              <w:rPr>
                <w:b/>
              </w:rPr>
            </w:pPr>
            <w:r w:rsidRPr="00715437">
              <w:rPr>
                <w:b/>
              </w:rPr>
              <w:t>Prioritised recommendations</w:t>
            </w:r>
          </w:p>
          <w:p w:rsidR="009C3FA9" w:rsidRPr="00715437" w:rsidRDefault="009C3FA9" w:rsidP="002B69E3">
            <w:pPr>
              <w:pStyle w:val="Heading4"/>
              <w:tabs>
                <w:tab w:val="clear" w:pos="2552"/>
                <w:tab w:val="num" w:pos="567"/>
                <w:tab w:val="num" w:pos="2127"/>
              </w:tabs>
              <w:ind w:left="2127"/>
              <w:outlineLvl w:val="3"/>
            </w:pPr>
            <w:r w:rsidRPr="00715437">
              <w:t>Provide a set of recommendations in respect of the below areas in the context of the above analysis supporting delivery of best practice pathways within the context of delivery of national and local QIPP increased efficiency</w:t>
            </w:r>
            <w:r w:rsidR="005C217A" w:rsidRPr="00715437">
              <w:t>.</w:t>
            </w:r>
          </w:p>
          <w:p w:rsidR="009C3FA9" w:rsidRPr="00715437" w:rsidRDefault="009C3FA9" w:rsidP="002B69E3">
            <w:pPr>
              <w:pStyle w:val="Heading5"/>
              <w:tabs>
                <w:tab w:val="num" w:pos="567"/>
              </w:tabs>
              <w:outlineLvl w:val="4"/>
            </w:pPr>
            <w:r w:rsidRPr="00715437">
              <w:t xml:space="preserve">Care necessary to be provided within an </w:t>
            </w:r>
            <w:proofErr w:type="gramStart"/>
            <w:r w:rsidRPr="00715437">
              <w:t>Acute</w:t>
            </w:r>
            <w:proofErr w:type="gramEnd"/>
            <w:r w:rsidRPr="00715437">
              <w:t xml:space="preserve"> setting is done so</w:t>
            </w:r>
          </w:p>
          <w:p w:rsidR="009C3FA9" w:rsidRPr="00715437" w:rsidRDefault="009C3FA9" w:rsidP="002B69E3">
            <w:pPr>
              <w:pStyle w:val="Heading5"/>
              <w:tabs>
                <w:tab w:val="num" w:pos="567"/>
              </w:tabs>
              <w:outlineLvl w:val="4"/>
            </w:pPr>
            <w:r w:rsidRPr="00715437">
              <w:t>Care that could be provided in a community setting is done so.</w:t>
            </w:r>
          </w:p>
          <w:p w:rsidR="009C3FA9" w:rsidRPr="00715437" w:rsidRDefault="009C3FA9" w:rsidP="002B69E3">
            <w:pPr>
              <w:pStyle w:val="Heading5"/>
              <w:tabs>
                <w:tab w:val="num" w:pos="567"/>
              </w:tabs>
              <w:outlineLvl w:val="4"/>
            </w:pPr>
            <w:r w:rsidRPr="00715437">
              <w:t>Delivery of Best Practice Tariff to optimise income opportunities</w:t>
            </w:r>
          </w:p>
          <w:p w:rsidR="009C3FA9" w:rsidRPr="00715437" w:rsidRDefault="009C3FA9" w:rsidP="002B69E3">
            <w:pPr>
              <w:pStyle w:val="Heading5"/>
              <w:tabs>
                <w:tab w:val="num" w:pos="567"/>
              </w:tabs>
              <w:outlineLvl w:val="4"/>
            </w:pPr>
            <w:r w:rsidRPr="00715437">
              <w:t>Inclusive of both Type1 &amp; Type 2 diabetes patient groups</w:t>
            </w:r>
          </w:p>
          <w:p w:rsidR="004723D2" w:rsidRPr="00715437" w:rsidRDefault="004723D2" w:rsidP="002B69E3">
            <w:pPr>
              <w:pStyle w:val="Heading4"/>
              <w:tabs>
                <w:tab w:val="clear" w:pos="2552"/>
                <w:tab w:val="num" w:pos="567"/>
                <w:tab w:val="num" w:pos="2127"/>
              </w:tabs>
              <w:ind w:left="2127"/>
              <w:outlineLvl w:val="3"/>
            </w:pPr>
            <w:r w:rsidRPr="00715437">
              <w:t>Recommendations take account of the clinical requirements of patients with other endocrinology conditions other than Diabetes</w:t>
            </w:r>
          </w:p>
        </w:tc>
        <w:tc>
          <w:tcPr>
            <w:tcW w:w="6379" w:type="dxa"/>
            <w:tcBorders>
              <w:right w:val="single" w:sz="4" w:space="0" w:color="auto"/>
            </w:tcBorders>
          </w:tcPr>
          <w:p w:rsidR="009612D8" w:rsidRPr="00715437" w:rsidRDefault="009612D8" w:rsidP="009612D8">
            <w:pPr>
              <w:spacing w:before="120" w:after="120" w:line="240" w:lineRule="atLeast"/>
              <w:jc w:val="left"/>
              <w:rPr>
                <w:rFonts w:eastAsia="Times New Roman" w:cs="Arial"/>
                <w:lang w:eastAsia="en-GB"/>
              </w:rPr>
            </w:pPr>
          </w:p>
        </w:tc>
        <w:tc>
          <w:tcPr>
            <w:tcW w:w="851" w:type="dxa"/>
            <w:tcBorders>
              <w:top w:val="nil"/>
              <w:left w:val="single" w:sz="4" w:space="0" w:color="auto"/>
              <w:bottom w:val="nil"/>
              <w:right w:val="nil"/>
            </w:tcBorders>
          </w:tcPr>
          <w:p w:rsidR="009612D8" w:rsidRPr="00715437" w:rsidRDefault="009612D8" w:rsidP="00715437">
            <w:pPr>
              <w:spacing w:before="120" w:after="120" w:line="240" w:lineRule="atLeast"/>
              <w:jc w:val="left"/>
              <w:rPr>
                <w:rFonts w:eastAsia="Times New Roman" w:cs="Arial"/>
                <w:lang w:eastAsia="en-GB"/>
              </w:rPr>
            </w:pPr>
            <w:r w:rsidRPr="00715437">
              <w:rPr>
                <w:rFonts w:ascii="Times New Roman" w:eastAsia="Times New Roman" w:hAnsi="Times New Roman" w:cs="Times New Roman"/>
                <w:sz w:val="24"/>
                <w:szCs w:val="24"/>
                <w:lang w:eastAsia="en-GB"/>
              </w:rPr>
              <w:t xml:space="preserve"> </w:t>
            </w:r>
            <w:bookmarkStart w:id="23" w:name="handspec11"/>
            <w:bookmarkEnd w:id="23"/>
          </w:p>
        </w:tc>
      </w:tr>
      <w:tr w:rsidR="007627A0" w:rsidRPr="00715437" w:rsidTr="008942ED">
        <w:tc>
          <w:tcPr>
            <w:tcW w:w="7763" w:type="dxa"/>
          </w:tcPr>
          <w:p w:rsidR="007627A0" w:rsidRPr="00715437" w:rsidRDefault="00B16352" w:rsidP="005E663B">
            <w:pPr>
              <w:keepNext/>
              <w:numPr>
                <w:ilvl w:val="0"/>
                <w:numId w:val="23"/>
              </w:numPr>
              <w:spacing w:before="120" w:after="120" w:line="240" w:lineRule="atLeast"/>
              <w:outlineLvl w:val="0"/>
              <w:rPr>
                <w:rFonts w:eastAsia="Times New Roman" w:cs="Times New Roman"/>
                <w:b/>
                <w:color w:val="000000" w:themeColor="text1"/>
                <w:lang w:eastAsia="en-GB"/>
              </w:rPr>
            </w:pPr>
            <w:r w:rsidRPr="00715437">
              <w:rPr>
                <w:rFonts w:eastAsia="Times New Roman" w:cs="Times New Roman"/>
                <w:b/>
                <w:color w:val="000000" w:themeColor="text1"/>
                <w:lang w:eastAsia="en-GB"/>
              </w:rPr>
              <w:lastRenderedPageBreak/>
              <w:t xml:space="preserve">Timescales - </w:t>
            </w:r>
            <w:r w:rsidR="007627A0" w:rsidRPr="00715437">
              <w:rPr>
                <w:rFonts w:eastAsia="Times New Roman" w:cs="Times New Roman"/>
                <w:color w:val="000000" w:themeColor="text1"/>
                <w:lang w:eastAsia="en-GB"/>
              </w:rPr>
              <w:t>Commencement Date:</w:t>
            </w:r>
            <w:r w:rsidR="008B0E1D" w:rsidRPr="00715437">
              <w:rPr>
                <w:rFonts w:eastAsia="Times New Roman" w:cs="Times New Roman"/>
                <w:color w:val="000000" w:themeColor="text1"/>
                <w:lang w:eastAsia="en-GB"/>
              </w:rPr>
              <w:t xml:space="preserve">  </w:t>
            </w:r>
            <w:r w:rsidR="005E663B" w:rsidRPr="00715437">
              <w:rPr>
                <w:rFonts w:eastAsia="Times New Roman" w:cs="Times New Roman"/>
                <w:color w:val="000000" w:themeColor="text1"/>
                <w:lang w:eastAsia="en-GB"/>
              </w:rPr>
              <w:t>The supplier is required to commence the review</w:t>
            </w:r>
            <w:r w:rsidR="006239FA" w:rsidRPr="00715437">
              <w:rPr>
                <w:rFonts w:eastAsia="Times New Roman" w:cs="Times New Roman"/>
                <w:color w:val="000000" w:themeColor="text1"/>
                <w:lang w:eastAsia="en-GB"/>
              </w:rPr>
              <w:t xml:space="preserve"> by the 31</w:t>
            </w:r>
            <w:r w:rsidR="006239FA" w:rsidRPr="00715437">
              <w:rPr>
                <w:rFonts w:eastAsia="Times New Roman" w:cs="Times New Roman"/>
                <w:color w:val="000000" w:themeColor="text1"/>
                <w:vertAlign w:val="superscript"/>
                <w:lang w:eastAsia="en-GB"/>
              </w:rPr>
              <w:t>st</w:t>
            </w:r>
            <w:r w:rsidR="006239FA" w:rsidRPr="00715437">
              <w:rPr>
                <w:rFonts w:eastAsia="Times New Roman" w:cs="Times New Roman"/>
                <w:color w:val="000000" w:themeColor="text1"/>
                <w:lang w:eastAsia="en-GB"/>
              </w:rPr>
              <w:t xml:space="preserve"> August 2015.</w:t>
            </w:r>
          </w:p>
          <w:p w:rsidR="006239FA" w:rsidRPr="00715437" w:rsidRDefault="00DB6B79" w:rsidP="00DB6B79">
            <w:pPr>
              <w:keepNext/>
              <w:spacing w:before="120" w:after="120" w:line="240" w:lineRule="atLeast"/>
              <w:ind w:left="850"/>
              <w:outlineLvl w:val="0"/>
              <w:rPr>
                <w:rFonts w:eastAsia="Times New Roman" w:cs="Times New Roman"/>
                <w:color w:val="000000" w:themeColor="text1"/>
                <w:lang w:eastAsia="en-GB"/>
              </w:rPr>
            </w:pPr>
            <w:r w:rsidRPr="00715437">
              <w:rPr>
                <w:rFonts w:eastAsia="Times New Roman" w:cs="Times New Roman"/>
                <w:color w:val="000000" w:themeColor="text1"/>
                <w:lang w:eastAsia="en-GB"/>
              </w:rPr>
              <w:t xml:space="preserve">The review forms part of </w:t>
            </w:r>
            <w:r w:rsidR="00CA7718" w:rsidRPr="00715437">
              <w:rPr>
                <w:rFonts w:eastAsia="Times New Roman" w:cs="Times New Roman"/>
                <w:color w:val="000000" w:themeColor="text1"/>
                <w:lang w:eastAsia="en-GB"/>
              </w:rPr>
              <w:t xml:space="preserve"> a CQUIN</w:t>
            </w:r>
            <w:r w:rsidRPr="00715437">
              <w:rPr>
                <w:rFonts w:eastAsia="Times New Roman" w:cs="Times New Roman"/>
                <w:color w:val="000000" w:themeColor="text1"/>
                <w:lang w:eastAsia="en-GB"/>
              </w:rPr>
              <w:t xml:space="preserve"> for 2015/16 financial year with the review leading to action planning of outcomes in quarter 3 and implementation starting in quarter 4.</w:t>
            </w:r>
          </w:p>
          <w:p w:rsidR="00DB6B79" w:rsidRPr="00715437" w:rsidRDefault="00DB6B79" w:rsidP="00DB6B79">
            <w:pPr>
              <w:keepNext/>
              <w:spacing w:before="120" w:after="120" w:line="240" w:lineRule="atLeast"/>
              <w:ind w:left="850"/>
              <w:outlineLvl w:val="0"/>
              <w:rPr>
                <w:rFonts w:eastAsia="Times New Roman" w:cs="Times New Roman"/>
                <w:color w:val="000000" w:themeColor="text1"/>
                <w:lang w:eastAsia="en-GB"/>
              </w:rPr>
            </w:pPr>
          </w:p>
          <w:p w:rsidR="00DB6B79" w:rsidRPr="00715437" w:rsidRDefault="00DB6B79" w:rsidP="00DB6B79">
            <w:pPr>
              <w:keepNext/>
              <w:spacing w:before="120" w:after="120" w:line="240" w:lineRule="atLeast"/>
              <w:ind w:left="850"/>
              <w:outlineLvl w:val="0"/>
              <w:rPr>
                <w:rFonts w:eastAsia="Times New Roman" w:cs="Times New Roman"/>
                <w:b/>
                <w:color w:val="000000" w:themeColor="text1"/>
                <w:lang w:eastAsia="en-GB"/>
              </w:rPr>
            </w:pPr>
            <w:r w:rsidRPr="00715437">
              <w:rPr>
                <w:rFonts w:eastAsia="Times New Roman" w:cs="Times New Roman"/>
                <w:color w:val="000000" w:themeColor="text1"/>
                <w:lang w:eastAsia="en-GB"/>
              </w:rPr>
              <w:t>The bidder is required to outline its timescales to deliver the review in support of these timescales.</w:t>
            </w:r>
          </w:p>
        </w:tc>
        <w:tc>
          <w:tcPr>
            <w:tcW w:w="6379" w:type="dxa"/>
            <w:tcBorders>
              <w:right w:val="single" w:sz="4" w:space="0" w:color="auto"/>
            </w:tcBorders>
          </w:tcPr>
          <w:p w:rsidR="007627A0" w:rsidRPr="00715437" w:rsidRDefault="007627A0" w:rsidP="009612D8">
            <w:pPr>
              <w:spacing w:before="120" w:after="120" w:line="240" w:lineRule="atLeast"/>
              <w:jc w:val="left"/>
              <w:rPr>
                <w:rFonts w:eastAsia="Times New Roman" w:cs="Arial"/>
                <w:lang w:eastAsia="en-GB"/>
              </w:rPr>
            </w:pPr>
          </w:p>
        </w:tc>
        <w:tc>
          <w:tcPr>
            <w:tcW w:w="851" w:type="dxa"/>
            <w:tcBorders>
              <w:top w:val="nil"/>
              <w:left w:val="single" w:sz="4" w:space="0" w:color="auto"/>
              <w:bottom w:val="nil"/>
              <w:right w:val="nil"/>
            </w:tcBorders>
          </w:tcPr>
          <w:p w:rsidR="007627A0" w:rsidRPr="00715437" w:rsidRDefault="007627A0" w:rsidP="009612D8">
            <w:pPr>
              <w:spacing w:before="120" w:after="120" w:line="240" w:lineRule="atLeast"/>
              <w:jc w:val="left"/>
              <w:rPr>
                <w:rFonts w:ascii="Times New Roman" w:eastAsia="Times New Roman" w:hAnsi="Times New Roman" w:cs="Times New Roman"/>
                <w:sz w:val="24"/>
                <w:szCs w:val="24"/>
                <w:lang w:eastAsia="en-GB"/>
              </w:rPr>
            </w:pPr>
          </w:p>
        </w:tc>
      </w:tr>
      <w:tr w:rsidR="001746DE" w:rsidRPr="00715437" w:rsidTr="008942ED">
        <w:tc>
          <w:tcPr>
            <w:tcW w:w="7763" w:type="dxa"/>
          </w:tcPr>
          <w:p w:rsidR="001746DE" w:rsidRPr="00715437" w:rsidRDefault="00B16352" w:rsidP="00E6584D">
            <w:pPr>
              <w:keepNext/>
              <w:numPr>
                <w:ilvl w:val="0"/>
                <w:numId w:val="23"/>
              </w:numPr>
              <w:spacing w:before="120" w:after="120" w:line="240" w:lineRule="atLeast"/>
              <w:outlineLvl w:val="0"/>
              <w:rPr>
                <w:rFonts w:eastAsia="Times New Roman" w:cs="Times New Roman"/>
                <w:color w:val="000000" w:themeColor="text1"/>
                <w:lang w:eastAsia="en-GB"/>
              </w:rPr>
            </w:pPr>
            <w:r w:rsidRPr="00715437">
              <w:rPr>
                <w:b/>
              </w:rPr>
              <w:t>Experience (method)</w:t>
            </w:r>
            <w:r w:rsidRPr="00715437">
              <w:t xml:space="preserve"> - </w:t>
            </w:r>
            <w:r w:rsidR="001746DE" w:rsidRPr="00715437">
              <w:rPr>
                <w:rFonts w:eastAsia="Times New Roman" w:cs="Times New Roman"/>
                <w:color w:val="000000" w:themeColor="text1"/>
                <w:lang w:eastAsia="en-GB"/>
              </w:rPr>
              <w:t xml:space="preserve">The bidder is required to </w:t>
            </w:r>
            <w:r w:rsidR="005E663B" w:rsidRPr="00715437">
              <w:rPr>
                <w:rFonts w:eastAsia="Times New Roman" w:cs="Times New Roman"/>
                <w:color w:val="000000" w:themeColor="text1"/>
                <w:lang w:eastAsia="en-GB"/>
              </w:rPr>
              <w:t>provide</w:t>
            </w:r>
            <w:r w:rsidR="001746DE" w:rsidRPr="00715437">
              <w:rPr>
                <w:rFonts w:eastAsia="Times New Roman" w:cs="Times New Roman"/>
                <w:color w:val="000000" w:themeColor="text1"/>
                <w:lang w:eastAsia="en-GB"/>
              </w:rPr>
              <w:t xml:space="preserve"> evidence of its experience in demand modelling </w:t>
            </w:r>
            <w:r w:rsidR="00190488" w:rsidRPr="00715437">
              <w:rPr>
                <w:rFonts w:eastAsia="Times New Roman" w:cs="Times New Roman"/>
                <w:color w:val="000000" w:themeColor="text1"/>
                <w:lang w:eastAsia="en-GB"/>
              </w:rPr>
              <w:t>outing</w:t>
            </w:r>
            <w:r w:rsidR="001746DE" w:rsidRPr="00715437">
              <w:rPr>
                <w:rFonts w:eastAsia="Times New Roman" w:cs="Times New Roman"/>
                <w:color w:val="000000" w:themeColor="text1"/>
                <w:lang w:eastAsia="en-GB"/>
              </w:rPr>
              <w:t xml:space="preserve"> the programmes completed, methodology</w:t>
            </w:r>
            <w:r w:rsidR="00190488" w:rsidRPr="00715437">
              <w:rPr>
                <w:rFonts w:eastAsia="Times New Roman" w:cs="Times New Roman"/>
                <w:color w:val="000000" w:themeColor="text1"/>
                <w:lang w:eastAsia="en-GB"/>
              </w:rPr>
              <w:t xml:space="preserve">, </w:t>
            </w:r>
            <w:r w:rsidR="005E663B" w:rsidRPr="00715437">
              <w:rPr>
                <w:rFonts w:eastAsia="Times New Roman" w:cs="Times New Roman"/>
                <w:color w:val="000000" w:themeColor="text1"/>
                <w:lang w:eastAsia="en-GB"/>
              </w:rPr>
              <w:t>benchmarks</w:t>
            </w:r>
            <w:r w:rsidR="00190488" w:rsidRPr="00715437">
              <w:rPr>
                <w:rFonts w:eastAsia="Times New Roman" w:cs="Times New Roman"/>
                <w:color w:val="000000" w:themeColor="text1"/>
                <w:lang w:eastAsia="en-GB"/>
              </w:rPr>
              <w:t>/comparators used.</w:t>
            </w:r>
          </w:p>
        </w:tc>
        <w:tc>
          <w:tcPr>
            <w:tcW w:w="6379" w:type="dxa"/>
            <w:tcBorders>
              <w:right w:val="single" w:sz="4" w:space="0" w:color="auto"/>
            </w:tcBorders>
          </w:tcPr>
          <w:p w:rsidR="001746DE" w:rsidRPr="00715437" w:rsidRDefault="001746DE" w:rsidP="009612D8">
            <w:pPr>
              <w:spacing w:before="120" w:after="120" w:line="240" w:lineRule="atLeast"/>
              <w:jc w:val="left"/>
              <w:rPr>
                <w:rFonts w:eastAsia="Times New Roman" w:cs="Arial"/>
                <w:lang w:eastAsia="en-GB"/>
              </w:rPr>
            </w:pPr>
          </w:p>
        </w:tc>
        <w:tc>
          <w:tcPr>
            <w:tcW w:w="851" w:type="dxa"/>
            <w:tcBorders>
              <w:top w:val="nil"/>
              <w:left w:val="single" w:sz="4" w:space="0" w:color="auto"/>
              <w:bottom w:val="nil"/>
              <w:right w:val="nil"/>
            </w:tcBorders>
          </w:tcPr>
          <w:p w:rsidR="001746DE" w:rsidRPr="00715437" w:rsidRDefault="001746DE" w:rsidP="009612D8">
            <w:pPr>
              <w:spacing w:before="120" w:after="120" w:line="240" w:lineRule="atLeast"/>
              <w:jc w:val="left"/>
              <w:rPr>
                <w:rFonts w:ascii="Times New Roman" w:eastAsia="Times New Roman" w:hAnsi="Times New Roman" w:cs="Times New Roman"/>
                <w:sz w:val="24"/>
                <w:szCs w:val="24"/>
                <w:lang w:eastAsia="en-GB"/>
              </w:rPr>
            </w:pPr>
          </w:p>
        </w:tc>
      </w:tr>
      <w:tr w:rsidR="001746DE" w:rsidRPr="00715437" w:rsidTr="008942ED">
        <w:tc>
          <w:tcPr>
            <w:tcW w:w="7763" w:type="dxa"/>
          </w:tcPr>
          <w:p w:rsidR="001746DE" w:rsidRPr="00715437" w:rsidRDefault="00B16352" w:rsidP="00E6584D">
            <w:pPr>
              <w:keepNext/>
              <w:numPr>
                <w:ilvl w:val="0"/>
                <w:numId w:val="23"/>
              </w:numPr>
              <w:spacing w:before="120" w:after="120" w:line="240" w:lineRule="atLeast"/>
              <w:outlineLvl w:val="0"/>
              <w:rPr>
                <w:rFonts w:eastAsia="Times New Roman" w:cs="Times New Roman"/>
                <w:color w:val="000000" w:themeColor="text1"/>
                <w:lang w:eastAsia="en-GB"/>
              </w:rPr>
            </w:pPr>
            <w:r w:rsidRPr="00715437">
              <w:rPr>
                <w:b/>
              </w:rPr>
              <w:t>Experience (clinical)</w:t>
            </w:r>
            <w:r w:rsidRPr="00715437">
              <w:t xml:space="preserve"> - </w:t>
            </w:r>
            <w:r w:rsidR="00190488" w:rsidRPr="00715437">
              <w:rPr>
                <w:rFonts w:eastAsia="Times New Roman" w:cs="Times New Roman"/>
                <w:color w:val="000000" w:themeColor="text1"/>
                <w:lang w:eastAsia="en-GB"/>
              </w:rPr>
              <w:t>The bidder is required to demonstrate experience and understanding of  Diabetes care through provision of evidence relating to reviews it has carried out, areas of work included in those reviews and relevance to this programme of work</w:t>
            </w:r>
          </w:p>
        </w:tc>
        <w:tc>
          <w:tcPr>
            <w:tcW w:w="6379" w:type="dxa"/>
            <w:tcBorders>
              <w:right w:val="single" w:sz="4" w:space="0" w:color="auto"/>
            </w:tcBorders>
          </w:tcPr>
          <w:p w:rsidR="001746DE" w:rsidRPr="00715437" w:rsidRDefault="001746DE" w:rsidP="009612D8">
            <w:pPr>
              <w:spacing w:before="120" w:after="120" w:line="240" w:lineRule="atLeast"/>
              <w:jc w:val="left"/>
              <w:rPr>
                <w:rFonts w:eastAsia="Times New Roman" w:cs="Arial"/>
                <w:lang w:eastAsia="en-GB"/>
              </w:rPr>
            </w:pPr>
          </w:p>
        </w:tc>
        <w:tc>
          <w:tcPr>
            <w:tcW w:w="851" w:type="dxa"/>
            <w:tcBorders>
              <w:top w:val="nil"/>
              <w:left w:val="single" w:sz="4" w:space="0" w:color="auto"/>
              <w:bottom w:val="nil"/>
              <w:right w:val="nil"/>
            </w:tcBorders>
          </w:tcPr>
          <w:p w:rsidR="001746DE" w:rsidRPr="00715437" w:rsidRDefault="001746DE" w:rsidP="009612D8">
            <w:pPr>
              <w:spacing w:before="120" w:after="120" w:line="240" w:lineRule="atLeast"/>
              <w:jc w:val="left"/>
              <w:rPr>
                <w:rFonts w:ascii="Times New Roman" w:eastAsia="Times New Roman" w:hAnsi="Times New Roman" w:cs="Times New Roman"/>
                <w:sz w:val="24"/>
                <w:szCs w:val="24"/>
                <w:lang w:eastAsia="en-GB"/>
              </w:rPr>
            </w:pPr>
          </w:p>
        </w:tc>
      </w:tr>
      <w:tr w:rsidR="001746DE" w:rsidRPr="00715437" w:rsidTr="008942ED">
        <w:tc>
          <w:tcPr>
            <w:tcW w:w="7763" w:type="dxa"/>
          </w:tcPr>
          <w:p w:rsidR="001746DE" w:rsidRPr="00715437" w:rsidRDefault="00B16352" w:rsidP="005E663B">
            <w:pPr>
              <w:keepNext/>
              <w:numPr>
                <w:ilvl w:val="0"/>
                <w:numId w:val="23"/>
              </w:numPr>
              <w:spacing w:before="120" w:after="120" w:line="240" w:lineRule="atLeast"/>
              <w:outlineLvl w:val="0"/>
              <w:rPr>
                <w:rFonts w:eastAsia="Times New Roman" w:cs="Times New Roman"/>
                <w:color w:val="000000" w:themeColor="text1"/>
                <w:lang w:eastAsia="en-GB"/>
              </w:rPr>
            </w:pPr>
            <w:r w:rsidRPr="00715437">
              <w:rPr>
                <w:b/>
              </w:rPr>
              <w:t xml:space="preserve">Clinical </w:t>
            </w:r>
            <w:proofErr w:type="gramStart"/>
            <w:r w:rsidRPr="00715437">
              <w:rPr>
                <w:b/>
              </w:rPr>
              <w:t>Leadership</w:t>
            </w:r>
            <w:r w:rsidRPr="00715437">
              <w:t xml:space="preserve">  -</w:t>
            </w:r>
            <w:proofErr w:type="gramEnd"/>
            <w:r w:rsidRPr="00715437">
              <w:t xml:space="preserve"> </w:t>
            </w:r>
            <w:r w:rsidR="001746DE" w:rsidRPr="00715437">
              <w:rPr>
                <w:rFonts w:eastAsia="Times New Roman" w:cs="Times New Roman"/>
                <w:color w:val="000000" w:themeColor="text1"/>
                <w:lang w:eastAsia="en-GB"/>
              </w:rPr>
              <w:t xml:space="preserve">The </w:t>
            </w:r>
            <w:r w:rsidR="005E663B" w:rsidRPr="00715437">
              <w:rPr>
                <w:rFonts w:eastAsia="Times New Roman" w:cs="Times New Roman"/>
                <w:color w:val="000000" w:themeColor="text1"/>
                <w:lang w:eastAsia="en-GB"/>
              </w:rPr>
              <w:t xml:space="preserve">bidder is required outline how it will address the requirement to have a clinically led review that delivers clinical engagement with the review and its outcomes / recommendations. This can include </w:t>
            </w:r>
            <w:proofErr w:type="gramStart"/>
            <w:r w:rsidR="005E663B" w:rsidRPr="00715437">
              <w:rPr>
                <w:rFonts w:eastAsia="Times New Roman" w:cs="Times New Roman"/>
                <w:color w:val="000000" w:themeColor="text1"/>
                <w:lang w:eastAsia="en-GB"/>
              </w:rPr>
              <w:t>CV’s  or</w:t>
            </w:r>
            <w:proofErr w:type="gramEnd"/>
            <w:r w:rsidR="005E663B" w:rsidRPr="00715437">
              <w:rPr>
                <w:rFonts w:eastAsia="Times New Roman" w:cs="Times New Roman"/>
                <w:color w:val="000000" w:themeColor="text1"/>
                <w:lang w:eastAsia="en-GB"/>
              </w:rPr>
              <w:t xml:space="preserve"> similar to demonstrate experience of team members with the area of expertise required.</w:t>
            </w:r>
          </w:p>
        </w:tc>
        <w:tc>
          <w:tcPr>
            <w:tcW w:w="6379" w:type="dxa"/>
            <w:tcBorders>
              <w:right w:val="single" w:sz="4" w:space="0" w:color="auto"/>
            </w:tcBorders>
          </w:tcPr>
          <w:p w:rsidR="001746DE" w:rsidRPr="00715437" w:rsidRDefault="001746DE" w:rsidP="009612D8">
            <w:pPr>
              <w:spacing w:before="120" w:after="120" w:line="240" w:lineRule="atLeast"/>
              <w:jc w:val="left"/>
              <w:rPr>
                <w:rFonts w:eastAsia="Times New Roman" w:cs="Arial"/>
                <w:lang w:eastAsia="en-GB"/>
              </w:rPr>
            </w:pPr>
          </w:p>
        </w:tc>
        <w:tc>
          <w:tcPr>
            <w:tcW w:w="851" w:type="dxa"/>
            <w:tcBorders>
              <w:top w:val="nil"/>
              <w:left w:val="single" w:sz="4" w:space="0" w:color="auto"/>
              <w:bottom w:val="nil"/>
              <w:right w:val="nil"/>
            </w:tcBorders>
          </w:tcPr>
          <w:p w:rsidR="001746DE" w:rsidRPr="00715437" w:rsidRDefault="001746DE" w:rsidP="009612D8">
            <w:pPr>
              <w:spacing w:before="120" w:after="120" w:line="240" w:lineRule="atLeast"/>
              <w:jc w:val="left"/>
              <w:rPr>
                <w:rFonts w:ascii="Times New Roman" w:eastAsia="Times New Roman" w:hAnsi="Times New Roman" w:cs="Times New Roman"/>
                <w:sz w:val="24"/>
                <w:szCs w:val="24"/>
                <w:lang w:eastAsia="en-GB"/>
              </w:rPr>
            </w:pPr>
          </w:p>
        </w:tc>
      </w:tr>
      <w:tr w:rsidR="007627A0" w:rsidRPr="00715437" w:rsidTr="008942ED">
        <w:tc>
          <w:tcPr>
            <w:tcW w:w="7763" w:type="dxa"/>
          </w:tcPr>
          <w:p w:rsidR="007627A0" w:rsidRPr="00715437" w:rsidRDefault="00B16352" w:rsidP="00E6584D">
            <w:pPr>
              <w:keepNext/>
              <w:numPr>
                <w:ilvl w:val="0"/>
                <w:numId w:val="23"/>
              </w:numPr>
              <w:spacing w:before="120" w:after="120" w:line="240" w:lineRule="atLeast"/>
              <w:outlineLvl w:val="0"/>
              <w:rPr>
                <w:rFonts w:eastAsia="Times New Roman" w:cs="Times New Roman"/>
                <w:b/>
                <w:color w:val="000000" w:themeColor="text1"/>
                <w:lang w:eastAsia="en-GB"/>
              </w:rPr>
            </w:pPr>
            <w:r w:rsidRPr="00715437">
              <w:rPr>
                <w:rFonts w:eastAsia="Times New Roman" w:cs="Times New Roman"/>
                <w:b/>
                <w:color w:val="000000" w:themeColor="text1"/>
                <w:lang w:eastAsia="en-GB"/>
              </w:rPr>
              <w:t>Timescales -</w:t>
            </w:r>
            <w:r w:rsidRPr="00715437">
              <w:rPr>
                <w:rFonts w:eastAsia="Times New Roman" w:cs="Times New Roman"/>
                <w:color w:val="000000" w:themeColor="text1"/>
                <w:lang w:eastAsia="en-GB"/>
              </w:rPr>
              <w:t xml:space="preserve"> </w:t>
            </w:r>
            <w:r w:rsidR="008B0E1D" w:rsidRPr="00715437">
              <w:rPr>
                <w:rFonts w:eastAsia="Times New Roman" w:cs="Times New Roman"/>
                <w:color w:val="000000" w:themeColor="text1"/>
                <w:lang w:eastAsia="en-GB"/>
              </w:rPr>
              <w:t xml:space="preserve">Term:  </w:t>
            </w:r>
            <w:r w:rsidR="00E6584D" w:rsidRPr="00715437">
              <w:rPr>
                <w:rFonts w:eastAsia="Times New Roman" w:cs="Times New Roman"/>
                <w:color w:val="000000" w:themeColor="text1"/>
                <w:lang w:eastAsia="en-GB"/>
              </w:rPr>
              <w:t xml:space="preserve">fixed </w:t>
            </w:r>
            <w:r w:rsidR="00231B31" w:rsidRPr="00715437">
              <w:rPr>
                <w:rFonts w:eastAsia="Times New Roman" w:cs="Times New Roman"/>
                <w:color w:val="000000" w:themeColor="text1"/>
                <w:lang w:eastAsia="en-GB"/>
              </w:rPr>
              <w:t>term -</w:t>
            </w:r>
            <w:r w:rsidR="00CA7718" w:rsidRPr="00715437">
              <w:rPr>
                <w:rFonts w:eastAsia="Times New Roman" w:cs="Times New Roman"/>
                <w:color w:val="000000" w:themeColor="text1"/>
                <w:lang w:eastAsia="en-GB"/>
              </w:rPr>
              <w:t xml:space="preserve"> to be completed as per CQUIN requirements for report due by end of September 2015</w:t>
            </w:r>
            <w:r w:rsidR="00EE587A" w:rsidRPr="00715437">
              <w:rPr>
                <w:rFonts w:eastAsia="Times New Roman" w:cs="Times New Roman"/>
                <w:color w:val="000000" w:themeColor="text1"/>
                <w:lang w:eastAsia="en-GB"/>
              </w:rPr>
              <w:t>.</w:t>
            </w:r>
          </w:p>
          <w:p w:rsidR="00EE587A" w:rsidRPr="00715437" w:rsidRDefault="00EE587A" w:rsidP="00EE587A">
            <w:pPr>
              <w:keepNext/>
              <w:spacing w:before="120" w:after="120" w:line="240" w:lineRule="atLeast"/>
              <w:ind w:left="851"/>
              <w:outlineLvl w:val="0"/>
              <w:rPr>
                <w:rFonts w:eastAsia="Times New Roman" w:cs="Times New Roman"/>
                <w:b/>
                <w:color w:val="000000" w:themeColor="text1"/>
                <w:lang w:eastAsia="en-GB"/>
              </w:rPr>
            </w:pPr>
            <w:r w:rsidRPr="00715437">
              <w:rPr>
                <w:rFonts w:eastAsia="Times New Roman" w:cs="Times New Roman"/>
                <w:color w:val="000000" w:themeColor="text1"/>
                <w:lang w:eastAsia="en-GB"/>
              </w:rPr>
              <w:t xml:space="preserve">The bidder is required to outline it timescales for </w:t>
            </w:r>
            <w:r w:rsidR="00231B31" w:rsidRPr="00715437">
              <w:rPr>
                <w:rFonts w:eastAsia="Times New Roman" w:cs="Times New Roman"/>
                <w:color w:val="000000" w:themeColor="text1"/>
                <w:lang w:eastAsia="en-GB"/>
              </w:rPr>
              <w:t>completion</w:t>
            </w:r>
          </w:p>
        </w:tc>
        <w:tc>
          <w:tcPr>
            <w:tcW w:w="6379" w:type="dxa"/>
            <w:tcBorders>
              <w:right w:val="single" w:sz="4" w:space="0" w:color="auto"/>
            </w:tcBorders>
          </w:tcPr>
          <w:p w:rsidR="007627A0" w:rsidRPr="00715437" w:rsidRDefault="007627A0" w:rsidP="009612D8">
            <w:pPr>
              <w:spacing w:before="120" w:after="120" w:line="240" w:lineRule="atLeast"/>
              <w:jc w:val="left"/>
              <w:rPr>
                <w:rFonts w:eastAsia="Times New Roman" w:cs="Arial"/>
                <w:lang w:eastAsia="en-GB"/>
              </w:rPr>
            </w:pPr>
          </w:p>
        </w:tc>
        <w:tc>
          <w:tcPr>
            <w:tcW w:w="851" w:type="dxa"/>
            <w:tcBorders>
              <w:top w:val="nil"/>
              <w:left w:val="single" w:sz="4" w:space="0" w:color="auto"/>
              <w:bottom w:val="nil"/>
              <w:right w:val="nil"/>
            </w:tcBorders>
          </w:tcPr>
          <w:p w:rsidR="007627A0" w:rsidRPr="00715437" w:rsidRDefault="007627A0" w:rsidP="009612D8">
            <w:pPr>
              <w:spacing w:before="120" w:after="120" w:line="240" w:lineRule="atLeast"/>
              <w:jc w:val="left"/>
              <w:rPr>
                <w:rFonts w:ascii="Times New Roman" w:eastAsia="Times New Roman" w:hAnsi="Times New Roman" w:cs="Times New Roman"/>
                <w:sz w:val="24"/>
                <w:szCs w:val="24"/>
                <w:lang w:eastAsia="en-GB"/>
              </w:rPr>
            </w:pPr>
          </w:p>
        </w:tc>
      </w:tr>
      <w:tr w:rsidR="007627A0" w:rsidRPr="00715437" w:rsidTr="008942ED">
        <w:tc>
          <w:tcPr>
            <w:tcW w:w="7763" w:type="dxa"/>
          </w:tcPr>
          <w:p w:rsidR="008B0E1D" w:rsidRPr="00715437" w:rsidRDefault="008B0E1D" w:rsidP="00ED3917">
            <w:pPr>
              <w:keepNext/>
              <w:numPr>
                <w:ilvl w:val="0"/>
                <w:numId w:val="23"/>
              </w:numPr>
              <w:spacing w:before="120" w:after="120" w:line="240" w:lineRule="atLeast"/>
              <w:outlineLvl w:val="0"/>
              <w:rPr>
                <w:rFonts w:eastAsia="Times New Roman" w:cs="Times New Roman"/>
                <w:b/>
                <w:color w:val="000000" w:themeColor="text1"/>
                <w:lang w:eastAsia="en-GB"/>
              </w:rPr>
            </w:pPr>
            <w:r w:rsidRPr="00715437">
              <w:rPr>
                <w:rFonts w:eastAsia="Times New Roman" w:cs="Times New Roman"/>
                <w:color w:val="000000" w:themeColor="text1"/>
                <w:lang w:eastAsia="en-GB"/>
              </w:rPr>
              <w:t xml:space="preserve">Contract Manager for the Authority:  </w:t>
            </w:r>
          </w:p>
        </w:tc>
        <w:tc>
          <w:tcPr>
            <w:tcW w:w="6379" w:type="dxa"/>
            <w:tcBorders>
              <w:right w:val="single" w:sz="4" w:space="0" w:color="auto"/>
            </w:tcBorders>
          </w:tcPr>
          <w:p w:rsidR="007627A0" w:rsidRPr="00715437" w:rsidRDefault="00ED3917" w:rsidP="009612D8">
            <w:pPr>
              <w:spacing w:before="120" w:after="120" w:line="240" w:lineRule="atLeast"/>
              <w:jc w:val="left"/>
              <w:rPr>
                <w:rFonts w:eastAsia="Times New Roman" w:cs="Arial"/>
                <w:lang w:eastAsia="en-GB"/>
              </w:rPr>
            </w:pPr>
            <w:r w:rsidRPr="00715437">
              <w:rPr>
                <w:rFonts w:eastAsia="Times New Roman" w:cs="Arial"/>
                <w:lang w:eastAsia="en-GB"/>
              </w:rPr>
              <w:t>Mr Stuart Townsend</w:t>
            </w:r>
          </w:p>
        </w:tc>
        <w:tc>
          <w:tcPr>
            <w:tcW w:w="851" w:type="dxa"/>
            <w:tcBorders>
              <w:top w:val="nil"/>
              <w:left w:val="single" w:sz="4" w:space="0" w:color="auto"/>
              <w:bottom w:val="nil"/>
              <w:right w:val="nil"/>
            </w:tcBorders>
          </w:tcPr>
          <w:p w:rsidR="007627A0" w:rsidRPr="00715437" w:rsidRDefault="007627A0" w:rsidP="009612D8">
            <w:pPr>
              <w:spacing w:before="120" w:after="120" w:line="240" w:lineRule="atLeast"/>
              <w:jc w:val="left"/>
              <w:rPr>
                <w:rFonts w:ascii="Times New Roman" w:eastAsia="Times New Roman" w:hAnsi="Times New Roman" w:cs="Times New Roman"/>
                <w:sz w:val="24"/>
                <w:szCs w:val="24"/>
                <w:lang w:eastAsia="en-GB"/>
              </w:rPr>
            </w:pPr>
          </w:p>
        </w:tc>
      </w:tr>
      <w:tr w:rsidR="007627A0" w:rsidRPr="00715437" w:rsidTr="008942ED">
        <w:tc>
          <w:tcPr>
            <w:tcW w:w="7763" w:type="dxa"/>
          </w:tcPr>
          <w:p w:rsidR="007627A0" w:rsidRPr="00715437" w:rsidRDefault="008B0E1D" w:rsidP="008B0E1D">
            <w:pPr>
              <w:keepNext/>
              <w:numPr>
                <w:ilvl w:val="0"/>
                <w:numId w:val="23"/>
              </w:numPr>
              <w:spacing w:before="120" w:after="120" w:line="240" w:lineRule="atLeast"/>
              <w:outlineLvl w:val="0"/>
              <w:rPr>
                <w:rFonts w:eastAsia="Times New Roman" w:cs="Times New Roman"/>
                <w:b/>
                <w:color w:val="000000" w:themeColor="text1"/>
                <w:lang w:eastAsia="en-GB"/>
              </w:rPr>
            </w:pPr>
            <w:r w:rsidRPr="00715437">
              <w:rPr>
                <w:rFonts w:eastAsia="Times New Roman" w:cs="Times New Roman"/>
                <w:color w:val="000000" w:themeColor="text1"/>
                <w:lang w:eastAsia="en-GB"/>
              </w:rPr>
              <w:t>Contract Manager for the Bidder:</w:t>
            </w:r>
          </w:p>
        </w:tc>
        <w:tc>
          <w:tcPr>
            <w:tcW w:w="6379" w:type="dxa"/>
            <w:tcBorders>
              <w:right w:val="single" w:sz="4" w:space="0" w:color="auto"/>
            </w:tcBorders>
          </w:tcPr>
          <w:p w:rsidR="007627A0" w:rsidRPr="00715437" w:rsidRDefault="008B0E1D" w:rsidP="009612D8">
            <w:pPr>
              <w:spacing w:before="120" w:after="120" w:line="240" w:lineRule="atLeast"/>
              <w:jc w:val="left"/>
              <w:rPr>
                <w:rFonts w:eastAsia="Times New Roman" w:cs="Arial"/>
                <w:lang w:eastAsia="en-GB"/>
              </w:rPr>
            </w:pPr>
            <w:r w:rsidRPr="00715437">
              <w:rPr>
                <w:rFonts w:eastAsia="Times New Roman" w:cs="Arial"/>
                <w:lang w:eastAsia="en-GB"/>
              </w:rPr>
              <w:t xml:space="preserve">Name:  </w:t>
            </w:r>
          </w:p>
        </w:tc>
        <w:tc>
          <w:tcPr>
            <w:tcW w:w="851" w:type="dxa"/>
            <w:tcBorders>
              <w:top w:val="nil"/>
              <w:left w:val="single" w:sz="4" w:space="0" w:color="auto"/>
              <w:bottom w:val="nil"/>
              <w:right w:val="nil"/>
            </w:tcBorders>
          </w:tcPr>
          <w:p w:rsidR="007627A0" w:rsidRPr="00715437" w:rsidRDefault="007627A0" w:rsidP="009612D8">
            <w:pPr>
              <w:spacing w:before="120" w:after="120" w:line="240" w:lineRule="atLeast"/>
              <w:jc w:val="left"/>
              <w:rPr>
                <w:rFonts w:ascii="Times New Roman" w:eastAsia="Times New Roman" w:hAnsi="Times New Roman" w:cs="Times New Roman"/>
                <w:sz w:val="24"/>
                <w:szCs w:val="24"/>
                <w:lang w:eastAsia="en-GB"/>
              </w:rPr>
            </w:pPr>
          </w:p>
        </w:tc>
      </w:tr>
      <w:tr w:rsidR="007627A0" w:rsidRPr="00715437" w:rsidTr="008942ED">
        <w:tc>
          <w:tcPr>
            <w:tcW w:w="7763" w:type="dxa"/>
          </w:tcPr>
          <w:p w:rsidR="007627A0" w:rsidRPr="00715437" w:rsidRDefault="008B0E1D" w:rsidP="008B0E1D">
            <w:pPr>
              <w:keepNext/>
              <w:numPr>
                <w:ilvl w:val="0"/>
                <w:numId w:val="23"/>
              </w:numPr>
              <w:spacing w:before="120" w:after="120" w:line="240" w:lineRule="atLeast"/>
              <w:outlineLvl w:val="0"/>
              <w:rPr>
                <w:rFonts w:eastAsia="Times New Roman" w:cs="Times New Roman"/>
                <w:b/>
                <w:color w:val="000000" w:themeColor="text1"/>
                <w:lang w:eastAsia="en-GB"/>
              </w:rPr>
            </w:pPr>
            <w:r w:rsidRPr="00715437">
              <w:rPr>
                <w:rFonts w:eastAsia="Times New Roman" w:cs="Times New Roman"/>
                <w:color w:val="000000" w:themeColor="text1"/>
                <w:lang w:eastAsia="en-GB"/>
              </w:rPr>
              <w:t xml:space="preserve">Notices shall be served in writing on the Bidder by delivering them to the following person:  </w:t>
            </w:r>
          </w:p>
        </w:tc>
        <w:tc>
          <w:tcPr>
            <w:tcW w:w="6379" w:type="dxa"/>
            <w:tcBorders>
              <w:right w:val="single" w:sz="4" w:space="0" w:color="auto"/>
            </w:tcBorders>
          </w:tcPr>
          <w:p w:rsidR="007627A0" w:rsidRPr="00715437" w:rsidRDefault="008B0E1D" w:rsidP="009612D8">
            <w:pPr>
              <w:spacing w:before="120" w:after="120" w:line="240" w:lineRule="atLeast"/>
              <w:jc w:val="left"/>
              <w:rPr>
                <w:rFonts w:eastAsia="Times New Roman" w:cs="Times New Roman"/>
                <w:color w:val="000000" w:themeColor="text1"/>
                <w:lang w:eastAsia="en-GB"/>
              </w:rPr>
            </w:pPr>
            <w:r w:rsidRPr="00715437">
              <w:rPr>
                <w:rFonts w:eastAsia="Times New Roman" w:cs="Times New Roman"/>
                <w:color w:val="000000" w:themeColor="text1"/>
                <w:lang w:eastAsia="en-GB"/>
              </w:rPr>
              <w:t>Name:</w:t>
            </w:r>
          </w:p>
          <w:p w:rsidR="008B0E1D" w:rsidRPr="00715437" w:rsidRDefault="008B0E1D" w:rsidP="009612D8">
            <w:pPr>
              <w:spacing w:before="120" w:after="120" w:line="240" w:lineRule="atLeast"/>
              <w:jc w:val="left"/>
              <w:rPr>
                <w:rFonts w:eastAsia="Times New Roman" w:cs="Times New Roman"/>
                <w:color w:val="000000" w:themeColor="text1"/>
                <w:lang w:eastAsia="en-GB"/>
              </w:rPr>
            </w:pPr>
            <w:r w:rsidRPr="00715437">
              <w:rPr>
                <w:rFonts w:eastAsia="Times New Roman" w:cs="Times New Roman"/>
                <w:color w:val="000000" w:themeColor="text1"/>
                <w:lang w:eastAsia="en-GB"/>
              </w:rPr>
              <w:lastRenderedPageBreak/>
              <w:t>Address:</w:t>
            </w:r>
          </w:p>
          <w:p w:rsidR="008B0E1D" w:rsidRPr="00715437" w:rsidRDefault="008B0E1D" w:rsidP="009612D8">
            <w:pPr>
              <w:spacing w:before="120" w:after="120" w:line="240" w:lineRule="atLeast"/>
              <w:jc w:val="left"/>
              <w:rPr>
                <w:rFonts w:eastAsia="Times New Roman" w:cs="Arial"/>
                <w:lang w:eastAsia="en-GB"/>
              </w:rPr>
            </w:pPr>
            <w:r w:rsidRPr="00715437">
              <w:rPr>
                <w:rFonts w:eastAsia="Times New Roman" w:cs="Times New Roman"/>
                <w:color w:val="000000" w:themeColor="text1"/>
                <w:lang w:eastAsia="en-GB"/>
              </w:rPr>
              <w:t>Role:</w:t>
            </w:r>
          </w:p>
        </w:tc>
        <w:tc>
          <w:tcPr>
            <w:tcW w:w="851" w:type="dxa"/>
            <w:tcBorders>
              <w:top w:val="nil"/>
              <w:left w:val="single" w:sz="4" w:space="0" w:color="auto"/>
              <w:bottom w:val="nil"/>
              <w:right w:val="nil"/>
            </w:tcBorders>
          </w:tcPr>
          <w:p w:rsidR="007627A0" w:rsidRPr="00715437" w:rsidRDefault="007627A0" w:rsidP="009612D8">
            <w:pPr>
              <w:spacing w:before="120" w:after="120" w:line="240" w:lineRule="atLeast"/>
              <w:jc w:val="left"/>
              <w:rPr>
                <w:rFonts w:ascii="Times New Roman" w:eastAsia="Times New Roman" w:hAnsi="Times New Roman" w:cs="Times New Roman"/>
                <w:sz w:val="24"/>
                <w:szCs w:val="24"/>
                <w:lang w:eastAsia="en-GB"/>
              </w:rPr>
            </w:pPr>
          </w:p>
        </w:tc>
      </w:tr>
      <w:tr w:rsidR="007627A0" w:rsidRPr="003372DA" w:rsidTr="008942ED">
        <w:tc>
          <w:tcPr>
            <w:tcW w:w="7763" w:type="dxa"/>
          </w:tcPr>
          <w:p w:rsidR="007627A0" w:rsidRPr="00715437" w:rsidRDefault="008B0E1D" w:rsidP="00715437">
            <w:pPr>
              <w:keepNext/>
              <w:numPr>
                <w:ilvl w:val="0"/>
                <w:numId w:val="23"/>
              </w:numPr>
              <w:spacing w:before="120" w:after="120" w:line="240" w:lineRule="atLeast"/>
              <w:outlineLvl w:val="0"/>
              <w:rPr>
                <w:rFonts w:eastAsia="Times New Roman" w:cs="Times New Roman"/>
                <w:b/>
                <w:color w:val="000000" w:themeColor="text1"/>
                <w:lang w:eastAsia="en-GB"/>
              </w:rPr>
            </w:pPr>
            <w:r w:rsidRPr="00715437">
              <w:rPr>
                <w:rFonts w:eastAsia="Times New Roman" w:cs="Times New Roman"/>
                <w:color w:val="000000" w:themeColor="text1"/>
                <w:lang w:eastAsia="en-GB"/>
              </w:rPr>
              <w:lastRenderedPageBreak/>
              <w:t xml:space="preserve">Notices shall be served in writing on the Authority by delivering them to the following person:  </w:t>
            </w:r>
          </w:p>
        </w:tc>
        <w:tc>
          <w:tcPr>
            <w:tcW w:w="6379" w:type="dxa"/>
            <w:tcBorders>
              <w:right w:val="single" w:sz="4" w:space="0" w:color="auto"/>
            </w:tcBorders>
          </w:tcPr>
          <w:p w:rsidR="007627A0" w:rsidRDefault="00ED3917" w:rsidP="009612D8">
            <w:pPr>
              <w:spacing w:before="120" w:after="120" w:line="240" w:lineRule="atLeast"/>
              <w:jc w:val="left"/>
              <w:rPr>
                <w:rFonts w:eastAsia="Times New Roman" w:cs="Arial"/>
                <w:lang w:eastAsia="en-GB"/>
              </w:rPr>
            </w:pPr>
            <w:r w:rsidRPr="00715437">
              <w:rPr>
                <w:rFonts w:eastAsia="Times New Roman" w:cs="Arial"/>
                <w:lang w:eastAsia="en-GB"/>
              </w:rPr>
              <w:t>Mr Stuart Townsend</w:t>
            </w:r>
          </w:p>
          <w:p w:rsidR="00715437" w:rsidRPr="00715437" w:rsidRDefault="00715437" w:rsidP="009612D8">
            <w:pPr>
              <w:spacing w:before="120" w:after="120" w:line="240" w:lineRule="atLeast"/>
              <w:jc w:val="left"/>
              <w:rPr>
                <w:rFonts w:eastAsia="Times New Roman" w:cs="Arial"/>
                <w:lang w:eastAsia="en-GB"/>
              </w:rPr>
            </w:pPr>
            <w:r>
              <w:rPr>
                <w:rFonts w:eastAsia="Times New Roman" w:cs="Arial"/>
                <w:lang w:eastAsia="en-GB"/>
              </w:rPr>
              <w:t>Interim Head of Therapies</w:t>
            </w:r>
          </w:p>
          <w:p w:rsidR="00ED3917" w:rsidRPr="00715437" w:rsidRDefault="00ED3917" w:rsidP="009612D8">
            <w:pPr>
              <w:spacing w:before="120" w:after="120" w:line="240" w:lineRule="atLeast"/>
              <w:jc w:val="left"/>
              <w:rPr>
                <w:rFonts w:eastAsia="Times New Roman" w:cs="Arial"/>
                <w:lang w:eastAsia="en-GB"/>
              </w:rPr>
            </w:pPr>
            <w:r w:rsidRPr="00715437">
              <w:rPr>
                <w:rFonts w:eastAsia="Times New Roman" w:cs="Arial"/>
                <w:lang w:eastAsia="en-GB"/>
              </w:rPr>
              <w:t>Great Western Hospitals Foundation NHS Trust</w:t>
            </w:r>
          </w:p>
          <w:p w:rsidR="00ED3917" w:rsidRPr="00715437" w:rsidRDefault="00ED3917" w:rsidP="009612D8">
            <w:pPr>
              <w:spacing w:before="120" w:after="120" w:line="240" w:lineRule="atLeast"/>
              <w:jc w:val="left"/>
              <w:rPr>
                <w:rFonts w:eastAsia="Times New Roman" w:cs="Arial"/>
                <w:lang w:eastAsia="en-GB"/>
              </w:rPr>
            </w:pPr>
            <w:r w:rsidRPr="00715437">
              <w:rPr>
                <w:rFonts w:eastAsia="Times New Roman" w:cs="Arial"/>
                <w:lang w:eastAsia="en-GB"/>
              </w:rPr>
              <w:t>Great Western Hospital</w:t>
            </w:r>
          </w:p>
          <w:p w:rsidR="00ED3917" w:rsidRPr="00715437" w:rsidRDefault="00ED3917" w:rsidP="009612D8">
            <w:pPr>
              <w:spacing w:before="120" w:after="120" w:line="240" w:lineRule="atLeast"/>
              <w:jc w:val="left"/>
              <w:rPr>
                <w:rFonts w:eastAsia="Times New Roman" w:cs="Arial"/>
                <w:lang w:eastAsia="en-GB"/>
              </w:rPr>
            </w:pPr>
            <w:r w:rsidRPr="00715437">
              <w:rPr>
                <w:rFonts w:eastAsia="Times New Roman" w:cs="Arial"/>
                <w:lang w:eastAsia="en-GB"/>
              </w:rPr>
              <w:t>Marlborough Road</w:t>
            </w:r>
          </w:p>
          <w:p w:rsidR="00ED3917" w:rsidRPr="00715437" w:rsidRDefault="00ED3917" w:rsidP="009612D8">
            <w:pPr>
              <w:spacing w:before="120" w:after="120" w:line="240" w:lineRule="atLeast"/>
              <w:jc w:val="left"/>
              <w:rPr>
                <w:rFonts w:eastAsia="Times New Roman" w:cs="Arial"/>
                <w:lang w:eastAsia="en-GB"/>
              </w:rPr>
            </w:pPr>
            <w:r w:rsidRPr="00715437">
              <w:rPr>
                <w:rFonts w:eastAsia="Times New Roman" w:cs="Arial"/>
                <w:lang w:eastAsia="en-GB"/>
              </w:rPr>
              <w:t>Swindon</w:t>
            </w:r>
          </w:p>
          <w:p w:rsidR="00ED3917" w:rsidRPr="003372DA" w:rsidRDefault="00ED3917" w:rsidP="009612D8">
            <w:pPr>
              <w:spacing w:before="120" w:after="120" w:line="240" w:lineRule="atLeast"/>
              <w:jc w:val="left"/>
              <w:rPr>
                <w:rFonts w:eastAsia="Times New Roman" w:cs="Arial"/>
                <w:lang w:eastAsia="en-GB"/>
              </w:rPr>
            </w:pPr>
            <w:r w:rsidRPr="00715437">
              <w:rPr>
                <w:rFonts w:eastAsia="Times New Roman" w:cs="Arial"/>
                <w:lang w:eastAsia="en-GB"/>
              </w:rPr>
              <w:t>SN3 6BB</w:t>
            </w:r>
          </w:p>
        </w:tc>
        <w:tc>
          <w:tcPr>
            <w:tcW w:w="851" w:type="dxa"/>
            <w:tcBorders>
              <w:top w:val="nil"/>
              <w:left w:val="single" w:sz="4" w:space="0" w:color="auto"/>
              <w:bottom w:val="nil"/>
              <w:right w:val="nil"/>
            </w:tcBorders>
          </w:tcPr>
          <w:p w:rsidR="007627A0" w:rsidRPr="003372DA" w:rsidRDefault="007627A0" w:rsidP="009612D8">
            <w:pPr>
              <w:spacing w:before="120" w:after="120" w:line="240" w:lineRule="atLeast"/>
              <w:jc w:val="left"/>
              <w:rPr>
                <w:rFonts w:ascii="Times New Roman" w:eastAsia="Times New Roman" w:hAnsi="Times New Roman" w:cs="Times New Roman"/>
                <w:sz w:val="24"/>
                <w:szCs w:val="24"/>
                <w:lang w:eastAsia="en-GB"/>
              </w:rPr>
            </w:pPr>
          </w:p>
        </w:tc>
      </w:tr>
    </w:tbl>
    <w:p w:rsidR="009612D8" w:rsidRPr="003372DA" w:rsidRDefault="009612D8" w:rsidP="009612D8">
      <w:pPr>
        <w:spacing w:before="100" w:beforeAutospacing="1" w:after="100" w:afterAutospacing="1"/>
        <w:jc w:val="center"/>
        <w:rPr>
          <w:rFonts w:eastAsia="Times New Roman" w:cs="Arial"/>
          <w:b/>
          <w:lang w:eastAsia="en-GB"/>
        </w:rPr>
      </w:pPr>
    </w:p>
    <w:p w:rsidR="009612D8" w:rsidRPr="003372DA" w:rsidRDefault="009612D8" w:rsidP="009612D8">
      <w:pPr>
        <w:spacing w:after="240"/>
        <w:jc w:val="left"/>
        <w:rPr>
          <w:rFonts w:eastAsia="Times New Roman" w:cs="Arial"/>
          <w:b/>
          <w:lang w:eastAsia="en-GB"/>
        </w:rPr>
      </w:pPr>
      <w:r w:rsidRPr="003372DA">
        <w:rPr>
          <w:rFonts w:cs="Arial"/>
          <w:b/>
        </w:rPr>
        <w:br w:type="page"/>
      </w:r>
    </w:p>
    <w:p w:rsidR="008942ED" w:rsidRDefault="008942ED" w:rsidP="009612D8">
      <w:pPr>
        <w:pStyle w:val="DH"/>
        <w:sectPr w:rsidR="008942ED" w:rsidSect="008942ED">
          <w:pgSz w:w="16840" w:h="11907" w:orient="landscape" w:code="9"/>
          <w:pgMar w:top="1418" w:right="1418" w:bottom="1418" w:left="1418" w:header="709" w:footer="567" w:gutter="0"/>
          <w:cols w:space="708"/>
          <w:titlePg/>
          <w:docGrid w:linePitch="360"/>
        </w:sectPr>
      </w:pPr>
      <w:bookmarkStart w:id="24" w:name="_Toc403557262"/>
      <w:bookmarkStart w:id="25" w:name="_Toc403557358"/>
      <w:bookmarkStart w:id="26" w:name="_Toc403567321"/>
      <w:bookmarkStart w:id="27" w:name="_Toc403567451"/>
      <w:bookmarkStart w:id="28" w:name="_Toc403573347"/>
      <w:bookmarkStart w:id="29" w:name="_Toc403575415"/>
      <w:bookmarkStart w:id="30" w:name="_Toc403644310"/>
      <w:bookmarkStart w:id="31" w:name="_Toc406659027"/>
      <w:bookmarkStart w:id="32" w:name="_Toc413145497"/>
    </w:p>
    <w:p w:rsidR="009612D8" w:rsidRPr="003372DA" w:rsidRDefault="009612D8" w:rsidP="009612D8">
      <w:pPr>
        <w:pStyle w:val="DH"/>
      </w:pPr>
      <w:r w:rsidRPr="003372DA">
        <w:lastRenderedPageBreak/>
        <w:t>ANNEX B</w:t>
      </w:r>
      <w:bookmarkEnd w:id="24"/>
      <w:bookmarkEnd w:id="25"/>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26EBB310" wp14:editId="3B414335">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p w:rsidR="00715437" w:rsidRDefault="00715437" w:rsidP="00961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" stroked="f">
                <v:textbox>
                  <w:txbxContent>
                    <w:p w:rsidR="00715437" w:rsidRDefault="00715437" w:rsidP="009612D8"/>
                  </w:txbxContent>
                </v:textbox>
              </v:shape>
            </w:pict>
          </mc:Fallback>
        </mc:AlternateContent>
      </w:r>
      <w:bookmarkEnd w:id="26"/>
      <w:bookmarkEnd w:id="27"/>
      <w:bookmarkEnd w:id="28"/>
      <w:bookmarkEnd w:id="29"/>
      <w:bookmarkEnd w:id="30"/>
      <w:bookmarkEnd w:id="31"/>
      <w:bookmarkEnd w:id="32"/>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9612D8" w:rsidRPr="00540D10" w:rsidRDefault="00C11709" w:rsidP="00540D10">
      <w:pPr>
        <w:pStyle w:val="MRNumberedHeading1"/>
        <w:numPr>
          <w:ilvl w:val="0"/>
          <w:numId w:val="21"/>
        </w:numPr>
        <w:ind w:hanging="798"/>
        <w:rPr>
          <w:sz w:val="20"/>
          <w:szCs w:val="20"/>
        </w:rPr>
      </w:pPr>
      <w:r w:rsidRPr="00540D10">
        <w:rPr>
          <w:sz w:val="20"/>
          <w:szCs w:val="20"/>
        </w:rPr>
        <w:t xml:space="preserve">TECHNICAL AND QUALITY QUESTIONS AND METHOD STATEMENTS </w:t>
      </w:r>
    </w:p>
    <w:p w:rsidR="009612D8" w:rsidRPr="00C11709" w:rsidRDefault="009612D8" w:rsidP="00C11709">
      <w:pPr>
        <w:pStyle w:val="Heading1"/>
        <w:spacing w:before="240" w:after="0"/>
        <w:ind w:left="851"/>
        <w:rPr>
          <w:rFonts w:eastAsiaTheme="minorHAnsi"/>
        </w:rPr>
      </w:pPr>
      <w:r w:rsidRPr="00C11709">
        <w:rPr>
          <w:rFonts w:eastAsiaTheme="minorHAnsi"/>
        </w:rPr>
        <w:t>Overview</w:t>
      </w:r>
    </w:p>
    <w:p w:rsidR="00C11709" w:rsidRPr="00614227" w:rsidRDefault="009612D8" w:rsidP="00614227">
      <w:pPr>
        <w:pStyle w:val="MRNumberedHeading2"/>
        <w:tabs>
          <w:tab w:val="clear" w:pos="720"/>
          <w:tab w:val="num" w:pos="851"/>
        </w:tabs>
        <w:spacing w:after="120"/>
        <w:ind w:left="851" w:hanging="851"/>
        <w:rPr>
          <w:color w:val="000000" w:themeColor="text1"/>
        </w:rPr>
      </w:pPr>
      <w:bookmarkStart w:id="33" w:name="_Ref405482951"/>
      <w:r w:rsidRPr="003372DA">
        <w:rPr>
          <w:color w:val="000000" w:themeColor="text1"/>
        </w:rPr>
        <w:t>Please provide a concise summary highlighting the key aspects of the proposal.  (This response is not evaluated and should be used to contextualise your detailed responses).</w:t>
      </w:r>
      <w:bookmarkEnd w:id="33"/>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3372DA" w:rsidRDefault="009612D8" w:rsidP="00053921">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00053921">
              <w:rPr>
                <w:rFonts w:eastAsia="Times New Roman" w:cs="Times New Roman"/>
                <w:b/>
                <w:color w:val="000000" w:themeColor="text1"/>
                <w:lang w:eastAsia="en-GB"/>
              </w:rPr>
              <w:t>750)</w:t>
            </w:r>
          </w:p>
        </w:tc>
      </w:tr>
      <w:tr w:rsidR="009612D8" w:rsidRPr="003372DA" w:rsidTr="009612D8">
        <w:tc>
          <w:tcPr>
            <w:tcW w:w="8328"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07392" behindDoc="0" locked="0" layoutInCell="1" allowOverlap="1" wp14:anchorId="51BC0C4A" wp14:editId="36304A06">
                      <wp:simplePos x="0" y="0"/>
                      <wp:positionH relativeFrom="column">
                        <wp:posOffset>5408930</wp:posOffset>
                      </wp:positionH>
                      <wp:positionV relativeFrom="paragraph">
                        <wp:posOffset>119380</wp:posOffset>
                      </wp:positionV>
                      <wp:extent cx="509270" cy="629285"/>
                      <wp:effectExtent l="0" t="0" r="508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rsidR="00715437" w:rsidRDefault="00715437" w:rsidP="00961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25.9pt;margin-top:9.4pt;width:40.1pt;height:4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" stroked="f">
                      <v:textbox>
                        <w:txbxContent>
                          <w:p w:rsidR="00715437" w:rsidRDefault="00715437" w:rsidP="009612D8"/>
                        </w:txbxContent>
                      </v:textbox>
                    </v:shape>
                  </w:pict>
                </mc:Fallback>
              </mc:AlternateContent>
            </w: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r>
    </w:tbl>
    <w:p w:rsidR="009612D8" w:rsidRPr="00C11709" w:rsidRDefault="009612D8" w:rsidP="00C11709">
      <w:pPr>
        <w:pStyle w:val="Heading1"/>
        <w:spacing w:before="240" w:after="0"/>
        <w:ind w:left="851"/>
      </w:pPr>
      <w:r w:rsidRPr="003372DA">
        <w:br/>
      </w:r>
      <w:r w:rsidRPr="00C11709">
        <w:t>Confirmation of full compliance with specification</w:t>
      </w:r>
    </w:p>
    <w:p w:rsidR="009612D8" w:rsidRPr="003372DA" w:rsidRDefault="00F7512A" w:rsidP="00540D10">
      <w:pPr>
        <w:pStyle w:val="MRNumberedHeading2"/>
        <w:tabs>
          <w:tab w:val="clear" w:pos="720"/>
          <w:tab w:val="num" w:pos="851"/>
        </w:tabs>
        <w:ind w:left="851" w:hanging="851"/>
        <w:rPr>
          <w:color w:val="000000" w:themeColor="text1"/>
        </w:rPr>
      </w:pPr>
      <w:r>
        <w:rPr>
          <w:color w:val="000000" w:themeColor="text1"/>
        </w:rPr>
        <w:t>See Annex B2</w:t>
      </w:r>
      <w:r w:rsidR="009612D8" w:rsidRPr="003372DA">
        <w:rPr>
          <w:color w:val="000000" w:themeColor="text1"/>
        </w:rPr>
        <w:t>, which you must complete.</w:t>
      </w:r>
    </w:p>
    <w:p w:rsidR="009612D8" w:rsidRPr="00C11709" w:rsidRDefault="0009292D" w:rsidP="00C11709">
      <w:pPr>
        <w:pStyle w:val="Heading1"/>
        <w:spacing w:before="240" w:after="0"/>
        <w:ind w:left="851"/>
      </w:pPr>
      <w:r w:rsidRPr="003372DA">
        <w:rPr>
          <w:i/>
          <w:noProof/>
          <w:color w:val="808080" w:themeColor="background1" w:themeShade="80"/>
        </w:rPr>
        <mc:AlternateContent>
          <mc:Choice Requires="wps">
            <w:drawing>
              <wp:anchor distT="0" distB="0" distL="114300" distR="114300" simplePos="0" relativeHeight="251720704" behindDoc="0" locked="0" layoutInCell="1" allowOverlap="1" wp14:anchorId="7594AB88" wp14:editId="63857B10">
                <wp:simplePos x="0" y="0"/>
                <wp:positionH relativeFrom="column">
                  <wp:posOffset>5913120</wp:posOffset>
                </wp:positionH>
                <wp:positionV relativeFrom="paragraph">
                  <wp:posOffset>119380</wp:posOffset>
                </wp:positionV>
                <wp:extent cx="509270" cy="629285"/>
                <wp:effectExtent l="0" t="0" r="508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rsidR="00715437" w:rsidRDefault="00715437" w:rsidP="000929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65.6pt;margin-top:9.4pt;width:40.1pt;height:49.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" stroked="f">
                <v:textbox>
                  <w:txbxContent>
                    <w:p w:rsidR="00715437" w:rsidRDefault="00715437" w:rsidP="0009292D"/>
                  </w:txbxContent>
                </v:textbox>
              </v:shape>
            </w:pict>
          </mc:Fallback>
        </mc:AlternateContent>
      </w:r>
      <w:r w:rsidR="009612D8" w:rsidRPr="00C11709">
        <w:t xml:space="preserve">Method statement questions </w:t>
      </w:r>
    </w:p>
    <w:p w:rsidR="009612D8" w:rsidRPr="003372DA" w:rsidRDefault="000A5DE3" w:rsidP="00C11709">
      <w:pPr>
        <w:pStyle w:val="MRNumberedHeading2"/>
        <w:tabs>
          <w:tab w:val="clear" w:pos="720"/>
          <w:tab w:val="num" w:pos="851"/>
        </w:tabs>
        <w:ind w:left="851" w:hanging="851"/>
        <w:rPr>
          <w:color w:val="000000" w:themeColor="text1"/>
        </w:rPr>
      </w:pPr>
      <w:r>
        <w:rPr>
          <w:color w:val="000000" w:themeColor="text1"/>
        </w:rPr>
        <w:t xml:space="preserve">Please complete your response within the bidders </w:t>
      </w:r>
      <w:proofErr w:type="gramStart"/>
      <w:r>
        <w:rPr>
          <w:color w:val="000000" w:themeColor="text1"/>
        </w:rPr>
        <w:t>response to the criteria, any additional appe</w:t>
      </w:r>
      <w:r w:rsidR="00053921">
        <w:rPr>
          <w:color w:val="000000" w:themeColor="text1"/>
        </w:rPr>
        <w:t>ndices need</w:t>
      </w:r>
      <w:proofErr w:type="gramEnd"/>
      <w:r w:rsidR="00053921">
        <w:rPr>
          <w:color w:val="000000" w:themeColor="text1"/>
        </w:rPr>
        <w:t xml:space="preserve"> to be clearly refer</w:t>
      </w:r>
      <w:r>
        <w:rPr>
          <w:color w:val="000000" w:themeColor="text1"/>
        </w:rPr>
        <w:t>enced</w:t>
      </w:r>
      <w:r w:rsidR="00053921">
        <w:rPr>
          <w:color w:val="000000" w:themeColor="text1"/>
        </w:rPr>
        <w:t>. Questions are located in the specification document.</w:t>
      </w:r>
    </w:p>
    <w:p w:rsidR="00F37808" w:rsidRDefault="00F37808" w:rsidP="00F37808">
      <w:pPr>
        <w:pStyle w:val="Heading1"/>
        <w:spacing w:before="240" w:after="0"/>
        <w:ind w:left="851"/>
      </w:pPr>
      <w:bookmarkStart w:id="34" w:name="a906348"/>
      <w:bookmarkEnd w:id="34"/>
      <w:r>
        <w:t>Sub-contractors</w:t>
      </w:r>
    </w:p>
    <w:p w:rsidR="009612D8" w:rsidRDefault="009612D8" w:rsidP="00540D10">
      <w:pPr>
        <w:pStyle w:val="MRNumberedHeading2"/>
        <w:tabs>
          <w:tab w:val="clear" w:pos="720"/>
          <w:tab w:val="num" w:pos="851"/>
        </w:tabs>
        <w:ind w:left="851" w:hanging="851"/>
        <w:rPr>
          <w:color w:val="000000" w:themeColor="text1"/>
        </w:rPr>
      </w:pPr>
      <w:r w:rsidRPr="003372DA">
        <w:rPr>
          <w:color w:val="000000" w:themeColor="text1"/>
        </w:rPr>
        <w:t>Please specify any areas or elements for which you wish to use a subcontractor and provide the following details:</w:t>
      </w:r>
    </w:p>
    <w:p w:rsidR="009612D8" w:rsidRPr="0047263B" w:rsidRDefault="009612D8" w:rsidP="00540D10">
      <w:pPr>
        <w:pStyle w:val="MRNumberedHeading3"/>
        <w:numPr>
          <w:ilvl w:val="2"/>
          <w:numId w:val="20"/>
        </w:numPr>
        <w:spacing w:line="240" w:lineRule="auto"/>
        <w:ind w:left="1702" w:hanging="851"/>
        <w:rPr>
          <w:szCs w:val="20"/>
        </w:rPr>
      </w:pPr>
      <w:bookmarkStart w:id="35" w:name="a472459"/>
      <w:bookmarkEnd w:id="35"/>
      <w:r w:rsidRPr="0047263B">
        <w:rPr>
          <w:szCs w:val="20"/>
        </w:rPr>
        <w:t>which subcontractor you wish to use and for what elements;</w:t>
      </w:r>
    </w:p>
    <w:p w:rsidR="009612D8" w:rsidRPr="0047263B" w:rsidRDefault="009612D8" w:rsidP="00540D10">
      <w:pPr>
        <w:pStyle w:val="MRNumberedHeading3"/>
        <w:numPr>
          <w:ilvl w:val="2"/>
          <w:numId w:val="20"/>
        </w:numPr>
        <w:spacing w:line="240" w:lineRule="auto"/>
        <w:ind w:left="1702" w:hanging="851"/>
        <w:rPr>
          <w:szCs w:val="20"/>
        </w:rPr>
      </w:pPr>
      <w:bookmarkStart w:id="36" w:name="a508548"/>
      <w:bookmarkEnd w:id="36"/>
      <w:r w:rsidRPr="0047263B">
        <w:rPr>
          <w:szCs w:val="20"/>
        </w:rPr>
        <w:t>what reasons you have for such subcontracting;</w:t>
      </w:r>
    </w:p>
    <w:p w:rsidR="009612D8" w:rsidRPr="0047263B" w:rsidRDefault="009612D8" w:rsidP="00540D10">
      <w:pPr>
        <w:pStyle w:val="MRNumberedHeading3"/>
        <w:numPr>
          <w:ilvl w:val="2"/>
          <w:numId w:val="20"/>
        </w:numPr>
        <w:spacing w:line="240" w:lineRule="auto"/>
        <w:ind w:left="1702" w:hanging="851"/>
        <w:rPr>
          <w:szCs w:val="20"/>
        </w:rPr>
      </w:pPr>
      <w:bookmarkStart w:id="37" w:name="a134702"/>
      <w:bookmarkEnd w:id="37"/>
      <w:r w:rsidRPr="0047263B">
        <w:rPr>
          <w:szCs w:val="20"/>
        </w:rPr>
        <w:t>why particular third parties would be chosen;</w:t>
      </w:r>
    </w:p>
    <w:p w:rsidR="009612D8" w:rsidRPr="0047263B" w:rsidRDefault="009612D8" w:rsidP="00540D10">
      <w:pPr>
        <w:pStyle w:val="MRNumberedHeading3"/>
        <w:numPr>
          <w:ilvl w:val="2"/>
          <w:numId w:val="20"/>
        </w:numPr>
        <w:spacing w:line="240" w:lineRule="auto"/>
        <w:ind w:left="1702" w:hanging="851"/>
        <w:rPr>
          <w:szCs w:val="20"/>
        </w:rPr>
      </w:pPr>
      <w:bookmarkStart w:id="38" w:name="a521820"/>
      <w:bookmarkEnd w:id="38"/>
      <w:r w:rsidRPr="0047263B">
        <w:rPr>
          <w:szCs w:val="20"/>
        </w:rPr>
        <w:t>any existing relationship with each such subcontractor;</w:t>
      </w:r>
      <w:r w:rsidR="002160EE">
        <w:rPr>
          <w:szCs w:val="20"/>
        </w:rPr>
        <w:t xml:space="preserve"> and</w:t>
      </w:r>
    </w:p>
    <w:p w:rsidR="009612D8" w:rsidRPr="0047263B" w:rsidRDefault="009612D8" w:rsidP="00540D10">
      <w:pPr>
        <w:pStyle w:val="MRNumberedHeading3"/>
        <w:numPr>
          <w:ilvl w:val="2"/>
          <w:numId w:val="20"/>
        </w:numPr>
        <w:spacing w:line="240" w:lineRule="auto"/>
        <w:ind w:left="1702" w:hanging="851"/>
        <w:rPr>
          <w:szCs w:val="20"/>
        </w:rPr>
      </w:pPr>
      <w:bookmarkStart w:id="39" w:name="a626042"/>
      <w:bookmarkEnd w:id="39"/>
      <w:proofErr w:type="gramStart"/>
      <w:r w:rsidRPr="0047263B">
        <w:rPr>
          <w:szCs w:val="20"/>
        </w:rPr>
        <w:t>how</w:t>
      </w:r>
      <w:proofErr w:type="gramEnd"/>
      <w:r w:rsidRPr="0047263B">
        <w:rPr>
          <w:szCs w:val="20"/>
        </w:rPr>
        <w:t xml:space="preserve"> you would ensure that appropriate management controls would be put in place.</w:t>
      </w:r>
      <w:bookmarkStart w:id="40" w:name="a782217"/>
      <w:bookmarkEnd w:id="40"/>
    </w:p>
    <w:p w:rsidR="00053921" w:rsidRDefault="00053921">
      <w:pPr>
        <w:spacing w:after="240"/>
        <w:jc w:val="left"/>
        <w:rPr>
          <w:rFonts w:eastAsia="Times New Roman" w:cs="Times New Roman"/>
          <w:color w:val="000000" w:themeColor="text1"/>
          <w:szCs w:val="24"/>
          <w:lang w:eastAsia="en-GB"/>
        </w:rPr>
      </w:pPr>
      <w:bookmarkStart w:id="41" w:name="_Ref405482971"/>
      <w:r>
        <w:rPr>
          <w:color w:val="000000" w:themeColor="text1"/>
        </w:rPr>
        <w:br w:type="page"/>
      </w:r>
    </w:p>
    <w:p w:rsidR="00590096" w:rsidRPr="00614227" w:rsidRDefault="009612D8" w:rsidP="00614227">
      <w:pPr>
        <w:pStyle w:val="MRNumberedHeading2"/>
        <w:tabs>
          <w:tab w:val="clear" w:pos="720"/>
          <w:tab w:val="num" w:pos="851"/>
        </w:tabs>
        <w:spacing w:after="120"/>
        <w:ind w:left="851" w:hanging="851"/>
        <w:rPr>
          <w:color w:val="000000" w:themeColor="text1"/>
        </w:rPr>
      </w:pPr>
      <w:r w:rsidRPr="003372DA">
        <w:rPr>
          <w:color w:val="000000" w:themeColor="text1"/>
        </w:rPr>
        <w:lastRenderedPageBreak/>
        <w:t>Please explain what contractual arrangements you have (if any) with subcontractor(s) to ensure that your obligations to the Authority will adequately flow down to the subcontractor(s).</w:t>
      </w:r>
      <w:bookmarkEnd w:id="41"/>
      <w:r w:rsidRPr="003372DA">
        <w:rPr>
          <w:color w:val="000000" w:themeColor="text1"/>
        </w:rPr>
        <w:t xml:space="preserve">  </w:t>
      </w:r>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rsidTr="009612D8">
        <w:trPr>
          <w:trHeight w:val="1260"/>
        </w:trPr>
        <w:tc>
          <w:tcPr>
            <w:tcW w:w="8328" w:type="dxa"/>
          </w:tcPr>
          <w:p w:rsidR="009612D8" w:rsidRPr="003372DA" w:rsidRDefault="006E24F7" w:rsidP="009612D8">
            <w:pPr>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22752" behindDoc="0" locked="0" layoutInCell="1" allowOverlap="1" wp14:anchorId="12CEFBFE" wp14:editId="29A5F752">
                      <wp:simplePos x="0" y="0"/>
                      <wp:positionH relativeFrom="column">
                        <wp:posOffset>5408930</wp:posOffset>
                      </wp:positionH>
                      <wp:positionV relativeFrom="paragraph">
                        <wp:posOffset>40640</wp:posOffset>
                      </wp:positionV>
                      <wp:extent cx="509270" cy="629285"/>
                      <wp:effectExtent l="0" t="0" r="508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rsidR="00715437" w:rsidRDefault="00715437" w:rsidP="006E24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25.9pt;margin-top:3.2pt;width:40.1pt;height:49.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" stroked="f">
                      <v:textbox>
                        <w:txbxContent>
                          <w:p w:rsidR="00715437" w:rsidRDefault="00715437" w:rsidP="006E24F7"/>
                        </w:txbxContent>
                      </v:textbox>
                    </v:shape>
                  </w:pict>
                </mc:Fallback>
              </mc:AlternateContent>
            </w:r>
          </w:p>
        </w:tc>
      </w:tr>
    </w:tbl>
    <w:p w:rsidR="00053921" w:rsidRDefault="00053921" w:rsidP="009612D8">
      <w:pPr>
        <w:pStyle w:val="DH"/>
      </w:pPr>
      <w:bookmarkStart w:id="42" w:name="_Toc403557263"/>
      <w:bookmarkStart w:id="43" w:name="_Toc403557359"/>
      <w:bookmarkStart w:id="44" w:name="_Toc403567322"/>
      <w:bookmarkStart w:id="45" w:name="_Toc403567452"/>
      <w:bookmarkStart w:id="46" w:name="_Toc403573348"/>
      <w:bookmarkStart w:id="47" w:name="_Toc403575416"/>
      <w:bookmarkStart w:id="48" w:name="_Toc403644311"/>
      <w:bookmarkStart w:id="49" w:name="_Toc406659028"/>
      <w:bookmarkStart w:id="50" w:name="_Toc413145498"/>
    </w:p>
    <w:p w:rsidR="00053921" w:rsidRDefault="00053921">
      <w:pPr>
        <w:spacing w:after="240"/>
        <w:jc w:val="left"/>
        <w:rPr>
          <w:rFonts w:eastAsia="Times New Roman" w:cs="Times New Roman"/>
          <w:b/>
          <w:caps/>
          <w:color w:val="000000" w:themeColor="text1"/>
          <w:lang w:eastAsia="en-GB"/>
        </w:rPr>
      </w:pPr>
      <w:r>
        <w:br w:type="page"/>
      </w:r>
    </w:p>
    <w:p w:rsidR="009612D8" w:rsidRPr="003372DA" w:rsidRDefault="009612D8" w:rsidP="009612D8">
      <w:pPr>
        <w:pStyle w:val="DH"/>
      </w:pPr>
      <w:r w:rsidRPr="003372DA">
        <w:lastRenderedPageBreak/>
        <w:t>ANNEX B</w:t>
      </w:r>
      <w:bookmarkEnd w:id="42"/>
      <w:bookmarkEnd w:id="43"/>
      <w:r w:rsidR="00F7512A">
        <w:t>4</w:t>
      </w:r>
      <w:r w:rsidRPr="003372DA">
        <w:br/>
      </w:r>
      <w:r w:rsidR="000D02D8">
        <w:t>COMMERCIAL</w:t>
      </w:r>
      <w:r w:rsidRPr="003372DA">
        <w:t xml:space="preserve"> SCHEDULE</w:t>
      </w:r>
      <w:bookmarkEnd w:id="44"/>
      <w:bookmarkEnd w:id="45"/>
      <w:bookmarkEnd w:id="46"/>
      <w:bookmarkEnd w:id="47"/>
      <w:bookmarkEnd w:id="48"/>
      <w:bookmarkEnd w:id="49"/>
      <w:bookmarkEnd w:id="50"/>
    </w:p>
    <w:p w:rsidR="009612D8" w:rsidRPr="00540D10" w:rsidRDefault="00AE6D3B" w:rsidP="00362B6F">
      <w:pPr>
        <w:pStyle w:val="MRNumberedHeading1"/>
        <w:numPr>
          <w:ilvl w:val="0"/>
          <w:numId w:val="28"/>
        </w:numPr>
        <w:tabs>
          <w:tab w:val="clear" w:pos="798"/>
          <w:tab w:val="num" w:pos="851"/>
        </w:tabs>
        <w:ind w:left="851" w:hanging="798"/>
        <w:rPr>
          <w:sz w:val="20"/>
          <w:szCs w:val="20"/>
        </w:rPr>
      </w:pPr>
      <w:r w:rsidRPr="00540D10">
        <w:rPr>
          <w:sz w:val="20"/>
          <w:szCs w:val="20"/>
        </w:rPr>
        <w:t>GENERAL INSTRUCTIONS</w:t>
      </w:r>
    </w:p>
    <w:p w:rsidR="009612D8" w:rsidRDefault="009612D8" w:rsidP="00CB6AD8">
      <w:pPr>
        <w:pStyle w:val="MRNumberedHeading2"/>
        <w:tabs>
          <w:tab w:val="clear" w:pos="720"/>
          <w:tab w:val="num" w:pos="851"/>
        </w:tabs>
        <w:ind w:left="851" w:hanging="851"/>
      </w:pPr>
      <w:r w:rsidRPr="00D931DC">
        <w:t xml:space="preserve">All pricing should be in pound sterling (£GBP).  If applicable please convert you currency into UK sterling using the rate published by the European Central Bank on the date you submit your </w:t>
      </w:r>
      <w:r w:rsidR="00454862">
        <w:t>T</w:t>
      </w:r>
      <w:r w:rsidR="00F7512A">
        <w:t>ender</w:t>
      </w:r>
      <w:r w:rsidRPr="00D931DC">
        <w:t xml:space="preserve">. </w:t>
      </w:r>
    </w:p>
    <w:p w:rsidR="009612D8" w:rsidRPr="00D931DC" w:rsidRDefault="009612D8" w:rsidP="00CB6AD8">
      <w:pPr>
        <w:pStyle w:val="MRNumberedHeading2"/>
        <w:tabs>
          <w:tab w:val="clear" w:pos="720"/>
          <w:tab w:val="num" w:pos="851"/>
        </w:tabs>
        <w:ind w:left="851" w:hanging="851"/>
      </w:pPr>
      <w:r w:rsidRPr="00D931DC">
        <w:t xml:space="preserve">Costs should be quoted exclusive of VAT.  Please confirm this in your pricing schedule, and indicate if the project will attract VAT and at what rate.  </w:t>
      </w:r>
    </w:p>
    <w:p w:rsidR="009612D8" w:rsidRPr="003372DA" w:rsidRDefault="009612D8" w:rsidP="00CB6AD8">
      <w:pPr>
        <w:pStyle w:val="MRNumberedHeading2"/>
        <w:tabs>
          <w:tab w:val="clear" w:pos="720"/>
          <w:tab w:val="num" w:pos="851"/>
        </w:tabs>
        <w:ind w:left="851" w:hanging="851"/>
        <w:rPr>
          <w:color w:val="000000" w:themeColor="text1"/>
        </w:rPr>
      </w:pPr>
      <w:r w:rsidRPr="003372DA">
        <w:rPr>
          <w:i/>
          <w:noProof/>
          <w:color w:val="808080" w:themeColor="background1" w:themeShade="80"/>
        </w:rPr>
        <mc:AlternateContent>
          <mc:Choice Requires="wps">
            <w:drawing>
              <wp:anchor distT="0" distB="0" distL="114300" distR="114300" simplePos="0" relativeHeight="251710464" behindDoc="0" locked="0" layoutInCell="1" allowOverlap="1" wp14:anchorId="5F0DD988" wp14:editId="315F20F5">
                <wp:simplePos x="0" y="0"/>
                <wp:positionH relativeFrom="column">
                  <wp:posOffset>5993130</wp:posOffset>
                </wp:positionH>
                <wp:positionV relativeFrom="paragraph">
                  <wp:posOffset>263765</wp:posOffset>
                </wp:positionV>
                <wp:extent cx="509270" cy="629285"/>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rsidR="00715437" w:rsidRDefault="00715437" w:rsidP="00961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left:0;text-align:left;margin-left:471.9pt;margin-top:20.75pt;width:40.1pt;height:4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" stroked="f">
                <v:textbox>
                  <w:txbxContent>
                    <w:p w:rsidR="00715437" w:rsidRDefault="00715437" w:rsidP="009612D8"/>
                  </w:txbxContent>
                </v:textbox>
              </v:shape>
            </w:pict>
          </mc:Fallback>
        </mc:AlternateContent>
      </w:r>
      <w:r w:rsidRPr="003372DA">
        <w:rPr>
          <w:color w:val="000000" w:themeColor="text1"/>
        </w:rPr>
        <w:t xml:space="preserve">If your proposal includes costs for sub-contractors these costs must be identified and shown inclusive of any VAT they will charge you.  </w:t>
      </w:r>
    </w:p>
    <w:p w:rsidR="009612D8" w:rsidRPr="00540D10" w:rsidRDefault="00AE6D3B" w:rsidP="00680611">
      <w:pPr>
        <w:pStyle w:val="MRNumberedHeading1"/>
        <w:numPr>
          <w:ilvl w:val="0"/>
          <w:numId w:val="21"/>
        </w:numPr>
        <w:tabs>
          <w:tab w:val="clear" w:pos="798"/>
          <w:tab w:val="num" w:pos="851"/>
        </w:tabs>
        <w:ind w:left="851" w:hanging="851"/>
        <w:rPr>
          <w:sz w:val="20"/>
          <w:szCs w:val="20"/>
        </w:rPr>
      </w:pPr>
      <w:bookmarkStart w:id="51" w:name="_Ref405482979"/>
      <w:r w:rsidRPr="00540D10">
        <w:rPr>
          <w:sz w:val="20"/>
          <w:szCs w:val="20"/>
        </w:rPr>
        <w:t>PRICING MODEL AND CONNECTED QUESTIONS</w:t>
      </w:r>
      <w:bookmarkEnd w:id="51"/>
      <w:r w:rsidRPr="00540D10">
        <w:rPr>
          <w:sz w:val="20"/>
          <w:szCs w:val="20"/>
        </w:rPr>
        <w:t xml:space="preserve"> </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 xml:space="preserve">Please </w:t>
      </w:r>
      <w:r w:rsidRPr="00053921">
        <w:rPr>
          <w:color w:val="000000" w:themeColor="text1"/>
        </w:rPr>
        <w:t>complete the following costs model.</w:t>
      </w:r>
      <w:r w:rsidRPr="003372DA">
        <w:rPr>
          <w:color w:val="000000" w:themeColor="text1"/>
        </w:rPr>
        <w:t xml:space="preserve">  Please give information on your overall approach to the following:</w:t>
      </w:r>
    </w:p>
    <w:p w:rsidR="009612D8" w:rsidRPr="003372DA" w:rsidRDefault="009612D8" w:rsidP="00540D10">
      <w:pPr>
        <w:pStyle w:val="MRNumberedHeading3"/>
        <w:numPr>
          <w:ilvl w:val="2"/>
          <w:numId w:val="20"/>
        </w:numPr>
        <w:spacing w:line="240" w:lineRule="auto"/>
        <w:ind w:left="1702" w:hanging="851"/>
        <w:rPr>
          <w:color w:val="000000" w:themeColor="text1"/>
        </w:rPr>
      </w:pPr>
      <w:r w:rsidRPr="003372DA">
        <w:rPr>
          <w:color w:val="000000" w:themeColor="text1"/>
        </w:rPr>
        <w:t xml:space="preserve">how charges will be calculated for each element of the services; </w:t>
      </w:r>
      <w:r w:rsidR="00715437">
        <w:rPr>
          <w:color w:val="000000" w:themeColor="text1"/>
        </w:rPr>
        <w:t xml:space="preserve">including references to relevant benchmark rates that demonstrates your value for money; </w:t>
      </w:r>
      <w:r w:rsidRPr="003372DA">
        <w:rPr>
          <w:color w:val="000000" w:themeColor="text1"/>
        </w:rPr>
        <w:t>and</w:t>
      </w:r>
    </w:p>
    <w:p w:rsidR="009612D8" w:rsidRPr="003372DA" w:rsidRDefault="009612D8" w:rsidP="00540D10">
      <w:pPr>
        <w:pStyle w:val="MRNumberedHeading3"/>
        <w:numPr>
          <w:ilvl w:val="2"/>
          <w:numId w:val="20"/>
        </w:numPr>
        <w:spacing w:line="240" w:lineRule="auto"/>
        <w:ind w:left="1702" w:hanging="851"/>
        <w:rPr>
          <w:color w:val="000000" w:themeColor="text1"/>
        </w:rPr>
      </w:pPr>
      <w:proofErr w:type="gramStart"/>
      <w:r w:rsidRPr="003372DA">
        <w:rPr>
          <w:color w:val="000000" w:themeColor="text1"/>
        </w:rPr>
        <w:t>the</w:t>
      </w:r>
      <w:proofErr w:type="gramEnd"/>
      <w:r w:rsidRPr="003372DA">
        <w:rPr>
          <w:color w:val="000000" w:themeColor="text1"/>
        </w:rPr>
        <w:t xml:space="preserve"> proposed payment profile over time.</w:t>
      </w:r>
    </w:p>
    <w:p w:rsidR="009612D8" w:rsidRPr="003372DA" w:rsidRDefault="009612D8" w:rsidP="00000031">
      <w:pPr>
        <w:pStyle w:val="MRNumberedHeading2"/>
        <w:tabs>
          <w:tab w:val="clear" w:pos="720"/>
          <w:tab w:val="num" w:pos="851"/>
        </w:tabs>
        <w:ind w:left="851" w:hanging="851"/>
        <w:rPr>
          <w:color w:val="000000" w:themeColor="text1"/>
        </w:rPr>
      </w:pPr>
    </w:p>
    <w:tbl>
      <w:tblPr>
        <w:tblW w:w="4335" w:type="pct"/>
        <w:tblInd w:w="109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60"/>
        <w:gridCol w:w="2271"/>
        <w:gridCol w:w="1900"/>
        <w:gridCol w:w="2464"/>
      </w:tblGrid>
      <w:tr w:rsidR="009612D8" w:rsidRPr="003372DA" w:rsidTr="00053921">
        <w:tc>
          <w:tcPr>
            <w:tcW w:w="851"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9612D8" w:rsidRPr="003372DA" w:rsidRDefault="009612D8" w:rsidP="00614227">
            <w:pPr>
              <w:spacing w:before="100" w:beforeAutospacing="1" w:after="100" w:afterAutospacing="1"/>
              <w:ind w:left="-241" w:firstLine="241"/>
              <w:jc w:val="left"/>
              <w:rPr>
                <w:rFonts w:eastAsia="Times New Roman" w:cs="Arial"/>
                <w:color w:val="212121"/>
                <w:lang w:eastAsia="en-GB"/>
              </w:rPr>
            </w:pPr>
            <w:bookmarkStart w:id="52" w:name="a981215"/>
            <w:bookmarkEnd w:id="52"/>
            <w:proofErr w:type="spellStart"/>
            <w:r w:rsidRPr="003372DA">
              <w:rPr>
                <w:rFonts w:eastAsia="Times New Roman" w:cs="Arial"/>
                <w:b/>
                <w:bCs/>
                <w:color w:val="212121"/>
                <w:lang w:eastAsia="en-GB"/>
              </w:rPr>
              <w:t>Workstream</w:t>
            </w:r>
            <w:proofErr w:type="spellEnd"/>
          </w:p>
        </w:tc>
        <w:tc>
          <w:tcPr>
            <w:tcW w:w="1420"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Milestone</w:t>
            </w:r>
          </w:p>
        </w:tc>
        <w:tc>
          <w:tcPr>
            <w:tcW w:w="1188"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Date completion expected</w:t>
            </w:r>
          </w:p>
        </w:tc>
        <w:tc>
          <w:tcPr>
            <w:tcW w:w="1541"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Charge payable on completion (£)</w:t>
            </w:r>
          </w:p>
        </w:tc>
      </w:tr>
      <w:tr w:rsidR="009612D8" w:rsidRPr="003372DA" w:rsidTr="00053921">
        <w:tc>
          <w:tcPr>
            <w:tcW w:w="851"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w:t>
            </w:r>
            <w:r w:rsidRPr="003372DA">
              <w:rPr>
                <w:rFonts w:eastAsia="Times New Roman" w:cs="Arial"/>
                <w:color w:val="212121"/>
                <w:lang w:eastAsia="en-GB"/>
              </w:rPr>
              <w:t>]</w:t>
            </w:r>
          </w:p>
        </w:tc>
        <w:tc>
          <w:tcPr>
            <w:tcW w:w="1420"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details</w:t>
            </w:r>
            <w:r w:rsidRPr="003372DA">
              <w:rPr>
                <w:rFonts w:eastAsia="Times New Roman" w:cs="Arial"/>
                <w:color w:val="212121"/>
                <w:lang w:eastAsia="en-GB"/>
              </w:rPr>
              <w:t>]</w:t>
            </w:r>
          </w:p>
        </w:tc>
        <w:tc>
          <w:tcPr>
            <w:tcW w:w="1188"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date</w:t>
            </w:r>
            <w:r w:rsidRPr="003372DA">
              <w:rPr>
                <w:rFonts w:eastAsia="Times New Roman" w:cs="Arial"/>
                <w:color w:val="212121"/>
                <w:lang w:eastAsia="en-GB"/>
              </w:rPr>
              <w:t>]</w:t>
            </w:r>
          </w:p>
        </w:tc>
        <w:tc>
          <w:tcPr>
            <w:tcW w:w="1541"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w:t>
            </w:r>
            <w:r w:rsidRPr="003372DA">
              <w:rPr>
                <w:rFonts w:eastAsia="Times New Roman" w:cs="Arial"/>
                <w:color w:val="212121"/>
                <w:lang w:eastAsia="en-GB"/>
              </w:rPr>
              <w:t>]</w:t>
            </w:r>
          </w:p>
        </w:tc>
      </w:tr>
      <w:tr w:rsidR="009612D8" w:rsidRPr="003372DA" w:rsidTr="00053921">
        <w:tc>
          <w:tcPr>
            <w:tcW w:w="851"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w:t>
            </w:r>
            <w:r w:rsidRPr="003372DA">
              <w:rPr>
                <w:rFonts w:eastAsia="Times New Roman" w:cs="Arial"/>
                <w:color w:val="212121"/>
                <w:lang w:eastAsia="en-GB"/>
              </w:rPr>
              <w:t>]</w:t>
            </w:r>
          </w:p>
        </w:tc>
        <w:tc>
          <w:tcPr>
            <w:tcW w:w="1420"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details</w:t>
            </w:r>
            <w:r w:rsidRPr="003372DA">
              <w:rPr>
                <w:rFonts w:eastAsia="Times New Roman" w:cs="Arial"/>
                <w:color w:val="212121"/>
                <w:lang w:eastAsia="en-GB"/>
              </w:rPr>
              <w:t>]</w:t>
            </w:r>
          </w:p>
        </w:tc>
        <w:tc>
          <w:tcPr>
            <w:tcW w:w="1188"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date</w:t>
            </w:r>
            <w:r w:rsidRPr="003372DA">
              <w:rPr>
                <w:rFonts w:eastAsia="Times New Roman" w:cs="Arial"/>
                <w:color w:val="212121"/>
                <w:lang w:eastAsia="en-GB"/>
              </w:rPr>
              <w:t>]</w:t>
            </w:r>
          </w:p>
        </w:tc>
        <w:tc>
          <w:tcPr>
            <w:tcW w:w="1541"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w:t>
            </w:r>
            <w:r w:rsidRPr="003372DA">
              <w:rPr>
                <w:rFonts w:eastAsia="Times New Roman" w:cs="Arial"/>
                <w:color w:val="212121"/>
                <w:lang w:eastAsia="en-GB"/>
              </w:rPr>
              <w:t>]</w:t>
            </w:r>
          </w:p>
        </w:tc>
      </w:tr>
      <w:tr w:rsidR="009612D8" w:rsidRPr="003372DA" w:rsidTr="00053921">
        <w:tc>
          <w:tcPr>
            <w:tcW w:w="851"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w:t>
            </w:r>
            <w:r w:rsidRPr="003372DA">
              <w:rPr>
                <w:rFonts w:eastAsia="Times New Roman" w:cs="Arial"/>
                <w:color w:val="212121"/>
                <w:lang w:eastAsia="en-GB"/>
              </w:rPr>
              <w:t>]</w:t>
            </w:r>
          </w:p>
        </w:tc>
        <w:tc>
          <w:tcPr>
            <w:tcW w:w="1420"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details</w:t>
            </w:r>
            <w:r w:rsidRPr="003372DA">
              <w:rPr>
                <w:rFonts w:eastAsia="Times New Roman" w:cs="Arial"/>
                <w:color w:val="212121"/>
                <w:lang w:eastAsia="en-GB"/>
              </w:rPr>
              <w:t>]</w:t>
            </w:r>
          </w:p>
        </w:tc>
        <w:tc>
          <w:tcPr>
            <w:tcW w:w="1188"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date</w:t>
            </w:r>
            <w:r w:rsidRPr="003372DA">
              <w:rPr>
                <w:rFonts w:eastAsia="Times New Roman" w:cs="Arial"/>
                <w:color w:val="212121"/>
                <w:lang w:eastAsia="en-GB"/>
              </w:rPr>
              <w:t>]</w:t>
            </w:r>
          </w:p>
        </w:tc>
        <w:tc>
          <w:tcPr>
            <w:tcW w:w="1541" w:type="pct"/>
            <w:tcBorders>
              <w:top w:val="outset" w:sz="6" w:space="0" w:color="auto"/>
              <w:left w:val="outset" w:sz="6" w:space="0" w:color="auto"/>
              <w:bottom w:val="outset" w:sz="6" w:space="0" w:color="auto"/>
              <w:right w:val="outset" w:sz="6" w:space="0" w:color="auto"/>
            </w:tcBorders>
            <w:hideMark/>
          </w:tcPr>
          <w:p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w:t>
            </w:r>
            <w:r w:rsidRPr="003372DA">
              <w:rPr>
                <w:rFonts w:eastAsia="Times New Roman" w:cs="Arial"/>
                <w:color w:val="212121"/>
                <w:lang w:eastAsia="en-GB"/>
              </w:rPr>
              <w:t>]</w:t>
            </w:r>
          </w:p>
        </w:tc>
      </w:tr>
      <w:tr w:rsidR="009612D8" w:rsidRPr="003372DA" w:rsidTr="00053921">
        <w:tc>
          <w:tcPr>
            <w:tcW w:w="3459" w:type="pct"/>
            <w:gridSpan w:val="3"/>
            <w:tcBorders>
              <w:top w:val="outset" w:sz="6" w:space="0" w:color="auto"/>
              <w:left w:val="outset" w:sz="6" w:space="0" w:color="auto"/>
              <w:bottom w:val="outset" w:sz="6" w:space="0" w:color="auto"/>
              <w:right w:val="outset" w:sz="6" w:space="0" w:color="auto"/>
            </w:tcBorders>
          </w:tcPr>
          <w:p w:rsidR="009612D8" w:rsidRPr="003372DA" w:rsidRDefault="009612D8" w:rsidP="009612D8">
            <w:pPr>
              <w:spacing w:before="100" w:beforeAutospacing="1" w:after="100" w:afterAutospacing="1"/>
              <w:jc w:val="right"/>
              <w:rPr>
                <w:rFonts w:eastAsia="Times New Roman" w:cs="Arial"/>
                <w:b/>
                <w:color w:val="212121"/>
                <w:lang w:eastAsia="en-GB"/>
              </w:rPr>
            </w:pPr>
            <w:r w:rsidRPr="003372DA">
              <w:rPr>
                <w:rFonts w:eastAsia="Times New Roman" w:cs="Arial"/>
                <w:b/>
                <w:color w:val="212121"/>
                <w:lang w:eastAsia="en-GB"/>
              </w:rPr>
              <w:t>Total</w:t>
            </w:r>
          </w:p>
        </w:tc>
        <w:tc>
          <w:tcPr>
            <w:tcW w:w="1541" w:type="pct"/>
            <w:tcBorders>
              <w:top w:val="outset" w:sz="6" w:space="0" w:color="auto"/>
              <w:left w:val="outset" w:sz="6" w:space="0" w:color="auto"/>
              <w:bottom w:val="outset" w:sz="6" w:space="0" w:color="auto"/>
              <w:right w:val="outset" w:sz="6" w:space="0" w:color="auto"/>
            </w:tcBorders>
          </w:tcPr>
          <w:p w:rsidR="009612D8" w:rsidRPr="003372DA" w:rsidRDefault="009612D8" w:rsidP="009612D8">
            <w:pPr>
              <w:spacing w:before="100" w:beforeAutospacing="1" w:after="100" w:afterAutospacing="1"/>
              <w:jc w:val="left"/>
              <w:rPr>
                <w:rFonts w:eastAsia="Times New Roman" w:cs="Arial"/>
                <w:color w:val="212121"/>
                <w:lang w:eastAsia="en-GB"/>
              </w:rPr>
            </w:pPr>
          </w:p>
        </w:tc>
      </w:tr>
      <w:tr w:rsidR="009612D8" w:rsidRPr="003372DA" w:rsidTr="00053921">
        <w:tc>
          <w:tcPr>
            <w:tcW w:w="3459" w:type="pct"/>
            <w:gridSpan w:val="3"/>
            <w:tcBorders>
              <w:top w:val="outset" w:sz="6" w:space="0" w:color="auto"/>
              <w:left w:val="outset" w:sz="6" w:space="0" w:color="auto"/>
              <w:bottom w:val="outset" w:sz="6" w:space="0" w:color="auto"/>
              <w:right w:val="outset" w:sz="6" w:space="0" w:color="auto"/>
            </w:tcBorders>
          </w:tcPr>
          <w:p w:rsidR="009612D8" w:rsidRPr="003372DA" w:rsidRDefault="009612D8" w:rsidP="009612D8">
            <w:pPr>
              <w:spacing w:before="100" w:beforeAutospacing="1" w:after="100" w:afterAutospacing="1"/>
              <w:jc w:val="left"/>
              <w:rPr>
                <w:rFonts w:eastAsia="Times New Roman" w:cs="Arial"/>
                <w:color w:val="212121"/>
                <w:lang w:eastAsia="en-GB"/>
              </w:rPr>
            </w:pPr>
          </w:p>
        </w:tc>
        <w:tc>
          <w:tcPr>
            <w:tcW w:w="1541" w:type="pct"/>
            <w:tcBorders>
              <w:top w:val="outset" w:sz="6" w:space="0" w:color="auto"/>
              <w:left w:val="outset" w:sz="6" w:space="0" w:color="auto"/>
              <w:bottom w:val="outset" w:sz="6" w:space="0" w:color="auto"/>
              <w:right w:val="outset" w:sz="6" w:space="0" w:color="auto"/>
            </w:tcBorders>
          </w:tcPr>
          <w:p w:rsidR="009612D8" w:rsidRPr="003372DA" w:rsidRDefault="009612D8" w:rsidP="009612D8">
            <w:pPr>
              <w:spacing w:before="100" w:beforeAutospacing="1" w:after="100" w:afterAutospacing="1"/>
              <w:jc w:val="left"/>
              <w:rPr>
                <w:rFonts w:eastAsia="Times New Roman" w:cs="Arial"/>
                <w:color w:val="212121"/>
                <w:lang w:eastAsia="en-GB"/>
              </w:rPr>
            </w:pPr>
          </w:p>
        </w:tc>
      </w:tr>
    </w:tbl>
    <w:p w:rsidR="009612D8" w:rsidRPr="003372DA" w:rsidRDefault="009612D8" w:rsidP="009612D8">
      <w:pPr>
        <w:spacing w:after="240"/>
        <w:ind w:left="851"/>
        <w:rPr>
          <w:rFonts w:eastAsia="Times New Roman" w:cs="Times New Roman"/>
          <w:color w:val="000000" w:themeColor="text1"/>
          <w:lang w:eastAsia="en-GB"/>
        </w:rPr>
      </w:pPr>
    </w:p>
    <w:p w:rsidR="009612D8" w:rsidRPr="003372DA" w:rsidRDefault="009612D8" w:rsidP="000A5DE3">
      <w:pPr>
        <w:spacing w:after="240"/>
        <w:outlineLvl w:val="1"/>
        <w:rPr>
          <w:rFonts w:eastAsia="Times New Roman" w:cs="Times New Roman"/>
          <w:color w:val="000000" w:themeColor="text1"/>
          <w:lang w:eastAsia="en-GB"/>
        </w:rPr>
      </w:pPr>
      <w:bookmarkStart w:id="53" w:name="a252196"/>
      <w:bookmarkEnd w:id="53"/>
    </w:p>
    <w:p w:rsidR="00FC6337" w:rsidRDefault="00FC6337">
      <w:pPr>
        <w:spacing w:after="240"/>
        <w:jc w:val="left"/>
        <w:rPr>
          <w:rFonts w:eastAsia="Times New Roman" w:cs="Times New Roman"/>
          <w:b/>
          <w:lang w:eastAsia="en-GB"/>
        </w:rPr>
      </w:pPr>
      <w:r>
        <w:rPr>
          <w:b/>
        </w:rPr>
        <w:br w:type="page"/>
      </w:r>
    </w:p>
    <w:p w:rsidR="009612D8" w:rsidRPr="003372DA" w:rsidRDefault="009612D8" w:rsidP="009612D8">
      <w:pPr>
        <w:pStyle w:val="DH"/>
      </w:pPr>
      <w:bookmarkStart w:id="54" w:name="_Toc403557264"/>
      <w:bookmarkStart w:id="55" w:name="_Toc403557360"/>
      <w:bookmarkStart w:id="56" w:name="_Toc403567323"/>
      <w:bookmarkStart w:id="57" w:name="_Toc403567453"/>
      <w:bookmarkStart w:id="58" w:name="_Toc403573349"/>
      <w:bookmarkStart w:id="59" w:name="_Toc403575417"/>
      <w:bookmarkStart w:id="60" w:name="_Toc403644312"/>
      <w:bookmarkStart w:id="61" w:name="_Toc406659029"/>
      <w:bookmarkStart w:id="62" w:name="_Toc413145499"/>
      <w:r w:rsidRPr="003372DA">
        <w:lastRenderedPageBreak/>
        <w:t>ANNEX B</w:t>
      </w:r>
      <w:bookmarkEnd w:id="54"/>
      <w:bookmarkEnd w:id="55"/>
      <w:r w:rsidR="00F7512A">
        <w:t>5</w:t>
      </w:r>
      <w:r w:rsidRPr="003372DA">
        <w:br/>
        <w:t>CONFIDENTIAL AND COMMERCIALLY SENSITIVE INFORMATION</w:t>
      </w:r>
      <w:bookmarkEnd w:id="56"/>
      <w:bookmarkEnd w:id="57"/>
      <w:bookmarkEnd w:id="58"/>
      <w:bookmarkEnd w:id="59"/>
      <w:bookmarkEnd w:id="60"/>
      <w:bookmarkEnd w:id="61"/>
      <w:bookmarkEnd w:id="62"/>
    </w:p>
    <w:p w:rsidR="009612D8" w:rsidRPr="00AE6D3B" w:rsidRDefault="00AE6D3B" w:rsidP="00362B6F">
      <w:pPr>
        <w:pStyle w:val="MRNumberedHeading1"/>
        <w:numPr>
          <w:ilvl w:val="0"/>
          <w:numId w:val="29"/>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63" w:name="_Toc403557265"/>
      <w:bookmarkStart w:id="64" w:name="_Toc403557361"/>
      <w:bookmarkStart w:id="65" w:name="_Toc403567324"/>
      <w:bookmarkStart w:id="66" w:name="_Toc403567454"/>
      <w:bookmarkStart w:id="67" w:name="_Toc403573350"/>
      <w:bookmarkStart w:id="68" w:name="_Toc403575418"/>
      <w:r>
        <w:br w:type="page"/>
      </w:r>
    </w:p>
    <w:p w:rsidR="00F7512A" w:rsidRPr="003F0440" w:rsidRDefault="009612D8" w:rsidP="006E2EC7">
      <w:pPr>
        <w:pStyle w:val="DH"/>
        <w:rPr>
          <w:rStyle w:val="Strong"/>
          <w:bCs w:val="0"/>
        </w:rPr>
      </w:pPr>
      <w:bookmarkStart w:id="69" w:name="_Toc403567325"/>
      <w:bookmarkStart w:id="70" w:name="_Toc403567455"/>
      <w:bookmarkStart w:id="71" w:name="_Toc403573351"/>
      <w:bookmarkStart w:id="72" w:name="_Toc403575419"/>
      <w:bookmarkStart w:id="73" w:name="_Toc403644314"/>
      <w:bookmarkStart w:id="74" w:name="_Toc406150158"/>
      <w:bookmarkStart w:id="75" w:name="_Toc406659030"/>
      <w:bookmarkStart w:id="76" w:name="_Toc413145500"/>
      <w:bookmarkEnd w:id="63"/>
      <w:bookmarkEnd w:id="64"/>
      <w:bookmarkEnd w:id="65"/>
      <w:bookmarkEnd w:id="66"/>
      <w:bookmarkEnd w:id="67"/>
      <w:bookmarkEnd w:id="68"/>
      <w:r w:rsidRPr="00F7512A">
        <w:lastRenderedPageBreak/>
        <w:t>ANNEX B</w:t>
      </w:r>
      <w:bookmarkEnd w:id="69"/>
      <w:r w:rsidR="00F7512A" w:rsidRPr="00F7512A">
        <w:t>7</w:t>
      </w:r>
      <w:r w:rsidRPr="00F7512A">
        <w:br/>
      </w:r>
      <w:bookmarkEnd w:id="70"/>
      <w:bookmarkEnd w:id="71"/>
      <w:bookmarkEnd w:id="72"/>
      <w:bookmarkEnd w:id="73"/>
      <w:r w:rsidR="00F7512A" w:rsidRPr="003F0440">
        <w:t>FORM OF TENDER</w:t>
      </w:r>
      <w:bookmarkEnd w:id="74"/>
      <w:bookmarkEnd w:id="75"/>
      <w:bookmarkEnd w:id="76"/>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715437">
        <w:rPr>
          <w:rFonts w:eastAsia="Times New Roman" w:cs="Arial"/>
          <w:b/>
          <w:lang w:eastAsia="en-GB"/>
        </w:rPr>
        <w:t>Great Western Hospitals NHS Foundation Trust</w:t>
      </w:r>
    </w:p>
    <w:p w:rsidR="00500507" w:rsidRDefault="009612D8" w:rsidP="009612D8">
      <w:pPr>
        <w:spacing w:before="100" w:beforeAutospacing="1" w:after="100" w:afterAutospacing="1"/>
        <w:jc w:val="left"/>
      </w:pPr>
      <w:r w:rsidRPr="003372DA">
        <w:rPr>
          <w:rFonts w:eastAsia="Times New Roman" w:cs="Arial"/>
          <w:b/>
          <w:lang w:eastAsia="en-GB"/>
        </w:rPr>
        <w:t>PROPOSAL</w:t>
      </w:r>
      <w:r w:rsidR="006762F3">
        <w:rPr>
          <w:rFonts w:eastAsia="Times New Roman" w:cs="Arial"/>
          <w:b/>
          <w:lang w:eastAsia="en-GB"/>
        </w:rPr>
        <w:t xml:space="preserve"> TO </w:t>
      </w:r>
      <w:r w:rsidR="00500507">
        <w:rPr>
          <w:rFonts w:eastAsia="Times New Roman" w:cs="Arial"/>
          <w:b/>
          <w:lang w:eastAsia="en-GB"/>
        </w:rPr>
        <w:t>THE PROVISION OF EXTERNAL CLINICALLY LED REVIEW OF DIABETES SERVICE</w:t>
      </w:r>
      <w:r w:rsidR="00500507" w:rsidRPr="00177FB3">
        <w:t xml:space="preserve"> </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REFERENCE NUMBER: </w:t>
      </w:r>
      <w:r w:rsidR="00500507">
        <w:rPr>
          <w:rFonts w:eastAsia="Times New Roman" w:cs="Arial"/>
          <w:b/>
          <w:lang w:eastAsia="en-GB"/>
        </w:rPr>
        <w:t>RN3/</w:t>
      </w:r>
      <w:r w:rsidR="00FE7CDA">
        <w:rPr>
          <w:rFonts w:eastAsia="Times New Roman" w:cs="Arial"/>
          <w:b/>
          <w:lang w:eastAsia="en-GB"/>
        </w:rPr>
        <w:t>2001428/07</w:t>
      </w:r>
      <w:r w:rsidR="00500507">
        <w:rPr>
          <w:rFonts w:eastAsia="Times New Roman" w:cs="Arial"/>
          <w:b/>
          <w:lang w:eastAsia="en-GB"/>
        </w:rPr>
        <w:t>/15</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xml:space="preserve">") dated </w:t>
      </w:r>
      <w:r w:rsidR="00500507">
        <w:t>1</w:t>
      </w:r>
      <w:r w:rsidR="00500507" w:rsidRPr="00500507">
        <w:rPr>
          <w:vertAlign w:val="superscript"/>
        </w:rPr>
        <w:t>st</w:t>
      </w:r>
      <w:r w:rsidR="00500507">
        <w:t xml:space="preserve"> July 2015</w:t>
      </w:r>
      <w:r>
        <w:t xml:space="preserve">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r w:rsidR="00F37808" w:rsidRPr="00500507">
        <w:t>(i</w:t>
      </w:r>
      <w:r w:rsidRPr="00500507">
        <w:t>ncluding our response to the Specificatio</w:t>
      </w:r>
      <w:r w:rsidR="00F37808" w:rsidRPr="00500507">
        <w:t>n)</w:t>
      </w:r>
      <w:r w:rsidRPr="00500507">
        <w:t>;</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proofErr w:type="gramStart"/>
      <w:r>
        <w:t>our</w:t>
      </w:r>
      <w:proofErr w:type="gramEnd"/>
      <w:r>
        <w:t xml:space="preserve">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If the Authority </w:t>
      </w:r>
      <w:r w:rsidR="00F37808">
        <w:t xml:space="preserve">unequivocally notifies us of its acceptance of this offer or </w:t>
      </w:r>
      <w:r w:rsidR="009055A4">
        <w:t>issues a purchase order in respect of this offer, a legally binding contract shall come into force on the terms of the offer</w:t>
      </w:r>
      <w:r w:rsidR="00F37808">
        <w:t xml:space="preserve"> and acceptance</w:t>
      </w:r>
      <w:r w:rsidR="009055A4">
        <w:t>.</w:t>
      </w:r>
      <w:r>
        <w:t xml:space="preserv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500507">
        <w:t xml:space="preserve">one hundred and eighty </w:t>
      </w:r>
      <w:r w:rsidR="006F7B22" w:rsidRPr="00500507">
        <w:t>(</w:t>
      </w:r>
      <w:r w:rsidR="009055A4" w:rsidRPr="00500507">
        <w:t>18</w:t>
      </w:r>
      <w:r w:rsidR="006F7B22" w:rsidRPr="00500507">
        <w:t xml:space="preserve">0) days -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proofErr w:type="gramStart"/>
      <w:r w:rsidRPr="00663BB2">
        <w:rPr>
          <w:sz w:val="20"/>
        </w:rPr>
        <w:t>:</w:t>
      </w:r>
      <w:r w:rsidRPr="00663BB2">
        <w:rPr>
          <w:sz w:val="20"/>
        </w:rPr>
        <w:tab/>
        <w:t>..........................................</w:t>
      </w:r>
      <w:r>
        <w:rPr>
          <w:sz w:val="20"/>
        </w:rPr>
        <w:t>...................................</w:t>
      </w:r>
      <w:proofErr w:type="gramEnd"/>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proofErr w:type="gramStart"/>
      <w:r w:rsidRPr="00663BB2">
        <w:rPr>
          <w:sz w:val="20"/>
        </w:rPr>
        <w:t>:</w:t>
      </w:r>
      <w:r w:rsidRPr="00663BB2">
        <w:rPr>
          <w:sz w:val="20"/>
        </w:rPr>
        <w:tab/>
        <w:t>..........................................</w:t>
      </w:r>
      <w:r>
        <w:rPr>
          <w:sz w:val="20"/>
        </w:rPr>
        <w:t>...................................</w:t>
      </w:r>
      <w:proofErr w:type="gramEnd"/>
    </w:p>
    <w:p w:rsidR="006F7B22" w:rsidRPr="00663BB2" w:rsidRDefault="006F7B22" w:rsidP="006F7B22">
      <w:pPr>
        <w:pStyle w:val="LeftSide"/>
        <w:rPr>
          <w:sz w:val="20"/>
        </w:rPr>
      </w:pPr>
    </w:p>
    <w:p w:rsidR="006F7B22" w:rsidRPr="00663BB2" w:rsidRDefault="006F7B22" w:rsidP="006F7B22">
      <w:pPr>
        <w:pStyle w:val="LeftSide"/>
        <w:rPr>
          <w:sz w:val="20"/>
        </w:rPr>
      </w:pPr>
      <w:proofErr w:type="gramStart"/>
      <w:r w:rsidRPr="00663BB2">
        <w:rPr>
          <w:sz w:val="20"/>
        </w:rPr>
        <w:t>in</w:t>
      </w:r>
      <w:proofErr w:type="gramEnd"/>
      <w:r w:rsidRPr="00663BB2">
        <w:rPr>
          <w:sz w:val="20"/>
        </w:rPr>
        <w:t xml:space="preserve"> the capacity of: ................................................................</w:t>
      </w:r>
    </w:p>
    <w:p w:rsidR="006F7B22" w:rsidRPr="00663BB2" w:rsidRDefault="006F7B22" w:rsidP="006F7B22">
      <w:pPr>
        <w:pStyle w:val="LeftSide"/>
        <w:rPr>
          <w:sz w:val="20"/>
        </w:rPr>
      </w:pPr>
      <w:proofErr w:type="gramStart"/>
      <w:r w:rsidRPr="00663BB2">
        <w:rPr>
          <w:sz w:val="20"/>
        </w:rPr>
        <w:t>duly</w:t>
      </w:r>
      <w:proofErr w:type="gramEnd"/>
      <w:r w:rsidRPr="00663BB2">
        <w:rPr>
          <w:sz w:val="20"/>
        </w:rPr>
        <w:t xml:space="preserve">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w:t>
      </w:r>
      <w:proofErr w:type="gramStart"/>
      <w:r w:rsidR="00454862">
        <w:rPr>
          <w:b/>
          <w:sz w:val="20"/>
        </w:rPr>
        <w:t>your</w:t>
      </w:r>
      <w:proofErr w:type="gramEnd"/>
      <w:r w:rsidR="00454862">
        <w:rPr>
          <w:b/>
          <w:sz w:val="20"/>
        </w:rPr>
        <w:t xml:space="preserve">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8942ED">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437" w:rsidRDefault="00715437" w:rsidP="00C82318">
      <w:r>
        <w:separator/>
      </w:r>
    </w:p>
    <w:p w:rsidR="00715437" w:rsidRDefault="00715437"/>
  </w:endnote>
  <w:endnote w:type="continuationSeparator" w:id="0">
    <w:p w:rsidR="00715437" w:rsidRDefault="00715437" w:rsidP="00C82318">
      <w:r>
        <w:continuationSeparator/>
      </w:r>
    </w:p>
    <w:p w:rsidR="00715437" w:rsidRDefault="00715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Pr="000B0743" w:rsidRDefault="00715437"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15437" w:rsidRDefault="00715437">
    <w:pPr>
      <w:pStyle w:val="Footer"/>
      <w:jc w:val="center"/>
    </w:pPr>
  </w:p>
  <w:p w:rsidR="00715437" w:rsidRDefault="00715437"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Pr="000B0743" w:rsidRDefault="00715437"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15437" w:rsidRDefault="00715437">
    <w:pPr>
      <w:pStyle w:val="Footer"/>
      <w:jc w:val="center"/>
    </w:pPr>
  </w:p>
  <w:p w:rsidR="00715437" w:rsidRDefault="007154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Default="007154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Pr="000B0743" w:rsidRDefault="00715437"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15437" w:rsidRDefault="00715437"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810B2A">
      <w:rPr>
        <w:noProof/>
        <w:sz w:val="16"/>
        <w:szCs w:val="16"/>
      </w:rPr>
      <w:t>3</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Default="0071543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715437" w:rsidRPr="000B0743" w:rsidRDefault="00715437"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15437" w:rsidRDefault="00715437">
        <w:pPr>
          <w:pStyle w:val="Footer"/>
          <w:jc w:val="center"/>
        </w:pPr>
        <w:r>
          <w:fldChar w:fldCharType="begin"/>
        </w:r>
        <w:r>
          <w:instrText xml:space="preserve"> PAGE   \* MERGEFORMAT </w:instrText>
        </w:r>
        <w:r>
          <w:fldChar w:fldCharType="separate"/>
        </w:r>
        <w:r w:rsidR="00810B2A">
          <w:rPr>
            <w:noProof/>
          </w:rPr>
          <w:t>12</w:t>
        </w:r>
        <w:r>
          <w:rPr>
            <w:noProof/>
          </w:rPr>
          <w:fldChar w:fldCharType="end"/>
        </w:r>
      </w:p>
    </w:sdtContent>
  </w:sdt>
  <w:p w:rsidR="00715437" w:rsidRDefault="00715437"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715437" w:rsidRPr="000B0743" w:rsidRDefault="00715437"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15437" w:rsidRDefault="00715437">
        <w:pPr>
          <w:pStyle w:val="Footer"/>
          <w:jc w:val="center"/>
        </w:pPr>
        <w:r>
          <w:fldChar w:fldCharType="begin"/>
        </w:r>
        <w:r>
          <w:instrText xml:space="preserve"> PAGE   \* MERGEFORMAT </w:instrText>
        </w:r>
        <w:r>
          <w:fldChar w:fldCharType="separate"/>
        </w:r>
        <w:r w:rsidR="00810B2A">
          <w:rPr>
            <w:noProof/>
          </w:rPr>
          <w:t>11</w:t>
        </w:r>
        <w:r>
          <w:rPr>
            <w:noProof/>
          </w:rPr>
          <w:fldChar w:fldCharType="end"/>
        </w:r>
      </w:p>
    </w:sdtContent>
  </w:sdt>
  <w:p w:rsidR="00715437" w:rsidRDefault="00715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437" w:rsidRDefault="00715437" w:rsidP="00C82318">
      <w:r>
        <w:separator/>
      </w:r>
    </w:p>
    <w:p w:rsidR="00715437" w:rsidRDefault="00715437"/>
  </w:footnote>
  <w:footnote w:type="continuationSeparator" w:id="0">
    <w:p w:rsidR="00715437" w:rsidRDefault="00715437" w:rsidP="00C82318">
      <w:r>
        <w:continuationSeparator/>
      </w:r>
    </w:p>
    <w:p w:rsidR="00715437" w:rsidRDefault="00715437"/>
  </w:footnote>
  <w:footnote w:id="1">
    <w:p w:rsidR="00715437" w:rsidRDefault="00715437" w:rsidP="00DD5B00">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Default="00715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Pr="00CF3F4A" w:rsidRDefault="00715437" w:rsidP="00157F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Default="007154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Default="00715437">
    <w:pPr>
      <w:pStyle w:val="Header"/>
    </w:pPr>
  </w:p>
  <w:p w:rsidR="00715437" w:rsidRDefault="007154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7" w:rsidRPr="00FF457E" w:rsidRDefault="00715437">
    <w:pPr>
      <w:pStyle w:val="Header"/>
      <w:rPr>
        <w:b/>
        <w:color w:val="808080" w:themeColor="background1" w:themeShade="80"/>
      </w:rPr>
    </w:pPr>
  </w:p>
  <w:p w:rsidR="00715437" w:rsidRDefault="007154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B7585A32"/>
    <w:lvl w:ilvl="0">
      <w:start w:val="1"/>
      <w:numFmt w:val="bullet"/>
      <w:lvlText w:val=""/>
      <w:lvlJc w:val="left"/>
      <w:pPr>
        <w:tabs>
          <w:tab w:val="num" w:pos="1209"/>
        </w:tabs>
        <w:ind w:left="1209" w:hanging="360"/>
      </w:pPr>
      <w:rPr>
        <w:rFonts w:ascii="Symbol" w:hAnsi="Symbol" w:hint="default"/>
      </w:rPr>
    </w:lvl>
  </w:abstractNum>
  <w:abstractNum w:abstractNumId="1">
    <w:nsid w:val="000B5D00"/>
    <w:multiLevelType w:val="hybridMultilevel"/>
    <w:tmpl w:val="1E029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6">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6">
    <w:nsid w:val="37E103B9"/>
    <w:multiLevelType w:val="hybridMultilevel"/>
    <w:tmpl w:val="17B8505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nsid w:val="3F710D9F"/>
    <w:multiLevelType w:val="hybridMultilevel"/>
    <w:tmpl w:val="A3602B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nsid w:val="4B5C45F7"/>
    <w:multiLevelType w:val="multilevel"/>
    <w:tmpl w:val="C1FA4DE4"/>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3">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5A524D24"/>
    <w:multiLevelType w:val="multilevel"/>
    <w:tmpl w:val="4D4CD622"/>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5B796D1B"/>
    <w:multiLevelType w:val="hybridMultilevel"/>
    <w:tmpl w:val="969ED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1">
    <w:nsid w:val="67655C03"/>
    <w:multiLevelType w:val="hybridMultilevel"/>
    <w:tmpl w:val="3F82D61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3">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nsid w:val="75267E9C"/>
    <w:multiLevelType w:val="hybridMultilevel"/>
    <w:tmpl w:val="46EEAAA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6">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nsid w:val="7A47395E"/>
    <w:multiLevelType w:val="hybridMultilevel"/>
    <w:tmpl w:val="108C08FE"/>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9">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1">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7"/>
  </w:num>
  <w:num w:numId="2">
    <w:abstractNumId w:val="6"/>
  </w:num>
  <w:num w:numId="3">
    <w:abstractNumId w:val="18"/>
  </w:num>
  <w:num w:numId="4">
    <w:abstractNumId w:val="20"/>
  </w:num>
  <w:num w:numId="5">
    <w:abstractNumId w:val="20"/>
  </w:num>
  <w:num w:numId="6">
    <w:abstractNumId w:val="4"/>
  </w:num>
  <w:num w:numId="7">
    <w:abstractNumId w:val="9"/>
  </w:num>
  <w:num w:numId="8">
    <w:abstractNumId w:val="28"/>
  </w:num>
  <w:num w:numId="9">
    <w:abstractNumId w:val="2"/>
  </w:num>
  <w:num w:numId="10">
    <w:abstractNumId w:val="33"/>
  </w:num>
  <w:num w:numId="11">
    <w:abstractNumId w:val="24"/>
  </w:num>
  <w:num w:numId="12">
    <w:abstractNumId w:val="27"/>
  </w:num>
  <w:num w:numId="13">
    <w:abstractNumId w:val="30"/>
  </w:num>
  <w:num w:numId="14">
    <w:abstractNumId w:val="8"/>
  </w:num>
  <w:num w:numId="15">
    <w:abstractNumId w:val="10"/>
  </w:num>
  <w:num w:numId="16">
    <w:abstractNumId w:val="35"/>
  </w:num>
  <w:num w:numId="17">
    <w:abstractNumId w:val="14"/>
  </w:num>
  <w:num w:numId="18">
    <w:abstractNumId w:val="29"/>
  </w:num>
  <w:num w:numId="19">
    <w:abstractNumId w:val="3"/>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1"/>
  </w:num>
  <w:num w:numId="26">
    <w:abstractNumId w:val="23"/>
  </w:num>
  <w:num w:numId="27">
    <w:abstractNumId w:val="3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5"/>
  </w:num>
  <w:num w:numId="32">
    <w:abstractNumId w:val="17"/>
  </w:num>
  <w:num w:numId="33">
    <w:abstractNumId w:val="22"/>
  </w:num>
  <w:num w:numId="34">
    <w:abstractNumId w:val="40"/>
  </w:num>
  <w:num w:numId="35">
    <w:abstractNumId w:val="21"/>
  </w:num>
  <w:num w:numId="36">
    <w:abstractNumId w:val="38"/>
  </w:num>
  <w:num w:numId="37">
    <w:abstractNumId w:val="32"/>
  </w:num>
  <w:num w:numId="38">
    <w:abstractNumId w:val="15"/>
  </w:num>
  <w:num w:numId="39">
    <w:abstractNumId w:val="26"/>
  </w:num>
  <w:num w:numId="40">
    <w:abstractNumId w:val="13"/>
  </w:num>
  <w:num w:numId="41">
    <w:abstractNumId w:val="0"/>
  </w:num>
  <w:num w:numId="42">
    <w:abstractNumId w:val="1"/>
  </w:num>
  <w:num w:numId="43">
    <w:abstractNumId w:val="34"/>
  </w:num>
  <w:num w:numId="44">
    <w:abstractNumId w:val="25"/>
  </w:num>
  <w:num w:numId="45">
    <w:abstractNumId w:val="31"/>
  </w:num>
  <w:num w:numId="46">
    <w:abstractNumId w:val="19"/>
  </w:num>
  <w:num w:numId="47">
    <w:abstractNumId w:val="37"/>
  </w:num>
  <w:num w:numId="4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26A1"/>
    <w:rsid w:val="00030477"/>
    <w:rsid w:val="00030FC3"/>
    <w:rsid w:val="000354F5"/>
    <w:rsid w:val="00036C7D"/>
    <w:rsid w:val="00040181"/>
    <w:rsid w:val="00041373"/>
    <w:rsid w:val="000441E6"/>
    <w:rsid w:val="00044E3F"/>
    <w:rsid w:val="0005222A"/>
    <w:rsid w:val="00053672"/>
    <w:rsid w:val="00053921"/>
    <w:rsid w:val="00060F58"/>
    <w:rsid w:val="0006142B"/>
    <w:rsid w:val="00061A7F"/>
    <w:rsid w:val="000627AD"/>
    <w:rsid w:val="00065291"/>
    <w:rsid w:val="00070790"/>
    <w:rsid w:val="000800FA"/>
    <w:rsid w:val="00081B88"/>
    <w:rsid w:val="000831C0"/>
    <w:rsid w:val="000849EC"/>
    <w:rsid w:val="0009292D"/>
    <w:rsid w:val="00094EC7"/>
    <w:rsid w:val="00097408"/>
    <w:rsid w:val="000974B1"/>
    <w:rsid w:val="000A0DF7"/>
    <w:rsid w:val="000A1883"/>
    <w:rsid w:val="000A5DE3"/>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B52"/>
    <w:rsid w:val="001300B6"/>
    <w:rsid w:val="00131271"/>
    <w:rsid w:val="001338B0"/>
    <w:rsid w:val="0013416E"/>
    <w:rsid w:val="00134E47"/>
    <w:rsid w:val="00136596"/>
    <w:rsid w:val="001375C3"/>
    <w:rsid w:val="0013762C"/>
    <w:rsid w:val="00145A4D"/>
    <w:rsid w:val="001510A1"/>
    <w:rsid w:val="00151149"/>
    <w:rsid w:val="0015212A"/>
    <w:rsid w:val="00152C7C"/>
    <w:rsid w:val="00157F9F"/>
    <w:rsid w:val="00161FF0"/>
    <w:rsid w:val="00162244"/>
    <w:rsid w:val="001664D9"/>
    <w:rsid w:val="0017043F"/>
    <w:rsid w:val="00173842"/>
    <w:rsid w:val="00173E4A"/>
    <w:rsid w:val="00173FAB"/>
    <w:rsid w:val="001746DE"/>
    <w:rsid w:val="00177FB3"/>
    <w:rsid w:val="00180E04"/>
    <w:rsid w:val="00184371"/>
    <w:rsid w:val="00184BFC"/>
    <w:rsid w:val="00190488"/>
    <w:rsid w:val="00193011"/>
    <w:rsid w:val="001930C3"/>
    <w:rsid w:val="00193124"/>
    <w:rsid w:val="00194490"/>
    <w:rsid w:val="001945BD"/>
    <w:rsid w:val="00196352"/>
    <w:rsid w:val="001976ED"/>
    <w:rsid w:val="001A0407"/>
    <w:rsid w:val="001A0E3F"/>
    <w:rsid w:val="001A3B2A"/>
    <w:rsid w:val="001A504D"/>
    <w:rsid w:val="001A5DF8"/>
    <w:rsid w:val="001A786B"/>
    <w:rsid w:val="001B1584"/>
    <w:rsid w:val="001B1C55"/>
    <w:rsid w:val="001B5F4F"/>
    <w:rsid w:val="001B7DF8"/>
    <w:rsid w:val="001C30BB"/>
    <w:rsid w:val="001C4CA0"/>
    <w:rsid w:val="001C747B"/>
    <w:rsid w:val="001D1FC8"/>
    <w:rsid w:val="001D268B"/>
    <w:rsid w:val="001D5911"/>
    <w:rsid w:val="001E27EC"/>
    <w:rsid w:val="001E2EF8"/>
    <w:rsid w:val="001E3579"/>
    <w:rsid w:val="001E5F7F"/>
    <w:rsid w:val="001E7C74"/>
    <w:rsid w:val="001E7D3C"/>
    <w:rsid w:val="001F3352"/>
    <w:rsid w:val="001F37D7"/>
    <w:rsid w:val="00200E60"/>
    <w:rsid w:val="00203270"/>
    <w:rsid w:val="0020513D"/>
    <w:rsid w:val="00205C4E"/>
    <w:rsid w:val="00210AD3"/>
    <w:rsid w:val="002110D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1B31"/>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6E1B"/>
    <w:rsid w:val="00277BB6"/>
    <w:rsid w:val="002820AF"/>
    <w:rsid w:val="0028393A"/>
    <w:rsid w:val="0028662D"/>
    <w:rsid w:val="002869D0"/>
    <w:rsid w:val="00287298"/>
    <w:rsid w:val="00287614"/>
    <w:rsid w:val="00287834"/>
    <w:rsid w:val="00296DC3"/>
    <w:rsid w:val="002A718A"/>
    <w:rsid w:val="002A73DD"/>
    <w:rsid w:val="002B3866"/>
    <w:rsid w:val="002B69E3"/>
    <w:rsid w:val="002B7BAF"/>
    <w:rsid w:val="002C28D2"/>
    <w:rsid w:val="002C56F6"/>
    <w:rsid w:val="002C6631"/>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0D48"/>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51F8"/>
    <w:rsid w:val="00430158"/>
    <w:rsid w:val="004341A9"/>
    <w:rsid w:val="00453A99"/>
    <w:rsid w:val="00454862"/>
    <w:rsid w:val="00456FE6"/>
    <w:rsid w:val="00457D9A"/>
    <w:rsid w:val="00460E3F"/>
    <w:rsid w:val="00461A05"/>
    <w:rsid w:val="00465EF9"/>
    <w:rsid w:val="004723D2"/>
    <w:rsid w:val="004834F5"/>
    <w:rsid w:val="00486F32"/>
    <w:rsid w:val="004900DB"/>
    <w:rsid w:val="00491808"/>
    <w:rsid w:val="00496B53"/>
    <w:rsid w:val="00496E8B"/>
    <w:rsid w:val="004A4107"/>
    <w:rsid w:val="004B02BA"/>
    <w:rsid w:val="004B1A24"/>
    <w:rsid w:val="004B42F9"/>
    <w:rsid w:val="004B6544"/>
    <w:rsid w:val="004C3605"/>
    <w:rsid w:val="004C3B98"/>
    <w:rsid w:val="004C57E2"/>
    <w:rsid w:val="004C58D8"/>
    <w:rsid w:val="004C6212"/>
    <w:rsid w:val="004D1477"/>
    <w:rsid w:val="004D33A7"/>
    <w:rsid w:val="004D6CD8"/>
    <w:rsid w:val="004E1ABD"/>
    <w:rsid w:val="004E243C"/>
    <w:rsid w:val="004E51D1"/>
    <w:rsid w:val="004E71FF"/>
    <w:rsid w:val="004E775C"/>
    <w:rsid w:val="00500507"/>
    <w:rsid w:val="00504FA1"/>
    <w:rsid w:val="00520000"/>
    <w:rsid w:val="005207B7"/>
    <w:rsid w:val="00520E57"/>
    <w:rsid w:val="00523CAB"/>
    <w:rsid w:val="005275E6"/>
    <w:rsid w:val="00527ED7"/>
    <w:rsid w:val="005308BB"/>
    <w:rsid w:val="00533CB2"/>
    <w:rsid w:val="0053546C"/>
    <w:rsid w:val="005376D6"/>
    <w:rsid w:val="00540D10"/>
    <w:rsid w:val="00541CDA"/>
    <w:rsid w:val="00546F72"/>
    <w:rsid w:val="00547486"/>
    <w:rsid w:val="00550EFF"/>
    <w:rsid w:val="00556A0A"/>
    <w:rsid w:val="00557DBA"/>
    <w:rsid w:val="00561F1C"/>
    <w:rsid w:val="00562B64"/>
    <w:rsid w:val="005717F4"/>
    <w:rsid w:val="005731CF"/>
    <w:rsid w:val="00585FA5"/>
    <w:rsid w:val="00586837"/>
    <w:rsid w:val="00590096"/>
    <w:rsid w:val="005957B2"/>
    <w:rsid w:val="005A1CC2"/>
    <w:rsid w:val="005A2E47"/>
    <w:rsid w:val="005A2EA3"/>
    <w:rsid w:val="005A4A9E"/>
    <w:rsid w:val="005A7AD6"/>
    <w:rsid w:val="005B4FA2"/>
    <w:rsid w:val="005B5108"/>
    <w:rsid w:val="005B5515"/>
    <w:rsid w:val="005B73BB"/>
    <w:rsid w:val="005C0281"/>
    <w:rsid w:val="005C16F0"/>
    <w:rsid w:val="005C217A"/>
    <w:rsid w:val="005C423B"/>
    <w:rsid w:val="005C47BD"/>
    <w:rsid w:val="005C55FB"/>
    <w:rsid w:val="005C5973"/>
    <w:rsid w:val="005D52ED"/>
    <w:rsid w:val="005E10B8"/>
    <w:rsid w:val="005E36AE"/>
    <w:rsid w:val="005E4E9D"/>
    <w:rsid w:val="005E663B"/>
    <w:rsid w:val="005E7402"/>
    <w:rsid w:val="005F3F33"/>
    <w:rsid w:val="005F42C5"/>
    <w:rsid w:val="005F4C9F"/>
    <w:rsid w:val="005F6A22"/>
    <w:rsid w:val="005F70E5"/>
    <w:rsid w:val="00600BCE"/>
    <w:rsid w:val="00601937"/>
    <w:rsid w:val="006032F2"/>
    <w:rsid w:val="00603619"/>
    <w:rsid w:val="00603A0D"/>
    <w:rsid w:val="00611712"/>
    <w:rsid w:val="00612B4A"/>
    <w:rsid w:val="00612E62"/>
    <w:rsid w:val="00614227"/>
    <w:rsid w:val="00623252"/>
    <w:rsid w:val="006239FA"/>
    <w:rsid w:val="00631612"/>
    <w:rsid w:val="00637C62"/>
    <w:rsid w:val="00643075"/>
    <w:rsid w:val="0064464B"/>
    <w:rsid w:val="00645517"/>
    <w:rsid w:val="00647144"/>
    <w:rsid w:val="00647ADF"/>
    <w:rsid w:val="0065066E"/>
    <w:rsid w:val="00652792"/>
    <w:rsid w:val="006534CF"/>
    <w:rsid w:val="00653DCC"/>
    <w:rsid w:val="006550B3"/>
    <w:rsid w:val="006705FE"/>
    <w:rsid w:val="0067469F"/>
    <w:rsid w:val="006762F3"/>
    <w:rsid w:val="00680611"/>
    <w:rsid w:val="00680F90"/>
    <w:rsid w:val="006856A7"/>
    <w:rsid w:val="00690AAF"/>
    <w:rsid w:val="0069159F"/>
    <w:rsid w:val="00692B07"/>
    <w:rsid w:val="0069631B"/>
    <w:rsid w:val="00696981"/>
    <w:rsid w:val="006A3BFB"/>
    <w:rsid w:val="006A5E37"/>
    <w:rsid w:val="006A7F8F"/>
    <w:rsid w:val="006B2424"/>
    <w:rsid w:val="006B3EFA"/>
    <w:rsid w:val="006B60E4"/>
    <w:rsid w:val="006B7716"/>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5EA9"/>
    <w:rsid w:val="00706A06"/>
    <w:rsid w:val="0071468F"/>
    <w:rsid w:val="00715437"/>
    <w:rsid w:val="00721F4F"/>
    <w:rsid w:val="00726860"/>
    <w:rsid w:val="00727643"/>
    <w:rsid w:val="007301E9"/>
    <w:rsid w:val="00730C14"/>
    <w:rsid w:val="00731E9D"/>
    <w:rsid w:val="0073556F"/>
    <w:rsid w:val="0074072E"/>
    <w:rsid w:val="00740C0F"/>
    <w:rsid w:val="0074165E"/>
    <w:rsid w:val="00742A8D"/>
    <w:rsid w:val="00746CCF"/>
    <w:rsid w:val="00750F40"/>
    <w:rsid w:val="0075234E"/>
    <w:rsid w:val="007627A0"/>
    <w:rsid w:val="00771E7B"/>
    <w:rsid w:val="007724D1"/>
    <w:rsid w:val="00774F22"/>
    <w:rsid w:val="007813A1"/>
    <w:rsid w:val="007820AD"/>
    <w:rsid w:val="007829E9"/>
    <w:rsid w:val="00785747"/>
    <w:rsid w:val="00785DDF"/>
    <w:rsid w:val="00791CF0"/>
    <w:rsid w:val="0079332F"/>
    <w:rsid w:val="007A6CEC"/>
    <w:rsid w:val="007B061C"/>
    <w:rsid w:val="007B2282"/>
    <w:rsid w:val="007B6206"/>
    <w:rsid w:val="007B74E1"/>
    <w:rsid w:val="007C0526"/>
    <w:rsid w:val="007C198C"/>
    <w:rsid w:val="007C2F2F"/>
    <w:rsid w:val="007C364A"/>
    <w:rsid w:val="007C3AE6"/>
    <w:rsid w:val="007D3F43"/>
    <w:rsid w:val="007D7562"/>
    <w:rsid w:val="007E1147"/>
    <w:rsid w:val="007E124C"/>
    <w:rsid w:val="007E158C"/>
    <w:rsid w:val="007E269D"/>
    <w:rsid w:val="007E379F"/>
    <w:rsid w:val="007F5F02"/>
    <w:rsid w:val="00807AD4"/>
    <w:rsid w:val="00807CF7"/>
    <w:rsid w:val="00810B2A"/>
    <w:rsid w:val="00811FA0"/>
    <w:rsid w:val="00814588"/>
    <w:rsid w:val="00815813"/>
    <w:rsid w:val="00816028"/>
    <w:rsid w:val="00825252"/>
    <w:rsid w:val="00825FC5"/>
    <w:rsid w:val="00830130"/>
    <w:rsid w:val="00830FE1"/>
    <w:rsid w:val="00831204"/>
    <w:rsid w:val="00831521"/>
    <w:rsid w:val="008347D9"/>
    <w:rsid w:val="0083677A"/>
    <w:rsid w:val="00844254"/>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ED2"/>
    <w:rsid w:val="00891FFA"/>
    <w:rsid w:val="0089224B"/>
    <w:rsid w:val="00893339"/>
    <w:rsid w:val="008942ED"/>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26221"/>
    <w:rsid w:val="0092698E"/>
    <w:rsid w:val="00935045"/>
    <w:rsid w:val="00936E37"/>
    <w:rsid w:val="00937CC1"/>
    <w:rsid w:val="009464EA"/>
    <w:rsid w:val="00950EAF"/>
    <w:rsid w:val="00951656"/>
    <w:rsid w:val="00951B7E"/>
    <w:rsid w:val="00952267"/>
    <w:rsid w:val="00953B6C"/>
    <w:rsid w:val="009570B6"/>
    <w:rsid w:val="0095789C"/>
    <w:rsid w:val="009612D8"/>
    <w:rsid w:val="009675E1"/>
    <w:rsid w:val="009719DE"/>
    <w:rsid w:val="00973759"/>
    <w:rsid w:val="0097584E"/>
    <w:rsid w:val="00982C42"/>
    <w:rsid w:val="009839DB"/>
    <w:rsid w:val="009852C1"/>
    <w:rsid w:val="00986ACE"/>
    <w:rsid w:val="00990456"/>
    <w:rsid w:val="00993534"/>
    <w:rsid w:val="009A10C3"/>
    <w:rsid w:val="009A32E3"/>
    <w:rsid w:val="009A3E29"/>
    <w:rsid w:val="009A6B8A"/>
    <w:rsid w:val="009B2F74"/>
    <w:rsid w:val="009B4115"/>
    <w:rsid w:val="009B668C"/>
    <w:rsid w:val="009C3FA9"/>
    <w:rsid w:val="009C4CA5"/>
    <w:rsid w:val="009C51ED"/>
    <w:rsid w:val="009C5E46"/>
    <w:rsid w:val="009D7244"/>
    <w:rsid w:val="009E202C"/>
    <w:rsid w:val="009E25A6"/>
    <w:rsid w:val="009E336B"/>
    <w:rsid w:val="009E4D46"/>
    <w:rsid w:val="009F7574"/>
    <w:rsid w:val="009F79AA"/>
    <w:rsid w:val="00A02231"/>
    <w:rsid w:val="00A04003"/>
    <w:rsid w:val="00A04307"/>
    <w:rsid w:val="00A06163"/>
    <w:rsid w:val="00A109FC"/>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2C0C"/>
    <w:rsid w:val="00A740CF"/>
    <w:rsid w:val="00A7423D"/>
    <w:rsid w:val="00A77338"/>
    <w:rsid w:val="00A80F52"/>
    <w:rsid w:val="00A858C9"/>
    <w:rsid w:val="00A87BE6"/>
    <w:rsid w:val="00A907CD"/>
    <w:rsid w:val="00A917C9"/>
    <w:rsid w:val="00A93755"/>
    <w:rsid w:val="00A93A32"/>
    <w:rsid w:val="00A9537F"/>
    <w:rsid w:val="00AA2C15"/>
    <w:rsid w:val="00AA30F0"/>
    <w:rsid w:val="00AA30F5"/>
    <w:rsid w:val="00AA33BF"/>
    <w:rsid w:val="00AA3CCC"/>
    <w:rsid w:val="00AA402D"/>
    <w:rsid w:val="00AA56AE"/>
    <w:rsid w:val="00AB7050"/>
    <w:rsid w:val="00AC10C4"/>
    <w:rsid w:val="00AC4748"/>
    <w:rsid w:val="00AD0C96"/>
    <w:rsid w:val="00AD14A4"/>
    <w:rsid w:val="00AD3446"/>
    <w:rsid w:val="00AD4DB1"/>
    <w:rsid w:val="00AD6671"/>
    <w:rsid w:val="00AE18C1"/>
    <w:rsid w:val="00AE4ABC"/>
    <w:rsid w:val="00AE6D3B"/>
    <w:rsid w:val="00AE7ABC"/>
    <w:rsid w:val="00AF3925"/>
    <w:rsid w:val="00AF5CF2"/>
    <w:rsid w:val="00AF6234"/>
    <w:rsid w:val="00B00C70"/>
    <w:rsid w:val="00B05C30"/>
    <w:rsid w:val="00B16352"/>
    <w:rsid w:val="00B205C9"/>
    <w:rsid w:val="00B21EE8"/>
    <w:rsid w:val="00B30006"/>
    <w:rsid w:val="00B3011B"/>
    <w:rsid w:val="00B32264"/>
    <w:rsid w:val="00B33066"/>
    <w:rsid w:val="00B33EB1"/>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B3E91"/>
    <w:rsid w:val="00BC2A7C"/>
    <w:rsid w:val="00BC5E86"/>
    <w:rsid w:val="00BD09FF"/>
    <w:rsid w:val="00BD1F42"/>
    <w:rsid w:val="00BD2C5B"/>
    <w:rsid w:val="00BD4B12"/>
    <w:rsid w:val="00BD4D8C"/>
    <w:rsid w:val="00BD53EA"/>
    <w:rsid w:val="00BE0FBA"/>
    <w:rsid w:val="00BE10FD"/>
    <w:rsid w:val="00BE38AA"/>
    <w:rsid w:val="00BE3F9E"/>
    <w:rsid w:val="00BE4069"/>
    <w:rsid w:val="00BE64CF"/>
    <w:rsid w:val="00BE6503"/>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4191F"/>
    <w:rsid w:val="00C41E96"/>
    <w:rsid w:val="00C45A8E"/>
    <w:rsid w:val="00C45B3B"/>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A5F50"/>
    <w:rsid w:val="00CA6C8A"/>
    <w:rsid w:val="00CA7718"/>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0F09"/>
    <w:rsid w:val="00D11BC1"/>
    <w:rsid w:val="00D120B8"/>
    <w:rsid w:val="00D146E1"/>
    <w:rsid w:val="00D21EE5"/>
    <w:rsid w:val="00D27579"/>
    <w:rsid w:val="00D27683"/>
    <w:rsid w:val="00D3206D"/>
    <w:rsid w:val="00D34D10"/>
    <w:rsid w:val="00D353E8"/>
    <w:rsid w:val="00D375C0"/>
    <w:rsid w:val="00D4251F"/>
    <w:rsid w:val="00D433DF"/>
    <w:rsid w:val="00D54C38"/>
    <w:rsid w:val="00D64EA9"/>
    <w:rsid w:val="00D81B67"/>
    <w:rsid w:val="00D900E9"/>
    <w:rsid w:val="00D938CE"/>
    <w:rsid w:val="00D94FBD"/>
    <w:rsid w:val="00D9565A"/>
    <w:rsid w:val="00DA07F4"/>
    <w:rsid w:val="00DA1E23"/>
    <w:rsid w:val="00DA7146"/>
    <w:rsid w:val="00DB5CBF"/>
    <w:rsid w:val="00DB6B79"/>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A66"/>
    <w:rsid w:val="00E20603"/>
    <w:rsid w:val="00E2328D"/>
    <w:rsid w:val="00E23574"/>
    <w:rsid w:val="00E271B9"/>
    <w:rsid w:val="00E27AC2"/>
    <w:rsid w:val="00E30C8C"/>
    <w:rsid w:val="00E335DF"/>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584D"/>
    <w:rsid w:val="00E66D1F"/>
    <w:rsid w:val="00E67223"/>
    <w:rsid w:val="00E6774E"/>
    <w:rsid w:val="00E7163F"/>
    <w:rsid w:val="00E71A83"/>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C54F5"/>
    <w:rsid w:val="00ED0968"/>
    <w:rsid w:val="00ED131F"/>
    <w:rsid w:val="00ED2376"/>
    <w:rsid w:val="00ED3917"/>
    <w:rsid w:val="00EE2543"/>
    <w:rsid w:val="00EE39E2"/>
    <w:rsid w:val="00EE3A88"/>
    <w:rsid w:val="00EE3E27"/>
    <w:rsid w:val="00EE587A"/>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4E6B"/>
    <w:rsid w:val="00F269B7"/>
    <w:rsid w:val="00F3175D"/>
    <w:rsid w:val="00F35E09"/>
    <w:rsid w:val="00F36F19"/>
    <w:rsid w:val="00F36FE2"/>
    <w:rsid w:val="00F370BE"/>
    <w:rsid w:val="00F37808"/>
    <w:rsid w:val="00F4540C"/>
    <w:rsid w:val="00F46F5E"/>
    <w:rsid w:val="00F5045A"/>
    <w:rsid w:val="00F51CAA"/>
    <w:rsid w:val="00F53CC3"/>
    <w:rsid w:val="00F54160"/>
    <w:rsid w:val="00F54543"/>
    <w:rsid w:val="00F6415F"/>
    <w:rsid w:val="00F64183"/>
    <w:rsid w:val="00F70121"/>
    <w:rsid w:val="00F721F3"/>
    <w:rsid w:val="00F72949"/>
    <w:rsid w:val="00F72C04"/>
    <w:rsid w:val="00F73857"/>
    <w:rsid w:val="00F7512A"/>
    <w:rsid w:val="00F76258"/>
    <w:rsid w:val="00F76316"/>
    <w:rsid w:val="00F7649A"/>
    <w:rsid w:val="00F80535"/>
    <w:rsid w:val="00F85C8C"/>
    <w:rsid w:val="00F867C8"/>
    <w:rsid w:val="00F91289"/>
    <w:rsid w:val="00F937B7"/>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E7CDA"/>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72"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72"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612D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F171F-1F18-4BEF-A886-0A2AA229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5819</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nicola.freeman</cp:lastModifiedBy>
  <cp:revision>3</cp:revision>
  <cp:lastPrinted>2015-05-18T12:58:00Z</cp:lastPrinted>
  <dcterms:created xsi:type="dcterms:W3CDTF">2015-07-01T08:02:00Z</dcterms:created>
  <dcterms:modified xsi:type="dcterms:W3CDTF">2015-07-01T08:04:00Z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