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6FA95D2" w:rsidR="00CA4BA2" w:rsidRPr="00EA529F" w:rsidRDefault="00CA4BA2">
            <w:pPr>
              <w:tabs>
                <w:tab w:val="left" w:pos="709"/>
              </w:tabs>
              <w:rPr>
                <w:rFonts w:ascii="Arial" w:hAnsi="Arial" w:cs="Arial"/>
                <w:iCs/>
                <w:sz w:val="18"/>
                <w:szCs w:val="18"/>
                <w:highlight w:val="yellow"/>
              </w:rPr>
            </w:pP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2DF339BB" w:rsidR="00CA4BA2" w:rsidRPr="00EA529F" w:rsidRDefault="00CA4BA2">
            <w:pPr>
              <w:tabs>
                <w:tab w:val="left" w:pos="709"/>
              </w:tabs>
              <w:rPr>
                <w:rFonts w:ascii="Arial" w:hAnsi="Arial" w:cs="Arial"/>
                <w:iCs/>
                <w:sz w:val="18"/>
                <w:szCs w:val="18"/>
                <w:highlight w:val="yellow"/>
              </w:rPr>
            </w:pP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26AD6050" w:rsidR="00CA4BA2" w:rsidRPr="00B46D37" w:rsidRDefault="00CA4BA2">
            <w:pPr>
              <w:tabs>
                <w:tab w:val="left" w:pos="709"/>
              </w:tabs>
              <w:rPr>
                <w:rFonts w:ascii="Arial" w:hAnsi="Arial" w:cs="Arial"/>
                <w:i/>
                <w:sz w:val="18"/>
                <w:szCs w:val="18"/>
                <w:highlight w:val="yellow"/>
              </w:rPr>
            </w:pP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E820ED">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09138CDC"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9A5555">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FABC061" w14:textId="2539BFE1" w:rsidR="007E7D58" w:rsidRDefault="009A5555" w:rsidP="007E7D58">
            <w:pPr>
              <w:tabs>
                <w:tab w:val="left" w:pos="709"/>
              </w:tabs>
              <w:rPr>
                <w:rFonts w:ascii="Arial" w:hAnsi="Arial" w:cs="Arial"/>
                <w:i/>
                <w:iCs/>
                <w:sz w:val="18"/>
                <w:szCs w:val="18"/>
              </w:rPr>
            </w:pPr>
            <w:r>
              <w:rPr>
                <w:rFonts w:ascii="Arial" w:hAnsi="Arial" w:cs="Arial"/>
                <w:sz w:val="18"/>
                <w:szCs w:val="18"/>
              </w:rPr>
              <w:t xml:space="preserve">Provision of a </w:t>
            </w:r>
            <w:proofErr w:type="spellStart"/>
            <w:r>
              <w:rPr>
                <w:rFonts w:ascii="Arial" w:hAnsi="Arial" w:cs="Arial"/>
                <w:sz w:val="18"/>
                <w:szCs w:val="18"/>
              </w:rPr>
              <w:t>dPCR</w:t>
            </w:r>
            <w:proofErr w:type="spellEnd"/>
            <w:r>
              <w:rPr>
                <w:rFonts w:ascii="Arial" w:hAnsi="Arial" w:cs="Arial"/>
                <w:sz w:val="18"/>
                <w:szCs w:val="18"/>
              </w:rPr>
              <w:t xml:space="preserve"> assay</w:t>
            </w:r>
            <w:r w:rsidR="00F94D24">
              <w:rPr>
                <w:rFonts w:ascii="Arial" w:hAnsi="Arial" w:cs="Arial"/>
                <w:sz w:val="18"/>
                <w:szCs w:val="18"/>
              </w:rPr>
              <w:t xml:space="preserve"> and detailed report</w:t>
            </w:r>
            <w:r>
              <w:rPr>
                <w:rFonts w:ascii="Arial" w:hAnsi="Arial" w:cs="Arial"/>
                <w:sz w:val="18"/>
                <w:szCs w:val="18"/>
              </w:rPr>
              <w:t xml:space="preserve"> for American mink (</w:t>
            </w:r>
            <w:proofErr w:type="spellStart"/>
            <w:r w:rsidRPr="009A5555">
              <w:rPr>
                <w:rFonts w:ascii="Arial" w:hAnsi="Arial" w:cs="Arial"/>
                <w:i/>
                <w:iCs/>
                <w:sz w:val="18"/>
                <w:szCs w:val="18"/>
              </w:rPr>
              <w:t>Neovison</w:t>
            </w:r>
            <w:proofErr w:type="spellEnd"/>
            <w:r w:rsidRPr="009A5555">
              <w:rPr>
                <w:rFonts w:ascii="Arial" w:hAnsi="Arial" w:cs="Arial"/>
                <w:i/>
                <w:iCs/>
                <w:sz w:val="18"/>
                <w:szCs w:val="18"/>
              </w:rPr>
              <w:t xml:space="preserve"> vison</w:t>
            </w:r>
            <w:r>
              <w:rPr>
                <w:rFonts w:ascii="Arial" w:hAnsi="Arial" w:cs="Arial"/>
                <w:i/>
                <w:iCs/>
                <w:sz w:val="18"/>
                <w:szCs w:val="18"/>
              </w:rPr>
              <w:t>)</w:t>
            </w:r>
          </w:p>
          <w:p w14:paraId="136AB519" w14:textId="77777777" w:rsidR="009A5555" w:rsidRPr="009A5555" w:rsidRDefault="009A5555" w:rsidP="007E7D58">
            <w:pPr>
              <w:tabs>
                <w:tab w:val="left" w:pos="709"/>
              </w:tabs>
              <w:rPr>
                <w:rFonts w:ascii="Arial" w:hAnsi="Arial" w:cs="Arial"/>
                <w:i/>
                <w:iCs/>
                <w:sz w:val="18"/>
                <w:szCs w:val="18"/>
              </w:rPr>
            </w:pPr>
          </w:p>
          <w:p w14:paraId="3B001BF6"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14:paraId="0E3D8B3B" w14:textId="77777777" w:rsidR="007E7D58" w:rsidRPr="00B46D37" w:rsidRDefault="007E7D58" w:rsidP="007E7D58">
            <w:pPr>
              <w:tabs>
                <w:tab w:val="left" w:pos="709"/>
              </w:tabs>
              <w:rPr>
                <w:rFonts w:ascii="Arial" w:hAnsi="Arial" w:cs="Arial"/>
                <w:sz w:val="18"/>
                <w:szCs w:val="18"/>
              </w:rPr>
            </w:pPr>
          </w:p>
          <w:p w14:paraId="3AB36F9A" w14:textId="77777777" w:rsidR="009A5555" w:rsidRDefault="007E7D58" w:rsidP="007E7D58">
            <w:pPr>
              <w:tabs>
                <w:tab w:val="left" w:pos="709"/>
              </w:tabs>
              <w:rPr>
                <w:rFonts w:ascii="Arial" w:hAnsi="Arial" w:cs="Arial"/>
                <w:sz w:val="18"/>
                <w:szCs w:val="18"/>
              </w:rPr>
            </w:pPr>
            <w:bookmarkStart w:id="0" w:name="_DV_C146"/>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hyperlink r:id="rId14" w:history="1">
              <w:r w:rsidR="009A5555" w:rsidRPr="00DD42FF">
                <w:rPr>
                  <w:rStyle w:val="Hyperlink"/>
                  <w:rFonts w:ascii="Arial" w:hAnsi="Arial" w:cs="Arial"/>
                  <w:sz w:val="18"/>
                  <w:szCs w:val="18"/>
                </w:rPr>
                <w:t>annie.ivison@naturalengland.org.uk</w:t>
              </w:r>
            </w:hyperlink>
            <w:r w:rsidR="009A5555">
              <w:rPr>
                <w:rFonts w:ascii="Arial" w:hAnsi="Arial" w:cs="Arial"/>
                <w:sz w:val="18"/>
                <w:szCs w:val="18"/>
              </w:rPr>
              <w:t xml:space="preserve">  </w:t>
            </w:r>
          </w:p>
          <w:p w14:paraId="6A130842" w14:textId="3D52967B" w:rsidR="007E7D58" w:rsidRPr="00B46D37" w:rsidRDefault="009A5555" w:rsidP="007E7D58">
            <w:pPr>
              <w:tabs>
                <w:tab w:val="left" w:pos="709"/>
              </w:tabs>
              <w:rPr>
                <w:rFonts w:ascii="Arial" w:hAnsi="Arial" w:cs="Arial"/>
                <w:sz w:val="18"/>
                <w:szCs w:val="18"/>
              </w:rPr>
            </w:pPr>
            <w:r>
              <w:rPr>
                <w:rFonts w:ascii="Arial" w:hAnsi="Arial" w:cs="Arial"/>
                <w:sz w:val="18"/>
                <w:szCs w:val="18"/>
              </w:rPr>
              <w:t>Tel no. 07983871082</w:t>
            </w:r>
          </w:p>
          <w:p w14:paraId="7730C429" w14:textId="77777777" w:rsidR="007E7D58" w:rsidRPr="00B46D37" w:rsidRDefault="007E7D58" w:rsidP="007E7D58">
            <w:pPr>
              <w:tabs>
                <w:tab w:val="left" w:pos="709"/>
              </w:tabs>
              <w:rPr>
                <w:rFonts w:ascii="Arial" w:hAnsi="Arial" w:cs="Arial"/>
                <w:sz w:val="18"/>
                <w:szCs w:val="18"/>
              </w:rPr>
            </w:pPr>
          </w:p>
          <w:p w14:paraId="24E24039" w14:textId="150F2158" w:rsidR="007E7D58" w:rsidRPr="00B46D37" w:rsidRDefault="007E7D58" w:rsidP="007E7D58">
            <w:pPr>
              <w:tabs>
                <w:tab w:val="left" w:pos="709"/>
              </w:tabs>
              <w:rPr>
                <w:rFonts w:ascii="Arial" w:hAnsi="Arial" w:cs="Arial"/>
                <w:sz w:val="18"/>
                <w:szCs w:val="18"/>
              </w:rPr>
            </w:pPr>
            <w:bookmarkStart w:id="1" w:name="_DV_C148"/>
            <w:r w:rsidRPr="00CF68EF">
              <w:rPr>
                <w:rFonts w:ascii="Arial" w:hAnsi="Arial" w:cs="Arial"/>
                <w:sz w:val="18"/>
                <w:szCs w:val="18"/>
              </w:rPr>
              <w:t>Date of Delivery</w:t>
            </w:r>
            <w:bookmarkStart w:id="2" w:name="_DV_C149"/>
            <w:bookmarkEnd w:id="1"/>
            <w:r w:rsidRPr="00CF68EF">
              <w:rPr>
                <w:rFonts w:ascii="Arial" w:hAnsi="Arial" w:cs="Arial"/>
                <w:sz w:val="18"/>
                <w:szCs w:val="18"/>
              </w:rPr>
              <w:t>:</w:t>
            </w:r>
            <w:r w:rsidRPr="00B46D37">
              <w:rPr>
                <w:rFonts w:ascii="Arial" w:hAnsi="Arial" w:cs="Arial"/>
                <w:sz w:val="18"/>
                <w:szCs w:val="18"/>
              </w:rPr>
              <w:t xml:space="preserve"> </w:t>
            </w:r>
            <w:bookmarkEnd w:id="2"/>
            <w:r w:rsidR="009A5555">
              <w:rPr>
                <w:rFonts w:ascii="Arial" w:hAnsi="Arial" w:cs="Arial"/>
                <w:sz w:val="18"/>
                <w:szCs w:val="18"/>
              </w:rPr>
              <w:t>28</w:t>
            </w:r>
            <w:r w:rsidR="009A5555" w:rsidRPr="009A5555">
              <w:rPr>
                <w:rFonts w:ascii="Arial" w:hAnsi="Arial" w:cs="Arial"/>
                <w:sz w:val="18"/>
                <w:szCs w:val="18"/>
                <w:vertAlign w:val="superscript"/>
              </w:rPr>
              <w:t>th</w:t>
            </w:r>
            <w:r w:rsidR="009A5555">
              <w:rPr>
                <w:rFonts w:ascii="Arial" w:hAnsi="Arial" w:cs="Arial"/>
                <w:sz w:val="18"/>
                <w:szCs w:val="18"/>
              </w:rPr>
              <w:t xml:space="preserve"> March 2025</w:t>
            </w:r>
          </w:p>
          <w:p w14:paraId="16C690C5" w14:textId="77777777" w:rsidR="007E7D58" w:rsidRPr="00B46D37" w:rsidRDefault="007E7D58" w:rsidP="007E7D58">
            <w:pPr>
              <w:tabs>
                <w:tab w:val="left" w:pos="709"/>
              </w:tabs>
              <w:rPr>
                <w:rFonts w:ascii="Arial" w:hAnsi="Arial" w:cs="Arial"/>
                <w:sz w:val="18"/>
                <w:szCs w:val="18"/>
              </w:rPr>
            </w:pPr>
          </w:p>
          <w:p w14:paraId="5AAC82AC" w14:textId="4A7770CA" w:rsidR="007E7D58" w:rsidRPr="00B46D37" w:rsidRDefault="007E7D58" w:rsidP="007E7D58">
            <w:pPr>
              <w:tabs>
                <w:tab w:val="left" w:pos="709"/>
              </w:tabs>
              <w:rPr>
                <w:rFonts w:ascii="Arial" w:hAnsi="Arial" w:cs="Arial"/>
                <w:sz w:val="18"/>
                <w:szCs w:val="18"/>
              </w:rPr>
            </w:pPr>
            <w:bookmarkStart w:id="3" w:name="_DV_C150"/>
            <w:r w:rsidRPr="004D6A40">
              <w:rPr>
                <w:rFonts w:ascii="Arial" w:hAnsi="Arial" w:cs="Arial"/>
                <w:sz w:val="18"/>
                <w:szCs w:val="18"/>
              </w:rPr>
              <w:t>Packaging Instructions:</w:t>
            </w:r>
            <w:bookmarkStart w:id="4" w:name="_DV_C151"/>
            <w:bookmarkEnd w:id="3"/>
            <w:r w:rsidRPr="004D6A40">
              <w:rPr>
                <w:rFonts w:ascii="Arial" w:hAnsi="Arial" w:cs="Arial"/>
                <w:sz w:val="18"/>
                <w:szCs w:val="18"/>
              </w:rPr>
              <w:t xml:space="preserve"> </w:t>
            </w:r>
            <w:bookmarkEnd w:id="4"/>
            <w:r w:rsidR="009A5555">
              <w:rPr>
                <w:rFonts w:ascii="Arial" w:hAnsi="Arial" w:cs="Arial"/>
                <w:sz w:val="18"/>
                <w:szCs w:val="18"/>
              </w:rPr>
              <w:t>N/A</w:t>
            </w:r>
          </w:p>
          <w:p w14:paraId="271DE7AA" w14:textId="77777777" w:rsidR="007E7D58" w:rsidRPr="00B46D37" w:rsidRDefault="007E7D58" w:rsidP="007E7D58">
            <w:pPr>
              <w:tabs>
                <w:tab w:val="left" w:pos="709"/>
              </w:tabs>
              <w:rPr>
                <w:rFonts w:ascii="Arial" w:hAnsi="Arial" w:cs="Arial"/>
                <w:sz w:val="18"/>
                <w:szCs w:val="18"/>
              </w:rPr>
            </w:pPr>
          </w:p>
          <w:p w14:paraId="414D1CCE" w14:textId="4D591101" w:rsidR="007E7D58" w:rsidRPr="00B46D37" w:rsidRDefault="007E7D58" w:rsidP="007E7D58">
            <w:pPr>
              <w:tabs>
                <w:tab w:val="left" w:pos="709"/>
              </w:tabs>
              <w:rPr>
                <w:rFonts w:ascii="Arial" w:hAnsi="Arial" w:cs="Arial"/>
                <w:i/>
                <w:sz w:val="18"/>
                <w:szCs w:val="18"/>
                <w:highlight w:val="yellow"/>
              </w:rPr>
            </w:pPr>
            <w:bookmarkStart w:id="5" w:name="_DV_C152"/>
            <w:r w:rsidRPr="00B46D37">
              <w:rPr>
                <w:rFonts w:ascii="Arial" w:hAnsi="Arial" w:cs="Arial"/>
                <w:sz w:val="18"/>
                <w:szCs w:val="18"/>
              </w:rPr>
              <w:t xml:space="preserve">Additional Delivery Instructions: </w:t>
            </w:r>
            <w:bookmarkEnd w:id="5"/>
            <w:r w:rsidR="009A5555">
              <w:rPr>
                <w:rFonts w:ascii="Arial" w:hAnsi="Arial" w:cs="Arial"/>
                <w:sz w:val="18"/>
                <w:szCs w:val="18"/>
              </w:rPr>
              <w:t>N/A</w:t>
            </w:r>
          </w:p>
          <w:p w14:paraId="0F560FE1" w14:textId="73ABF36A" w:rsidR="007E7D58" w:rsidRDefault="007E7D58" w:rsidP="007E7D58">
            <w:pPr>
              <w:tabs>
                <w:tab w:val="left" w:pos="709"/>
              </w:tabs>
              <w:rPr>
                <w:rFonts w:ascii="Arial" w:hAnsi="Arial" w:cs="Arial"/>
                <w:b/>
                <w:i/>
                <w:sz w:val="18"/>
                <w:szCs w:val="18"/>
                <w:highlight w:val="cyan"/>
              </w:rPr>
            </w:pPr>
          </w:p>
          <w:p w14:paraId="26A6310E" w14:textId="59B3D7AB" w:rsidR="007E7D58" w:rsidRDefault="007E7D58" w:rsidP="007E7D58">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9A5555" w:rsidRPr="00F94D24">
              <w:rPr>
                <w:rFonts w:ascii="Arial" w:hAnsi="Arial" w:cs="Arial"/>
                <w:bCs/>
                <w:iCs/>
                <w:sz w:val="18"/>
                <w:szCs w:val="18"/>
              </w:rPr>
              <w:t>Usage rights in perpetuity</w:t>
            </w:r>
            <w:r w:rsidR="009A5555">
              <w:rPr>
                <w:rFonts w:ascii="Arial" w:hAnsi="Arial" w:cs="Arial"/>
                <w:b/>
                <w:iCs/>
                <w:sz w:val="18"/>
                <w:szCs w:val="18"/>
              </w:rPr>
              <w:t xml:space="preserve"> </w:t>
            </w:r>
            <w:r w:rsidRPr="003814A0">
              <w:rPr>
                <w:rFonts w:ascii="Arial" w:hAnsi="Arial" w:cs="Arial"/>
                <w:b/>
                <w:i/>
                <w:sz w:val="18"/>
                <w:szCs w:val="18"/>
              </w:rPr>
              <w:t xml:space="preserve"> </w:t>
            </w:r>
          </w:p>
          <w:p w14:paraId="6A40B123" w14:textId="77777777" w:rsidR="007E7D58" w:rsidRPr="00B46D3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2CA08AF8" w:rsidR="004A78E6" w:rsidRPr="007A1EC5" w:rsidRDefault="009A5555" w:rsidP="004A78E6">
            <w:pPr>
              <w:pStyle w:val="pf0"/>
              <w:rPr>
                <w:rFonts w:ascii="Arial" w:hAnsi="Arial" w:cs="Arial"/>
                <w:sz w:val="20"/>
                <w:szCs w:val="20"/>
              </w:rPr>
            </w:pPr>
            <w:bookmarkStart w:id="6" w:name="_DV_C144"/>
            <w:bookmarkStart w:id="7" w:name="_Ref377110627"/>
            <w:r>
              <w:rPr>
                <w:sz w:val="20"/>
                <w:szCs w:val="20"/>
              </w:rPr>
              <w:t xml:space="preserve">Development of a </w:t>
            </w:r>
            <w:proofErr w:type="spellStart"/>
            <w:r>
              <w:rPr>
                <w:sz w:val="20"/>
                <w:szCs w:val="20"/>
              </w:rPr>
              <w:t>dPCR</w:t>
            </w:r>
            <w:proofErr w:type="spellEnd"/>
            <w:r>
              <w:rPr>
                <w:sz w:val="20"/>
                <w:szCs w:val="20"/>
              </w:rPr>
              <w:t xml:space="preserve"> assay for American mink </w:t>
            </w:r>
            <w:r w:rsidRPr="009A5555">
              <w:rPr>
                <w:i/>
                <w:iCs/>
                <w:sz w:val="20"/>
                <w:szCs w:val="20"/>
              </w:rPr>
              <w:t>(</w:t>
            </w:r>
            <w:proofErr w:type="spellStart"/>
            <w:r w:rsidRPr="009A5555">
              <w:rPr>
                <w:i/>
                <w:iCs/>
                <w:sz w:val="20"/>
                <w:szCs w:val="20"/>
              </w:rPr>
              <w:t>Neovison</w:t>
            </w:r>
            <w:proofErr w:type="spellEnd"/>
            <w:r w:rsidRPr="009A5555">
              <w:rPr>
                <w:i/>
                <w:iCs/>
                <w:sz w:val="20"/>
                <w:szCs w:val="20"/>
              </w:rPr>
              <w:t xml:space="preserve"> v</w:t>
            </w:r>
            <w:r w:rsidR="00E820ED">
              <w:rPr>
                <w:i/>
                <w:iCs/>
                <w:sz w:val="20"/>
                <w:szCs w:val="20"/>
              </w:rPr>
              <w:t>i</w:t>
            </w:r>
            <w:r w:rsidRPr="009A5555">
              <w:rPr>
                <w:i/>
                <w:iCs/>
                <w:sz w:val="20"/>
                <w:szCs w:val="20"/>
              </w:rPr>
              <w:t>son)</w:t>
            </w:r>
          </w:p>
          <w:p w14:paraId="6065CEB6" w14:textId="77777777" w:rsidR="007E7D58" w:rsidRPr="00B46D37" w:rsidRDefault="007E7D58" w:rsidP="007E7D58">
            <w:pPr>
              <w:tabs>
                <w:tab w:val="left" w:pos="709"/>
              </w:tabs>
              <w:rPr>
                <w:rFonts w:ascii="Arial" w:hAnsi="Arial" w:cs="Arial"/>
                <w:i/>
                <w:sz w:val="18"/>
                <w:szCs w:val="18"/>
              </w:rPr>
            </w:pPr>
          </w:p>
          <w:p w14:paraId="3CB7F8A7" w14:textId="5042BADD"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bookmarkEnd w:id="6"/>
            <w:bookmarkEnd w:id="7"/>
            <w:r w:rsidR="009A5555">
              <w:rPr>
                <w:rFonts w:ascii="Arial" w:hAnsi="Arial" w:cs="Arial"/>
                <w:sz w:val="18"/>
                <w:szCs w:val="18"/>
              </w:rPr>
              <w:t xml:space="preserve">TBC </w:t>
            </w:r>
          </w:p>
          <w:p w14:paraId="78CB0504" w14:textId="77777777" w:rsidR="007E7D58" w:rsidRPr="00B46D37" w:rsidRDefault="007E7D58" w:rsidP="007E7D58">
            <w:pPr>
              <w:tabs>
                <w:tab w:val="left" w:pos="709"/>
              </w:tabs>
              <w:rPr>
                <w:rFonts w:ascii="Arial" w:hAnsi="Arial" w:cs="Arial"/>
                <w:i/>
                <w:sz w:val="18"/>
                <w:szCs w:val="18"/>
              </w:rPr>
            </w:pPr>
          </w:p>
          <w:p w14:paraId="563AD7DF" w14:textId="31F33D08" w:rsidR="007E7D58" w:rsidRPr="009A5555"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F94D24">
              <w:rPr>
                <w:rFonts w:ascii="Arial" w:hAnsi="Arial" w:cs="Arial"/>
                <w:sz w:val="18"/>
                <w:szCs w:val="18"/>
              </w:rPr>
              <w:t>28</w:t>
            </w:r>
            <w:r w:rsidR="009A5555" w:rsidRPr="009A5555">
              <w:rPr>
                <w:rFonts w:ascii="Arial" w:hAnsi="Arial" w:cs="Arial"/>
                <w:sz w:val="18"/>
                <w:szCs w:val="18"/>
                <w:vertAlign w:val="superscript"/>
              </w:rPr>
              <w:t>th</w:t>
            </w:r>
            <w:r w:rsidR="009A5555">
              <w:rPr>
                <w:rFonts w:ascii="Arial" w:hAnsi="Arial" w:cs="Arial"/>
                <w:sz w:val="18"/>
                <w:szCs w:val="18"/>
              </w:rPr>
              <w:t xml:space="preserve"> September 2024 – 28</w:t>
            </w:r>
            <w:r w:rsidR="009A5555" w:rsidRPr="009A5555">
              <w:rPr>
                <w:rFonts w:ascii="Arial" w:hAnsi="Arial" w:cs="Arial"/>
                <w:sz w:val="18"/>
                <w:szCs w:val="18"/>
                <w:vertAlign w:val="superscript"/>
              </w:rPr>
              <w:t>th</w:t>
            </w:r>
            <w:r w:rsidR="009A5555">
              <w:rPr>
                <w:rFonts w:ascii="Arial" w:hAnsi="Arial" w:cs="Arial"/>
                <w:sz w:val="18"/>
                <w:szCs w:val="18"/>
              </w:rPr>
              <w:t xml:space="preserve"> March 2025</w:t>
            </w: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416C4021" w:rsidR="003E0478" w:rsidRPr="009A5555" w:rsidRDefault="00476FF8" w:rsidP="003E0478">
            <w:pPr>
              <w:tabs>
                <w:tab w:val="left" w:pos="709"/>
              </w:tabs>
              <w:rPr>
                <w:rFonts w:ascii="Arial" w:hAnsi="Arial" w:cs="Arial"/>
                <w:b/>
                <w:iCs/>
                <w:sz w:val="18"/>
                <w:szCs w:val="18"/>
                <w:highlight w:val="cyan"/>
              </w:rPr>
            </w:pPr>
            <w:r>
              <w:rPr>
                <w:rFonts w:ascii="Arial" w:eastAsia="Arial" w:hAnsi="Arial" w:cs="Arial"/>
                <w:iCs/>
                <w:sz w:val="18"/>
                <w:szCs w:val="18"/>
              </w:rPr>
              <w:t>28</w:t>
            </w:r>
            <w:r w:rsidRPr="00476FF8">
              <w:rPr>
                <w:rFonts w:ascii="Arial" w:eastAsia="Arial" w:hAnsi="Arial" w:cs="Arial"/>
                <w:iCs/>
                <w:sz w:val="18"/>
                <w:szCs w:val="18"/>
                <w:vertAlign w:val="superscript"/>
              </w:rPr>
              <w:t>th</w:t>
            </w:r>
            <w:r>
              <w:rPr>
                <w:rFonts w:ascii="Arial" w:eastAsia="Arial" w:hAnsi="Arial" w:cs="Arial"/>
                <w:iCs/>
                <w:sz w:val="18"/>
                <w:szCs w:val="18"/>
              </w:rPr>
              <w:t xml:space="preserve"> </w:t>
            </w:r>
            <w:r w:rsidR="009A5555" w:rsidRPr="009A5555">
              <w:rPr>
                <w:rFonts w:ascii="Arial" w:eastAsia="Arial" w:hAnsi="Arial" w:cs="Arial"/>
                <w:iCs/>
                <w:sz w:val="18"/>
                <w:szCs w:val="18"/>
              </w:rPr>
              <w:t>September 2024</w:t>
            </w:r>
            <w:r w:rsidR="003E0478" w:rsidRPr="009A5555">
              <w:rPr>
                <w:rFonts w:ascii="Arial" w:eastAsia="Arial" w:hAnsi="Arial" w:cs="Arial"/>
                <w:iCs/>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Expiry Date</w:t>
            </w:r>
          </w:p>
        </w:tc>
        <w:tc>
          <w:tcPr>
            <w:tcW w:w="3587" w:type="pct"/>
            <w:gridSpan w:val="2"/>
            <w:shd w:val="clear" w:color="auto" w:fill="auto"/>
          </w:tcPr>
          <w:p w14:paraId="37D293FB" w14:textId="0B4AE28C" w:rsidR="007E7D58" w:rsidRPr="009A5555" w:rsidRDefault="009A5555" w:rsidP="007E7D58">
            <w:pPr>
              <w:spacing w:before="120" w:after="120"/>
              <w:ind w:right="936"/>
              <w:rPr>
                <w:rFonts w:ascii="Arial" w:eastAsia="Arial" w:hAnsi="Arial" w:cs="Arial"/>
                <w:iCs/>
                <w:sz w:val="18"/>
                <w:szCs w:val="18"/>
              </w:rPr>
            </w:pPr>
            <w:r w:rsidRPr="009A5555">
              <w:rPr>
                <w:rFonts w:ascii="Arial" w:eastAsia="Arial" w:hAnsi="Arial" w:cs="Arial"/>
                <w:iCs/>
                <w:sz w:val="18"/>
                <w:szCs w:val="18"/>
              </w:rPr>
              <w:t>28</w:t>
            </w:r>
            <w:r w:rsidRPr="009A5555">
              <w:rPr>
                <w:rFonts w:ascii="Arial" w:eastAsia="Arial" w:hAnsi="Arial" w:cs="Arial"/>
                <w:iCs/>
                <w:sz w:val="18"/>
                <w:szCs w:val="18"/>
                <w:vertAlign w:val="superscript"/>
              </w:rPr>
              <w:t>th</w:t>
            </w:r>
            <w:r w:rsidRPr="009A5555">
              <w:rPr>
                <w:rFonts w:ascii="Arial" w:eastAsia="Arial" w:hAnsi="Arial" w:cs="Arial"/>
                <w:iCs/>
                <w:sz w:val="18"/>
                <w:szCs w:val="18"/>
              </w:rPr>
              <w:t xml:space="preserve"> March 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99635469"/>
            <w:bookmarkStart w:id="9" w:name="_Ref99635697"/>
            <w:bookmarkStart w:id="10" w:name="_Ref111474589"/>
            <w:r w:rsidRPr="006C1774">
              <w:rPr>
                <w:rFonts w:ascii="Arial" w:hAnsi="Arial" w:cs="Arial"/>
                <w:b/>
                <w:sz w:val="18"/>
                <w:szCs w:val="18"/>
              </w:rPr>
              <w:t>Charges</w:t>
            </w:r>
            <w:bookmarkEnd w:id="8"/>
          </w:p>
        </w:tc>
        <w:tc>
          <w:tcPr>
            <w:tcW w:w="3587" w:type="pct"/>
            <w:gridSpan w:val="2"/>
            <w:shd w:val="clear" w:color="auto" w:fill="auto"/>
          </w:tcPr>
          <w:p w14:paraId="1A7D4E04" w14:textId="7EFB20D8" w:rsidR="007E7D58" w:rsidRPr="00B46D37" w:rsidRDefault="007E7D58" w:rsidP="007E7D58">
            <w:pPr>
              <w:pStyle w:val="Header"/>
              <w:tabs>
                <w:tab w:val="left" w:pos="709"/>
              </w:tabs>
              <w:ind w:right="3"/>
              <w:rPr>
                <w:rFonts w:ascii="Arial" w:hAnsi="Arial" w:cs="Arial"/>
                <w:sz w:val="18"/>
                <w:szCs w:val="18"/>
              </w:rPr>
            </w:pPr>
            <w:bookmarkStart w:id="11" w:name="_Ref377110658"/>
            <w:r w:rsidRPr="00B46D37">
              <w:rPr>
                <w:rFonts w:ascii="Arial" w:hAnsi="Arial" w:cs="Arial"/>
                <w:sz w:val="18"/>
                <w:szCs w:val="18"/>
              </w:rPr>
              <w:t xml:space="preserve">The Charges for the </w:t>
            </w:r>
            <w:bookmarkStart w:id="12" w:name="_DV_C154"/>
            <w:r>
              <w:rPr>
                <w:rFonts w:ascii="Arial" w:hAnsi="Arial" w:cs="Arial"/>
                <w:sz w:val="18"/>
                <w:szCs w:val="18"/>
              </w:rPr>
              <w:t>Goods and/or Services</w:t>
            </w:r>
            <w:r w:rsidRPr="00B46D37">
              <w:rPr>
                <w:rFonts w:ascii="Arial" w:hAnsi="Arial" w:cs="Arial"/>
                <w:sz w:val="18"/>
                <w:szCs w:val="18"/>
              </w:rPr>
              <w:t xml:space="preserve"> </w:t>
            </w:r>
            <w:bookmarkEnd w:id="12"/>
            <w:r w:rsidRPr="00B46D37">
              <w:rPr>
                <w:rFonts w:ascii="Arial" w:hAnsi="Arial" w:cs="Arial"/>
                <w:sz w:val="18"/>
                <w:szCs w:val="18"/>
              </w:rPr>
              <w:t>shall be as set out</w:t>
            </w:r>
            <w:bookmarkEnd w:id="11"/>
            <w:r w:rsidR="005B638C">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482"/>
            <w:r w:rsidRPr="00B46D37">
              <w:rPr>
                <w:rFonts w:ascii="Arial" w:hAnsi="Arial" w:cs="Arial"/>
                <w:b/>
                <w:sz w:val="18"/>
                <w:szCs w:val="18"/>
              </w:rPr>
              <w:t>Payment</w:t>
            </w:r>
            <w:bookmarkEnd w:id="13"/>
          </w:p>
        </w:tc>
        <w:tc>
          <w:tcPr>
            <w:tcW w:w="3587" w:type="pct"/>
            <w:gridSpan w:val="2"/>
            <w:shd w:val="clear" w:color="auto" w:fill="auto"/>
          </w:tcPr>
          <w:p w14:paraId="01A96761" w14:textId="3490FA5C" w:rsidR="007E7D58" w:rsidRDefault="007E7D58" w:rsidP="007E7D58">
            <w:pPr>
              <w:pStyle w:val="Header"/>
              <w:tabs>
                <w:tab w:val="left" w:pos="709"/>
              </w:tabs>
              <w:rPr>
                <w:rFonts w:ascii="Arial" w:hAnsi="Arial" w:cs="Arial"/>
                <w:b/>
                <w:i/>
                <w:iCs/>
                <w:sz w:val="18"/>
                <w:szCs w:val="18"/>
              </w:rPr>
            </w:pPr>
            <w:bookmarkStart w:id="14" w:name="_DV_M104"/>
            <w:bookmarkStart w:id="15" w:name="_DV_M110"/>
            <w:bookmarkEnd w:id="14"/>
            <w:bookmarkEnd w:id="15"/>
            <w:r w:rsidRPr="00B46D37">
              <w:rPr>
                <w:rFonts w:ascii="Arial" w:hAnsi="Arial" w:cs="Arial"/>
                <w:sz w:val="18"/>
                <w:szCs w:val="18"/>
              </w:rPr>
              <w:t xml:space="preserve">Payments will be made to </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5B638C">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12437796" w14:textId="29FC3210" w:rsidR="00622BBD" w:rsidRPr="009A5555" w:rsidRDefault="009179C1" w:rsidP="00622BBD">
            <w:pPr>
              <w:pStyle w:val="Header"/>
              <w:tabs>
                <w:tab w:val="left" w:pos="709"/>
              </w:tabs>
              <w:rPr>
                <w:rFonts w:ascii="Arial" w:hAnsi="Arial" w:cs="Arial"/>
                <w:sz w:val="18"/>
                <w:szCs w:val="18"/>
              </w:rPr>
            </w:pPr>
            <w:r w:rsidRPr="009A5555">
              <w:rPr>
                <w:rFonts w:ascii="Arial" w:hAnsi="Arial" w:cs="Arial"/>
                <w:sz w:val="18"/>
                <w:szCs w:val="18"/>
              </w:rPr>
              <w:t>A sum equal to £5,000,000</w:t>
            </w:r>
          </w:p>
          <w:p w14:paraId="4ADD73A1" w14:textId="77777777" w:rsidR="00622BBD" w:rsidRPr="009A5555" w:rsidRDefault="00622BBD" w:rsidP="00622BBD">
            <w:pPr>
              <w:pStyle w:val="BodyText3"/>
              <w:keepNext/>
              <w:tabs>
                <w:tab w:val="left" w:pos="709"/>
              </w:tabs>
              <w:spacing w:after="0" w:line="240" w:lineRule="auto"/>
              <w:rPr>
                <w:rFonts w:ascii="Arial" w:hAnsi="Arial" w:cs="Arial"/>
                <w:b/>
                <w:i/>
                <w:iCs/>
                <w:sz w:val="18"/>
                <w:szCs w:val="18"/>
              </w:rPr>
            </w:pPr>
          </w:p>
          <w:p w14:paraId="58CD9BD9" w14:textId="77777777" w:rsidR="00DD176F" w:rsidRPr="009A5555"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5B638C">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6C7D88F0" w14:textId="77777777" w:rsidR="007E7D58" w:rsidRPr="00B46D37" w:rsidRDefault="007E7D58" w:rsidP="005B638C">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9"/>
            <w:r w:rsidRPr="006C1774">
              <w:rPr>
                <w:rFonts w:ascii="Arial" w:hAnsi="Arial" w:cs="Arial"/>
                <w:b/>
                <w:sz w:val="18"/>
                <w:szCs w:val="18"/>
              </w:rPr>
              <w:t xml:space="preserve"> (“IPR”) Clauses</w:t>
            </w:r>
            <w:bookmarkEnd w:id="10"/>
          </w:p>
        </w:tc>
        <w:tc>
          <w:tcPr>
            <w:tcW w:w="3587" w:type="pct"/>
            <w:gridSpan w:val="2"/>
            <w:shd w:val="clear" w:color="auto" w:fill="auto"/>
          </w:tcPr>
          <w:p w14:paraId="1CDDAEEC" w14:textId="2A05DCF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proofErr w:type="gramStart"/>
            <w:r w:rsidRPr="009A5555">
              <w:rPr>
                <w:rFonts w:ascii="Arial" w:hAnsi="Arial" w:cs="Arial"/>
                <w:b/>
                <w:iCs/>
                <w:sz w:val="18"/>
                <w:szCs w:val="18"/>
              </w:rPr>
              <w:t>B</w:t>
            </w:r>
            <w:r w:rsidR="0062693F" w:rsidRPr="009A5555">
              <w:rPr>
                <w:rFonts w:ascii="Arial" w:hAnsi="Arial" w:cs="Arial"/>
                <w:b/>
                <w:iCs/>
                <w:sz w:val="18"/>
                <w:szCs w:val="18"/>
              </w:rPr>
              <w:t>(</w:t>
            </w:r>
            <w:proofErr w:type="gramEnd"/>
            <w:r w:rsidR="0062693F" w:rsidRPr="009A5555">
              <w:rPr>
                <w:rFonts w:ascii="Arial" w:hAnsi="Arial" w:cs="Arial"/>
                <w:b/>
                <w:iCs/>
                <w:sz w:val="18"/>
                <w:szCs w:val="18"/>
              </w:rPr>
              <w:t>Default Option</w:t>
            </w:r>
            <w:r w:rsidR="00F94D24">
              <w:rPr>
                <w:rFonts w:ascii="Arial" w:hAnsi="Arial" w:cs="Arial"/>
                <w:b/>
                <w:iCs/>
                <w:sz w:val="18"/>
                <w:szCs w:val="18"/>
              </w:rPr>
              <w:t>)</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0B7C5B3F"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  </w:t>
            </w:r>
          </w:p>
          <w:p w14:paraId="3CC538F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Option A: Customer owns all New IPR with non-exclusive Contractor rights to all New IPR including for the purpose of exploitation of such New IPR. </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1B97B30D" w:rsidR="007E7D58" w:rsidRPr="00775FBA" w:rsidRDefault="0062693F" w:rsidP="007E7D58">
            <w:pPr>
              <w:pStyle w:val="Header"/>
              <w:tabs>
                <w:tab w:val="left" w:pos="709"/>
              </w:tabs>
              <w:ind w:right="3"/>
              <w:rPr>
                <w:rFonts w:ascii="Arial" w:hAnsi="Arial" w:cs="Arial"/>
                <w:b/>
                <w:i/>
                <w:sz w:val="18"/>
                <w:szCs w:val="18"/>
                <w:highlight w:val="cyan"/>
              </w:rPr>
            </w:pPr>
            <w:r>
              <w:rPr>
                <w:rFonts w:ascii="Arial" w:hAnsi="Arial" w:cs="Arial"/>
                <w:b/>
                <w:i/>
                <w:sz w:val="18"/>
                <w:szCs w:val="18"/>
                <w:highlight w:val="cyan"/>
              </w:rPr>
              <w:t xml:space="preserve">Default Option- </w:t>
            </w:r>
            <w:r w:rsidR="007E7D58" w:rsidRPr="00775FBA">
              <w:rPr>
                <w:rFonts w:ascii="Arial" w:hAnsi="Arial" w:cs="Arial"/>
                <w:b/>
                <w:i/>
                <w:sz w:val="18"/>
                <w:szCs w:val="18"/>
                <w:highlight w:val="cyan"/>
              </w:rPr>
              <w:t xml:space="preserve">Option B: Customer ownership of all New IPR with limited Contractor rights to all New IPR </w:t>
            </w:r>
            <w:proofErr w:type="gramStart"/>
            <w:r w:rsidR="007E7D58" w:rsidRPr="00775FBA">
              <w:rPr>
                <w:rFonts w:ascii="Arial" w:hAnsi="Arial" w:cs="Arial"/>
                <w:b/>
                <w:i/>
                <w:sz w:val="18"/>
                <w:szCs w:val="18"/>
                <w:highlight w:val="cyan"/>
              </w:rPr>
              <w:t>in order to</w:t>
            </w:r>
            <w:proofErr w:type="gramEnd"/>
            <w:r w:rsidR="007E7D58" w:rsidRPr="00775FBA">
              <w:rPr>
                <w:rFonts w:ascii="Arial" w:hAnsi="Arial" w:cs="Arial"/>
                <w:b/>
                <w:i/>
                <w:sz w:val="18"/>
                <w:szCs w:val="18"/>
                <w:highlight w:val="cyan"/>
              </w:rPr>
              <w:t xml:space="preserve">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583CC14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C: Contractor ownership of all New IPR with Customer rights for the current contract and broader public sector functions.</w:t>
            </w:r>
          </w:p>
          <w:p w14:paraId="2DD06816"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2F35E7EA"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A should be considered for use in situations where the Customer should retain ownership of any New IPR but where the Contractor should be able to use any New IPR developed. In this situation, the Customer will not look to publish the New IPR under Open Licence.</w:t>
            </w: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reflects a more standard position on ownership of IPRs</w:t>
            </w:r>
            <w:r w:rsidR="00C110C4">
              <w:rPr>
                <w:rFonts w:ascii="Arial" w:hAnsi="Arial" w:cs="Arial"/>
                <w:b/>
                <w:i/>
                <w:sz w:val="18"/>
                <w:szCs w:val="18"/>
                <w:highlight w:val="cyan"/>
              </w:rPr>
              <w:t xml:space="preserve"> and </w:t>
            </w:r>
            <w:r w:rsidR="000465D8">
              <w:rPr>
                <w:rFonts w:ascii="Arial" w:hAnsi="Arial" w:cs="Arial"/>
                <w:b/>
                <w:i/>
                <w:sz w:val="18"/>
                <w:szCs w:val="18"/>
                <w:highlight w:val="cyan"/>
              </w:rPr>
              <w:t>should be considered the default option</w:t>
            </w:r>
            <w:r w:rsidRPr="00775FBA">
              <w:rPr>
                <w:rFonts w:ascii="Arial" w:hAnsi="Arial" w:cs="Arial"/>
                <w:b/>
                <w:i/>
                <w:sz w:val="18"/>
                <w:szCs w:val="18"/>
                <w:highlight w:val="cyan"/>
              </w:rPr>
              <w:t xml:space="preserve">. This should be </w:t>
            </w:r>
            <w:r w:rsidR="000465D8">
              <w:rPr>
                <w:rFonts w:ascii="Arial" w:hAnsi="Arial" w:cs="Arial"/>
                <w:b/>
                <w:i/>
                <w:sz w:val="18"/>
                <w:szCs w:val="18"/>
                <w:highlight w:val="cyan"/>
              </w:rPr>
              <w:t>used</w:t>
            </w:r>
            <w:r w:rsidRPr="00775FBA">
              <w:rPr>
                <w:rFonts w:ascii="Arial" w:hAnsi="Arial" w:cs="Arial"/>
                <w:b/>
                <w:i/>
                <w:sz w:val="18"/>
                <w:szCs w:val="18"/>
                <w:highlight w:val="cyan"/>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F89B670" w14:textId="6F5838BF"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C should be considered for use where (a) there is no clear benefit in the Customer owning the New IPR, or (b) where any New IPR created cannot easily be separated from the Contractor’s Existing IPR (e.g. Software As A Service (“SAAS”)</w:t>
            </w:r>
            <w:r w:rsidR="000465D8">
              <w:rPr>
                <w:rFonts w:ascii="Arial" w:hAnsi="Arial" w:cs="Arial"/>
                <w:b/>
                <w:i/>
                <w:sz w:val="18"/>
                <w:szCs w:val="18"/>
                <w:highlight w:val="cyan"/>
              </w:rPr>
              <w:t>)</w:t>
            </w:r>
            <w:r w:rsidRPr="00775FBA">
              <w:rPr>
                <w:rFonts w:ascii="Arial" w:hAnsi="Arial" w:cs="Arial"/>
                <w:b/>
                <w:i/>
                <w:sz w:val="18"/>
                <w:szCs w:val="18"/>
                <w:highlight w:val="cyan"/>
              </w:rPr>
              <w:t xml:space="preserve"> and should be used where the licence to the Customer for the IPR in question should extend to cover other government contracts and services, which may include contracts and services not yet awarded, and broader public sector functions.</w:t>
            </w:r>
          </w:p>
          <w:p w14:paraId="1128E997"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77777777" w:rsidR="007E7D58" w:rsidRPr="00B46D37" w:rsidRDefault="007E7D58" w:rsidP="007E7D58">
            <w:pPr>
              <w:pStyle w:val="Header"/>
              <w:tabs>
                <w:tab w:val="left" w:pos="709"/>
              </w:tabs>
              <w:ind w:right="3"/>
              <w:rPr>
                <w:rFonts w:ascii="Arial" w:hAnsi="Arial" w:cs="Arial"/>
                <w:b/>
                <w:i/>
                <w:sz w:val="18"/>
                <w:szCs w:val="18"/>
                <w:highlight w:val="yellow"/>
              </w:rPr>
            </w:pPr>
            <w:r w:rsidRPr="00775FBA">
              <w:rPr>
                <w:rFonts w:ascii="Arial" w:hAnsi="Arial" w:cs="Arial"/>
                <w:b/>
                <w:i/>
                <w:sz w:val="18"/>
                <w:szCs w:val="18"/>
                <w:highlight w:val="cyan"/>
              </w:rPr>
              <w:t xml:space="preserve">When publishing as open source, Customers should be mindful that the terms of any input licence (that is the </w:t>
            </w:r>
            <w:proofErr w:type="gramStart"/>
            <w:r w:rsidRPr="00775FBA">
              <w:rPr>
                <w:rFonts w:ascii="Arial" w:hAnsi="Arial" w:cs="Arial"/>
                <w:b/>
                <w:i/>
                <w:sz w:val="18"/>
                <w:szCs w:val="18"/>
                <w:highlight w:val="cyan"/>
              </w:rPr>
              <w:t>open source</w:t>
            </w:r>
            <w:proofErr w:type="gramEnd"/>
            <w:r w:rsidRPr="00775FBA">
              <w:rPr>
                <w:rFonts w:ascii="Arial" w:hAnsi="Arial" w:cs="Arial"/>
                <w:b/>
                <w:i/>
                <w:sz w:val="18"/>
                <w:szCs w:val="18"/>
                <w:highlight w:val="cyan"/>
              </w:rPr>
              <w:t xml:space="preserve"> licence for any open source intellectual property which has been used to create the New IPR) aligns with the ‘output licence’ (that is, the licence under which the Customer will publish the New IPR as open source).]</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74711"/>
            <w:r w:rsidRPr="00060369">
              <w:rPr>
                <w:rFonts w:ascii="Arial" w:eastAsia="Arial" w:hAnsi="Arial" w:cs="Arial"/>
                <w:b/>
                <w:color w:val="000000"/>
                <w:sz w:val="18"/>
                <w:szCs w:val="18"/>
              </w:rPr>
              <w:t>Progress Meetings and Progress Reports</w:t>
            </w:r>
            <w:bookmarkEnd w:id="16"/>
          </w:p>
        </w:tc>
        <w:tc>
          <w:tcPr>
            <w:tcW w:w="3587" w:type="pct"/>
            <w:gridSpan w:val="2"/>
            <w:shd w:val="clear" w:color="auto" w:fill="auto"/>
          </w:tcPr>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6280E3A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5B638C">
              <w:rPr>
                <w:rFonts w:ascii="Arial" w:eastAsia="Arial" w:hAnsi="Arial" w:cs="Arial"/>
                <w:color w:val="000000"/>
                <w:sz w:val="18"/>
                <w:szCs w:val="18"/>
              </w:rPr>
              <w:t>[ </w:t>
            </w:r>
            <w:proofErr w:type="gramStart"/>
            <w:r w:rsidRPr="005B638C">
              <w:rPr>
                <w:rFonts w:ascii="Arial" w:eastAsia="Arial" w:hAnsi="Arial" w:cs="Arial"/>
                <w:color w:val="000000"/>
                <w:sz w:val="18"/>
                <w:szCs w:val="18"/>
              </w:rPr>
              <w:t>  ]</w:t>
            </w:r>
            <w:proofErr w:type="gramEnd"/>
          </w:p>
          <w:p w14:paraId="136953E5" w14:textId="4EDB2F23"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F94D24">
              <w:rPr>
                <w:rFonts w:ascii="Arial" w:eastAsia="Arial" w:hAnsi="Arial" w:cs="Arial"/>
                <w:color w:val="000000"/>
                <w:sz w:val="18"/>
                <w:szCs w:val="18"/>
              </w:rPr>
              <w:t xml:space="preserve">[ </w:t>
            </w:r>
            <w:proofErr w:type="gramStart"/>
            <w:r w:rsidR="00F94D24">
              <w:rPr>
                <w:rFonts w:ascii="Arial" w:eastAsia="Arial" w:hAnsi="Arial" w:cs="Arial"/>
                <w:color w:val="000000"/>
                <w:sz w:val="18"/>
                <w:szCs w:val="18"/>
              </w:rPr>
              <w:t xml:space="preserve">  ]</w:t>
            </w:r>
            <w:proofErr w:type="gramEnd"/>
          </w:p>
          <w:p w14:paraId="4AC4472A" w14:textId="5128AD8F"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52"/>
              <w:gridCol w:w="1913"/>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327D5792" w:rsidR="007E7D58" w:rsidRPr="005B638C" w:rsidRDefault="005B638C" w:rsidP="007E7D58">
                  <w:pPr>
                    <w:pStyle w:val="Header"/>
                    <w:tabs>
                      <w:tab w:val="left" w:pos="709"/>
                    </w:tabs>
                    <w:ind w:right="3"/>
                    <w:rPr>
                      <w:rFonts w:ascii="Arial" w:hAnsi="Arial" w:cs="Arial"/>
                      <w:bCs/>
                      <w:iCs/>
                      <w:sz w:val="18"/>
                      <w:szCs w:val="18"/>
                    </w:rPr>
                  </w:pPr>
                  <w:r w:rsidRPr="005B638C">
                    <w:rPr>
                      <w:rFonts w:ascii="Arial" w:hAnsi="Arial" w:cs="Arial"/>
                      <w:bCs/>
                      <w:iCs/>
                      <w:sz w:val="18"/>
                      <w:szCs w:val="18"/>
                    </w:rPr>
                    <w:lastRenderedPageBreak/>
                    <w:t>Natural Englan</w:t>
                  </w:r>
                  <w:r>
                    <w:rPr>
                      <w:rFonts w:ascii="Arial" w:hAnsi="Arial" w:cs="Arial"/>
                      <w:bCs/>
                      <w:iCs/>
                      <w:sz w:val="18"/>
                      <w:szCs w:val="18"/>
                    </w:rPr>
                    <w:t>d</w:t>
                  </w:r>
                  <w:r w:rsidR="007E7D58" w:rsidRPr="005B638C">
                    <w:rPr>
                      <w:rFonts w:ascii="Arial" w:hAnsi="Arial" w:cs="Arial"/>
                      <w:bCs/>
                      <w:iCs/>
                      <w:sz w:val="18"/>
                      <w:szCs w:val="18"/>
                      <w:highlight w:val="yellow"/>
                    </w:rPr>
                    <w:br/>
                  </w:r>
                </w:p>
                <w:p w14:paraId="48D4A1DA" w14:textId="2EDEBC9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5B638C">
                    <w:rPr>
                      <w:rFonts w:ascii="Arial" w:hAnsi="Arial" w:cs="Arial"/>
                      <w:sz w:val="18"/>
                      <w:szCs w:val="18"/>
                    </w:rPr>
                    <w:t xml:space="preserve">Annie Ivison </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03975844"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r w:rsidR="005B638C">
                    <w:rPr>
                      <w:rFonts w:ascii="Arial" w:hAnsi="Arial" w:cs="Arial"/>
                      <w:sz w:val="18"/>
                      <w:szCs w:val="18"/>
                    </w:rPr>
                    <w:t xml:space="preserve"> annie.ivison@naturalengland.org.uk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06B138C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6B1E5BB6"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
              </w:tc>
            </w:tr>
            <w:tr w:rsidR="00E567F8" w14:paraId="63E3831B" w14:textId="77777777" w:rsidTr="00E767AE">
              <w:trPr>
                <w:gridAfter w:val="1"/>
                <w:wAfter w:w="2534" w:type="dxa"/>
              </w:trPr>
              <w:tc>
                <w:tcPr>
                  <w:tcW w:w="6943" w:type="dxa"/>
                </w:tcPr>
                <w:p w14:paraId="16DE294F" w14:textId="79003B7C"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7" w:name="_Ref99635614"/>
            <w:r w:rsidRPr="006C1774">
              <w:rPr>
                <w:rFonts w:ascii="Arial" w:hAnsi="Arial" w:cs="Arial"/>
                <w:b/>
                <w:sz w:val="18"/>
                <w:szCs w:val="18"/>
              </w:rPr>
              <w:lastRenderedPageBreak/>
              <w:t xml:space="preserve">Key </w:t>
            </w:r>
            <w:bookmarkEnd w:id="17"/>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C782A6C"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8" w:name="_Ref99635623"/>
            <w:r w:rsidRPr="00060369">
              <w:rPr>
                <w:rFonts w:ascii="Arial" w:hAnsi="Arial" w:cs="Arial"/>
                <w:b/>
                <w:sz w:val="18"/>
                <w:szCs w:val="18"/>
              </w:rPr>
              <w:t>Procedures and Policies</w:t>
            </w:r>
            <w:bookmarkEnd w:id="18"/>
          </w:p>
        </w:tc>
        <w:tc>
          <w:tcPr>
            <w:tcW w:w="3587" w:type="pct"/>
            <w:gridSpan w:val="2"/>
            <w:shd w:val="clear" w:color="auto" w:fill="auto"/>
          </w:tcPr>
          <w:p w14:paraId="6BA942EB" w14:textId="7E8B41C5"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64768C01" w14:textId="212D441F" w:rsidR="007E7D58" w:rsidRPr="00060369" w:rsidRDefault="007E7D58" w:rsidP="005B638C">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w:t>
            </w:r>
            <w:proofErr w:type="gramStart"/>
            <w:r w:rsidRPr="00060369">
              <w:rPr>
                <w:rFonts w:ascii="Arial" w:hAnsi="Arial" w:cs="Arial"/>
                <w:sz w:val="18"/>
                <w:szCs w:val="18"/>
              </w:rPr>
              <w:t xml:space="preserve">: </w:t>
            </w:r>
            <w:r w:rsidRPr="00060369">
              <w:rPr>
                <w:rFonts w:ascii="Arial" w:hAnsi="Arial" w:cs="Arial"/>
                <w:i/>
                <w:sz w:val="18"/>
                <w:szCs w:val="18"/>
              </w:rPr>
              <w:t>.</w:t>
            </w:r>
            <w:proofErr w:type="gramEnd"/>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2363620C"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p>
          <w:p w14:paraId="3296FF87" w14:textId="77777777" w:rsidR="007E7D58" w:rsidRPr="00060369" w:rsidRDefault="007E7D58" w:rsidP="007E7D58">
            <w:pPr>
              <w:tabs>
                <w:tab w:val="left" w:pos="709"/>
              </w:tabs>
              <w:rPr>
                <w:rFonts w:ascii="Arial" w:hAnsi="Arial" w:cs="Arial"/>
                <w:sz w:val="18"/>
                <w:szCs w:val="18"/>
              </w:rPr>
            </w:pPr>
          </w:p>
          <w:p w14:paraId="65D5A094" w14:textId="4DD5EFF5"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are:  </w:t>
            </w:r>
          </w:p>
          <w:p w14:paraId="4F7E32FE" w14:textId="77777777" w:rsidR="007E7D58" w:rsidRPr="00060369" w:rsidRDefault="007E7D58" w:rsidP="007E7D58">
            <w:pPr>
              <w:tabs>
                <w:tab w:val="left" w:pos="709"/>
              </w:tabs>
              <w:rPr>
                <w:rFonts w:ascii="Arial" w:hAnsi="Arial" w:cs="Arial"/>
                <w:sz w:val="18"/>
                <w:szCs w:val="18"/>
              </w:rPr>
            </w:pPr>
          </w:p>
          <w:p w14:paraId="37772353" w14:textId="09D51010"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Law [and] environmental policy [is/are] </w:t>
            </w:r>
          </w:p>
          <w:p w14:paraId="7092F3F4" w14:textId="77777777" w:rsidR="007E7D58" w:rsidRPr="00060369" w:rsidRDefault="007E7D58" w:rsidP="007E7D58">
            <w:pPr>
              <w:tabs>
                <w:tab w:val="left" w:pos="709"/>
              </w:tabs>
              <w:rPr>
                <w:rFonts w:ascii="Arial" w:hAnsi="Arial" w:cs="Arial"/>
                <w:sz w:val="18"/>
                <w:szCs w:val="18"/>
              </w:rPr>
            </w:pPr>
          </w:p>
          <w:p w14:paraId="00A1E155" w14:textId="5E12946D" w:rsidR="007E7D58" w:rsidRPr="00060369" w:rsidRDefault="007E7D58" w:rsidP="005B638C">
            <w:pPr>
              <w:tabs>
                <w:tab w:val="left" w:pos="709"/>
              </w:tabs>
              <w:rPr>
                <w:rFonts w:ascii="Arial" w:hAnsi="Arial" w:cs="Arial"/>
                <w:sz w:val="18"/>
                <w:szCs w:val="18"/>
              </w:rPr>
            </w:pPr>
            <w:r w:rsidRPr="00060369">
              <w:rPr>
                <w:rFonts w:ascii="Arial" w:hAnsi="Arial" w:cs="Arial"/>
                <w:sz w:val="18"/>
                <w:szCs w:val="18"/>
              </w:rPr>
              <w:t xml:space="preserve">[The Customer’s health and safety policy is: </w:t>
            </w: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9" w:name="_Ref111456393"/>
            <w:r w:rsidRPr="00607C0A">
              <w:rPr>
                <w:rFonts w:ascii="Arial" w:hAnsi="Arial" w:cs="Arial"/>
                <w:b/>
                <w:sz w:val="18"/>
                <w:szCs w:val="18"/>
              </w:rPr>
              <w:t>Special Terms</w:t>
            </w:r>
            <w:bookmarkEnd w:id="19"/>
          </w:p>
        </w:tc>
        <w:tc>
          <w:tcPr>
            <w:tcW w:w="3587" w:type="pct"/>
            <w:gridSpan w:val="2"/>
            <w:shd w:val="clear" w:color="auto" w:fill="auto"/>
          </w:tcPr>
          <w:p w14:paraId="3055F4D4" w14:textId="50240EB7" w:rsidR="00E567F8" w:rsidRDefault="007E7D58" w:rsidP="005B638C">
            <w:pPr>
              <w:spacing w:before="120" w:after="120"/>
              <w:rPr>
                <w:rFonts w:ascii="Arial" w:eastAsia="Arial" w:hAnsi="Arial" w:cs="Arial"/>
                <w:b/>
                <w:i/>
                <w:sz w:val="18"/>
                <w:szCs w:val="18"/>
              </w:rPr>
            </w:pPr>
            <w:r w:rsidRPr="00607C0A">
              <w:rPr>
                <w:rFonts w:ascii="Arial" w:eastAsia="Arial" w:hAnsi="Arial" w:cs="Arial"/>
                <w:sz w:val="18"/>
                <w:szCs w:val="18"/>
              </w:rPr>
              <w:t xml:space="preserve">Special Term 1 - </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2313F829" w:rsidR="007E7D58" w:rsidRPr="00607C0A" w:rsidRDefault="007E7D58" w:rsidP="005B638C">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0F587A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456773EE" w:rsidR="007E7D58" w:rsidRPr="005B638C" w:rsidRDefault="007E7D58" w:rsidP="005B638C">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5B638C">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2CD746F5"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31007C2E" w14:textId="12C4C101" w:rsidR="009C2213" w:rsidRPr="00E820ED" w:rsidRDefault="009C2213" w:rsidP="00E820ED">
            <w:pPr>
              <w:tabs>
                <w:tab w:val="left" w:pos="709"/>
              </w:tabs>
              <w:rPr>
                <w:rFonts w:ascii="Arial" w:hAnsi="Arial" w:cs="Arial"/>
                <w:szCs w:val="22"/>
              </w:rPr>
            </w:pPr>
            <w:r w:rsidRPr="00961A47">
              <w:rPr>
                <w:rFonts w:ascii="Arial" w:hAnsi="Arial" w:cs="Arial"/>
                <w:szCs w:val="22"/>
              </w:rPr>
              <w:t xml:space="preserve">Name: </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C0EAAE6" w14:textId="212CF1BF" w:rsidR="009C2213" w:rsidRPr="00961A47" w:rsidRDefault="009C2213">
            <w:pPr>
              <w:tabs>
                <w:tab w:val="left" w:pos="709"/>
              </w:tabs>
              <w:rPr>
                <w:rFonts w:ascii="Arial" w:hAnsi="Arial" w:cs="Arial"/>
                <w:szCs w:val="22"/>
              </w:rPr>
            </w:pP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1B641F4"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color w:val="000000"/>
          <w:sz w:val="26"/>
          <w:szCs w:val="26"/>
        </w:rPr>
      </w:pPr>
      <w:r>
        <w:rPr>
          <w:rStyle w:val="normaltextrun"/>
          <w:rFonts w:ascii="Arial" w:hAnsi="Arial" w:cs="Arial"/>
          <w:b/>
          <w:bCs/>
          <w:color w:val="000000"/>
          <w:sz w:val="26"/>
          <w:szCs w:val="26"/>
        </w:rPr>
        <w:t>Development and validation of a species-specific environmental DNA (eDNA) assay for American mink (</w:t>
      </w:r>
      <w:proofErr w:type="spellStart"/>
      <w:r>
        <w:rPr>
          <w:rStyle w:val="normaltextrun"/>
          <w:rFonts w:ascii="Arial" w:hAnsi="Arial" w:cs="Arial"/>
          <w:b/>
          <w:bCs/>
          <w:i/>
          <w:iCs/>
          <w:color w:val="000000"/>
          <w:sz w:val="26"/>
          <w:szCs w:val="26"/>
        </w:rPr>
        <w:t>Neovison</w:t>
      </w:r>
      <w:proofErr w:type="spellEnd"/>
      <w:r>
        <w:rPr>
          <w:rStyle w:val="normaltextrun"/>
          <w:rFonts w:ascii="Arial" w:hAnsi="Arial" w:cs="Arial"/>
          <w:b/>
          <w:bCs/>
          <w:i/>
          <w:iCs/>
          <w:color w:val="000000"/>
          <w:sz w:val="26"/>
          <w:szCs w:val="26"/>
        </w:rPr>
        <w:t xml:space="preserve"> vison</w:t>
      </w:r>
      <w:r>
        <w:rPr>
          <w:rStyle w:val="normaltextrun"/>
          <w:rFonts w:ascii="Arial" w:hAnsi="Arial" w:cs="Arial"/>
          <w:b/>
          <w:bCs/>
          <w:color w:val="000000"/>
          <w:sz w:val="26"/>
          <w:szCs w:val="26"/>
        </w:rPr>
        <w:t>)</w:t>
      </w:r>
      <w:r>
        <w:rPr>
          <w:rStyle w:val="eop"/>
          <w:rFonts w:ascii="Arial" w:eastAsiaTheme="minorEastAsia" w:hAnsi="Arial" w:cs="Arial"/>
          <w:b/>
          <w:bCs/>
          <w:color w:val="000000"/>
          <w:sz w:val="26"/>
          <w:szCs w:val="26"/>
        </w:rPr>
        <w:t> </w:t>
      </w:r>
    </w:p>
    <w:p w14:paraId="419BC02C" w14:textId="77777777" w:rsidR="00BB7AAE" w:rsidRDefault="00BB7AAE" w:rsidP="00BB7AAE">
      <w:pPr>
        <w:pStyle w:val="paragraph"/>
        <w:spacing w:before="0" w:beforeAutospacing="0" w:after="0" w:afterAutospacing="0"/>
        <w:textAlignment w:val="baseline"/>
        <w:rPr>
          <w:rFonts w:ascii="Segoe UI" w:hAnsi="Segoe UI" w:cs="Segoe UI"/>
          <w:b/>
          <w:bCs/>
          <w:color w:val="780046"/>
          <w:sz w:val="18"/>
          <w:szCs w:val="18"/>
        </w:rPr>
      </w:pPr>
    </w:p>
    <w:p w14:paraId="480CD56D" w14:textId="77777777" w:rsidR="00BB7AAE" w:rsidRDefault="00BB7AAE" w:rsidP="00BB7AAE">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b/>
          <w:bCs/>
          <w:sz w:val="26"/>
          <w:szCs w:val="26"/>
        </w:rPr>
        <w:t>Background to the specific work area relevant to this purchase  </w:t>
      </w:r>
      <w:r>
        <w:rPr>
          <w:rStyle w:val="eop"/>
          <w:rFonts w:ascii="Arial" w:eastAsiaTheme="minorEastAsia" w:hAnsi="Arial" w:cs="Arial"/>
          <w:b/>
          <w:bCs/>
          <w:sz w:val="26"/>
          <w:szCs w:val="26"/>
        </w:rPr>
        <w:t> </w:t>
      </w:r>
    </w:p>
    <w:p w14:paraId="2F64A1C0"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t>DNA-based methods have the potential to significantly change how we monitor and assess ecosystems. Natural England has been exploring the use of these methods for environmental monitoring for several years, delivering a series of reports which focus on the development of DNA-based methods with potential in a particular area. These methods are now being used more widely within Natural England, particularly the detection of single species and ecological communities using environmental DNA (eDNA) analysis.</w:t>
      </w:r>
      <w:r>
        <w:rPr>
          <w:rStyle w:val="eop"/>
          <w:rFonts w:ascii="Arial" w:eastAsiaTheme="minorEastAsia" w:hAnsi="Arial" w:cs="Arial"/>
          <w:b/>
          <w:bCs/>
        </w:rPr>
        <w:t> </w:t>
      </w:r>
    </w:p>
    <w:p w14:paraId="65F7644D" w14:textId="77777777" w:rsidR="006050CF" w:rsidRDefault="006050CF" w:rsidP="00BB7AAE">
      <w:pPr>
        <w:pStyle w:val="paragraph"/>
        <w:spacing w:before="0" w:beforeAutospacing="0" w:after="0" w:afterAutospacing="0"/>
        <w:textAlignment w:val="baseline"/>
        <w:rPr>
          <w:rFonts w:ascii="Segoe UI" w:hAnsi="Segoe UI" w:cs="Segoe UI"/>
          <w:b/>
          <w:bCs/>
          <w:color w:val="780046"/>
          <w:sz w:val="18"/>
          <w:szCs w:val="18"/>
        </w:rPr>
      </w:pPr>
    </w:p>
    <w:p w14:paraId="429E037D"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t xml:space="preserve">Published research studies have demonstrated the potential of eDNA metabarcoding (i.e. the simultaneous identification of multiple taxa) for monitoring </w:t>
      </w:r>
      <w:proofErr w:type="gramStart"/>
      <w:r>
        <w:rPr>
          <w:rStyle w:val="normaltextrun"/>
          <w:rFonts w:ascii="Arial" w:hAnsi="Arial" w:cs="Arial"/>
        </w:rPr>
        <w:t>a large number of</w:t>
      </w:r>
      <w:proofErr w:type="gramEnd"/>
      <w:r>
        <w:rPr>
          <w:rStyle w:val="normaltextrun"/>
          <w:rFonts w:ascii="Arial" w:hAnsi="Arial" w:cs="Arial"/>
        </w:rPr>
        <w:t xml:space="preserve"> semi-aquatic and terrestrial mammal species in the UK from pond and river water, including elusive and declining species (L. R. Harper and others 2019; Sales and others 2020; Broadhurst and others 2021; Broadhurst and others 2023). This method could facilitate non-invasive mammal monitoring at a national level; however, carnivorous mammals tend to elude detection or are identified less frequently in collected samples. Suggested reasons for sporadic detection of these species include their ecology (i.e. carnivores are generally wide-ranging and solitary) and the potential for ‘species masking’, where DNA of more abundant species such as group-living herbivores could suppress the detection of less abundant species in the sample when universal metabarcoding tests or assays are being used (L. R. Harper and others 2019; Sales and others 2020; Broadhurst and others 2021; </w:t>
      </w:r>
      <w:proofErr w:type="spellStart"/>
      <w:r>
        <w:rPr>
          <w:rStyle w:val="normaltextrun"/>
          <w:rFonts w:ascii="Arial" w:hAnsi="Arial" w:cs="Arial"/>
        </w:rPr>
        <w:t>Lyet</w:t>
      </w:r>
      <w:proofErr w:type="spellEnd"/>
      <w:r>
        <w:rPr>
          <w:rStyle w:val="normaltextrun"/>
          <w:rFonts w:ascii="Arial" w:hAnsi="Arial" w:cs="Arial"/>
        </w:rPr>
        <w:t xml:space="preserve"> and others 2021).</w:t>
      </w:r>
      <w:r>
        <w:rPr>
          <w:rStyle w:val="eop"/>
          <w:rFonts w:ascii="Arial" w:eastAsiaTheme="minorEastAsia" w:hAnsi="Arial" w:cs="Arial"/>
          <w:b/>
          <w:bCs/>
        </w:rPr>
        <w:t> </w:t>
      </w:r>
    </w:p>
    <w:p w14:paraId="67269A8B" w14:textId="77777777" w:rsidR="006050CF" w:rsidRDefault="006050CF" w:rsidP="00BB7AAE">
      <w:pPr>
        <w:pStyle w:val="paragraph"/>
        <w:spacing w:before="0" w:beforeAutospacing="0" w:after="0" w:afterAutospacing="0"/>
        <w:textAlignment w:val="baseline"/>
        <w:rPr>
          <w:rFonts w:ascii="Segoe UI" w:hAnsi="Segoe UI" w:cs="Segoe UI"/>
          <w:b/>
          <w:bCs/>
          <w:sz w:val="18"/>
          <w:szCs w:val="18"/>
        </w:rPr>
      </w:pPr>
    </w:p>
    <w:p w14:paraId="42F8A9DA"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t xml:space="preserve">Targeted single species assays, using either qPCR (quantitative PCR), </w:t>
      </w:r>
      <w:proofErr w:type="spellStart"/>
      <w:r>
        <w:rPr>
          <w:rStyle w:val="normaltextrun"/>
          <w:rFonts w:ascii="Arial" w:hAnsi="Arial" w:cs="Arial"/>
        </w:rPr>
        <w:t>ddPCR</w:t>
      </w:r>
      <w:proofErr w:type="spellEnd"/>
      <w:r>
        <w:rPr>
          <w:rStyle w:val="normaltextrun"/>
          <w:rFonts w:ascii="Arial" w:hAnsi="Arial" w:cs="Arial"/>
        </w:rPr>
        <w:t xml:space="preserve"> (digital droplet PCR) or </w:t>
      </w:r>
      <w:proofErr w:type="spellStart"/>
      <w:r>
        <w:rPr>
          <w:rStyle w:val="normaltextrun"/>
          <w:rFonts w:ascii="Arial" w:hAnsi="Arial" w:cs="Arial"/>
        </w:rPr>
        <w:t>dPCR</w:t>
      </w:r>
      <w:proofErr w:type="spellEnd"/>
      <w:r>
        <w:rPr>
          <w:rStyle w:val="normaltextrun"/>
          <w:rFonts w:ascii="Arial" w:hAnsi="Arial" w:cs="Arial"/>
        </w:rPr>
        <w:t xml:space="preserve"> (digital PCR) technology, could offer higher detection sensitivity for challenging species, e.g. rare, low-density, elusive (Wood and others 2019). qPCR technology is widespread and more commonly used for single species eDNA analysis in comparison to </w:t>
      </w:r>
      <w:proofErr w:type="spellStart"/>
      <w:r>
        <w:rPr>
          <w:rStyle w:val="normaltextrun"/>
          <w:rFonts w:ascii="Arial" w:hAnsi="Arial" w:cs="Arial"/>
        </w:rPr>
        <w:t>ddPCR</w:t>
      </w:r>
      <w:proofErr w:type="spellEnd"/>
      <w:r>
        <w:rPr>
          <w:rStyle w:val="normaltextrun"/>
          <w:rFonts w:ascii="Arial" w:hAnsi="Arial" w:cs="Arial"/>
        </w:rPr>
        <w:t xml:space="preserve"> and </w:t>
      </w:r>
      <w:proofErr w:type="spellStart"/>
      <w:r>
        <w:rPr>
          <w:rStyle w:val="normaltextrun"/>
          <w:rFonts w:ascii="Arial" w:hAnsi="Arial" w:cs="Arial"/>
        </w:rPr>
        <w:t>dPCR</w:t>
      </w:r>
      <w:proofErr w:type="spellEnd"/>
      <w:r>
        <w:rPr>
          <w:rStyle w:val="normaltextrun"/>
          <w:rFonts w:ascii="Arial" w:hAnsi="Arial" w:cs="Arial"/>
        </w:rPr>
        <w:t xml:space="preserve"> technology (Johnsen and others 2020). However, several studies have shown that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technology has greater detection success and is less prone to inhibition due to samples being partitioned into thousands of droplets with an individual PCR reaction occurring in each droplet (</w:t>
      </w:r>
      <w:proofErr w:type="spellStart"/>
      <w:r>
        <w:rPr>
          <w:rStyle w:val="normaltextrun"/>
          <w:rFonts w:ascii="Arial" w:hAnsi="Arial" w:cs="Arial"/>
        </w:rPr>
        <w:t>Mauvisseau</w:t>
      </w:r>
      <w:proofErr w:type="spellEnd"/>
      <w:r>
        <w:rPr>
          <w:rStyle w:val="normaltextrun"/>
          <w:rFonts w:ascii="Arial" w:hAnsi="Arial" w:cs="Arial"/>
        </w:rPr>
        <w:t xml:space="preserve"> and others 2019; Wood and others 2019; Dimond and others 2022). Conversely, other studies have not observed differences in performance of the two technologies (Baudry and others 2023) or have found lower performance of </w:t>
      </w:r>
      <w:proofErr w:type="spellStart"/>
      <w:r>
        <w:rPr>
          <w:rStyle w:val="normaltextrun"/>
          <w:rFonts w:ascii="Arial" w:hAnsi="Arial" w:cs="Arial"/>
        </w:rPr>
        <w:t>ddPCR</w:t>
      </w:r>
      <w:proofErr w:type="spellEnd"/>
      <w:r>
        <w:rPr>
          <w:rStyle w:val="normaltextrun"/>
          <w:rFonts w:ascii="Arial" w:hAnsi="Arial" w:cs="Arial"/>
        </w:rPr>
        <w:t xml:space="preserve"> (Johnsen and others 2020). Furthermore,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technology may be more time consuming and expensive to run with higher upfront costs (Doi and others 2015), although costs per sampling site may be reduced due to the lower replication required for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(Dimond and others 2022).</w:t>
      </w:r>
      <w:r>
        <w:rPr>
          <w:rStyle w:val="eop"/>
          <w:rFonts w:ascii="Arial" w:eastAsiaTheme="minorEastAsia" w:hAnsi="Arial" w:cs="Arial"/>
          <w:b/>
          <w:bCs/>
        </w:rPr>
        <w:t> </w:t>
      </w:r>
    </w:p>
    <w:p w14:paraId="5D77C361" w14:textId="77777777" w:rsidR="006050CF" w:rsidRDefault="006050CF" w:rsidP="00BB7AAE">
      <w:pPr>
        <w:pStyle w:val="paragraph"/>
        <w:spacing w:before="0" w:beforeAutospacing="0" w:after="0" w:afterAutospacing="0"/>
        <w:textAlignment w:val="baseline"/>
        <w:rPr>
          <w:rFonts w:ascii="Segoe UI" w:hAnsi="Segoe UI" w:cs="Segoe UI"/>
          <w:b/>
          <w:bCs/>
          <w:sz w:val="18"/>
          <w:szCs w:val="18"/>
        </w:rPr>
      </w:pPr>
    </w:p>
    <w:p w14:paraId="5898E90F"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t>Natural England recently commissioned a large-scale study of 61 rivers throughout England to detect European otter (</w:t>
      </w:r>
      <w:proofErr w:type="spellStart"/>
      <w:r>
        <w:rPr>
          <w:rStyle w:val="normaltextrun"/>
          <w:rFonts w:ascii="Arial" w:hAnsi="Arial" w:cs="Arial"/>
          <w:i/>
          <w:iCs/>
        </w:rPr>
        <w:t>Lutra</w:t>
      </w:r>
      <w:proofErr w:type="spellEnd"/>
      <w:r>
        <w:rPr>
          <w:rStyle w:val="normaltextrun"/>
          <w:rFonts w:ascii="Arial" w:hAnsi="Arial" w:cs="Arial"/>
          <w:i/>
          <w:iCs/>
        </w:rPr>
        <w:t xml:space="preserve"> </w:t>
      </w:r>
      <w:proofErr w:type="spellStart"/>
      <w:r>
        <w:rPr>
          <w:rStyle w:val="normaltextrun"/>
          <w:rFonts w:ascii="Arial" w:hAnsi="Arial" w:cs="Arial"/>
          <w:i/>
          <w:iCs/>
        </w:rPr>
        <w:t>lutra</w:t>
      </w:r>
      <w:proofErr w:type="spellEnd"/>
      <w:r>
        <w:rPr>
          <w:rStyle w:val="normaltextrun"/>
          <w:rFonts w:ascii="Arial" w:hAnsi="Arial" w:cs="Arial"/>
        </w:rPr>
        <w:t xml:space="preserve">) eDNA using a newly developed </w:t>
      </w:r>
      <w:proofErr w:type="spellStart"/>
      <w:r>
        <w:rPr>
          <w:rStyle w:val="normaltextrun"/>
          <w:rFonts w:ascii="Arial" w:hAnsi="Arial" w:cs="Arial"/>
        </w:rPr>
        <w:t>ddPCR</w:t>
      </w:r>
      <w:proofErr w:type="spellEnd"/>
      <w:r>
        <w:rPr>
          <w:rStyle w:val="normaltextrun"/>
          <w:rFonts w:ascii="Arial" w:hAnsi="Arial" w:cs="Arial"/>
        </w:rPr>
        <w:t xml:space="preserve"> assay (McDevitt and others, unpublished). Otter presence was confirmed in 23 rivers and the species was potentially present in a further 10 rivers. These </w:t>
      </w:r>
      <w:proofErr w:type="spellStart"/>
      <w:r>
        <w:rPr>
          <w:rStyle w:val="normaltextrun"/>
          <w:rFonts w:ascii="Arial" w:hAnsi="Arial" w:cs="Arial"/>
        </w:rPr>
        <w:t>ddPCR</w:t>
      </w:r>
      <w:proofErr w:type="spellEnd"/>
      <w:r>
        <w:rPr>
          <w:rStyle w:val="normaltextrun"/>
          <w:rFonts w:ascii="Arial" w:hAnsi="Arial" w:cs="Arial"/>
        </w:rPr>
        <w:t xml:space="preserve"> results will be compared to multi-species eDNA metabarcoding data and traditional transect field sign surveys currently underway as part of the National Otter Survey.</w:t>
      </w:r>
      <w:r>
        <w:rPr>
          <w:rStyle w:val="eop"/>
          <w:rFonts w:ascii="Arial" w:eastAsiaTheme="minorEastAsia" w:hAnsi="Arial" w:cs="Arial"/>
          <w:b/>
          <w:bCs/>
        </w:rPr>
        <w:t> </w:t>
      </w:r>
    </w:p>
    <w:p w14:paraId="54908AF0" w14:textId="77777777" w:rsidR="006050CF" w:rsidRDefault="006050CF" w:rsidP="00BB7AAE">
      <w:pPr>
        <w:pStyle w:val="paragraph"/>
        <w:spacing w:before="0" w:beforeAutospacing="0" w:after="0" w:afterAutospacing="0"/>
        <w:textAlignment w:val="baseline"/>
        <w:rPr>
          <w:rFonts w:ascii="Segoe UI" w:hAnsi="Segoe UI" w:cs="Segoe UI"/>
          <w:b/>
          <w:bCs/>
          <w:sz w:val="18"/>
          <w:szCs w:val="18"/>
        </w:rPr>
      </w:pPr>
    </w:p>
    <w:p w14:paraId="7D31CE9F" w14:textId="77777777" w:rsidR="00BB7AAE" w:rsidRDefault="00BB7AAE" w:rsidP="00BB7AAE">
      <w:pPr>
        <w:pStyle w:val="paragraph"/>
        <w:spacing w:before="0" w:beforeAutospacing="0" w:after="0" w:afterAutospacing="0"/>
        <w:jc w:val="both"/>
        <w:textAlignment w:val="baseline"/>
        <w:rPr>
          <w:rFonts w:ascii="Segoe UI" w:hAnsi="Segoe UI" w:cs="Segoe UI"/>
          <w:b/>
          <w:bCs/>
          <w:sz w:val="18"/>
          <w:szCs w:val="18"/>
        </w:rPr>
      </w:pPr>
      <w:r>
        <w:rPr>
          <w:rStyle w:val="normaltextrun"/>
          <w:rFonts w:ascii="Arial" w:hAnsi="Arial" w:cs="Arial"/>
        </w:rPr>
        <w:t>Like otter, the American mink (</w:t>
      </w:r>
      <w:proofErr w:type="spellStart"/>
      <w:r>
        <w:rPr>
          <w:rStyle w:val="normaltextrun"/>
          <w:rFonts w:ascii="Arial" w:hAnsi="Arial" w:cs="Arial"/>
          <w:i/>
          <w:iCs/>
        </w:rPr>
        <w:t>Neovison</w:t>
      </w:r>
      <w:proofErr w:type="spellEnd"/>
      <w:r>
        <w:rPr>
          <w:rStyle w:val="normaltextrun"/>
          <w:rFonts w:ascii="Arial" w:hAnsi="Arial" w:cs="Arial"/>
          <w:i/>
          <w:iCs/>
        </w:rPr>
        <w:t xml:space="preserve"> vison</w:t>
      </w:r>
      <w:r>
        <w:rPr>
          <w:rStyle w:val="normaltextrun"/>
          <w:rFonts w:ascii="Arial" w:hAnsi="Arial" w:cs="Arial"/>
        </w:rPr>
        <w:t>) has proven equally challenging to detect with eDNA metabarcoding even when known to be present in an area (Broadhurst and others, 2021, 2023). The early detection of invasive species such as the American mink is even more critical than native carnivores given its significant impact on water vole (</w:t>
      </w:r>
      <w:r>
        <w:rPr>
          <w:rStyle w:val="normaltextrun"/>
          <w:rFonts w:ascii="Arial" w:hAnsi="Arial" w:cs="Arial"/>
          <w:i/>
          <w:iCs/>
        </w:rPr>
        <w:t>Arvicola amphibius</w:t>
      </w:r>
      <w:r>
        <w:rPr>
          <w:rStyle w:val="normaltextrun"/>
          <w:rFonts w:ascii="Arial" w:hAnsi="Arial" w:cs="Arial"/>
        </w:rPr>
        <w:t>) colonies. This work will contribute to a pilot Species Conservation Strategy for water vole. </w:t>
      </w:r>
      <w:r>
        <w:rPr>
          <w:rStyle w:val="eop"/>
          <w:rFonts w:ascii="Arial" w:eastAsiaTheme="minorEastAsia" w:hAnsi="Arial" w:cs="Arial"/>
          <w:b/>
          <w:bCs/>
        </w:rPr>
        <w:t> </w:t>
      </w:r>
    </w:p>
    <w:p w14:paraId="7AD0925C"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lastRenderedPageBreak/>
        <w:t>This project aims to develop and validate a highly sensitive, targeted single species eDNA assay for the American mink to support the long-term monitoring and local eradication efforts of this highly invasive species.</w:t>
      </w:r>
      <w:r>
        <w:rPr>
          <w:rStyle w:val="eop"/>
          <w:rFonts w:ascii="Arial" w:eastAsiaTheme="minorEastAsia" w:hAnsi="Arial" w:cs="Arial"/>
          <w:b/>
          <w:bCs/>
        </w:rPr>
        <w:t> </w:t>
      </w:r>
    </w:p>
    <w:p w14:paraId="7E452410" w14:textId="77777777" w:rsidR="00BB7AAE" w:rsidRDefault="00BB7AAE" w:rsidP="00BB7AAE">
      <w:pPr>
        <w:pStyle w:val="paragraph"/>
        <w:spacing w:before="0" w:beforeAutospacing="0" w:after="0" w:afterAutospacing="0"/>
        <w:textAlignment w:val="baseline"/>
        <w:rPr>
          <w:rFonts w:ascii="Segoe UI" w:hAnsi="Segoe UI" w:cs="Segoe UI"/>
          <w:b/>
          <w:bCs/>
          <w:color w:val="780046"/>
          <w:sz w:val="18"/>
          <w:szCs w:val="18"/>
        </w:rPr>
      </w:pPr>
    </w:p>
    <w:p w14:paraId="2E8BC324" w14:textId="77777777" w:rsidR="00BB7AAE" w:rsidRDefault="00BB7AAE" w:rsidP="00BB7AAE">
      <w:pPr>
        <w:pStyle w:val="paragraph"/>
        <w:spacing w:before="0" w:beforeAutospacing="0" w:after="0" w:afterAutospacing="0"/>
        <w:textAlignment w:val="baseline"/>
        <w:rPr>
          <w:rFonts w:ascii="Segoe UI" w:hAnsi="Segoe UI" w:cs="Segoe UI"/>
          <w:b/>
          <w:bCs/>
          <w:color w:val="780046"/>
          <w:sz w:val="18"/>
          <w:szCs w:val="18"/>
        </w:rPr>
      </w:pPr>
      <w:r>
        <w:rPr>
          <w:rStyle w:val="normaltextrun"/>
          <w:rFonts w:ascii="Arial" w:hAnsi="Arial" w:cs="Arial"/>
          <w:b/>
          <w:bCs/>
          <w:sz w:val="26"/>
          <w:szCs w:val="26"/>
        </w:rPr>
        <w:t>Requirement </w:t>
      </w:r>
      <w:r>
        <w:rPr>
          <w:rStyle w:val="eop"/>
          <w:rFonts w:ascii="Arial" w:eastAsiaTheme="minorEastAsia" w:hAnsi="Arial" w:cs="Arial"/>
          <w:b/>
          <w:bCs/>
          <w:sz w:val="26"/>
          <w:szCs w:val="26"/>
        </w:rPr>
        <w:t> </w:t>
      </w:r>
    </w:p>
    <w:p w14:paraId="42CA0F53"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t xml:space="preserve">The American mink assay should be validated </w:t>
      </w:r>
      <w:r>
        <w:rPr>
          <w:rStyle w:val="normaltextrun"/>
          <w:rFonts w:ascii="Arial" w:hAnsi="Arial" w:cs="Arial"/>
          <w:i/>
          <w:iCs/>
        </w:rPr>
        <w:t>in silico</w:t>
      </w:r>
      <w:r>
        <w:rPr>
          <w:rStyle w:val="normaltextrun"/>
          <w:rFonts w:ascii="Arial" w:hAnsi="Arial" w:cs="Arial"/>
        </w:rPr>
        <w:t xml:space="preserve"> against reference sequences and </w:t>
      </w:r>
      <w:r>
        <w:rPr>
          <w:rStyle w:val="normaltextrun"/>
          <w:rFonts w:ascii="Arial" w:hAnsi="Arial" w:cs="Arial"/>
          <w:i/>
          <w:iCs/>
        </w:rPr>
        <w:t>in vitro</w:t>
      </w:r>
      <w:r>
        <w:rPr>
          <w:rStyle w:val="normaltextrun"/>
          <w:rFonts w:ascii="Arial" w:hAnsi="Arial" w:cs="Arial"/>
        </w:rPr>
        <w:t xml:space="preserve"> against tissue samples from the target species as well as closely related and co-occurring non-target species. Natural England will assist the contractor with sourcing tissue samples. The assay should be validated using both qPCR and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technology if the latter is available. The assay should be validated </w:t>
      </w:r>
      <w:r>
        <w:rPr>
          <w:rStyle w:val="normaltextrun"/>
          <w:rFonts w:ascii="Arial" w:hAnsi="Arial" w:cs="Arial"/>
          <w:i/>
          <w:iCs/>
        </w:rPr>
        <w:t>in situ</w:t>
      </w:r>
      <w:r>
        <w:rPr>
          <w:rStyle w:val="normaltextrun"/>
          <w:rFonts w:ascii="Arial" w:hAnsi="Arial" w:cs="Arial"/>
        </w:rPr>
        <w:t xml:space="preserve"> on natural water samples collected along select UK rivers where the species is known to be present and absent. The performance of eDNA monitoring should be compared to traditional monitoring methods (e.g. mink rafts) with assistance from Natural England.</w:t>
      </w:r>
      <w:r>
        <w:rPr>
          <w:rStyle w:val="eop"/>
          <w:rFonts w:ascii="Arial" w:eastAsiaTheme="minorEastAsia" w:hAnsi="Arial" w:cs="Arial"/>
          <w:b/>
          <w:bCs/>
        </w:rPr>
        <w:t> </w:t>
      </w:r>
    </w:p>
    <w:p w14:paraId="4EE8A5CA" w14:textId="77777777" w:rsidR="006050CF" w:rsidRDefault="006050CF" w:rsidP="00BB7AAE">
      <w:pPr>
        <w:pStyle w:val="paragraph"/>
        <w:spacing w:before="0" w:beforeAutospacing="0" w:after="0" w:afterAutospacing="0"/>
        <w:textAlignment w:val="baseline"/>
        <w:rPr>
          <w:rFonts w:ascii="Segoe UI" w:hAnsi="Segoe UI" w:cs="Segoe UI"/>
          <w:b/>
          <w:bCs/>
          <w:color w:val="780046"/>
          <w:sz w:val="18"/>
          <w:szCs w:val="18"/>
        </w:rPr>
      </w:pPr>
    </w:p>
    <w:p w14:paraId="5CBAB56C" w14:textId="77777777" w:rsidR="00BB7AAE" w:rsidRDefault="00BB7AAE" w:rsidP="00BB7AAE">
      <w:pPr>
        <w:pStyle w:val="paragraph"/>
        <w:spacing w:before="0" w:beforeAutospacing="0" w:after="0" w:afterAutospacing="0"/>
        <w:textAlignment w:val="baseline"/>
        <w:rPr>
          <w:rStyle w:val="eop"/>
          <w:rFonts w:ascii="Arial" w:eastAsiaTheme="minorEastAsia" w:hAnsi="Arial" w:cs="Arial"/>
          <w:b/>
          <w:bCs/>
        </w:rPr>
      </w:pPr>
      <w:r>
        <w:rPr>
          <w:rStyle w:val="normaltextrun"/>
          <w:rFonts w:ascii="Arial" w:hAnsi="Arial" w:cs="Arial"/>
        </w:rPr>
        <w:t>Please provide separate quotes for undertaking each requirement. Natural England reserves the right to let only one of these requirements.</w:t>
      </w:r>
      <w:r>
        <w:rPr>
          <w:rStyle w:val="eop"/>
          <w:rFonts w:ascii="Arial" w:eastAsiaTheme="minorEastAsia" w:hAnsi="Arial" w:cs="Arial"/>
          <w:b/>
          <w:bCs/>
        </w:rPr>
        <w:t> </w:t>
      </w:r>
    </w:p>
    <w:p w14:paraId="644205E1" w14:textId="77777777" w:rsidR="00BB7AAE" w:rsidRDefault="00BB7AAE" w:rsidP="00BB7AAE">
      <w:pPr>
        <w:pStyle w:val="paragraph"/>
        <w:spacing w:before="0" w:beforeAutospacing="0" w:after="0" w:afterAutospacing="0"/>
        <w:textAlignment w:val="baseline"/>
        <w:rPr>
          <w:rFonts w:ascii="Segoe UI" w:hAnsi="Segoe UI" w:cs="Segoe UI"/>
          <w:b/>
          <w:bCs/>
          <w:color w:val="780046"/>
          <w:sz w:val="18"/>
          <w:szCs w:val="18"/>
        </w:rPr>
      </w:pPr>
    </w:p>
    <w:p w14:paraId="01CEDB03" w14:textId="77777777" w:rsidR="00BB7AAE" w:rsidRDefault="00BB7AAE" w:rsidP="00BB7AAE">
      <w:pPr>
        <w:pStyle w:val="paragraph"/>
        <w:numPr>
          <w:ilvl w:val="0"/>
          <w:numId w:val="13"/>
        </w:numPr>
        <w:spacing w:before="0" w:beforeAutospacing="0" w:after="0" w:afterAutospacing="0"/>
        <w:ind w:left="1080" w:firstLine="0"/>
        <w:textAlignment w:val="baseline"/>
        <w:rPr>
          <w:rFonts w:ascii="Arial" w:hAnsi="Arial" w:cs="Arial"/>
          <w:b/>
          <w:bCs/>
          <w:color w:val="780046"/>
        </w:rPr>
      </w:pPr>
      <w:r>
        <w:rPr>
          <w:rStyle w:val="normaltextrun"/>
          <w:rFonts w:ascii="Arial" w:hAnsi="Arial" w:cs="Arial"/>
        </w:rPr>
        <w:t>qPCR validation</w:t>
      </w:r>
      <w:r>
        <w:rPr>
          <w:rStyle w:val="eop"/>
          <w:rFonts w:ascii="Arial" w:eastAsiaTheme="minorEastAsia" w:hAnsi="Arial" w:cs="Arial"/>
          <w:b/>
          <w:bCs/>
        </w:rPr>
        <w:t> </w:t>
      </w:r>
    </w:p>
    <w:p w14:paraId="77B4AF58" w14:textId="77777777" w:rsidR="00BB7AAE" w:rsidRDefault="00BB7AAE" w:rsidP="00BB7AAE">
      <w:pPr>
        <w:pStyle w:val="paragraph"/>
        <w:numPr>
          <w:ilvl w:val="0"/>
          <w:numId w:val="14"/>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 xml:space="preserve">The successful contractor will evaluate four existing assays for American mink that target either the COI gene (Pugh 2022), </w:t>
      </w:r>
      <w:proofErr w:type="spellStart"/>
      <w:r>
        <w:rPr>
          <w:rStyle w:val="normaltextrun"/>
          <w:rFonts w:ascii="Arial" w:hAnsi="Arial" w:cs="Arial"/>
        </w:rPr>
        <w:t>cyt</w:t>
      </w:r>
      <w:proofErr w:type="spellEnd"/>
      <w:r>
        <w:rPr>
          <w:rStyle w:val="normaltextrun"/>
          <w:rFonts w:ascii="Arial" w:hAnsi="Arial" w:cs="Arial"/>
        </w:rPr>
        <w:t>-b gene (Di Girolamo 2022) or ND2 gene (</w:t>
      </w:r>
      <w:proofErr w:type="spellStart"/>
      <w:r>
        <w:rPr>
          <w:rStyle w:val="normaltextrun"/>
          <w:rFonts w:ascii="Arial" w:hAnsi="Arial" w:cs="Arial"/>
        </w:rPr>
        <w:t>Takaba</w:t>
      </w:r>
      <w:proofErr w:type="spellEnd"/>
      <w:r>
        <w:rPr>
          <w:rStyle w:val="normaltextrun"/>
          <w:rFonts w:ascii="Arial" w:hAnsi="Arial" w:cs="Arial"/>
        </w:rPr>
        <w:t xml:space="preserve"> and others 2024) using the validation scale for single species eDNA assays (</w:t>
      </w:r>
      <w:proofErr w:type="spellStart"/>
      <w:r>
        <w:rPr>
          <w:rStyle w:val="normaltextrun"/>
          <w:rFonts w:ascii="Arial" w:hAnsi="Arial" w:cs="Arial"/>
        </w:rPr>
        <w:t>Thalinger</w:t>
      </w:r>
      <w:proofErr w:type="spellEnd"/>
      <w:r>
        <w:rPr>
          <w:rStyle w:val="normaltextrun"/>
          <w:rFonts w:ascii="Arial" w:hAnsi="Arial" w:cs="Arial"/>
        </w:rPr>
        <w:t xml:space="preserve"> and others 2021).</w:t>
      </w:r>
      <w:r>
        <w:rPr>
          <w:rStyle w:val="eop"/>
          <w:rFonts w:ascii="Arial" w:eastAsiaTheme="minorEastAsia" w:hAnsi="Arial" w:cs="Arial"/>
          <w:b/>
          <w:bCs/>
        </w:rPr>
        <w:t> </w:t>
      </w:r>
    </w:p>
    <w:p w14:paraId="69B7B815" w14:textId="77777777" w:rsidR="00BB7AAE" w:rsidRDefault="00BB7AAE" w:rsidP="00BB7AAE">
      <w:pPr>
        <w:pStyle w:val="paragraph"/>
        <w:numPr>
          <w:ilvl w:val="0"/>
          <w:numId w:val="15"/>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 xml:space="preserve">Areas for assay improvement should be identified, and further </w:t>
      </w:r>
      <w:r>
        <w:rPr>
          <w:rStyle w:val="normaltextrun"/>
          <w:rFonts w:ascii="Arial" w:hAnsi="Arial" w:cs="Arial"/>
          <w:i/>
          <w:iCs/>
        </w:rPr>
        <w:t>in silico</w:t>
      </w:r>
      <w:r>
        <w:rPr>
          <w:rStyle w:val="normaltextrun"/>
          <w:rFonts w:ascii="Arial" w:hAnsi="Arial" w:cs="Arial"/>
        </w:rPr>
        <w:t xml:space="preserve"> and </w:t>
      </w:r>
      <w:r>
        <w:rPr>
          <w:rStyle w:val="normaltextrun"/>
          <w:rFonts w:ascii="Arial" w:hAnsi="Arial" w:cs="Arial"/>
          <w:i/>
          <w:iCs/>
        </w:rPr>
        <w:t>in vitro</w:t>
      </w:r>
      <w:r>
        <w:rPr>
          <w:rStyle w:val="normaltextrun"/>
          <w:rFonts w:ascii="Arial" w:hAnsi="Arial" w:cs="Arial"/>
        </w:rPr>
        <w:t xml:space="preserve"> testing conducted using qPCR to ensure at least one assay reaches Level 3 minimum on the validation scale (</w:t>
      </w:r>
      <w:proofErr w:type="spellStart"/>
      <w:r>
        <w:rPr>
          <w:rStyle w:val="normaltextrun"/>
          <w:rFonts w:ascii="Arial" w:hAnsi="Arial" w:cs="Arial"/>
        </w:rPr>
        <w:t>Thalinger</w:t>
      </w:r>
      <w:proofErr w:type="spellEnd"/>
      <w:r>
        <w:rPr>
          <w:rStyle w:val="normaltextrun"/>
          <w:rFonts w:ascii="Arial" w:hAnsi="Arial" w:cs="Arial"/>
        </w:rPr>
        <w:t xml:space="preserve"> and others 2021). The assay(s) should be able to achieve a R-squared value ≥0.990 and efficiency of 90-110%.</w:t>
      </w:r>
      <w:r>
        <w:rPr>
          <w:rStyle w:val="eop"/>
          <w:rFonts w:ascii="Arial" w:eastAsiaTheme="minorEastAsia" w:hAnsi="Arial" w:cs="Arial"/>
          <w:b/>
          <w:bCs/>
        </w:rPr>
        <w:t> </w:t>
      </w:r>
    </w:p>
    <w:p w14:paraId="481DEACD" w14:textId="77777777" w:rsidR="00BB7AAE" w:rsidRDefault="00BB7AAE" w:rsidP="00BB7AAE">
      <w:pPr>
        <w:pStyle w:val="paragraph"/>
        <w:numPr>
          <w:ilvl w:val="0"/>
          <w:numId w:val="16"/>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If these validation criteria are not met, the successful contractor must design a new assay that does meet the validation criteria.</w:t>
      </w:r>
      <w:r>
        <w:rPr>
          <w:rStyle w:val="eop"/>
          <w:rFonts w:ascii="Arial" w:eastAsiaTheme="minorEastAsia" w:hAnsi="Arial" w:cs="Arial"/>
          <w:b/>
          <w:bCs/>
        </w:rPr>
        <w:t> </w:t>
      </w:r>
    </w:p>
    <w:p w14:paraId="3EC586E6" w14:textId="77777777" w:rsidR="00BB7AAE" w:rsidRPr="006050CF" w:rsidRDefault="00BB7AAE" w:rsidP="00BB7AAE">
      <w:pPr>
        <w:pStyle w:val="paragraph"/>
        <w:numPr>
          <w:ilvl w:val="0"/>
          <w:numId w:val="17"/>
        </w:numPr>
        <w:spacing w:before="0" w:beforeAutospacing="0" w:after="0" w:afterAutospacing="0"/>
        <w:ind w:left="1800" w:firstLine="0"/>
        <w:textAlignment w:val="baseline"/>
        <w:rPr>
          <w:rStyle w:val="eop"/>
          <w:rFonts w:ascii="Arial" w:hAnsi="Arial" w:cs="Arial"/>
          <w:b/>
          <w:bCs/>
          <w:color w:val="780046"/>
        </w:rPr>
      </w:pPr>
      <w:r>
        <w:rPr>
          <w:rStyle w:val="normaltextrun"/>
          <w:rFonts w:ascii="Arial" w:hAnsi="Arial" w:cs="Arial"/>
        </w:rPr>
        <w:t xml:space="preserve">A confidence assessment should be undertaken for the best-performing assay following the requirements set out in NECR359 “A framework for assessing confidence in environmental DNA qPCR assays and results” (K.J. Harper and others 2021). This framework (also known as COASTER) requires a standardised data input, as well as user-defined settings, and can be accessed through common web browsers. The tool operates in R under the Shiny framework. A link to the tool will be made available to the successful contractor (it is planned for this to be open access </w:t>
      </w:r>
      <w:proofErr w:type="gramStart"/>
      <w:r>
        <w:rPr>
          <w:rStyle w:val="normaltextrun"/>
          <w:rFonts w:ascii="Arial" w:hAnsi="Arial" w:cs="Arial"/>
        </w:rPr>
        <w:t>in the near future</w:t>
      </w:r>
      <w:proofErr w:type="gramEnd"/>
      <w:r>
        <w:rPr>
          <w:rStyle w:val="normaltextrun"/>
          <w:rFonts w:ascii="Arial" w:hAnsi="Arial" w:cs="Arial"/>
        </w:rPr>
        <w:t>).</w:t>
      </w:r>
      <w:r>
        <w:rPr>
          <w:rStyle w:val="eop"/>
          <w:rFonts w:ascii="Arial" w:eastAsiaTheme="minorEastAsia" w:hAnsi="Arial" w:cs="Arial"/>
          <w:b/>
          <w:bCs/>
        </w:rPr>
        <w:t> </w:t>
      </w:r>
    </w:p>
    <w:p w14:paraId="312A9403" w14:textId="77777777" w:rsidR="006050CF" w:rsidRDefault="006050CF" w:rsidP="006050CF">
      <w:pPr>
        <w:pStyle w:val="paragraph"/>
        <w:spacing w:before="0" w:beforeAutospacing="0" w:after="0" w:afterAutospacing="0"/>
        <w:ind w:left="1800"/>
        <w:textAlignment w:val="baseline"/>
        <w:rPr>
          <w:rFonts w:ascii="Arial" w:hAnsi="Arial" w:cs="Arial"/>
          <w:b/>
          <w:bCs/>
          <w:color w:val="780046"/>
        </w:rPr>
      </w:pPr>
    </w:p>
    <w:p w14:paraId="3AD509E2" w14:textId="77777777" w:rsidR="00BB7AAE" w:rsidRDefault="00BB7AAE" w:rsidP="00BB7AAE">
      <w:pPr>
        <w:pStyle w:val="paragraph"/>
        <w:numPr>
          <w:ilvl w:val="0"/>
          <w:numId w:val="18"/>
        </w:numPr>
        <w:spacing w:before="0" w:beforeAutospacing="0" w:after="0" w:afterAutospacing="0"/>
        <w:ind w:left="1080" w:firstLine="0"/>
        <w:textAlignment w:val="baseline"/>
        <w:rPr>
          <w:rFonts w:ascii="Arial" w:hAnsi="Arial" w:cs="Arial"/>
          <w:b/>
          <w:bCs/>
          <w:color w:val="780046"/>
        </w:rPr>
      </w:pP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validation</w:t>
      </w:r>
      <w:r>
        <w:rPr>
          <w:rStyle w:val="eop"/>
          <w:rFonts w:ascii="Arial" w:eastAsiaTheme="minorEastAsia" w:hAnsi="Arial" w:cs="Arial"/>
          <w:b/>
          <w:bCs/>
        </w:rPr>
        <w:t> </w:t>
      </w:r>
    </w:p>
    <w:p w14:paraId="19E90543" w14:textId="77777777" w:rsidR="00BB7AAE" w:rsidRDefault="00BB7AAE" w:rsidP="00BB7AAE">
      <w:pPr>
        <w:pStyle w:val="paragraph"/>
        <w:numPr>
          <w:ilvl w:val="0"/>
          <w:numId w:val="19"/>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 xml:space="preserve">The successful contractor will transition the best-performing assay with qPCR technology to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technology.</w:t>
      </w:r>
      <w:r>
        <w:rPr>
          <w:rStyle w:val="eop"/>
          <w:rFonts w:ascii="Arial" w:eastAsiaTheme="minorEastAsia" w:hAnsi="Arial" w:cs="Arial"/>
          <w:b/>
          <w:bCs/>
        </w:rPr>
        <w:t> </w:t>
      </w:r>
    </w:p>
    <w:p w14:paraId="1B7B8CDF" w14:textId="77777777" w:rsidR="00BB7AAE" w:rsidRDefault="00BB7AAE" w:rsidP="00BB7AAE">
      <w:pPr>
        <w:pStyle w:val="paragraph"/>
        <w:numPr>
          <w:ilvl w:val="0"/>
          <w:numId w:val="20"/>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i/>
          <w:iCs/>
        </w:rPr>
        <w:t>In vitro</w:t>
      </w:r>
      <w:r>
        <w:rPr>
          <w:rStyle w:val="normaltextrun"/>
          <w:rFonts w:ascii="Arial" w:hAnsi="Arial" w:cs="Arial"/>
        </w:rPr>
        <w:t xml:space="preserve"> testing should be repeated to confirm assay specificity as well as redetermine the Limit of Detection (LOD) and Limit of Quantification (LOQ) due to the higher detection sensitivity of </w:t>
      </w:r>
      <w:proofErr w:type="spellStart"/>
      <w:r>
        <w:rPr>
          <w:rStyle w:val="normaltextrun"/>
          <w:rFonts w:ascii="Arial" w:hAnsi="Arial" w:cs="Arial"/>
        </w:rPr>
        <w:t>ddPCR</w:t>
      </w:r>
      <w:proofErr w:type="spellEnd"/>
      <w:r>
        <w:rPr>
          <w:rStyle w:val="normaltextrun"/>
          <w:rFonts w:ascii="Arial" w:hAnsi="Arial" w:cs="Arial"/>
        </w:rPr>
        <w:t xml:space="preserve"> and </w:t>
      </w:r>
      <w:proofErr w:type="spellStart"/>
      <w:r>
        <w:rPr>
          <w:rStyle w:val="normaltextrun"/>
          <w:rFonts w:ascii="Arial" w:hAnsi="Arial" w:cs="Arial"/>
        </w:rPr>
        <w:t>dPCR</w:t>
      </w:r>
      <w:proofErr w:type="spellEnd"/>
      <w:r>
        <w:rPr>
          <w:rStyle w:val="normaltextrun"/>
          <w:rFonts w:ascii="Arial" w:hAnsi="Arial" w:cs="Arial"/>
        </w:rPr>
        <w:t xml:space="preserve"> technology.</w:t>
      </w:r>
      <w:r>
        <w:rPr>
          <w:rStyle w:val="eop"/>
          <w:rFonts w:ascii="Arial" w:eastAsiaTheme="minorEastAsia" w:hAnsi="Arial" w:cs="Arial"/>
          <w:b/>
          <w:bCs/>
        </w:rPr>
        <w:t> </w:t>
      </w:r>
    </w:p>
    <w:p w14:paraId="6DD7FCF5" w14:textId="77777777" w:rsidR="00BB7AAE" w:rsidRPr="006050CF" w:rsidRDefault="00BB7AAE" w:rsidP="00BB7AAE">
      <w:pPr>
        <w:pStyle w:val="paragraph"/>
        <w:numPr>
          <w:ilvl w:val="0"/>
          <w:numId w:val="21"/>
        </w:numPr>
        <w:spacing w:before="0" w:beforeAutospacing="0" w:after="0" w:afterAutospacing="0"/>
        <w:ind w:left="1800" w:firstLine="0"/>
        <w:textAlignment w:val="baseline"/>
        <w:rPr>
          <w:rStyle w:val="eop"/>
          <w:rFonts w:ascii="Arial" w:hAnsi="Arial" w:cs="Arial"/>
          <w:b/>
          <w:bCs/>
          <w:color w:val="780046"/>
        </w:rPr>
      </w:pPr>
      <w:r>
        <w:rPr>
          <w:rStyle w:val="normaltextrun"/>
          <w:rFonts w:ascii="Arial" w:hAnsi="Arial" w:cs="Arial"/>
        </w:rPr>
        <w:t xml:space="preserve">Costs of running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vs. qPCR should be compared.</w:t>
      </w:r>
      <w:r>
        <w:rPr>
          <w:rStyle w:val="eop"/>
          <w:rFonts w:ascii="Arial" w:eastAsiaTheme="minorEastAsia" w:hAnsi="Arial" w:cs="Arial"/>
          <w:b/>
          <w:bCs/>
        </w:rPr>
        <w:t> </w:t>
      </w:r>
    </w:p>
    <w:p w14:paraId="5A1F98C0" w14:textId="77777777" w:rsidR="006050CF" w:rsidRDefault="006050CF" w:rsidP="006050CF">
      <w:pPr>
        <w:pStyle w:val="paragraph"/>
        <w:spacing w:before="0" w:beforeAutospacing="0" w:after="0" w:afterAutospacing="0"/>
        <w:ind w:left="1800"/>
        <w:textAlignment w:val="baseline"/>
        <w:rPr>
          <w:rFonts w:ascii="Arial" w:hAnsi="Arial" w:cs="Arial"/>
          <w:b/>
          <w:bCs/>
          <w:color w:val="780046"/>
        </w:rPr>
      </w:pPr>
    </w:p>
    <w:p w14:paraId="12103AD1" w14:textId="77777777" w:rsidR="00BB7AAE" w:rsidRDefault="00BB7AAE" w:rsidP="00BB7AAE">
      <w:pPr>
        <w:pStyle w:val="paragraph"/>
        <w:numPr>
          <w:ilvl w:val="0"/>
          <w:numId w:val="22"/>
        </w:numPr>
        <w:spacing w:before="0" w:beforeAutospacing="0" w:after="0" w:afterAutospacing="0"/>
        <w:ind w:left="1080" w:firstLine="0"/>
        <w:textAlignment w:val="baseline"/>
        <w:rPr>
          <w:rFonts w:ascii="Arial" w:hAnsi="Arial" w:cs="Arial"/>
          <w:b/>
          <w:bCs/>
          <w:color w:val="780046"/>
        </w:rPr>
      </w:pPr>
      <w:r>
        <w:rPr>
          <w:rStyle w:val="normaltextrun"/>
          <w:rFonts w:ascii="Arial" w:hAnsi="Arial" w:cs="Arial"/>
        </w:rPr>
        <w:t>Field validation</w:t>
      </w:r>
      <w:r>
        <w:rPr>
          <w:rStyle w:val="eop"/>
          <w:rFonts w:ascii="Arial" w:eastAsiaTheme="minorEastAsia" w:hAnsi="Arial" w:cs="Arial"/>
          <w:b/>
          <w:bCs/>
        </w:rPr>
        <w:t> </w:t>
      </w:r>
    </w:p>
    <w:p w14:paraId="13AD287D" w14:textId="77777777" w:rsidR="00BB7AAE" w:rsidRDefault="00BB7AAE" w:rsidP="00BB7AAE">
      <w:pPr>
        <w:pStyle w:val="paragraph"/>
        <w:numPr>
          <w:ilvl w:val="0"/>
          <w:numId w:val="23"/>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The successful contractor will design a sampling strategy to test the assay in areas of known American mink presence and absence determined via trapping in consultation with the Natural England Project Officer. At least three sites with known mink presence and three sites with known mink absence should be sampled, and field negative controls should be included.</w:t>
      </w:r>
      <w:r>
        <w:rPr>
          <w:rStyle w:val="eop"/>
          <w:rFonts w:ascii="Arial" w:eastAsiaTheme="minorEastAsia" w:hAnsi="Arial" w:cs="Arial"/>
          <w:b/>
          <w:bCs/>
        </w:rPr>
        <w:t> </w:t>
      </w:r>
    </w:p>
    <w:p w14:paraId="74F6FE9A" w14:textId="77777777" w:rsidR="00BB7AAE" w:rsidRDefault="00BB7AAE" w:rsidP="00BB7AAE">
      <w:pPr>
        <w:pStyle w:val="paragraph"/>
        <w:numPr>
          <w:ilvl w:val="0"/>
          <w:numId w:val="24"/>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lastRenderedPageBreak/>
        <w:t>Water sampling equipment, protocols and collection forms will be provided for the agreed sampling strategy by the contractor. Consideration should be given to in-field applicability (e.g. single-use filters) by Natural England staff and the need to reduce or eliminate cross-contamination in the field. Freezing samples is not generally possible so alternative methods should be considered for sample preservation prior to shipping to the laboratory. Shipping should be arranged by the contractor and sample storage and packaging instructions provided.</w:t>
      </w:r>
      <w:r>
        <w:rPr>
          <w:rStyle w:val="eop"/>
          <w:rFonts w:ascii="Arial" w:eastAsiaTheme="minorEastAsia" w:hAnsi="Arial" w:cs="Arial"/>
          <w:b/>
          <w:bCs/>
        </w:rPr>
        <w:t> </w:t>
      </w:r>
    </w:p>
    <w:p w14:paraId="429246D1" w14:textId="77777777" w:rsidR="00BB7AAE" w:rsidRDefault="00BB7AAE" w:rsidP="00BB7AAE">
      <w:pPr>
        <w:pStyle w:val="paragraph"/>
        <w:numPr>
          <w:ilvl w:val="0"/>
          <w:numId w:val="25"/>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 xml:space="preserve">The contractor will extract DNA from samples (including extraction negative controls) and analyse resulting DNA extracts with the best-performing assay using qPCR and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technology to compare detection sensitivity. At least three technical replicates per sample should be performed with both technologies for DNA amplification, and PCR positive and negative controls should be included.</w:t>
      </w:r>
      <w:r>
        <w:rPr>
          <w:rStyle w:val="eop"/>
          <w:rFonts w:ascii="Arial" w:eastAsiaTheme="minorEastAsia" w:hAnsi="Arial" w:cs="Arial"/>
          <w:b/>
          <w:bCs/>
        </w:rPr>
        <w:t> </w:t>
      </w:r>
    </w:p>
    <w:p w14:paraId="00B396EC" w14:textId="77777777" w:rsidR="00BB7AAE" w:rsidRDefault="00BB7AAE" w:rsidP="00BB7AAE">
      <w:pPr>
        <w:pStyle w:val="paragraph"/>
        <w:numPr>
          <w:ilvl w:val="0"/>
          <w:numId w:val="26"/>
        </w:numPr>
        <w:spacing w:before="0" w:beforeAutospacing="0" w:after="0" w:afterAutospacing="0"/>
        <w:ind w:left="1800" w:firstLine="0"/>
        <w:textAlignment w:val="baseline"/>
        <w:rPr>
          <w:rFonts w:ascii="Arial" w:hAnsi="Arial" w:cs="Arial"/>
          <w:b/>
          <w:bCs/>
          <w:color w:val="780046"/>
        </w:rPr>
      </w:pPr>
      <w:r>
        <w:rPr>
          <w:rStyle w:val="normaltextrun"/>
          <w:rFonts w:ascii="Arial" w:hAnsi="Arial" w:cs="Arial"/>
        </w:rPr>
        <w:t xml:space="preserve">Samples that fail to amplify should be tested for inhibition. If inhibition is identified, affected samples should treated for inhibition and retested using qPCR and </w:t>
      </w:r>
      <w:proofErr w:type="spellStart"/>
      <w:r>
        <w:rPr>
          <w:rStyle w:val="normaltextrun"/>
          <w:rFonts w:ascii="Arial" w:hAnsi="Arial" w:cs="Arial"/>
        </w:rPr>
        <w:t>ddPCR</w:t>
      </w:r>
      <w:proofErr w:type="spellEnd"/>
      <w:r>
        <w:rPr>
          <w:rStyle w:val="normaltextrun"/>
          <w:rFonts w:ascii="Arial" w:hAnsi="Arial" w:cs="Arial"/>
        </w:rPr>
        <w:t xml:space="preserve"> or </w:t>
      </w:r>
      <w:proofErr w:type="spellStart"/>
      <w:r>
        <w:rPr>
          <w:rStyle w:val="normaltextrun"/>
          <w:rFonts w:ascii="Arial" w:hAnsi="Arial" w:cs="Arial"/>
        </w:rPr>
        <w:t>dPCR</w:t>
      </w:r>
      <w:proofErr w:type="spellEnd"/>
      <w:r>
        <w:rPr>
          <w:rStyle w:val="normaltextrun"/>
          <w:rFonts w:ascii="Arial" w:hAnsi="Arial" w:cs="Arial"/>
        </w:rPr>
        <w:t xml:space="preserve"> technology.</w:t>
      </w:r>
      <w:r>
        <w:rPr>
          <w:rStyle w:val="eop"/>
          <w:rFonts w:ascii="Arial" w:eastAsiaTheme="minorEastAsia" w:hAnsi="Arial" w:cs="Arial"/>
          <w:b/>
          <w:bCs/>
        </w:rPr>
        <w:t> </w:t>
      </w:r>
    </w:p>
    <w:p w14:paraId="04B18ACB" w14:textId="77777777" w:rsidR="00BB7AAE" w:rsidRPr="00BB7AAE" w:rsidRDefault="00BB7AAE" w:rsidP="00BB7AAE">
      <w:pPr>
        <w:pStyle w:val="paragraph"/>
        <w:numPr>
          <w:ilvl w:val="0"/>
          <w:numId w:val="27"/>
        </w:numPr>
        <w:spacing w:before="0" w:beforeAutospacing="0" w:after="0" w:afterAutospacing="0"/>
        <w:ind w:left="1800" w:firstLine="0"/>
        <w:textAlignment w:val="baseline"/>
        <w:rPr>
          <w:rStyle w:val="eop"/>
          <w:rFonts w:ascii="Arial" w:hAnsi="Arial" w:cs="Arial"/>
          <w:b/>
          <w:bCs/>
          <w:color w:val="780046"/>
        </w:rPr>
      </w:pPr>
      <w:r>
        <w:rPr>
          <w:rStyle w:val="normaltextrun"/>
          <w:rFonts w:ascii="Arial" w:hAnsi="Arial" w:cs="Arial"/>
        </w:rPr>
        <w:t>Positive samples should be sequenced to confirm species identity.</w:t>
      </w:r>
      <w:r>
        <w:rPr>
          <w:rStyle w:val="eop"/>
          <w:rFonts w:ascii="Arial" w:eastAsiaTheme="minorEastAsia" w:hAnsi="Arial" w:cs="Arial"/>
          <w:b/>
          <w:bCs/>
        </w:rPr>
        <w:t> </w:t>
      </w:r>
    </w:p>
    <w:p w14:paraId="3447097F" w14:textId="77777777" w:rsidR="00BB7AAE" w:rsidRDefault="00BB7AAE" w:rsidP="00BB7AAE">
      <w:pPr>
        <w:pStyle w:val="paragraph"/>
        <w:spacing w:before="0" w:beforeAutospacing="0" w:after="0" w:afterAutospacing="0"/>
        <w:ind w:left="1800"/>
        <w:textAlignment w:val="baseline"/>
        <w:rPr>
          <w:rFonts w:ascii="Arial" w:hAnsi="Arial" w:cs="Arial"/>
          <w:b/>
          <w:bCs/>
          <w:color w:val="780046"/>
        </w:rPr>
      </w:pPr>
    </w:p>
    <w:p w14:paraId="2A2643EC" w14:textId="16E60528" w:rsidR="00BB7AAE" w:rsidRDefault="00BB7AAE" w:rsidP="00BB7AA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results should be compiled into a final detailed report</w:t>
      </w:r>
      <w:r w:rsidR="004C4D6D">
        <w:rPr>
          <w:rStyle w:val="normaltextrun"/>
          <w:rFonts w:ascii="Arial" w:hAnsi="Arial" w:cs="Arial"/>
        </w:rPr>
        <w:t>.</w:t>
      </w:r>
    </w:p>
    <w:p w14:paraId="19088039" w14:textId="77777777" w:rsidR="00BB7AAE" w:rsidRDefault="00BB7AAE" w:rsidP="00BB7AAE">
      <w:pPr>
        <w:pStyle w:val="paragraph"/>
        <w:spacing w:before="0" w:beforeAutospacing="0" w:after="0" w:afterAutospacing="0"/>
        <w:textAlignment w:val="baseline"/>
        <w:rPr>
          <w:rFonts w:ascii="Segoe UI" w:hAnsi="Segoe UI" w:cs="Segoe UI"/>
          <w:b/>
          <w:bCs/>
          <w:color w:val="780046"/>
          <w:sz w:val="18"/>
          <w:szCs w:val="18"/>
        </w:rPr>
      </w:pPr>
      <w:r>
        <w:rPr>
          <w:rStyle w:val="eop"/>
          <w:rFonts w:ascii="Arial" w:eastAsiaTheme="minorEastAsia" w:hAnsi="Arial" w:cs="Arial"/>
          <w:b/>
          <w:bCs/>
          <w:sz w:val="26"/>
          <w:szCs w:val="26"/>
        </w:rPr>
        <w:t> </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263C11D5"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13214FEA" w:rsidR="00137FF0" w:rsidRPr="00852203" w:rsidRDefault="00A87CE3">
            <w:pPr>
              <w:tabs>
                <w:tab w:val="left" w:pos="709"/>
              </w:tabs>
              <w:spacing w:after="120"/>
              <w:jc w:val="center"/>
              <w:rPr>
                <w:rFonts w:ascii="Arial" w:eastAsia="Arial" w:hAnsi="Arial" w:cs="Arial"/>
                <w:b/>
                <w:color w:val="000000"/>
                <w:sz w:val="18"/>
                <w:szCs w:val="18"/>
              </w:rPr>
            </w:pPr>
            <w:r>
              <w:rPr>
                <w:rFonts w:ascii="Arial" w:eastAsia="Arial" w:hAnsi="Arial" w:cs="Arial"/>
                <w:b/>
                <w:color w:val="000000"/>
                <w:sz w:val="18"/>
                <w:szCs w:val="18"/>
              </w:rPr>
              <w:t>[  ]</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5C06D82E" w:rsidR="00137FF0" w:rsidRPr="00137FF0" w:rsidRDefault="00A87CE3">
            <w:pPr>
              <w:tabs>
                <w:tab w:val="left" w:pos="709"/>
              </w:tabs>
              <w:spacing w:after="120"/>
              <w:jc w:val="center"/>
              <w:rPr>
                <w:rFonts w:ascii="Arial" w:eastAsia="Arial" w:hAnsi="Arial" w:cs="Arial"/>
                <w:color w:val="000000"/>
                <w:sz w:val="18"/>
                <w:szCs w:val="18"/>
              </w:rPr>
            </w:pPr>
            <w:r>
              <w:rPr>
                <w:rFonts w:ascii="Arial" w:eastAsia="Arial" w:hAnsi="Arial" w:cs="Arial"/>
                <w:b/>
                <w:color w:val="000000"/>
                <w:sz w:val="18"/>
                <w:szCs w:val="18"/>
              </w:rPr>
              <w:t>[  ]</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9D31971"/>
    <w:multiLevelType w:val="multilevel"/>
    <w:tmpl w:val="993E6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256B9"/>
    <w:multiLevelType w:val="multilevel"/>
    <w:tmpl w:val="71CE6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130DB1"/>
    <w:multiLevelType w:val="multilevel"/>
    <w:tmpl w:val="F0A47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FE65C9"/>
    <w:multiLevelType w:val="multilevel"/>
    <w:tmpl w:val="2A567B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160842"/>
    <w:multiLevelType w:val="multilevel"/>
    <w:tmpl w:val="1204A28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46327"/>
    <w:multiLevelType w:val="multilevel"/>
    <w:tmpl w:val="33A6D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006A1"/>
    <w:multiLevelType w:val="multilevel"/>
    <w:tmpl w:val="0756BF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2971F6"/>
    <w:multiLevelType w:val="multilevel"/>
    <w:tmpl w:val="686C6E5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4" w15:restartNumberingAfterBreak="0">
    <w:nsid w:val="3BCF2721"/>
    <w:multiLevelType w:val="multilevel"/>
    <w:tmpl w:val="9C98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793DC9"/>
    <w:multiLevelType w:val="multilevel"/>
    <w:tmpl w:val="13C824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E6B09"/>
    <w:multiLevelType w:val="multilevel"/>
    <w:tmpl w:val="F3E2D8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52A0F99"/>
    <w:multiLevelType w:val="multilevel"/>
    <w:tmpl w:val="1A604A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43670B5"/>
    <w:multiLevelType w:val="multilevel"/>
    <w:tmpl w:val="1F6A8A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3" w15:restartNumberingAfterBreak="0">
    <w:nsid w:val="60C24BBD"/>
    <w:multiLevelType w:val="multilevel"/>
    <w:tmpl w:val="97C4C7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E9232E1"/>
    <w:multiLevelType w:val="multilevel"/>
    <w:tmpl w:val="61C2B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20"/>
  </w:num>
  <w:num w:numId="2" w16cid:durableId="48959668">
    <w:abstractNumId w:val="11"/>
  </w:num>
  <w:num w:numId="3" w16cid:durableId="1865634184">
    <w:abstractNumId w:val="7"/>
  </w:num>
  <w:num w:numId="4" w16cid:durableId="1817600806">
    <w:abstractNumId w:val="16"/>
  </w:num>
  <w:num w:numId="5" w16cid:durableId="1411125109">
    <w:abstractNumId w:val="3"/>
  </w:num>
  <w:num w:numId="6" w16cid:durableId="1032612986">
    <w:abstractNumId w:val="21"/>
  </w:num>
  <w:num w:numId="7" w16cid:durableId="57559465">
    <w:abstractNumId w:val="24"/>
  </w:num>
  <w:num w:numId="8" w16cid:durableId="1106075539">
    <w:abstractNumId w:val="22"/>
  </w:num>
  <w:num w:numId="9" w16cid:durableId="385764938">
    <w:abstractNumId w:val="0"/>
  </w:num>
  <w:num w:numId="10" w16cid:durableId="1917786695">
    <w:abstractNumId w:val="26"/>
  </w:num>
  <w:num w:numId="11" w16cid:durableId="2083286213">
    <w:abstractNumId w:val="9"/>
  </w:num>
  <w:num w:numId="12" w16cid:durableId="241069624">
    <w:abstractNumId w:val="13"/>
  </w:num>
  <w:num w:numId="13" w16cid:durableId="355153125">
    <w:abstractNumId w:val="14"/>
  </w:num>
  <w:num w:numId="14" w16cid:durableId="1966964210">
    <w:abstractNumId w:val="25"/>
  </w:num>
  <w:num w:numId="15" w16cid:durableId="69236401">
    <w:abstractNumId w:val="23"/>
  </w:num>
  <w:num w:numId="16" w16cid:durableId="1503272773">
    <w:abstractNumId w:val="5"/>
  </w:num>
  <w:num w:numId="17" w16cid:durableId="1683048713">
    <w:abstractNumId w:val="12"/>
  </w:num>
  <w:num w:numId="18" w16cid:durableId="1466969642">
    <w:abstractNumId w:val="8"/>
  </w:num>
  <w:num w:numId="19" w16cid:durableId="596211730">
    <w:abstractNumId w:val="19"/>
  </w:num>
  <w:num w:numId="20" w16cid:durableId="1569147498">
    <w:abstractNumId w:val="15"/>
  </w:num>
  <w:num w:numId="21" w16cid:durableId="828986416">
    <w:abstractNumId w:val="18"/>
  </w:num>
  <w:num w:numId="22" w16cid:durableId="1402175380">
    <w:abstractNumId w:val="1"/>
  </w:num>
  <w:num w:numId="23" w16cid:durableId="101921089">
    <w:abstractNumId w:val="4"/>
  </w:num>
  <w:num w:numId="24" w16cid:durableId="1005519675">
    <w:abstractNumId w:val="2"/>
  </w:num>
  <w:num w:numId="25" w16cid:durableId="1557931720">
    <w:abstractNumId w:val="17"/>
  </w:num>
  <w:num w:numId="26" w16cid:durableId="880288855">
    <w:abstractNumId w:val="6"/>
  </w:num>
  <w:num w:numId="27" w16cid:durableId="480730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943DB"/>
    <w:rsid w:val="000D3162"/>
    <w:rsid w:val="000D4BA5"/>
    <w:rsid w:val="000D6A64"/>
    <w:rsid w:val="000E216C"/>
    <w:rsid w:val="000E22F5"/>
    <w:rsid w:val="000E2930"/>
    <w:rsid w:val="000E43D4"/>
    <w:rsid w:val="000F09D0"/>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0D6C"/>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76FF8"/>
    <w:rsid w:val="00495AF2"/>
    <w:rsid w:val="004A3885"/>
    <w:rsid w:val="004A78E6"/>
    <w:rsid w:val="004C4D6D"/>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1BD6"/>
    <w:rsid w:val="005B638C"/>
    <w:rsid w:val="005B7BA0"/>
    <w:rsid w:val="005D7E88"/>
    <w:rsid w:val="005E3AB1"/>
    <w:rsid w:val="005F21B0"/>
    <w:rsid w:val="006050CF"/>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D47EB"/>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A5555"/>
    <w:rsid w:val="009C2213"/>
    <w:rsid w:val="009D34BD"/>
    <w:rsid w:val="009D51E3"/>
    <w:rsid w:val="009D6BFB"/>
    <w:rsid w:val="009E4387"/>
    <w:rsid w:val="009F6829"/>
    <w:rsid w:val="009F7160"/>
    <w:rsid w:val="00A1327E"/>
    <w:rsid w:val="00A14AE1"/>
    <w:rsid w:val="00A242C1"/>
    <w:rsid w:val="00A348D3"/>
    <w:rsid w:val="00A81221"/>
    <w:rsid w:val="00A81E57"/>
    <w:rsid w:val="00A82FE8"/>
    <w:rsid w:val="00A87CE3"/>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B7AAE"/>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1AFE"/>
    <w:rsid w:val="00E25618"/>
    <w:rsid w:val="00E3048C"/>
    <w:rsid w:val="00E31A41"/>
    <w:rsid w:val="00E42D4F"/>
    <w:rsid w:val="00E4362A"/>
    <w:rsid w:val="00E567F8"/>
    <w:rsid w:val="00E71E78"/>
    <w:rsid w:val="00E72C17"/>
    <w:rsid w:val="00E747E2"/>
    <w:rsid w:val="00E767AE"/>
    <w:rsid w:val="00E76D6F"/>
    <w:rsid w:val="00E820ED"/>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94D24"/>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unhideWhenUsed/>
    <w:rsid w:val="003561B6"/>
    <w:pPr>
      <w:spacing w:after="120"/>
    </w:pPr>
  </w:style>
  <w:style w:type="character" w:customStyle="1" w:styleId="BodyTextChar">
    <w:name w:val="Body Text Char"/>
    <w:basedOn w:val="DefaultParagraphFont"/>
    <w:link w:val="BodyText"/>
    <w:uiPriority w:val="99"/>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BB7AAE"/>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BB7AAE"/>
  </w:style>
  <w:style w:type="character" w:customStyle="1" w:styleId="eop">
    <w:name w:val="eop"/>
    <w:basedOn w:val="DefaultParagraphFont"/>
    <w:rsid w:val="00BB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68925089">
      <w:bodyDiv w:val="1"/>
      <w:marLeft w:val="0"/>
      <w:marRight w:val="0"/>
      <w:marTop w:val="0"/>
      <w:marBottom w:val="0"/>
      <w:divBdr>
        <w:top w:val="none" w:sz="0" w:space="0" w:color="auto"/>
        <w:left w:val="none" w:sz="0" w:space="0" w:color="auto"/>
        <w:bottom w:val="none" w:sz="0" w:space="0" w:color="auto"/>
        <w:right w:val="none" w:sz="0" w:space="0" w:color="auto"/>
      </w:divBdr>
      <w:divsChild>
        <w:div w:id="1549678955">
          <w:marLeft w:val="0"/>
          <w:marRight w:val="0"/>
          <w:marTop w:val="0"/>
          <w:marBottom w:val="0"/>
          <w:divBdr>
            <w:top w:val="none" w:sz="0" w:space="0" w:color="auto"/>
            <w:left w:val="none" w:sz="0" w:space="0" w:color="auto"/>
            <w:bottom w:val="none" w:sz="0" w:space="0" w:color="auto"/>
            <w:right w:val="none" w:sz="0" w:space="0" w:color="auto"/>
          </w:divBdr>
        </w:div>
        <w:div w:id="1374962267">
          <w:marLeft w:val="0"/>
          <w:marRight w:val="0"/>
          <w:marTop w:val="0"/>
          <w:marBottom w:val="0"/>
          <w:divBdr>
            <w:top w:val="none" w:sz="0" w:space="0" w:color="auto"/>
            <w:left w:val="none" w:sz="0" w:space="0" w:color="auto"/>
            <w:bottom w:val="none" w:sz="0" w:space="0" w:color="auto"/>
            <w:right w:val="none" w:sz="0" w:space="0" w:color="auto"/>
          </w:divBdr>
        </w:div>
        <w:div w:id="1127314917">
          <w:marLeft w:val="0"/>
          <w:marRight w:val="0"/>
          <w:marTop w:val="0"/>
          <w:marBottom w:val="0"/>
          <w:divBdr>
            <w:top w:val="none" w:sz="0" w:space="0" w:color="auto"/>
            <w:left w:val="none" w:sz="0" w:space="0" w:color="auto"/>
            <w:bottom w:val="none" w:sz="0" w:space="0" w:color="auto"/>
            <w:right w:val="none" w:sz="0" w:space="0" w:color="auto"/>
          </w:divBdr>
        </w:div>
        <w:div w:id="1902012321">
          <w:marLeft w:val="0"/>
          <w:marRight w:val="0"/>
          <w:marTop w:val="0"/>
          <w:marBottom w:val="0"/>
          <w:divBdr>
            <w:top w:val="none" w:sz="0" w:space="0" w:color="auto"/>
            <w:left w:val="none" w:sz="0" w:space="0" w:color="auto"/>
            <w:bottom w:val="none" w:sz="0" w:space="0" w:color="auto"/>
            <w:right w:val="none" w:sz="0" w:space="0" w:color="auto"/>
          </w:divBdr>
        </w:div>
        <w:div w:id="629092634">
          <w:marLeft w:val="0"/>
          <w:marRight w:val="0"/>
          <w:marTop w:val="0"/>
          <w:marBottom w:val="0"/>
          <w:divBdr>
            <w:top w:val="none" w:sz="0" w:space="0" w:color="auto"/>
            <w:left w:val="none" w:sz="0" w:space="0" w:color="auto"/>
            <w:bottom w:val="none" w:sz="0" w:space="0" w:color="auto"/>
            <w:right w:val="none" w:sz="0" w:space="0" w:color="auto"/>
          </w:divBdr>
        </w:div>
        <w:div w:id="1076702551">
          <w:marLeft w:val="0"/>
          <w:marRight w:val="0"/>
          <w:marTop w:val="0"/>
          <w:marBottom w:val="0"/>
          <w:divBdr>
            <w:top w:val="none" w:sz="0" w:space="0" w:color="auto"/>
            <w:left w:val="none" w:sz="0" w:space="0" w:color="auto"/>
            <w:bottom w:val="none" w:sz="0" w:space="0" w:color="auto"/>
            <w:right w:val="none" w:sz="0" w:space="0" w:color="auto"/>
          </w:divBdr>
        </w:div>
        <w:div w:id="1743218255">
          <w:marLeft w:val="0"/>
          <w:marRight w:val="0"/>
          <w:marTop w:val="0"/>
          <w:marBottom w:val="0"/>
          <w:divBdr>
            <w:top w:val="none" w:sz="0" w:space="0" w:color="auto"/>
            <w:left w:val="none" w:sz="0" w:space="0" w:color="auto"/>
            <w:bottom w:val="none" w:sz="0" w:space="0" w:color="auto"/>
            <w:right w:val="none" w:sz="0" w:space="0" w:color="auto"/>
          </w:divBdr>
          <w:divsChild>
            <w:div w:id="1856991045">
              <w:marLeft w:val="0"/>
              <w:marRight w:val="0"/>
              <w:marTop w:val="0"/>
              <w:marBottom w:val="0"/>
              <w:divBdr>
                <w:top w:val="none" w:sz="0" w:space="0" w:color="auto"/>
                <w:left w:val="none" w:sz="0" w:space="0" w:color="auto"/>
                <w:bottom w:val="none" w:sz="0" w:space="0" w:color="auto"/>
                <w:right w:val="none" w:sz="0" w:space="0" w:color="auto"/>
              </w:divBdr>
            </w:div>
            <w:div w:id="1612742330">
              <w:marLeft w:val="0"/>
              <w:marRight w:val="0"/>
              <w:marTop w:val="0"/>
              <w:marBottom w:val="0"/>
              <w:divBdr>
                <w:top w:val="none" w:sz="0" w:space="0" w:color="auto"/>
                <w:left w:val="none" w:sz="0" w:space="0" w:color="auto"/>
                <w:bottom w:val="none" w:sz="0" w:space="0" w:color="auto"/>
                <w:right w:val="none" w:sz="0" w:space="0" w:color="auto"/>
              </w:divBdr>
            </w:div>
            <w:div w:id="1122577880">
              <w:marLeft w:val="0"/>
              <w:marRight w:val="0"/>
              <w:marTop w:val="0"/>
              <w:marBottom w:val="0"/>
              <w:divBdr>
                <w:top w:val="none" w:sz="0" w:space="0" w:color="auto"/>
                <w:left w:val="none" w:sz="0" w:space="0" w:color="auto"/>
                <w:bottom w:val="none" w:sz="0" w:space="0" w:color="auto"/>
                <w:right w:val="none" w:sz="0" w:space="0" w:color="auto"/>
              </w:divBdr>
            </w:div>
            <w:div w:id="1209991704">
              <w:marLeft w:val="0"/>
              <w:marRight w:val="0"/>
              <w:marTop w:val="0"/>
              <w:marBottom w:val="0"/>
              <w:divBdr>
                <w:top w:val="none" w:sz="0" w:space="0" w:color="auto"/>
                <w:left w:val="none" w:sz="0" w:space="0" w:color="auto"/>
                <w:bottom w:val="none" w:sz="0" w:space="0" w:color="auto"/>
                <w:right w:val="none" w:sz="0" w:space="0" w:color="auto"/>
              </w:divBdr>
            </w:div>
            <w:div w:id="1312321729">
              <w:marLeft w:val="0"/>
              <w:marRight w:val="0"/>
              <w:marTop w:val="0"/>
              <w:marBottom w:val="0"/>
              <w:divBdr>
                <w:top w:val="none" w:sz="0" w:space="0" w:color="auto"/>
                <w:left w:val="none" w:sz="0" w:space="0" w:color="auto"/>
                <w:bottom w:val="none" w:sz="0" w:space="0" w:color="auto"/>
                <w:right w:val="none" w:sz="0" w:space="0" w:color="auto"/>
              </w:divBdr>
            </w:div>
            <w:div w:id="1774667283">
              <w:marLeft w:val="0"/>
              <w:marRight w:val="0"/>
              <w:marTop w:val="0"/>
              <w:marBottom w:val="0"/>
              <w:divBdr>
                <w:top w:val="none" w:sz="0" w:space="0" w:color="auto"/>
                <w:left w:val="none" w:sz="0" w:space="0" w:color="auto"/>
                <w:bottom w:val="none" w:sz="0" w:space="0" w:color="auto"/>
                <w:right w:val="none" w:sz="0" w:space="0" w:color="auto"/>
              </w:divBdr>
            </w:div>
            <w:div w:id="2108110971">
              <w:marLeft w:val="0"/>
              <w:marRight w:val="0"/>
              <w:marTop w:val="0"/>
              <w:marBottom w:val="0"/>
              <w:divBdr>
                <w:top w:val="none" w:sz="0" w:space="0" w:color="auto"/>
                <w:left w:val="none" w:sz="0" w:space="0" w:color="auto"/>
                <w:bottom w:val="none" w:sz="0" w:space="0" w:color="auto"/>
                <w:right w:val="none" w:sz="0" w:space="0" w:color="auto"/>
              </w:divBdr>
            </w:div>
            <w:div w:id="1147210219">
              <w:marLeft w:val="0"/>
              <w:marRight w:val="0"/>
              <w:marTop w:val="0"/>
              <w:marBottom w:val="0"/>
              <w:divBdr>
                <w:top w:val="none" w:sz="0" w:space="0" w:color="auto"/>
                <w:left w:val="none" w:sz="0" w:space="0" w:color="auto"/>
                <w:bottom w:val="none" w:sz="0" w:space="0" w:color="auto"/>
                <w:right w:val="none" w:sz="0" w:space="0" w:color="auto"/>
              </w:divBdr>
            </w:div>
            <w:div w:id="1543444700">
              <w:marLeft w:val="0"/>
              <w:marRight w:val="0"/>
              <w:marTop w:val="0"/>
              <w:marBottom w:val="0"/>
              <w:divBdr>
                <w:top w:val="none" w:sz="0" w:space="0" w:color="auto"/>
                <w:left w:val="none" w:sz="0" w:space="0" w:color="auto"/>
                <w:bottom w:val="none" w:sz="0" w:space="0" w:color="auto"/>
                <w:right w:val="none" w:sz="0" w:space="0" w:color="auto"/>
              </w:divBdr>
            </w:div>
            <w:div w:id="703137166">
              <w:marLeft w:val="0"/>
              <w:marRight w:val="0"/>
              <w:marTop w:val="0"/>
              <w:marBottom w:val="0"/>
              <w:divBdr>
                <w:top w:val="none" w:sz="0" w:space="0" w:color="auto"/>
                <w:left w:val="none" w:sz="0" w:space="0" w:color="auto"/>
                <w:bottom w:val="none" w:sz="0" w:space="0" w:color="auto"/>
                <w:right w:val="none" w:sz="0" w:space="0" w:color="auto"/>
              </w:divBdr>
            </w:div>
            <w:div w:id="928853891">
              <w:marLeft w:val="0"/>
              <w:marRight w:val="0"/>
              <w:marTop w:val="0"/>
              <w:marBottom w:val="0"/>
              <w:divBdr>
                <w:top w:val="none" w:sz="0" w:space="0" w:color="auto"/>
                <w:left w:val="none" w:sz="0" w:space="0" w:color="auto"/>
                <w:bottom w:val="none" w:sz="0" w:space="0" w:color="auto"/>
                <w:right w:val="none" w:sz="0" w:space="0" w:color="auto"/>
              </w:divBdr>
            </w:div>
            <w:div w:id="161896609">
              <w:marLeft w:val="0"/>
              <w:marRight w:val="0"/>
              <w:marTop w:val="0"/>
              <w:marBottom w:val="0"/>
              <w:divBdr>
                <w:top w:val="none" w:sz="0" w:space="0" w:color="auto"/>
                <w:left w:val="none" w:sz="0" w:space="0" w:color="auto"/>
                <w:bottom w:val="none" w:sz="0" w:space="0" w:color="auto"/>
                <w:right w:val="none" w:sz="0" w:space="0" w:color="auto"/>
              </w:divBdr>
            </w:div>
            <w:div w:id="301663274">
              <w:marLeft w:val="0"/>
              <w:marRight w:val="0"/>
              <w:marTop w:val="0"/>
              <w:marBottom w:val="0"/>
              <w:divBdr>
                <w:top w:val="none" w:sz="0" w:space="0" w:color="auto"/>
                <w:left w:val="none" w:sz="0" w:space="0" w:color="auto"/>
                <w:bottom w:val="none" w:sz="0" w:space="0" w:color="auto"/>
                <w:right w:val="none" w:sz="0" w:space="0" w:color="auto"/>
              </w:divBdr>
            </w:div>
            <w:div w:id="53743674">
              <w:marLeft w:val="0"/>
              <w:marRight w:val="0"/>
              <w:marTop w:val="0"/>
              <w:marBottom w:val="0"/>
              <w:divBdr>
                <w:top w:val="none" w:sz="0" w:space="0" w:color="auto"/>
                <w:left w:val="none" w:sz="0" w:space="0" w:color="auto"/>
                <w:bottom w:val="none" w:sz="0" w:space="0" w:color="auto"/>
                <w:right w:val="none" w:sz="0" w:space="0" w:color="auto"/>
              </w:divBdr>
            </w:div>
            <w:div w:id="767771917">
              <w:marLeft w:val="0"/>
              <w:marRight w:val="0"/>
              <w:marTop w:val="0"/>
              <w:marBottom w:val="0"/>
              <w:divBdr>
                <w:top w:val="none" w:sz="0" w:space="0" w:color="auto"/>
                <w:left w:val="none" w:sz="0" w:space="0" w:color="auto"/>
                <w:bottom w:val="none" w:sz="0" w:space="0" w:color="auto"/>
                <w:right w:val="none" w:sz="0" w:space="0" w:color="auto"/>
              </w:divBdr>
            </w:div>
            <w:div w:id="928388321">
              <w:marLeft w:val="0"/>
              <w:marRight w:val="0"/>
              <w:marTop w:val="0"/>
              <w:marBottom w:val="0"/>
              <w:divBdr>
                <w:top w:val="none" w:sz="0" w:space="0" w:color="auto"/>
                <w:left w:val="none" w:sz="0" w:space="0" w:color="auto"/>
                <w:bottom w:val="none" w:sz="0" w:space="0" w:color="auto"/>
                <w:right w:val="none" w:sz="0" w:space="0" w:color="auto"/>
              </w:divBdr>
            </w:div>
            <w:div w:id="204953067">
              <w:marLeft w:val="0"/>
              <w:marRight w:val="0"/>
              <w:marTop w:val="0"/>
              <w:marBottom w:val="0"/>
              <w:divBdr>
                <w:top w:val="none" w:sz="0" w:space="0" w:color="auto"/>
                <w:left w:val="none" w:sz="0" w:space="0" w:color="auto"/>
                <w:bottom w:val="none" w:sz="0" w:space="0" w:color="auto"/>
                <w:right w:val="none" w:sz="0" w:space="0" w:color="auto"/>
              </w:divBdr>
            </w:div>
            <w:div w:id="26873417">
              <w:marLeft w:val="0"/>
              <w:marRight w:val="0"/>
              <w:marTop w:val="0"/>
              <w:marBottom w:val="0"/>
              <w:divBdr>
                <w:top w:val="none" w:sz="0" w:space="0" w:color="auto"/>
                <w:left w:val="none" w:sz="0" w:space="0" w:color="auto"/>
                <w:bottom w:val="none" w:sz="0" w:space="0" w:color="auto"/>
                <w:right w:val="none" w:sz="0" w:space="0" w:color="auto"/>
              </w:divBdr>
            </w:div>
            <w:div w:id="1385913004">
              <w:marLeft w:val="0"/>
              <w:marRight w:val="0"/>
              <w:marTop w:val="0"/>
              <w:marBottom w:val="0"/>
              <w:divBdr>
                <w:top w:val="none" w:sz="0" w:space="0" w:color="auto"/>
                <w:left w:val="none" w:sz="0" w:space="0" w:color="auto"/>
                <w:bottom w:val="none" w:sz="0" w:space="0" w:color="auto"/>
                <w:right w:val="none" w:sz="0" w:space="0" w:color="auto"/>
              </w:divBdr>
            </w:div>
            <w:div w:id="734468834">
              <w:marLeft w:val="0"/>
              <w:marRight w:val="0"/>
              <w:marTop w:val="0"/>
              <w:marBottom w:val="0"/>
              <w:divBdr>
                <w:top w:val="none" w:sz="0" w:space="0" w:color="auto"/>
                <w:left w:val="none" w:sz="0" w:space="0" w:color="auto"/>
                <w:bottom w:val="none" w:sz="0" w:space="0" w:color="auto"/>
                <w:right w:val="none" w:sz="0" w:space="0" w:color="auto"/>
              </w:divBdr>
            </w:div>
          </w:divsChild>
        </w:div>
        <w:div w:id="2082941008">
          <w:marLeft w:val="0"/>
          <w:marRight w:val="0"/>
          <w:marTop w:val="0"/>
          <w:marBottom w:val="0"/>
          <w:divBdr>
            <w:top w:val="none" w:sz="0" w:space="0" w:color="auto"/>
            <w:left w:val="none" w:sz="0" w:space="0" w:color="auto"/>
            <w:bottom w:val="none" w:sz="0" w:space="0" w:color="auto"/>
            <w:right w:val="none" w:sz="0" w:space="0" w:color="auto"/>
          </w:divBdr>
        </w:div>
        <w:div w:id="156312041">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nie.iviso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Ivison, Annie</cp:lastModifiedBy>
  <cp:revision>9</cp:revision>
  <dcterms:created xsi:type="dcterms:W3CDTF">2024-08-22T10:00:00Z</dcterms:created>
  <dcterms:modified xsi:type="dcterms:W3CDTF">2024-08-22T10:43:00Z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