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BC" w:rsidRDefault="007C40BC" w:rsidP="007C40BC">
      <w:bookmarkStart w:id="0" w:name="_GoBack"/>
      <w:bookmarkEnd w:id="0"/>
    </w:p>
    <w:p w:rsidR="002A3C07" w:rsidRPr="00794744" w:rsidRDefault="00FA45A3" w:rsidP="00746586">
      <w:pPr>
        <w:pStyle w:val="Title"/>
        <w:rPr>
          <w:color w:val="auto"/>
        </w:rPr>
      </w:pPr>
      <w:r w:rsidRPr="00794744">
        <w:rPr>
          <w:color w:val="auto"/>
        </w:rPr>
        <w:t>T</w:t>
      </w:r>
      <w:r w:rsidR="00746586" w:rsidRPr="00794744">
        <w:rPr>
          <w:color w:val="auto"/>
        </w:rPr>
        <w:t>hird-Party</w:t>
      </w:r>
      <w:r w:rsidRPr="00794744">
        <w:rPr>
          <w:color w:val="auto"/>
        </w:rPr>
        <w:t xml:space="preserve"> </w:t>
      </w:r>
      <w:r w:rsidR="00746586" w:rsidRPr="00794744">
        <w:rPr>
          <w:color w:val="auto"/>
        </w:rPr>
        <w:t>Grants Research</w:t>
      </w:r>
    </w:p>
    <w:p w:rsidR="00746586" w:rsidRPr="00746586" w:rsidRDefault="00746586" w:rsidP="00746586"/>
    <w:p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rsidR="007C40BC" w:rsidRPr="009E6389"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746586">
        <w:rPr>
          <w:rStyle w:val="Strong"/>
        </w:rPr>
        <w:t>Third-Party Grants Research</w:t>
      </w:r>
    </w:p>
    <w:p w:rsidR="007C40BC" w:rsidRDefault="007C40BC" w:rsidP="007C40BC">
      <w:pPr>
        <w:tabs>
          <w:tab w:val="left" w:pos="567"/>
          <w:tab w:val="left" w:pos="4111"/>
        </w:tabs>
        <w:spacing w:after="240"/>
        <w:ind w:left="4110" w:hanging="4110"/>
      </w:pPr>
      <w:r w:rsidRPr="00A87B76">
        <w:rPr>
          <w:b/>
        </w:rPr>
        <w:t>Brief description of supply</w:t>
      </w:r>
      <w:r w:rsidRPr="00B230B6">
        <w:tab/>
      </w:r>
      <w:proofErr w:type="gramStart"/>
      <w:r w:rsidR="00746586">
        <w:t>To</w:t>
      </w:r>
      <w:proofErr w:type="gramEnd"/>
      <w:r w:rsidR="00746586">
        <w:t xml:space="preserve"> assess the extent, nature, </w:t>
      </w:r>
      <w:r w:rsidR="00910375">
        <w:t>management</w:t>
      </w:r>
      <w:r w:rsidR="00746586">
        <w:t xml:space="preserve"> and effectiveness of </w:t>
      </w:r>
      <w:r w:rsidR="00FA45A3">
        <w:t>third-</w:t>
      </w:r>
      <w:r w:rsidR="00746586">
        <w:t>party</w:t>
      </w:r>
      <w:r w:rsidR="00FA45A3">
        <w:t xml:space="preserve"> </w:t>
      </w:r>
      <w:r w:rsidR="00746586">
        <w:t>grant schemes within HLF</w:t>
      </w:r>
      <w:r w:rsidR="00910375">
        <w:t xml:space="preserve"> g</w:t>
      </w:r>
      <w:r w:rsidR="00746586">
        <w:t xml:space="preserve">rant programmes </w:t>
      </w:r>
    </w:p>
    <w:p w:rsidR="007C40BC" w:rsidRDefault="007C40BC" w:rsidP="007C40BC">
      <w:pPr>
        <w:tabs>
          <w:tab w:val="left" w:pos="567"/>
          <w:tab w:val="left" w:pos="4111"/>
        </w:tabs>
        <w:spacing w:after="240"/>
      </w:pPr>
      <w:r>
        <w:rPr>
          <w:b/>
        </w:rPr>
        <w:t>Estimated v</w:t>
      </w:r>
      <w:r w:rsidRPr="00A87B76">
        <w:rPr>
          <w:b/>
        </w:rPr>
        <w:t>alue of tender</w:t>
      </w:r>
      <w:r w:rsidRPr="00B230B6">
        <w:tab/>
      </w:r>
      <w:r w:rsidR="007E0F7F">
        <w:t>£2</w:t>
      </w:r>
      <w:r w:rsidR="00746586">
        <w:t xml:space="preserve">0,000 including expenses </w:t>
      </w:r>
      <w:r w:rsidR="00E05980">
        <w:t>and</w:t>
      </w:r>
      <w:r w:rsidR="00746586">
        <w:t xml:space="preserve"> V</w:t>
      </w:r>
      <w:r w:rsidR="0063721C">
        <w:t>AT</w:t>
      </w:r>
    </w:p>
    <w:p w:rsidR="00617D51" w:rsidRDefault="007C40BC" w:rsidP="007C40BC">
      <w:pPr>
        <w:tabs>
          <w:tab w:val="left" w:pos="567"/>
          <w:tab w:val="left" w:pos="4111"/>
        </w:tabs>
        <w:spacing w:after="240"/>
      </w:pPr>
      <w:r w:rsidRPr="00A87B76">
        <w:rPr>
          <w:b/>
        </w:rPr>
        <w:t xml:space="preserve">Estimated </w:t>
      </w:r>
      <w:r>
        <w:rPr>
          <w:b/>
        </w:rPr>
        <w:t>duration</w:t>
      </w:r>
      <w:r w:rsidRPr="00B230B6">
        <w:tab/>
      </w:r>
      <w:r w:rsidR="00746586">
        <w:t>4 months</w:t>
      </w:r>
    </w:p>
    <w:p w:rsidR="007C40BC" w:rsidRDefault="007C40BC" w:rsidP="007C40BC">
      <w:pPr>
        <w:tabs>
          <w:tab w:val="left" w:pos="567"/>
          <w:tab w:val="left" w:pos="4111"/>
        </w:tabs>
        <w:spacing w:after="240"/>
      </w:pPr>
      <w:r w:rsidRPr="00A87B76">
        <w:rPr>
          <w:b/>
        </w:rPr>
        <w:t xml:space="preserve">Name of </w:t>
      </w:r>
      <w:r>
        <w:rPr>
          <w:b/>
        </w:rPr>
        <w:t>HL</w:t>
      </w:r>
      <w:r w:rsidRPr="00A87B76">
        <w:rPr>
          <w:b/>
        </w:rPr>
        <w:t>F Contact</w:t>
      </w:r>
      <w:r w:rsidRPr="00EE3B0C">
        <w:tab/>
      </w:r>
      <w:r w:rsidR="00746586">
        <w:t>Third-Party Grants Research</w:t>
      </w:r>
    </w:p>
    <w:p w:rsidR="00C064D2" w:rsidRDefault="007C40BC" w:rsidP="00C064D2">
      <w:pPr>
        <w:tabs>
          <w:tab w:val="left" w:pos="4111"/>
        </w:tabs>
        <w:spacing w:after="240"/>
        <w:ind w:left="4111" w:hanging="4111"/>
      </w:pPr>
      <w:r w:rsidRPr="008A4DA4">
        <w:rPr>
          <w:b/>
        </w:rPr>
        <w:t>Timetable</w:t>
      </w:r>
      <w:r>
        <w:tab/>
        <w:t xml:space="preserve">Response deadline: </w:t>
      </w:r>
      <w:r w:rsidR="00FA45A3">
        <w:t xml:space="preserve"> </w:t>
      </w:r>
      <w:r w:rsidR="00C064D2">
        <w:t xml:space="preserve">12 noon </w:t>
      </w:r>
      <w:r w:rsidR="00661067">
        <w:t>1 August 2016</w:t>
      </w:r>
      <w:r>
        <w:br/>
      </w:r>
    </w:p>
    <w:p w:rsidR="007C40BC" w:rsidRDefault="00C064D2" w:rsidP="00C064D2">
      <w:pPr>
        <w:tabs>
          <w:tab w:val="left" w:pos="4111"/>
        </w:tabs>
        <w:spacing w:after="240"/>
        <w:ind w:left="4111" w:hanging="4111"/>
      </w:pPr>
      <w:r>
        <w:rPr>
          <w:b/>
        </w:rPr>
        <w:tab/>
      </w:r>
      <w:r w:rsidR="007C40BC">
        <w:t xml:space="preserve">Interviews: </w:t>
      </w:r>
      <w:r w:rsidR="00661067">
        <w:t>10 August 2016</w:t>
      </w:r>
      <w:r w:rsidR="007C40BC">
        <w:br/>
      </w:r>
    </w:p>
    <w:p w:rsidR="007C40BC" w:rsidRDefault="007C40BC" w:rsidP="007C40BC">
      <w:pPr>
        <w:tabs>
          <w:tab w:val="left" w:pos="4111"/>
        </w:tabs>
        <w:spacing w:after="240"/>
        <w:ind w:left="4110"/>
      </w:pPr>
      <w:r>
        <w:tab/>
        <w:t>Confirmatio</w:t>
      </w:r>
      <w:r w:rsidR="00E04BF0">
        <w:t xml:space="preserve">n of contract: </w:t>
      </w:r>
      <w:r w:rsidR="00661067">
        <w:t>15 August 2016</w:t>
      </w:r>
    </w:p>
    <w:p w:rsidR="007C40BC" w:rsidRDefault="007C40BC" w:rsidP="007C40BC">
      <w:pPr>
        <w:tabs>
          <w:tab w:val="left" w:pos="4111"/>
        </w:tabs>
        <w:spacing w:after="240"/>
        <w:ind w:left="4110"/>
      </w:pPr>
      <w:r>
        <w:t>Completion o</w:t>
      </w:r>
      <w:r w:rsidR="00304AC1">
        <w:t>f</w:t>
      </w:r>
      <w:r>
        <w:t xml:space="preserve"> research: </w:t>
      </w:r>
      <w:r w:rsidR="00FA45A3">
        <w:t xml:space="preserve"> </w:t>
      </w:r>
      <w:r w:rsidR="00661067">
        <w:t>1 December 2016</w:t>
      </w:r>
    </w:p>
    <w:p w:rsidR="0082194B" w:rsidRPr="00FB02BD" w:rsidRDefault="007C40BC" w:rsidP="0082194B">
      <w:pPr>
        <w:pStyle w:val="Heading1"/>
      </w:pPr>
      <w:r>
        <w:br w:type="page"/>
      </w:r>
      <w:r w:rsidR="0082194B" w:rsidRPr="00FB02BD">
        <w:lastRenderedPageBreak/>
        <w:t>1.</w:t>
      </w:r>
      <w:r w:rsidR="0082194B" w:rsidRPr="00FB02BD">
        <w:tab/>
        <w:t>Overview</w:t>
      </w:r>
    </w:p>
    <w:p w:rsidR="0082194B" w:rsidRPr="0082194B" w:rsidRDefault="0082194B" w:rsidP="0082194B">
      <w:pPr>
        <w:numPr>
          <w:ilvl w:val="1"/>
          <w:numId w:val="2"/>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From April 2013 we will be operating under our new Strategic Framework: ‘A lasting difference for heritage and people’. See the </w:t>
      </w:r>
      <w:hyperlink r:id="rId9" w:history="1">
        <w:r w:rsidRPr="0082194B">
          <w:rPr>
            <w:rFonts w:cs="Arial"/>
            <w:color w:val="0000FF"/>
            <w:szCs w:val="22"/>
            <w:u w:val="single"/>
          </w:rPr>
          <w:t>HLF website</w:t>
        </w:r>
      </w:hyperlink>
      <w:r w:rsidRPr="0082194B">
        <w:rPr>
          <w:rFonts w:cs="Arial"/>
          <w:szCs w:val="22"/>
        </w:rPr>
        <w:t xml:space="preserve"> for more details.</w:t>
      </w:r>
    </w:p>
    <w:p w:rsidR="0082194B" w:rsidRPr="007B02B9" w:rsidRDefault="0082194B" w:rsidP="0082194B">
      <w:pPr>
        <w:numPr>
          <w:ilvl w:val="1"/>
          <w:numId w:val="2"/>
        </w:numPr>
        <w:spacing w:after="240" w:line="276" w:lineRule="auto"/>
        <w:rPr>
          <w:rFonts w:cs="Arial"/>
          <w:szCs w:val="22"/>
        </w:rPr>
      </w:pPr>
      <w:r w:rsidRPr="0082194B">
        <w:rPr>
          <w:rFonts w:cs="Arial"/>
          <w:szCs w:val="22"/>
        </w:rPr>
        <w:t xml:space="preserve">HLF invests in the full breadth of the </w:t>
      </w:r>
      <w:smartTag w:uri="urn:schemas-microsoft-com:office:smarttags" w:element="City">
        <w:smartTag w:uri="urn:schemas-microsoft-com:office:smarttags" w:element="country-region">
          <w:smartTag w:uri="urn:schemas-microsoft-com:office:smarttags" w:element="place">
            <w:r w:rsidRPr="0082194B">
              <w:rPr>
                <w:rFonts w:cs="Arial"/>
                <w:szCs w:val="22"/>
              </w:rPr>
              <w:t>UK</w:t>
            </w:r>
          </w:smartTag>
        </w:smartTag>
      </w:smartTag>
      <w:r w:rsidRPr="0082194B">
        <w:rPr>
          <w:rFonts w:cs="Arial"/>
          <w:szCs w:val="22"/>
        </w:rPr>
        <w:t xml:space="preserve">’s heritage, and through our funding we aim to make a lasting difference for heritage and people. This is reflected in the outcomes </w:t>
      </w:r>
      <w:r w:rsidRPr="007B02B9">
        <w:rPr>
          <w:rFonts w:cs="Arial"/>
          <w:szCs w:val="22"/>
        </w:rPr>
        <w:t>for heritage, people and communities which underpin our grant-making.</w:t>
      </w:r>
    </w:p>
    <w:p w:rsidR="006C226A" w:rsidRPr="007B02B9" w:rsidRDefault="00FA45A3" w:rsidP="0082194B">
      <w:pPr>
        <w:numPr>
          <w:ilvl w:val="1"/>
          <w:numId w:val="2"/>
        </w:numPr>
        <w:spacing w:after="240" w:line="276" w:lineRule="auto"/>
        <w:rPr>
          <w:rFonts w:cs="Arial"/>
          <w:szCs w:val="22"/>
        </w:rPr>
      </w:pPr>
      <w:r w:rsidRPr="007B02B9">
        <w:rPr>
          <w:rFonts w:cs="Arial"/>
          <w:iCs/>
          <w:szCs w:val="22"/>
        </w:rPr>
        <w:t>HLF operates a range of open and targeted grant programmes</w:t>
      </w:r>
      <w:r w:rsidR="006C226A" w:rsidRPr="007B02B9">
        <w:rPr>
          <w:rFonts w:cs="Arial"/>
          <w:iCs/>
          <w:szCs w:val="22"/>
        </w:rPr>
        <w:t>. The</w:t>
      </w:r>
      <w:r w:rsidRPr="007B02B9">
        <w:rPr>
          <w:rFonts w:cs="Arial"/>
          <w:iCs/>
          <w:szCs w:val="22"/>
        </w:rPr>
        <w:t xml:space="preserve"> two of interest to this research are Heritage Grants (an open programme awarding grants from £100,000 upwards) and </w:t>
      </w:r>
      <w:r w:rsidR="00204E73" w:rsidRPr="007B02B9">
        <w:rPr>
          <w:rFonts w:cs="Arial"/>
          <w:iCs/>
          <w:szCs w:val="22"/>
        </w:rPr>
        <w:t>Landscape P</w:t>
      </w:r>
      <w:r w:rsidR="00B01F5A" w:rsidRPr="007B02B9">
        <w:rPr>
          <w:rFonts w:cs="Arial"/>
          <w:iCs/>
          <w:szCs w:val="22"/>
        </w:rPr>
        <w:t xml:space="preserve">artnerships </w:t>
      </w:r>
      <w:r w:rsidRPr="007B02B9">
        <w:rPr>
          <w:rFonts w:cs="Arial"/>
          <w:iCs/>
          <w:szCs w:val="22"/>
        </w:rPr>
        <w:t xml:space="preserve">(a targeted </w:t>
      </w:r>
      <w:r w:rsidR="00B01F5A" w:rsidRPr="007B02B9">
        <w:rPr>
          <w:rFonts w:cs="Arial"/>
          <w:iCs/>
          <w:szCs w:val="22"/>
        </w:rPr>
        <w:t>programme</w:t>
      </w:r>
      <w:r w:rsidRPr="007B02B9">
        <w:rPr>
          <w:rFonts w:cs="Arial"/>
          <w:iCs/>
          <w:szCs w:val="22"/>
        </w:rPr>
        <w:t xml:space="preserve"> awarding grants of between £100,000 and £3m). Heritage Grants</w:t>
      </w:r>
      <w:r w:rsidR="00EB5159" w:rsidRPr="007B02B9">
        <w:rPr>
          <w:rFonts w:cs="Arial"/>
          <w:iCs/>
          <w:szCs w:val="22"/>
        </w:rPr>
        <w:t xml:space="preserve"> (HG)</w:t>
      </w:r>
      <w:r w:rsidRPr="007B02B9">
        <w:rPr>
          <w:rFonts w:cs="Arial"/>
          <w:iCs/>
          <w:szCs w:val="22"/>
        </w:rPr>
        <w:t xml:space="preserve"> support a wide variety of heritage projects</w:t>
      </w:r>
      <w:r w:rsidR="000110B3" w:rsidRPr="007B02B9">
        <w:rPr>
          <w:rFonts w:cs="Arial"/>
          <w:iCs/>
          <w:szCs w:val="22"/>
        </w:rPr>
        <w:t>,</w:t>
      </w:r>
      <w:r w:rsidRPr="007B02B9">
        <w:rPr>
          <w:rFonts w:cs="Arial"/>
          <w:iCs/>
          <w:szCs w:val="22"/>
        </w:rPr>
        <w:t xml:space="preserve"> although this research relate</w:t>
      </w:r>
      <w:r w:rsidR="000110B3" w:rsidRPr="007B02B9">
        <w:rPr>
          <w:rFonts w:cs="Arial"/>
          <w:iCs/>
          <w:szCs w:val="22"/>
        </w:rPr>
        <w:t>s</w:t>
      </w:r>
      <w:r w:rsidRPr="007B02B9">
        <w:rPr>
          <w:rFonts w:cs="Arial"/>
          <w:iCs/>
          <w:szCs w:val="22"/>
        </w:rPr>
        <w:t xml:space="preserve"> to </w:t>
      </w:r>
      <w:r w:rsidR="004200B6" w:rsidRPr="007B02B9">
        <w:rPr>
          <w:rFonts w:cs="Arial"/>
          <w:iCs/>
          <w:szCs w:val="22"/>
        </w:rPr>
        <w:t>projects solely focused on the</w:t>
      </w:r>
      <w:r w:rsidRPr="007B02B9">
        <w:rPr>
          <w:rFonts w:cs="Arial"/>
          <w:iCs/>
          <w:szCs w:val="22"/>
        </w:rPr>
        <w:t xml:space="preserve"> </w:t>
      </w:r>
      <w:r w:rsidR="004200B6" w:rsidRPr="007B02B9">
        <w:rPr>
          <w:rFonts w:cs="Arial"/>
          <w:iCs/>
          <w:szCs w:val="22"/>
        </w:rPr>
        <w:t xml:space="preserve">land and </w:t>
      </w:r>
      <w:r w:rsidRPr="007B02B9">
        <w:rPr>
          <w:rFonts w:cs="Arial"/>
          <w:iCs/>
          <w:szCs w:val="22"/>
        </w:rPr>
        <w:t xml:space="preserve">nature </w:t>
      </w:r>
      <w:r w:rsidR="004200B6" w:rsidRPr="007B02B9">
        <w:rPr>
          <w:rFonts w:cs="Arial"/>
          <w:iCs/>
          <w:szCs w:val="22"/>
        </w:rPr>
        <w:t>sector</w:t>
      </w:r>
      <w:r w:rsidRPr="007B02B9">
        <w:rPr>
          <w:rFonts w:cs="Arial"/>
          <w:iCs/>
          <w:szCs w:val="22"/>
        </w:rPr>
        <w:t>. Landscape Partnerships</w:t>
      </w:r>
      <w:r w:rsidR="00EB5159" w:rsidRPr="007B02B9">
        <w:rPr>
          <w:rFonts w:cs="Arial"/>
          <w:iCs/>
          <w:szCs w:val="22"/>
        </w:rPr>
        <w:t xml:space="preserve"> (LP)</w:t>
      </w:r>
      <w:r w:rsidR="004200B6" w:rsidRPr="007B02B9">
        <w:rPr>
          <w:rFonts w:cs="Arial"/>
          <w:iCs/>
          <w:szCs w:val="22"/>
        </w:rPr>
        <w:t xml:space="preserve"> is a landscape-scale conservation programme where a grant is awarded to a lead partner to deliver a range of individual projects, within an overall scheme, across a wide geographic area of landscape. </w:t>
      </w:r>
    </w:p>
    <w:p w:rsidR="00204E73" w:rsidRPr="007B02B9" w:rsidRDefault="006C226A" w:rsidP="0082194B">
      <w:pPr>
        <w:numPr>
          <w:ilvl w:val="1"/>
          <w:numId w:val="2"/>
        </w:numPr>
        <w:spacing w:after="240" w:line="276" w:lineRule="auto"/>
        <w:rPr>
          <w:rFonts w:cs="Arial"/>
          <w:szCs w:val="22"/>
        </w:rPr>
      </w:pPr>
      <w:r w:rsidRPr="007B02B9">
        <w:rPr>
          <w:rFonts w:cs="Arial"/>
          <w:iCs/>
          <w:szCs w:val="22"/>
        </w:rPr>
        <w:t xml:space="preserve">HLF awards grants to single lead applicants who are required to deliver their project according to a set of agreed ‘approved purposes’ described in their grant award.  </w:t>
      </w:r>
      <w:r w:rsidR="004200B6" w:rsidRPr="007B02B9">
        <w:rPr>
          <w:rFonts w:cs="Arial"/>
          <w:iCs/>
          <w:szCs w:val="22"/>
        </w:rPr>
        <w:t>In both Heritage Grants and Landscape Partnerships</w:t>
      </w:r>
      <w:r w:rsidR="000110B3" w:rsidRPr="007B02B9">
        <w:rPr>
          <w:rFonts w:cs="Arial"/>
          <w:iCs/>
          <w:szCs w:val="22"/>
        </w:rPr>
        <w:t>,</w:t>
      </w:r>
      <w:r w:rsidR="004200B6" w:rsidRPr="007B02B9">
        <w:rPr>
          <w:rFonts w:cs="Arial"/>
          <w:iCs/>
          <w:szCs w:val="22"/>
        </w:rPr>
        <w:t xml:space="preserve"> lead applicants may sometimes award grants to third parties to deliver aspects of the project </w:t>
      </w:r>
      <w:r w:rsidR="00204E73" w:rsidRPr="007B02B9">
        <w:rPr>
          <w:rFonts w:cs="Arial"/>
          <w:iCs/>
          <w:szCs w:val="22"/>
        </w:rPr>
        <w:t>or create</w:t>
      </w:r>
      <w:r w:rsidR="004200B6" w:rsidRPr="007B02B9">
        <w:rPr>
          <w:rFonts w:cs="Arial"/>
          <w:iCs/>
          <w:szCs w:val="22"/>
        </w:rPr>
        <w:t xml:space="preserve"> a programme of</w:t>
      </w:r>
      <w:r w:rsidR="00204E73" w:rsidRPr="007B02B9">
        <w:rPr>
          <w:rFonts w:cs="Arial"/>
          <w:iCs/>
          <w:szCs w:val="22"/>
        </w:rPr>
        <w:t xml:space="preserve"> </w:t>
      </w:r>
      <w:r w:rsidR="00B01F5A" w:rsidRPr="007B02B9">
        <w:rPr>
          <w:rFonts w:cs="Arial"/>
          <w:iCs/>
          <w:szCs w:val="22"/>
        </w:rPr>
        <w:t>small community grants</w:t>
      </w:r>
      <w:r w:rsidR="004200B6" w:rsidRPr="007B02B9">
        <w:rPr>
          <w:rFonts w:cs="Arial"/>
          <w:iCs/>
          <w:szCs w:val="22"/>
        </w:rPr>
        <w:t>.  The aim of third party grants is to expand the reach of the project and project partners</w:t>
      </w:r>
      <w:r w:rsidR="00D951FD" w:rsidRPr="007B02B9">
        <w:rPr>
          <w:rFonts w:cs="Arial"/>
          <w:iCs/>
          <w:szCs w:val="22"/>
        </w:rPr>
        <w:t>.  Some projects also develop a</w:t>
      </w:r>
      <w:r w:rsidR="00B01F5A" w:rsidRPr="007B02B9">
        <w:rPr>
          <w:rFonts w:cs="Arial"/>
          <w:iCs/>
          <w:szCs w:val="22"/>
        </w:rPr>
        <w:t xml:space="preserve"> community gr</w:t>
      </w:r>
      <w:r w:rsidR="00D951FD" w:rsidRPr="007B02B9">
        <w:rPr>
          <w:rFonts w:cs="Arial"/>
          <w:iCs/>
          <w:szCs w:val="22"/>
        </w:rPr>
        <w:t>ants programme which awards third party grants to community gro</w:t>
      </w:r>
      <w:r w:rsidR="00B01F5A" w:rsidRPr="007B02B9">
        <w:rPr>
          <w:rFonts w:cs="Arial"/>
          <w:iCs/>
          <w:szCs w:val="22"/>
        </w:rPr>
        <w:t xml:space="preserve">ups </w:t>
      </w:r>
      <w:r w:rsidR="00D951FD" w:rsidRPr="007B02B9">
        <w:rPr>
          <w:rFonts w:cs="Arial"/>
          <w:iCs/>
          <w:szCs w:val="22"/>
        </w:rPr>
        <w:t>which can be a good way</w:t>
      </w:r>
      <w:r w:rsidR="004200B6" w:rsidRPr="007B02B9">
        <w:rPr>
          <w:rFonts w:cs="Arial"/>
          <w:iCs/>
          <w:szCs w:val="22"/>
        </w:rPr>
        <w:t xml:space="preserve"> to engage smaller community organisations in delivering their own individual aspects of a project. </w:t>
      </w:r>
      <w:r w:rsidR="00B01F5A" w:rsidRPr="007B02B9">
        <w:rPr>
          <w:rFonts w:cs="Arial"/>
          <w:iCs/>
          <w:szCs w:val="22"/>
        </w:rPr>
        <w:t xml:space="preserve"> </w:t>
      </w:r>
      <w:r w:rsidR="004200B6" w:rsidRPr="007B02B9">
        <w:rPr>
          <w:rFonts w:cs="Arial"/>
          <w:iCs/>
          <w:szCs w:val="22"/>
        </w:rPr>
        <w:t>Within Heritage Grants</w:t>
      </w:r>
      <w:r w:rsidRPr="007B02B9">
        <w:rPr>
          <w:rFonts w:cs="Arial"/>
          <w:iCs/>
          <w:szCs w:val="22"/>
        </w:rPr>
        <w:t>,</w:t>
      </w:r>
      <w:r w:rsidR="004200B6" w:rsidRPr="007B02B9">
        <w:rPr>
          <w:rFonts w:cs="Arial"/>
          <w:iCs/>
          <w:szCs w:val="22"/>
        </w:rPr>
        <w:t xml:space="preserve"> third party grants have</w:t>
      </w:r>
      <w:r w:rsidR="00B01F5A" w:rsidRPr="007B02B9">
        <w:rPr>
          <w:rFonts w:cs="Arial"/>
          <w:iCs/>
          <w:szCs w:val="22"/>
        </w:rPr>
        <w:t xml:space="preserve"> included</w:t>
      </w:r>
      <w:r w:rsidR="00E23564" w:rsidRPr="007B02B9">
        <w:rPr>
          <w:rFonts w:cs="Arial"/>
          <w:iCs/>
          <w:szCs w:val="22"/>
        </w:rPr>
        <w:t>,</w:t>
      </w:r>
      <w:r w:rsidR="00B01F5A" w:rsidRPr="007B02B9">
        <w:rPr>
          <w:rFonts w:cs="Arial"/>
          <w:iCs/>
          <w:szCs w:val="22"/>
        </w:rPr>
        <w:t xml:space="preserve"> </w:t>
      </w:r>
      <w:r w:rsidR="002C59C0" w:rsidRPr="007B02B9">
        <w:rPr>
          <w:rFonts w:cs="Arial"/>
          <w:iCs/>
          <w:szCs w:val="22"/>
        </w:rPr>
        <w:t>offering grant</w:t>
      </w:r>
      <w:r w:rsidR="00204E73" w:rsidRPr="007B02B9">
        <w:rPr>
          <w:rFonts w:cs="Arial"/>
          <w:iCs/>
          <w:szCs w:val="22"/>
        </w:rPr>
        <w:t>s</w:t>
      </w:r>
      <w:r w:rsidR="002C59C0" w:rsidRPr="007B02B9">
        <w:rPr>
          <w:rFonts w:cs="Arial"/>
          <w:iCs/>
          <w:szCs w:val="22"/>
        </w:rPr>
        <w:t xml:space="preserve"> to schools to create wildflower meadows </w:t>
      </w:r>
      <w:r w:rsidR="00204E73" w:rsidRPr="007B02B9">
        <w:rPr>
          <w:rFonts w:cs="Arial"/>
          <w:iCs/>
          <w:szCs w:val="22"/>
        </w:rPr>
        <w:t>and</w:t>
      </w:r>
      <w:r w:rsidR="002C59C0" w:rsidRPr="007B02B9">
        <w:rPr>
          <w:rFonts w:cs="Arial"/>
          <w:iCs/>
          <w:szCs w:val="22"/>
        </w:rPr>
        <w:t xml:space="preserve"> offering the owners of historic gardens small grants to help provide educational resources and interpretation for public opening</w:t>
      </w:r>
      <w:r w:rsidR="00204E73" w:rsidRPr="007B02B9">
        <w:rPr>
          <w:rFonts w:cs="Arial"/>
          <w:iCs/>
          <w:szCs w:val="22"/>
        </w:rPr>
        <w:t>s</w:t>
      </w:r>
      <w:r w:rsidR="002C59C0" w:rsidRPr="007B02B9">
        <w:rPr>
          <w:rFonts w:cs="Arial"/>
          <w:iCs/>
          <w:szCs w:val="22"/>
        </w:rPr>
        <w:t>.</w:t>
      </w:r>
      <w:r w:rsidR="00204E73" w:rsidRPr="007B02B9">
        <w:rPr>
          <w:rFonts w:cs="Arial"/>
          <w:iCs/>
          <w:szCs w:val="22"/>
        </w:rPr>
        <w:t xml:space="preserve"> </w:t>
      </w:r>
      <w:r w:rsidR="004200B6" w:rsidRPr="007B02B9">
        <w:rPr>
          <w:rFonts w:cs="Arial"/>
          <w:iCs/>
          <w:szCs w:val="22"/>
        </w:rPr>
        <w:t>Within Landscape Partnerships</w:t>
      </w:r>
      <w:r w:rsidRPr="007B02B9">
        <w:rPr>
          <w:rFonts w:cs="Arial"/>
          <w:iCs/>
          <w:szCs w:val="22"/>
        </w:rPr>
        <w:t>,</w:t>
      </w:r>
      <w:r w:rsidR="004200B6" w:rsidRPr="007B02B9">
        <w:rPr>
          <w:rFonts w:cs="Arial"/>
          <w:iCs/>
          <w:szCs w:val="22"/>
        </w:rPr>
        <w:t xml:space="preserve"> third party grants have included </w:t>
      </w:r>
      <w:r w:rsidRPr="007B02B9">
        <w:rPr>
          <w:rFonts w:cs="Arial"/>
          <w:iCs/>
          <w:szCs w:val="22"/>
        </w:rPr>
        <w:t xml:space="preserve">funding </w:t>
      </w:r>
      <w:r w:rsidR="004200B6" w:rsidRPr="007B02B9">
        <w:rPr>
          <w:rFonts w:cs="Arial"/>
          <w:iCs/>
          <w:szCs w:val="22"/>
        </w:rPr>
        <w:t xml:space="preserve">hedge planting on private land or funding a local community to install interpretation panels or hold a local festival celebrating their heritage. </w:t>
      </w:r>
    </w:p>
    <w:p w:rsidR="0024143D" w:rsidRPr="007B02B9" w:rsidRDefault="00204E73" w:rsidP="0082194B">
      <w:pPr>
        <w:numPr>
          <w:ilvl w:val="1"/>
          <w:numId w:val="2"/>
        </w:numPr>
        <w:spacing w:after="240" w:line="276" w:lineRule="auto"/>
        <w:rPr>
          <w:rFonts w:cs="Arial"/>
          <w:szCs w:val="22"/>
        </w:rPr>
      </w:pPr>
      <w:r w:rsidRPr="007B02B9">
        <w:rPr>
          <w:rFonts w:cs="Arial"/>
          <w:iCs/>
          <w:szCs w:val="22"/>
        </w:rPr>
        <w:t xml:space="preserve">The aim of this research is to assess how third party and community grants are being used within the Landscape Partnership programme </w:t>
      </w:r>
      <w:r w:rsidR="00A14D88" w:rsidRPr="007B02B9">
        <w:rPr>
          <w:rFonts w:cs="Arial"/>
          <w:iCs/>
          <w:szCs w:val="22"/>
        </w:rPr>
        <w:t xml:space="preserve">by reviewing a sample of 12 </w:t>
      </w:r>
      <w:r w:rsidR="00C5168D" w:rsidRPr="007B02B9">
        <w:rPr>
          <w:rFonts w:cs="Arial"/>
          <w:iCs/>
          <w:szCs w:val="22"/>
        </w:rPr>
        <w:t>schemes</w:t>
      </w:r>
      <w:r w:rsidR="00A14D88" w:rsidRPr="007B02B9">
        <w:rPr>
          <w:rFonts w:cs="Arial"/>
          <w:iCs/>
          <w:szCs w:val="22"/>
        </w:rPr>
        <w:t xml:space="preserve"> </w:t>
      </w:r>
      <w:r w:rsidRPr="007B02B9">
        <w:rPr>
          <w:rFonts w:cs="Arial"/>
          <w:iCs/>
          <w:szCs w:val="22"/>
        </w:rPr>
        <w:t xml:space="preserve">and within </w:t>
      </w:r>
      <w:r w:rsidR="00C5168D" w:rsidRPr="007B02B9">
        <w:rPr>
          <w:rFonts w:cs="Arial"/>
          <w:iCs/>
          <w:szCs w:val="22"/>
        </w:rPr>
        <w:t>the</w:t>
      </w:r>
      <w:r w:rsidRPr="007B02B9">
        <w:rPr>
          <w:rFonts w:cs="Arial"/>
          <w:iCs/>
          <w:szCs w:val="22"/>
        </w:rPr>
        <w:t xml:space="preserve"> Heritage Grants </w:t>
      </w:r>
      <w:r w:rsidR="00C5168D" w:rsidRPr="007B02B9">
        <w:rPr>
          <w:rFonts w:cs="Arial"/>
          <w:iCs/>
          <w:szCs w:val="22"/>
        </w:rPr>
        <w:t xml:space="preserve">programme by reviewing </w:t>
      </w:r>
      <w:r w:rsidR="003B2883" w:rsidRPr="007B02B9">
        <w:rPr>
          <w:rFonts w:cs="Arial"/>
          <w:iCs/>
          <w:szCs w:val="22"/>
        </w:rPr>
        <w:t>3</w:t>
      </w:r>
      <w:r w:rsidR="008A4668" w:rsidRPr="007B02B9">
        <w:rPr>
          <w:rFonts w:cs="Arial"/>
          <w:iCs/>
          <w:szCs w:val="22"/>
        </w:rPr>
        <w:t xml:space="preserve"> </w:t>
      </w:r>
      <w:r w:rsidR="00A14D88" w:rsidRPr="007B02B9">
        <w:rPr>
          <w:rFonts w:cs="Arial"/>
          <w:iCs/>
          <w:szCs w:val="22"/>
        </w:rPr>
        <w:t>projects</w:t>
      </w:r>
      <w:r w:rsidRPr="007B02B9">
        <w:rPr>
          <w:rFonts w:cs="Arial"/>
          <w:iCs/>
          <w:szCs w:val="22"/>
        </w:rPr>
        <w:t>. The consultant is asked</w:t>
      </w:r>
      <w:r w:rsidR="0024143D" w:rsidRPr="007B02B9">
        <w:rPr>
          <w:rFonts w:cs="Arial"/>
          <w:iCs/>
          <w:szCs w:val="22"/>
        </w:rPr>
        <w:t>:</w:t>
      </w:r>
    </w:p>
    <w:p w:rsidR="0024143D" w:rsidRPr="007B02B9" w:rsidRDefault="00204E73" w:rsidP="0024143D">
      <w:pPr>
        <w:pStyle w:val="ListParagraph"/>
        <w:numPr>
          <w:ilvl w:val="0"/>
          <w:numId w:val="46"/>
        </w:numPr>
        <w:spacing w:after="240" w:line="276" w:lineRule="auto"/>
        <w:rPr>
          <w:rFonts w:cs="Arial"/>
          <w:szCs w:val="22"/>
        </w:rPr>
      </w:pPr>
      <w:r w:rsidRPr="007B02B9">
        <w:rPr>
          <w:rFonts w:cs="Arial"/>
          <w:iCs/>
          <w:szCs w:val="22"/>
        </w:rPr>
        <w:t xml:space="preserve">to explore the </w:t>
      </w:r>
      <w:r w:rsidR="00A14D88" w:rsidRPr="007B02B9">
        <w:rPr>
          <w:rFonts w:cs="Arial"/>
          <w:iCs/>
          <w:szCs w:val="22"/>
        </w:rPr>
        <w:t xml:space="preserve">way </w:t>
      </w:r>
      <w:r w:rsidRPr="007B02B9">
        <w:rPr>
          <w:rFonts w:cs="Arial"/>
          <w:iCs/>
          <w:szCs w:val="22"/>
        </w:rPr>
        <w:t>in</w:t>
      </w:r>
      <w:r w:rsidR="00A14D88" w:rsidRPr="007B02B9">
        <w:rPr>
          <w:rFonts w:cs="Arial"/>
          <w:iCs/>
          <w:szCs w:val="22"/>
        </w:rPr>
        <w:t xml:space="preserve"> which third party grants have been used</w:t>
      </w:r>
      <w:r w:rsidR="00C5168D" w:rsidRPr="007B02B9">
        <w:rPr>
          <w:rFonts w:cs="Arial"/>
          <w:iCs/>
          <w:szCs w:val="22"/>
        </w:rPr>
        <w:t>,</w:t>
      </w:r>
      <w:r w:rsidRPr="007B02B9">
        <w:rPr>
          <w:rFonts w:cs="Arial"/>
          <w:iCs/>
          <w:szCs w:val="22"/>
        </w:rPr>
        <w:t xml:space="preserve"> </w:t>
      </w:r>
    </w:p>
    <w:p w:rsidR="0024143D" w:rsidRPr="007B02B9" w:rsidRDefault="00204E73" w:rsidP="0024143D">
      <w:pPr>
        <w:pStyle w:val="ListParagraph"/>
        <w:numPr>
          <w:ilvl w:val="0"/>
          <w:numId w:val="46"/>
        </w:numPr>
        <w:spacing w:after="240" w:line="276" w:lineRule="auto"/>
        <w:rPr>
          <w:rFonts w:cs="Arial"/>
          <w:szCs w:val="22"/>
        </w:rPr>
      </w:pPr>
      <w:r w:rsidRPr="007B02B9">
        <w:rPr>
          <w:rFonts w:cs="Arial"/>
          <w:iCs/>
          <w:szCs w:val="22"/>
        </w:rPr>
        <w:t xml:space="preserve">to identify both positive and negative issues associated with their use, </w:t>
      </w:r>
    </w:p>
    <w:p w:rsidR="0024143D" w:rsidRPr="007B02B9" w:rsidRDefault="00204E73" w:rsidP="0024143D">
      <w:pPr>
        <w:pStyle w:val="ListParagraph"/>
        <w:numPr>
          <w:ilvl w:val="0"/>
          <w:numId w:val="46"/>
        </w:numPr>
        <w:spacing w:after="240" w:line="276" w:lineRule="auto"/>
        <w:rPr>
          <w:rFonts w:cs="Arial"/>
          <w:szCs w:val="22"/>
        </w:rPr>
      </w:pPr>
      <w:r w:rsidRPr="007B02B9">
        <w:rPr>
          <w:rFonts w:cs="Arial"/>
          <w:iCs/>
          <w:szCs w:val="22"/>
        </w:rPr>
        <w:t xml:space="preserve">to assess how effectively they are </w:t>
      </w:r>
      <w:r w:rsidR="00512642" w:rsidRPr="007B02B9">
        <w:rPr>
          <w:rFonts w:cs="Arial"/>
          <w:iCs/>
          <w:szCs w:val="22"/>
        </w:rPr>
        <w:t xml:space="preserve">being </w:t>
      </w:r>
      <w:r w:rsidRPr="007B02B9">
        <w:rPr>
          <w:rFonts w:cs="Arial"/>
          <w:iCs/>
          <w:szCs w:val="22"/>
        </w:rPr>
        <w:t>managed</w:t>
      </w:r>
      <w:r w:rsidR="00512642" w:rsidRPr="007B02B9">
        <w:rPr>
          <w:rFonts w:cs="Arial"/>
          <w:iCs/>
          <w:szCs w:val="22"/>
        </w:rPr>
        <w:t>,</w:t>
      </w:r>
      <w:r w:rsidRPr="007B02B9">
        <w:rPr>
          <w:rFonts w:cs="Arial"/>
          <w:iCs/>
          <w:szCs w:val="22"/>
        </w:rPr>
        <w:t xml:space="preserve"> controlled</w:t>
      </w:r>
      <w:r w:rsidR="00512642" w:rsidRPr="007B02B9">
        <w:rPr>
          <w:rFonts w:cs="Arial"/>
          <w:iCs/>
          <w:szCs w:val="22"/>
        </w:rPr>
        <w:t xml:space="preserve"> and reported in relation to their scale</w:t>
      </w:r>
      <w:r w:rsidR="00C5168D" w:rsidRPr="007B02B9">
        <w:rPr>
          <w:rFonts w:cs="Arial"/>
          <w:iCs/>
          <w:szCs w:val="22"/>
        </w:rPr>
        <w:t>,</w:t>
      </w:r>
      <w:r w:rsidR="00512642" w:rsidRPr="007B02B9">
        <w:rPr>
          <w:rFonts w:cs="Arial"/>
          <w:iCs/>
          <w:szCs w:val="22"/>
        </w:rPr>
        <w:t xml:space="preserve"> risk</w:t>
      </w:r>
      <w:r w:rsidR="00C5168D" w:rsidRPr="007B02B9">
        <w:rPr>
          <w:rFonts w:cs="Arial"/>
          <w:iCs/>
          <w:szCs w:val="22"/>
        </w:rPr>
        <w:t xml:space="preserve"> and audit trails</w:t>
      </w:r>
      <w:r w:rsidR="003B2883" w:rsidRPr="007B02B9">
        <w:rPr>
          <w:rFonts w:cs="Arial"/>
          <w:iCs/>
          <w:szCs w:val="22"/>
        </w:rPr>
        <w:t xml:space="preserve">, </w:t>
      </w:r>
    </w:p>
    <w:p w:rsidR="003B2883" w:rsidRPr="007B02B9" w:rsidRDefault="003B2883" w:rsidP="0024143D">
      <w:pPr>
        <w:pStyle w:val="ListParagraph"/>
        <w:numPr>
          <w:ilvl w:val="0"/>
          <w:numId w:val="46"/>
        </w:numPr>
        <w:spacing w:after="240" w:line="276" w:lineRule="auto"/>
        <w:rPr>
          <w:rFonts w:cs="Arial"/>
          <w:szCs w:val="22"/>
        </w:rPr>
      </w:pPr>
      <w:r w:rsidRPr="007B02B9">
        <w:rPr>
          <w:rFonts w:cs="Arial"/>
          <w:iCs/>
          <w:szCs w:val="22"/>
        </w:rPr>
        <w:lastRenderedPageBreak/>
        <w:t>to look schemes where third party grants (particularly community grants) have not been used and to explore if there were any disadvantages or missed opportunities.</w:t>
      </w:r>
    </w:p>
    <w:p w:rsidR="0024143D" w:rsidRPr="007B02B9" w:rsidRDefault="00C5168D" w:rsidP="0024143D">
      <w:pPr>
        <w:spacing w:after="240" w:line="276" w:lineRule="auto"/>
        <w:ind w:left="709"/>
        <w:rPr>
          <w:rFonts w:cs="Arial"/>
          <w:szCs w:val="22"/>
        </w:rPr>
      </w:pPr>
      <w:r w:rsidRPr="007B02B9">
        <w:rPr>
          <w:rFonts w:cs="Arial"/>
          <w:iCs/>
          <w:szCs w:val="22"/>
        </w:rPr>
        <w:t xml:space="preserve">It is not the intention to audit individual projects within this study, and grantees should not be given that impression. </w:t>
      </w:r>
    </w:p>
    <w:p w:rsidR="00441942" w:rsidRPr="007B02B9" w:rsidRDefault="00C5168D" w:rsidP="0082194B">
      <w:pPr>
        <w:numPr>
          <w:ilvl w:val="1"/>
          <w:numId w:val="2"/>
        </w:numPr>
        <w:spacing w:after="240" w:line="276" w:lineRule="auto"/>
        <w:rPr>
          <w:rFonts w:cs="Arial"/>
          <w:szCs w:val="22"/>
        </w:rPr>
      </w:pPr>
      <w:r w:rsidRPr="007B02B9">
        <w:rPr>
          <w:rFonts w:cs="Arial"/>
          <w:iCs/>
          <w:szCs w:val="22"/>
        </w:rPr>
        <w:t xml:space="preserve">The research is to establish what works and what </w:t>
      </w:r>
      <w:r w:rsidR="0024143D" w:rsidRPr="007B02B9">
        <w:rPr>
          <w:rFonts w:cs="Arial"/>
          <w:iCs/>
          <w:szCs w:val="22"/>
        </w:rPr>
        <w:t>doesn’t, to understand</w:t>
      </w:r>
      <w:r w:rsidRPr="007B02B9">
        <w:rPr>
          <w:rFonts w:cs="Arial"/>
          <w:iCs/>
          <w:szCs w:val="22"/>
        </w:rPr>
        <w:t xml:space="preserve"> why third party and community grants might be beneficial and how HLF and grantees’ processes might be better guided and/or managed in future. </w:t>
      </w:r>
    </w:p>
    <w:p w:rsidR="000B4E51" w:rsidRPr="007B02B9" w:rsidRDefault="00512642" w:rsidP="00204E73">
      <w:pPr>
        <w:numPr>
          <w:ilvl w:val="1"/>
          <w:numId w:val="2"/>
        </w:numPr>
        <w:spacing w:after="240" w:line="276" w:lineRule="auto"/>
        <w:rPr>
          <w:rFonts w:cs="Arial"/>
          <w:szCs w:val="22"/>
        </w:rPr>
      </w:pPr>
      <w:r w:rsidRPr="007B02B9">
        <w:rPr>
          <w:rFonts w:cs="Arial"/>
          <w:iCs/>
          <w:szCs w:val="22"/>
        </w:rPr>
        <w:t xml:space="preserve">The research will be used to help HLF review whether the scale and nature of third party and community grants within the Landscape Partnerships </w:t>
      </w:r>
      <w:r w:rsidR="00C5168D" w:rsidRPr="007B02B9">
        <w:rPr>
          <w:rFonts w:cs="Arial"/>
          <w:iCs/>
          <w:szCs w:val="22"/>
        </w:rPr>
        <w:t xml:space="preserve">and </w:t>
      </w:r>
      <w:r w:rsidRPr="007B02B9">
        <w:rPr>
          <w:rFonts w:cs="Arial"/>
          <w:iCs/>
          <w:szCs w:val="22"/>
        </w:rPr>
        <w:t>Heritage Grants programme</w:t>
      </w:r>
      <w:r w:rsidR="00C5168D" w:rsidRPr="007B02B9">
        <w:rPr>
          <w:rFonts w:cs="Arial"/>
          <w:iCs/>
          <w:szCs w:val="22"/>
        </w:rPr>
        <w:t>s</w:t>
      </w:r>
      <w:r w:rsidRPr="007B02B9">
        <w:rPr>
          <w:rFonts w:cs="Arial"/>
          <w:iCs/>
          <w:szCs w:val="22"/>
        </w:rPr>
        <w:t xml:space="preserve">. </w:t>
      </w:r>
      <w:r w:rsidR="00C5168D" w:rsidRPr="007B02B9">
        <w:rPr>
          <w:rFonts w:cs="Arial"/>
          <w:iCs/>
          <w:szCs w:val="22"/>
        </w:rPr>
        <w:t xml:space="preserve">As we are at the midpoint in HLF’s current strategic plan cycle it offers an opportunity to tune or amend guidance as appropriate. </w:t>
      </w:r>
      <w:r w:rsidRPr="007B02B9">
        <w:rPr>
          <w:rFonts w:cs="Arial"/>
          <w:iCs/>
          <w:szCs w:val="22"/>
        </w:rPr>
        <w:t>The audience for the report will be primarily HLF staff</w:t>
      </w:r>
      <w:r w:rsidR="008A4668" w:rsidRPr="007B02B9">
        <w:rPr>
          <w:rFonts w:cs="Arial"/>
          <w:iCs/>
          <w:szCs w:val="22"/>
        </w:rPr>
        <w:t>. I</w:t>
      </w:r>
      <w:r w:rsidRPr="007B02B9">
        <w:rPr>
          <w:rFonts w:cs="Arial"/>
          <w:iCs/>
          <w:szCs w:val="22"/>
        </w:rPr>
        <w:t xml:space="preserve">t </w:t>
      </w:r>
      <w:r w:rsidR="00C5168D" w:rsidRPr="007B02B9">
        <w:rPr>
          <w:rFonts w:cs="Arial"/>
          <w:iCs/>
          <w:szCs w:val="22"/>
        </w:rPr>
        <w:t>may also</w:t>
      </w:r>
      <w:r w:rsidRPr="007B02B9">
        <w:rPr>
          <w:rFonts w:cs="Arial"/>
          <w:iCs/>
          <w:szCs w:val="22"/>
        </w:rPr>
        <w:t xml:space="preserve"> be posted on the H</w:t>
      </w:r>
      <w:r w:rsidR="00C5168D" w:rsidRPr="007B02B9">
        <w:rPr>
          <w:rFonts w:cs="Arial"/>
          <w:iCs/>
          <w:szCs w:val="22"/>
        </w:rPr>
        <w:t>LF website as a public document although we are keen that that should not constrain the content of the report so some aspects may need to remain confidential.</w:t>
      </w:r>
    </w:p>
    <w:p w:rsidR="000B4E51" w:rsidRPr="007B02B9" w:rsidRDefault="000B4E51" w:rsidP="000B4E51">
      <w:pPr>
        <w:pStyle w:val="Heading1"/>
        <w:numPr>
          <w:ilvl w:val="0"/>
          <w:numId w:val="2"/>
        </w:numPr>
      </w:pPr>
      <w:r w:rsidRPr="007B02B9">
        <w:t>Method</w:t>
      </w:r>
    </w:p>
    <w:p w:rsidR="008A4668" w:rsidRPr="007B02B9" w:rsidRDefault="00CB58A2" w:rsidP="008A4668">
      <w:pPr>
        <w:pStyle w:val="ListParagraph"/>
        <w:numPr>
          <w:ilvl w:val="1"/>
          <w:numId w:val="2"/>
        </w:numPr>
        <w:spacing w:after="240"/>
        <w:rPr>
          <w:rFonts w:cs="Arial"/>
          <w:szCs w:val="22"/>
        </w:rPr>
      </w:pPr>
      <w:r w:rsidRPr="007B02B9">
        <w:rPr>
          <w:rFonts w:cs="Arial"/>
          <w:szCs w:val="22"/>
        </w:rPr>
        <w:t xml:space="preserve">The research </w:t>
      </w:r>
      <w:r w:rsidR="00EA0BBB" w:rsidRPr="007B02B9">
        <w:rPr>
          <w:rFonts w:cs="Arial"/>
          <w:szCs w:val="22"/>
        </w:rPr>
        <w:t xml:space="preserve">must include a desk-based review of </w:t>
      </w:r>
      <w:r w:rsidR="00A14D88" w:rsidRPr="007B02B9">
        <w:rPr>
          <w:rFonts w:cs="Arial"/>
          <w:szCs w:val="22"/>
        </w:rPr>
        <w:t>12</w:t>
      </w:r>
      <w:r w:rsidR="00EA0BBB" w:rsidRPr="007B02B9">
        <w:rPr>
          <w:rFonts w:cs="Arial"/>
          <w:szCs w:val="22"/>
        </w:rPr>
        <w:t xml:space="preserve"> </w:t>
      </w:r>
      <w:r w:rsidRPr="007B02B9">
        <w:rPr>
          <w:rFonts w:cs="Arial"/>
          <w:szCs w:val="22"/>
        </w:rPr>
        <w:t xml:space="preserve">agreed </w:t>
      </w:r>
      <w:r w:rsidR="00EA0BBB" w:rsidRPr="007B02B9">
        <w:rPr>
          <w:rFonts w:cs="Arial"/>
          <w:szCs w:val="22"/>
        </w:rPr>
        <w:t>Landscape Partnership</w:t>
      </w:r>
      <w:r w:rsidRPr="007B02B9">
        <w:rPr>
          <w:rFonts w:cs="Arial"/>
          <w:szCs w:val="22"/>
        </w:rPr>
        <w:t>s</w:t>
      </w:r>
      <w:r w:rsidR="00EA0BBB" w:rsidRPr="007B02B9">
        <w:rPr>
          <w:rFonts w:cs="Arial"/>
          <w:szCs w:val="22"/>
        </w:rPr>
        <w:t xml:space="preserve"> and </w:t>
      </w:r>
      <w:r w:rsidR="003B2883" w:rsidRPr="007B02B9">
        <w:rPr>
          <w:rFonts w:cs="Arial"/>
          <w:szCs w:val="22"/>
        </w:rPr>
        <w:t>3</w:t>
      </w:r>
      <w:r w:rsidR="008A4668" w:rsidRPr="007B02B9">
        <w:rPr>
          <w:rFonts w:cs="Arial"/>
          <w:szCs w:val="22"/>
        </w:rPr>
        <w:t xml:space="preserve"> </w:t>
      </w:r>
      <w:r w:rsidRPr="007B02B9">
        <w:rPr>
          <w:rFonts w:cs="Arial"/>
          <w:szCs w:val="22"/>
        </w:rPr>
        <w:t xml:space="preserve">selected </w:t>
      </w:r>
      <w:r w:rsidR="00EA0BBB" w:rsidRPr="007B02B9">
        <w:rPr>
          <w:rFonts w:cs="Arial"/>
          <w:szCs w:val="22"/>
        </w:rPr>
        <w:t xml:space="preserve">Heritage Grant </w:t>
      </w:r>
      <w:r w:rsidRPr="007B02B9">
        <w:rPr>
          <w:rFonts w:cs="Arial"/>
          <w:szCs w:val="22"/>
        </w:rPr>
        <w:t xml:space="preserve">projects. </w:t>
      </w:r>
    </w:p>
    <w:p w:rsidR="008A4668" w:rsidRPr="007B02B9" w:rsidRDefault="008A4668" w:rsidP="00AA7BD2">
      <w:pPr>
        <w:pStyle w:val="ListParagraph"/>
        <w:spacing w:after="240"/>
        <w:rPr>
          <w:rFonts w:cs="Arial"/>
          <w:color w:val="FF0000"/>
          <w:szCs w:val="22"/>
        </w:rPr>
      </w:pPr>
    </w:p>
    <w:p w:rsidR="008A4668" w:rsidRPr="007B02B9" w:rsidRDefault="008A4668" w:rsidP="008A4668">
      <w:pPr>
        <w:pStyle w:val="ListParagraph"/>
        <w:numPr>
          <w:ilvl w:val="1"/>
          <w:numId w:val="2"/>
        </w:numPr>
        <w:spacing w:after="240"/>
        <w:rPr>
          <w:rFonts w:cs="Arial"/>
          <w:szCs w:val="22"/>
        </w:rPr>
      </w:pPr>
      <w:r w:rsidRPr="007B02B9">
        <w:rPr>
          <w:rFonts w:cs="Arial"/>
          <w:szCs w:val="22"/>
        </w:rPr>
        <w:t>This d</w:t>
      </w:r>
      <w:r w:rsidR="00CB58A2" w:rsidRPr="007B02B9">
        <w:rPr>
          <w:rFonts w:cs="Arial"/>
          <w:szCs w:val="22"/>
        </w:rPr>
        <w:t>esk-based research is to be c</w:t>
      </w:r>
      <w:r w:rsidR="00EA0BBB" w:rsidRPr="007B02B9">
        <w:rPr>
          <w:rFonts w:cs="Arial"/>
          <w:szCs w:val="22"/>
        </w:rPr>
        <w:t xml:space="preserve">ombined with </w:t>
      </w:r>
      <w:r w:rsidR="00EE0C84" w:rsidRPr="007B02B9">
        <w:rPr>
          <w:rFonts w:cs="Arial"/>
          <w:szCs w:val="22"/>
        </w:rPr>
        <w:t>in-depth interviews</w:t>
      </w:r>
      <w:r w:rsidR="00EA0BBB" w:rsidRPr="007B02B9">
        <w:rPr>
          <w:rFonts w:cs="Arial"/>
          <w:szCs w:val="22"/>
        </w:rPr>
        <w:t xml:space="preserve"> with the individual grantees for each</w:t>
      </w:r>
      <w:r w:rsidR="00EE0C84" w:rsidRPr="007B02B9">
        <w:rPr>
          <w:rFonts w:cs="Arial"/>
          <w:szCs w:val="22"/>
        </w:rPr>
        <w:t xml:space="preserve"> </w:t>
      </w:r>
      <w:r w:rsidR="00CB58A2" w:rsidRPr="007B02B9">
        <w:rPr>
          <w:rFonts w:cs="Arial"/>
          <w:szCs w:val="22"/>
        </w:rPr>
        <w:t>of the 1</w:t>
      </w:r>
      <w:r w:rsidR="003B2883" w:rsidRPr="007B02B9">
        <w:rPr>
          <w:rFonts w:cs="Arial"/>
          <w:szCs w:val="22"/>
        </w:rPr>
        <w:t>5</w:t>
      </w:r>
      <w:r w:rsidR="00CB58A2" w:rsidRPr="007B02B9">
        <w:rPr>
          <w:rFonts w:cs="Arial"/>
          <w:szCs w:val="22"/>
        </w:rPr>
        <w:t xml:space="preserve"> projects. </w:t>
      </w:r>
    </w:p>
    <w:p w:rsidR="008A4668" w:rsidRPr="007B02B9" w:rsidRDefault="008A4668" w:rsidP="008A4668">
      <w:pPr>
        <w:pStyle w:val="ListParagraph"/>
        <w:rPr>
          <w:rFonts w:cs="Arial"/>
          <w:szCs w:val="22"/>
        </w:rPr>
      </w:pPr>
    </w:p>
    <w:p w:rsidR="008A4668" w:rsidRPr="007B02B9" w:rsidRDefault="00CB58A2" w:rsidP="008A4668">
      <w:pPr>
        <w:pStyle w:val="ListParagraph"/>
        <w:numPr>
          <w:ilvl w:val="1"/>
          <w:numId w:val="2"/>
        </w:numPr>
        <w:spacing w:after="240"/>
        <w:rPr>
          <w:rFonts w:cs="Arial"/>
          <w:szCs w:val="22"/>
        </w:rPr>
      </w:pPr>
      <w:r w:rsidRPr="007B02B9">
        <w:rPr>
          <w:rFonts w:cs="Arial"/>
          <w:szCs w:val="22"/>
        </w:rPr>
        <w:t>In addition</w:t>
      </w:r>
      <w:r w:rsidR="007B02B9">
        <w:rPr>
          <w:rFonts w:cs="Arial"/>
          <w:szCs w:val="22"/>
        </w:rPr>
        <w:t xml:space="preserve"> </w:t>
      </w:r>
      <w:r w:rsidR="003B2883" w:rsidRPr="007B02B9">
        <w:rPr>
          <w:rFonts w:cs="Arial"/>
          <w:szCs w:val="22"/>
        </w:rPr>
        <w:t xml:space="preserve">face to face meetings </w:t>
      </w:r>
      <w:r w:rsidRPr="007B02B9">
        <w:rPr>
          <w:rFonts w:cs="Arial"/>
          <w:szCs w:val="22"/>
        </w:rPr>
        <w:t>should be held with at least two of HLF Operations staff</w:t>
      </w:r>
      <w:r w:rsidR="00FD069A" w:rsidRPr="007B02B9">
        <w:rPr>
          <w:rFonts w:cs="Arial"/>
          <w:szCs w:val="22"/>
        </w:rPr>
        <w:t xml:space="preserve"> and the P</w:t>
      </w:r>
      <w:r w:rsidRPr="007B02B9">
        <w:rPr>
          <w:rFonts w:cs="Arial"/>
          <w:szCs w:val="22"/>
        </w:rPr>
        <w:t>rogramme Mana</w:t>
      </w:r>
      <w:r w:rsidR="003B2883" w:rsidRPr="007B02B9">
        <w:rPr>
          <w:rFonts w:cs="Arial"/>
          <w:szCs w:val="22"/>
        </w:rPr>
        <w:t>ger for Landscape Partnerships to establish their views of how third party grants are managed, their benefits and the nature of any risks in relation to financial management.</w:t>
      </w:r>
    </w:p>
    <w:p w:rsidR="008A4668" w:rsidRPr="007B02B9" w:rsidRDefault="008A4668" w:rsidP="008A4668">
      <w:pPr>
        <w:pStyle w:val="ListParagraph"/>
        <w:rPr>
          <w:rFonts w:cs="Arial"/>
          <w:szCs w:val="22"/>
        </w:rPr>
      </w:pPr>
    </w:p>
    <w:p w:rsidR="00AA7BD2" w:rsidRPr="007B02B9" w:rsidRDefault="00CB58A2" w:rsidP="008A4668">
      <w:pPr>
        <w:pStyle w:val="ListParagraph"/>
        <w:numPr>
          <w:ilvl w:val="1"/>
          <w:numId w:val="2"/>
        </w:numPr>
        <w:spacing w:after="240"/>
        <w:rPr>
          <w:rFonts w:cs="Arial"/>
          <w:szCs w:val="22"/>
        </w:rPr>
      </w:pPr>
      <w:r w:rsidRPr="007B02B9">
        <w:rPr>
          <w:rFonts w:cs="Arial"/>
          <w:szCs w:val="22"/>
        </w:rPr>
        <w:t>Ac</w:t>
      </w:r>
      <w:r w:rsidR="00EA0BBB" w:rsidRPr="007B02B9">
        <w:rPr>
          <w:rFonts w:cs="Arial"/>
          <w:szCs w:val="22"/>
        </w:rPr>
        <w:t xml:space="preserve">cess will be given to any information that HLF holds on our grant management system (Gems08) but it is suspected that additional information will need to be requested and supplied by individual grantees upon demand. </w:t>
      </w:r>
    </w:p>
    <w:p w:rsidR="00512642" w:rsidRPr="007B02B9" w:rsidRDefault="00512642" w:rsidP="00AA7BD2">
      <w:pPr>
        <w:pStyle w:val="ListParagraph"/>
        <w:spacing w:after="240"/>
        <w:rPr>
          <w:rFonts w:cs="Arial"/>
          <w:color w:val="FF0000"/>
          <w:szCs w:val="22"/>
        </w:rPr>
      </w:pPr>
    </w:p>
    <w:p w:rsidR="00512642" w:rsidRPr="007B02B9" w:rsidRDefault="00EB5159" w:rsidP="00AA7BD2">
      <w:pPr>
        <w:pStyle w:val="ListParagraph"/>
        <w:spacing w:after="240"/>
        <w:rPr>
          <w:rFonts w:cs="Arial"/>
          <w:szCs w:val="22"/>
        </w:rPr>
      </w:pPr>
      <w:r w:rsidRPr="007B02B9">
        <w:rPr>
          <w:rFonts w:cs="Arial"/>
          <w:szCs w:val="22"/>
        </w:rPr>
        <w:t>The k</w:t>
      </w:r>
      <w:r w:rsidR="00512642" w:rsidRPr="007B02B9">
        <w:rPr>
          <w:rFonts w:cs="Arial"/>
          <w:szCs w:val="22"/>
        </w:rPr>
        <w:t>ey questions we would like answered</w:t>
      </w:r>
      <w:r w:rsidRPr="007B02B9">
        <w:rPr>
          <w:rFonts w:cs="Arial"/>
          <w:szCs w:val="22"/>
        </w:rPr>
        <w:t xml:space="preserve"> using these methods</w:t>
      </w:r>
      <w:r w:rsidR="001D222D" w:rsidRPr="007B02B9">
        <w:rPr>
          <w:rFonts w:cs="Arial"/>
          <w:szCs w:val="22"/>
        </w:rPr>
        <w:t xml:space="preserve"> </w:t>
      </w:r>
      <w:r w:rsidR="004E58E6" w:rsidRPr="007B02B9">
        <w:rPr>
          <w:rFonts w:cs="Arial"/>
          <w:szCs w:val="22"/>
        </w:rPr>
        <w:t>are</w:t>
      </w:r>
      <w:r w:rsidR="001D6D8C" w:rsidRPr="007B02B9">
        <w:rPr>
          <w:rFonts w:cs="Arial"/>
          <w:szCs w:val="22"/>
        </w:rPr>
        <w:t>:</w:t>
      </w:r>
    </w:p>
    <w:p w:rsidR="00661067" w:rsidRPr="007B02B9" w:rsidRDefault="00661067" w:rsidP="00AA7BD2">
      <w:pPr>
        <w:pStyle w:val="ListParagraph"/>
        <w:spacing w:after="240"/>
        <w:rPr>
          <w:rFonts w:cs="Arial"/>
          <w:color w:val="FF0000"/>
          <w:szCs w:val="22"/>
        </w:rPr>
      </w:pPr>
    </w:p>
    <w:p w:rsidR="00487BA4" w:rsidRPr="007B02B9" w:rsidRDefault="00487BA4" w:rsidP="00487BA4">
      <w:pPr>
        <w:pStyle w:val="ListParagraph"/>
        <w:numPr>
          <w:ilvl w:val="0"/>
          <w:numId w:val="45"/>
        </w:numPr>
        <w:rPr>
          <w:rFonts w:cstheme="minorBidi"/>
          <w:b/>
          <w:szCs w:val="22"/>
        </w:rPr>
      </w:pPr>
      <w:r w:rsidRPr="007B02B9">
        <w:rPr>
          <w:b/>
        </w:rPr>
        <w:t xml:space="preserve">Range and scope of grants: </w:t>
      </w:r>
      <w:r w:rsidRPr="007B02B9">
        <w:t>What range of works and types of applicants are being funded through third part and community grants in both LP and HG programmes? How might these contribute to the overall outcomes of the projects?</w:t>
      </w:r>
      <w:r w:rsidRPr="007B02B9">
        <w:rPr>
          <w:rFonts w:cstheme="minorBidi"/>
          <w:szCs w:val="22"/>
        </w:rPr>
        <w:t xml:space="preserve"> What proportion of the overall grant funding to each project is being </w:t>
      </w:r>
      <w:r w:rsidR="003B2883" w:rsidRPr="007B02B9">
        <w:rPr>
          <w:rFonts w:cstheme="minorBidi"/>
          <w:szCs w:val="22"/>
        </w:rPr>
        <w:t>awarded through third-party and</w:t>
      </w:r>
      <w:r w:rsidRPr="007B02B9">
        <w:rPr>
          <w:rFonts w:cstheme="minorBidi"/>
          <w:szCs w:val="22"/>
        </w:rPr>
        <w:t xml:space="preserve"> community grants, and is this proportionate to the scale of the overall grant award?</w:t>
      </w:r>
      <w:r w:rsidRPr="007B02B9">
        <w:rPr>
          <w:rFonts w:cstheme="minorBidi"/>
          <w:b/>
          <w:szCs w:val="22"/>
        </w:rPr>
        <w:t xml:space="preserve"> </w:t>
      </w:r>
    </w:p>
    <w:p w:rsidR="00487BA4" w:rsidRPr="007B02B9" w:rsidRDefault="00487BA4" w:rsidP="00487BA4">
      <w:pPr>
        <w:pStyle w:val="ListParagraph"/>
        <w:numPr>
          <w:ilvl w:val="0"/>
          <w:numId w:val="45"/>
        </w:numPr>
        <w:rPr>
          <w:rFonts w:cstheme="minorBidi"/>
          <w:b/>
          <w:szCs w:val="22"/>
        </w:rPr>
      </w:pPr>
      <w:r w:rsidRPr="007B02B9">
        <w:rPr>
          <w:b/>
        </w:rPr>
        <w:t xml:space="preserve">Administration: </w:t>
      </w:r>
      <w:r w:rsidRPr="007B02B9">
        <w:rPr>
          <w:rFonts w:cstheme="minorBidi"/>
          <w:szCs w:val="22"/>
        </w:rPr>
        <w:t xml:space="preserve">How are third-party and community grants being administered by the lead grantees, how </w:t>
      </w:r>
      <w:r w:rsidRPr="007B02B9">
        <w:t>are decisions made and by whom?</w:t>
      </w:r>
    </w:p>
    <w:p w:rsidR="00487BA4" w:rsidRPr="007B02B9" w:rsidRDefault="00487BA4" w:rsidP="00487BA4">
      <w:pPr>
        <w:pStyle w:val="ListParagraph"/>
        <w:numPr>
          <w:ilvl w:val="0"/>
          <w:numId w:val="45"/>
        </w:numPr>
        <w:rPr>
          <w:rFonts w:cstheme="minorBidi"/>
        </w:rPr>
      </w:pPr>
      <w:r w:rsidRPr="007B02B9">
        <w:rPr>
          <w:b/>
        </w:rPr>
        <w:t>Motivations</w:t>
      </w:r>
      <w:r w:rsidRPr="007B02B9">
        <w:t xml:space="preserve">: </w:t>
      </w:r>
      <w:r w:rsidR="003B2883" w:rsidRPr="007B02B9">
        <w:rPr>
          <w:rFonts w:cstheme="minorBidi"/>
          <w:szCs w:val="22"/>
        </w:rPr>
        <w:t>Why are third-party and</w:t>
      </w:r>
      <w:r w:rsidRPr="007B02B9">
        <w:rPr>
          <w:rFonts w:cstheme="minorBidi"/>
          <w:szCs w:val="22"/>
        </w:rPr>
        <w:t xml:space="preserve"> community grants being employed</w:t>
      </w:r>
      <w:r w:rsidR="003B2883" w:rsidRPr="007B02B9">
        <w:rPr>
          <w:rFonts w:cstheme="minorBidi"/>
          <w:szCs w:val="22"/>
        </w:rPr>
        <w:t xml:space="preserve"> and if not </w:t>
      </w:r>
      <w:r w:rsidR="00661067" w:rsidRPr="007B02B9">
        <w:rPr>
          <w:rFonts w:cstheme="minorBidi"/>
          <w:szCs w:val="22"/>
        </w:rPr>
        <w:t>why not</w:t>
      </w:r>
      <w:r w:rsidRPr="007B02B9">
        <w:rPr>
          <w:rFonts w:cstheme="minorBidi"/>
        </w:rPr>
        <w:t>? What are the benefits, dis</w:t>
      </w:r>
      <w:r w:rsidR="00794744">
        <w:rPr>
          <w:rFonts w:cstheme="minorBidi"/>
        </w:rPr>
        <w:t>-</w:t>
      </w:r>
      <w:r w:rsidRPr="007B02B9">
        <w:rPr>
          <w:rFonts w:cstheme="minorBidi"/>
        </w:rPr>
        <w:t>benefits and opportunities associated with their use?</w:t>
      </w:r>
    </w:p>
    <w:p w:rsidR="00487BA4" w:rsidRPr="007B02B9" w:rsidRDefault="00487BA4" w:rsidP="00487BA4">
      <w:pPr>
        <w:pStyle w:val="ListParagraph"/>
        <w:numPr>
          <w:ilvl w:val="0"/>
          <w:numId w:val="45"/>
        </w:numPr>
      </w:pPr>
      <w:r w:rsidRPr="007B02B9">
        <w:rPr>
          <w:rFonts w:cstheme="minorBidi"/>
          <w:b/>
        </w:rPr>
        <w:t>Risks</w:t>
      </w:r>
      <w:r w:rsidRPr="007B02B9">
        <w:rPr>
          <w:rFonts w:cstheme="minorBidi"/>
        </w:rPr>
        <w:t xml:space="preserve">: What are the risks associated with </w:t>
      </w:r>
      <w:r w:rsidR="00661067" w:rsidRPr="007B02B9">
        <w:rPr>
          <w:rFonts w:cstheme="minorBidi"/>
          <w:szCs w:val="22"/>
        </w:rPr>
        <w:t>third party and</w:t>
      </w:r>
      <w:r w:rsidRPr="007B02B9">
        <w:rPr>
          <w:rFonts w:cstheme="minorBidi"/>
          <w:szCs w:val="22"/>
        </w:rPr>
        <w:t xml:space="preserve"> community grants?</w:t>
      </w:r>
      <w:r w:rsidRPr="007B02B9">
        <w:rPr>
          <w:rFonts w:cstheme="minorBidi"/>
        </w:rPr>
        <w:t xml:space="preserve"> </w:t>
      </w:r>
      <w:r w:rsidR="00661067" w:rsidRPr="007B02B9">
        <w:rPr>
          <w:rFonts w:cstheme="minorBidi"/>
          <w:szCs w:val="22"/>
        </w:rPr>
        <w:t>W</w:t>
      </w:r>
      <w:r w:rsidRPr="007B02B9">
        <w:rPr>
          <w:rFonts w:cstheme="minorBidi"/>
          <w:szCs w:val="22"/>
        </w:rPr>
        <w:t xml:space="preserve">hat controls do </w:t>
      </w:r>
      <w:r w:rsidR="00661067" w:rsidRPr="007B02B9">
        <w:rPr>
          <w:rFonts w:cstheme="minorBidi"/>
          <w:szCs w:val="22"/>
        </w:rPr>
        <w:t>grantees</w:t>
      </w:r>
      <w:r w:rsidRPr="007B02B9">
        <w:rPr>
          <w:rFonts w:cstheme="minorBidi"/>
          <w:szCs w:val="22"/>
        </w:rPr>
        <w:t xml:space="preserve"> have in place for audit, fraud avoidance, and to ensure wider HLF guidance such as digital is followed</w:t>
      </w:r>
      <w:r w:rsidR="00661067" w:rsidRPr="007B02B9">
        <w:rPr>
          <w:rFonts w:cstheme="minorBidi"/>
          <w:szCs w:val="22"/>
        </w:rPr>
        <w:t>?  H</w:t>
      </w:r>
      <w:r w:rsidRPr="007B02B9">
        <w:rPr>
          <w:rFonts w:cstheme="minorBidi"/>
          <w:szCs w:val="22"/>
        </w:rPr>
        <w:t xml:space="preserve">ow are decisions </w:t>
      </w:r>
      <w:r w:rsidRPr="007B02B9">
        <w:rPr>
          <w:rFonts w:cstheme="minorBidi"/>
          <w:szCs w:val="22"/>
        </w:rPr>
        <w:lastRenderedPageBreak/>
        <w:t>and payments managed</w:t>
      </w:r>
      <w:r w:rsidR="00661067" w:rsidRPr="007B02B9">
        <w:rPr>
          <w:rFonts w:cstheme="minorBidi"/>
          <w:szCs w:val="22"/>
        </w:rPr>
        <w:t xml:space="preserve"> by grantees</w:t>
      </w:r>
      <w:r w:rsidRPr="007B02B9">
        <w:rPr>
          <w:rFonts w:cstheme="minorBidi"/>
          <w:szCs w:val="22"/>
        </w:rPr>
        <w:t xml:space="preserve">? How well does the quality of the contractual documentation and processes </w:t>
      </w:r>
      <w:r w:rsidR="00794744">
        <w:rPr>
          <w:rFonts w:cstheme="minorBidi"/>
          <w:szCs w:val="22"/>
        </w:rPr>
        <w:t>u</w:t>
      </w:r>
      <w:r w:rsidRPr="007B02B9">
        <w:rPr>
          <w:rFonts w:cstheme="minorBidi"/>
          <w:szCs w:val="22"/>
        </w:rPr>
        <w:t>sed match with the levels of risk involved and the</w:t>
      </w:r>
      <w:r w:rsidR="00661067" w:rsidRPr="007B02B9">
        <w:rPr>
          <w:rFonts w:cstheme="minorBidi"/>
          <w:szCs w:val="22"/>
        </w:rPr>
        <w:t xml:space="preserve"> scale of funding being awarded?</w:t>
      </w:r>
      <w:r w:rsidRPr="007B02B9">
        <w:rPr>
          <w:rFonts w:cstheme="minorBidi"/>
          <w:szCs w:val="22"/>
        </w:rPr>
        <w:t xml:space="preserve"> How might any actual or perceived risks be contained or managed by HLF going forward?</w:t>
      </w:r>
    </w:p>
    <w:p w:rsidR="00AA7BD2" w:rsidRPr="009247B0" w:rsidRDefault="00487BA4" w:rsidP="009247B0">
      <w:pPr>
        <w:pStyle w:val="ListParagraph"/>
        <w:numPr>
          <w:ilvl w:val="0"/>
          <w:numId w:val="45"/>
        </w:numPr>
        <w:spacing w:after="240"/>
        <w:rPr>
          <w:rFonts w:cstheme="minorBidi"/>
          <w:b/>
          <w:szCs w:val="22"/>
        </w:rPr>
      </w:pPr>
      <w:r w:rsidRPr="007B02B9">
        <w:rPr>
          <w:b/>
        </w:rPr>
        <w:t xml:space="preserve">Evaluation: </w:t>
      </w:r>
      <w:r w:rsidRPr="007B02B9">
        <w:rPr>
          <w:rFonts w:cstheme="minorBidi"/>
          <w:szCs w:val="22"/>
        </w:rPr>
        <w:t>Are grantees evaluating third-party and community grants, or do they have plans to evaluate their success in future?</w:t>
      </w:r>
    </w:p>
    <w:p w:rsidR="009247B0" w:rsidRPr="009247B0" w:rsidRDefault="009247B0" w:rsidP="009247B0">
      <w:pPr>
        <w:pStyle w:val="ListParagraph"/>
        <w:spacing w:after="240"/>
        <w:ind w:left="1440"/>
        <w:rPr>
          <w:rFonts w:cstheme="minorBidi"/>
          <w:b/>
          <w:szCs w:val="22"/>
        </w:rPr>
      </w:pPr>
    </w:p>
    <w:p w:rsidR="00AA7BD2" w:rsidRPr="007B02B9" w:rsidRDefault="00487BA4" w:rsidP="009247B0">
      <w:pPr>
        <w:pStyle w:val="ListParagraph"/>
        <w:numPr>
          <w:ilvl w:val="1"/>
          <w:numId w:val="2"/>
        </w:numPr>
        <w:rPr>
          <w:rFonts w:cs="Arial"/>
          <w:color w:val="FF0000"/>
          <w:szCs w:val="22"/>
        </w:rPr>
      </w:pPr>
      <w:r w:rsidRPr="007B02B9">
        <w:rPr>
          <w:rFonts w:cs="Arial"/>
          <w:szCs w:val="22"/>
        </w:rPr>
        <w:t>We have suggested a method</w:t>
      </w:r>
      <w:r w:rsidR="00AA7BD2" w:rsidRPr="007B02B9">
        <w:rPr>
          <w:rFonts w:cs="Arial"/>
          <w:szCs w:val="22"/>
        </w:rPr>
        <w:t xml:space="preserve"> for the work </w:t>
      </w:r>
      <w:r w:rsidRPr="007B02B9">
        <w:rPr>
          <w:rFonts w:cs="Arial"/>
          <w:szCs w:val="22"/>
        </w:rPr>
        <w:t>but we are</w:t>
      </w:r>
      <w:r w:rsidR="00661067" w:rsidRPr="007B02B9">
        <w:rPr>
          <w:rFonts w:cs="Arial"/>
          <w:szCs w:val="22"/>
        </w:rPr>
        <w:t xml:space="preserve"> </w:t>
      </w:r>
      <w:r w:rsidR="00AA7BD2" w:rsidRPr="007B02B9">
        <w:rPr>
          <w:rFonts w:cs="Arial"/>
          <w:szCs w:val="22"/>
        </w:rPr>
        <w:t xml:space="preserve">open </w:t>
      </w:r>
      <w:r w:rsidR="00A14D88" w:rsidRPr="007B02B9">
        <w:rPr>
          <w:rFonts w:cs="Arial"/>
          <w:szCs w:val="22"/>
        </w:rPr>
        <w:t>to</w:t>
      </w:r>
      <w:r w:rsidR="00AA7BD2" w:rsidRPr="007B02B9">
        <w:rPr>
          <w:rFonts w:cs="Arial"/>
          <w:szCs w:val="22"/>
        </w:rPr>
        <w:t xml:space="preserve"> consultants propos</w:t>
      </w:r>
      <w:r w:rsidR="00A14D88" w:rsidRPr="007B02B9">
        <w:rPr>
          <w:rFonts w:cs="Arial"/>
          <w:szCs w:val="22"/>
        </w:rPr>
        <w:t>ing additional or alternative ways of exploring the issues raised above</w:t>
      </w:r>
      <w:r w:rsidR="00AA7BD2" w:rsidRPr="007B02B9">
        <w:rPr>
          <w:rFonts w:cs="Arial"/>
          <w:szCs w:val="22"/>
        </w:rPr>
        <w:t>.</w:t>
      </w:r>
      <w:r w:rsidR="00661067" w:rsidRPr="007B02B9">
        <w:rPr>
          <w:rFonts w:cs="Arial"/>
          <w:szCs w:val="22"/>
        </w:rPr>
        <w:t xml:space="preserve">  It may be useful for consultants to group third party grants in three scale bands; no third party or community grants, medium sized third party grants and larger scale third party grants. The nature of processes and risks may then be seen in proportion to the overall scale of third party grants within the respective projects.</w:t>
      </w:r>
      <w:r w:rsidR="00AA7BD2" w:rsidRPr="007B02B9">
        <w:rPr>
          <w:rFonts w:cs="Arial"/>
          <w:szCs w:val="22"/>
        </w:rPr>
        <w:t xml:space="preserve"> </w:t>
      </w:r>
    </w:p>
    <w:p w:rsidR="000B4E51" w:rsidRPr="007B02B9" w:rsidRDefault="0082194B" w:rsidP="000B4E51">
      <w:pPr>
        <w:pStyle w:val="Heading1"/>
        <w:numPr>
          <w:ilvl w:val="0"/>
          <w:numId w:val="2"/>
        </w:numPr>
      </w:pPr>
      <w:r w:rsidRPr="007B02B9">
        <w:t>Outputs</w:t>
      </w:r>
    </w:p>
    <w:p w:rsidR="00441942" w:rsidRPr="007B02B9" w:rsidRDefault="00441942" w:rsidP="00441942">
      <w:pPr>
        <w:numPr>
          <w:ilvl w:val="1"/>
          <w:numId w:val="2"/>
        </w:numPr>
        <w:spacing w:after="240" w:line="276" w:lineRule="auto"/>
        <w:rPr>
          <w:rFonts w:cs="Arial"/>
          <w:szCs w:val="22"/>
        </w:rPr>
      </w:pPr>
      <w:r w:rsidRPr="007B02B9">
        <w:rPr>
          <w:rFonts w:cs="Arial"/>
          <w:szCs w:val="22"/>
        </w:rPr>
        <w:t>The following outputs will be required:</w:t>
      </w:r>
    </w:p>
    <w:p w:rsidR="00441942" w:rsidRPr="007B02B9" w:rsidRDefault="00441942" w:rsidP="00441942">
      <w:pPr>
        <w:pStyle w:val="ListParagraph"/>
        <w:numPr>
          <w:ilvl w:val="0"/>
          <w:numId w:val="40"/>
        </w:numPr>
        <w:spacing w:after="240" w:line="276" w:lineRule="auto"/>
        <w:rPr>
          <w:rFonts w:cs="Arial"/>
          <w:szCs w:val="22"/>
        </w:rPr>
      </w:pPr>
      <w:r w:rsidRPr="007B02B9">
        <w:rPr>
          <w:rFonts w:cs="Arial"/>
          <w:szCs w:val="22"/>
        </w:rPr>
        <w:t>a draft final report;</w:t>
      </w:r>
    </w:p>
    <w:p w:rsidR="00441942" w:rsidRPr="007B02B9" w:rsidRDefault="00441942" w:rsidP="00441942">
      <w:pPr>
        <w:pStyle w:val="ListParagraph"/>
        <w:numPr>
          <w:ilvl w:val="0"/>
          <w:numId w:val="40"/>
        </w:numPr>
        <w:spacing w:after="240" w:line="276" w:lineRule="auto"/>
        <w:rPr>
          <w:rFonts w:cs="Arial"/>
          <w:szCs w:val="22"/>
        </w:rPr>
      </w:pPr>
      <w:r w:rsidRPr="007B02B9">
        <w:rPr>
          <w:rFonts w:cs="Arial"/>
          <w:szCs w:val="22"/>
        </w:rPr>
        <w:t xml:space="preserve">a final report; </w:t>
      </w:r>
    </w:p>
    <w:p w:rsidR="00441942" w:rsidRPr="007B02B9" w:rsidRDefault="00441942" w:rsidP="00441942">
      <w:pPr>
        <w:pStyle w:val="ListParagraph"/>
        <w:numPr>
          <w:ilvl w:val="0"/>
          <w:numId w:val="40"/>
        </w:numPr>
        <w:spacing w:after="240" w:line="276" w:lineRule="auto"/>
        <w:rPr>
          <w:rFonts w:cs="Arial"/>
          <w:szCs w:val="22"/>
        </w:rPr>
      </w:pPr>
      <w:r w:rsidRPr="007B02B9">
        <w:rPr>
          <w:rFonts w:cs="Arial"/>
          <w:szCs w:val="22"/>
        </w:rPr>
        <w:t>a set of research data, to be stored in a readily accessible electronic format such as Excel</w:t>
      </w:r>
    </w:p>
    <w:p w:rsidR="00E05980" w:rsidRPr="007B02B9" w:rsidRDefault="00E05980" w:rsidP="00441942">
      <w:pPr>
        <w:pStyle w:val="ListParagraph"/>
        <w:numPr>
          <w:ilvl w:val="0"/>
          <w:numId w:val="40"/>
        </w:numPr>
        <w:spacing w:after="240" w:line="276" w:lineRule="auto"/>
        <w:rPr>
          <w:rFonts w:cs="Arial"/>
          <w:szCs w:val="22"/>
        </w:rPr>
      </w:pPr>
      <w:r w:rsidRPr="007B02B9">
        <w:rPr>
          <w:rFonts w:cs="Arial"/>
          <w:szCs w:val="22"/>
        </w:rPr>
        <w:t>copies of all additional materials supplied directly to the consultants by any grantees or partners.</w:t>
      </w:r>
    </w:p>
    <w:p w:rsidR="00441942" w:rsidRPr="007B02B9" w:rsidRDefault="001D6D8C" w:rsidP="00441942">
      <w:pPr>
        <w:numPr>
          <w:ilvl w:val="1"/>
          <w:numId w:val="2"/>
        </w:numPr>
        <w:spacing w:after="240" w:line="276" w:lineRule="auto"/>
        <w:rPr>
          <w:rFonts w:cs="Arial"/>
          <w:szCs w:val="22"/>
        </w:rPr>
      </w:pPr>
      <w:r w:rsidRPr="007B02B9">
        <w:rPr>
          <w:rFonts w:cs="Arial"/>
          <w:szCs w:val="22"/>
        </w:rPr>
        <w:t>All</w:t>
      </w:r>
      <w:r w:rsidR="0082194B" w:rsidRPr="007B02B9">
        <w:rPr>
          <w:rFonts w:cs="Arial"/>
          <w:szCs w:val="22"/>
        </w:rPr>
        <w:t xml:space="preserve"> reports should adhere to HLF’s accessibility and formatting guidance (appended)</w:t>
      </w:r>
      <w:r w:rsidR="00A14D88" w:rsidRPr="007B02B9">
        <w:rPr>
          <w:rFonts w:cs="Arial"/>
          <w:szCs w:val="22"/>
        </w:rPr>
        <w:t xml:space="preserve"> and may be posted on HLF’s website</w:t>
      </w:r>
      <w:r w:rsidR="0082194B" w:rsidRPr="007B02B9">
        <w:rPr>
          <w:rFonts w:cs="Arial"/>
          <w:szCs w:val="22"/>
        </w:rPr>
        <w:t>.</w:t>
      </w:r>
      <w:r w:rsidR="00A14D88" w:rsidRPr="007B02B9">
        <w:rPr>
          <w:rFonts w:cs="Arial"/>
          <w:szCs w:val="22"/>
        </w:rPr>
        <w:t xml:space="preserve"> As the findings of the study may be helpful to subsequent projects</w:t>
      </w:r>
      <w:r w:rsidR="00FA45A3" w:rsidRPr="007B02B9">
        <w:rPr>
          <w:rFonts w:cs="Arial"/>
          <w:szCs w:val="22"/>
        </w:rPr>
        <w:t>,</w:t>
      </w:r>
      <w:r w:rsidR="00A14D88" w:rsidRPr="007B02B9">
        <w:rPr>
          <w:rFonts w:cs="Arial"/>
          <w:szCs w:val="22"/>
        </w:rPr>
        <w:t xml:space="preserve"> we are keen that the final report </w:t>
      </w:r>
      <w:r w:rsidR="00E05980" w:rsidRPr="007B02B9">
        <w:rPr>
          <w:rFonts w:cs="Arial"/>
          <w:szCs w:val="22"/>
        </w:rPr>
        <w:t xml:space="preserve">should </w:t>
      </w:r>
      <w:r w:rsidR="00A14D88" w:rsidRPr="007B02B9">
        <w:rPr>
          <w:rFonts w:cs="Arial"/>
          <w:szCs w:val="22"/>
        </w:rPr>
        <w:t xml:space="preserve">be posted </w:t>
      </w:r>
      <w:r w:rsidR="00E05980" w:rsidRPr="007B02B9">
        <w:rPr>
          <w:rFonts w:cs="Arial"/>
          <w:szCs w:val="22"/>
        </w:rPr>
        <w:t xml:space="preserve">by HLF </w:t>
      </w:r>
      <w:r w:rsidR="00A14D88" w:rsidRPr="007B02B9">
        <w:rPr>
          <w:rFonts w:cs="Arial"/>
          <w:szCs w:val="22"/>
        </w:rPr>
        <w:t>on our website.  If</w:t>
      </w:r>
      <w:r w:rsidR="00845E67" w:rsidRPr="007B02B9">
        <w:rPr>
          <w:rFonts w:cs="Arial"/>
          <w:szCs w:val="22"/>
        </w:rPr>
        <w:t>,</w:t>
      </w:r>
      <w:r w:rsidR="00A14D88" w:rsidRPr="007B02B9">
        <w:rPr>
          <w:rFonts w:cs="Arial"/>
          <w:szCs w:val="22"/>
        </w:rPr>
        <w:t xml:space="preserve"> </w:t>
      </w:r>
      <w:r w:rsidR="00FA45A3" w:rsidRPr="007B02B9">
        <w:rPr>
          <w:rFonts w:cs="Arial"/>
          <w:szCs w:val="22"/>
        </w:rPr>
        <w:t>however</w:t>
      </w:r>
      <w:r w:rsidR="00845E67" w:rsidRPr="007B02B9">
        <w:rPr>
          <w:rFonts w:cs="Arial"/>
          <w:szCs w:val="22"/>
        </w:rPr>
        <w:t>,</w:t>
      </w:r>
      <w:r w:rsidR="00FA45A3" w:rsidRPr="007B02B9">
        <w:rPr>
          <w:rFonts w:cs="Arial"/>
          <w:szCs w:val="22"/>
        </w:rPr>
        <w:t xml:space="preserve"> </w:t>
      </w:r>
      <w:r w:rsidR="00A14D88" w:rsidRPr="007B02B9">
        <w:rPr>
          <w:rFonts w:cs="Arial"/>
          <w:szCs w:val="22"/>
        </w:rPr>
        <w:t>there are elements of the findings that may be better kept confidential, we would be keen to discuss how this is approached before a final report is completed. It may be necessary</w:t>
      </w:r>
      <w:r w:rsidR="00FA45A3" w:rsidRPr="007B02B9">
        <w:rPr>
          <w:rFonts w:cs="Arial"/>
          <w:szCs w:val="22"/>
        </w:rPr>
        <w:t>,</w:t>
      </w:r>
      <w:r w:rsidR="00A14D88" w:rsidRPr="007B02B9">
        <w:rPr>
          <w:rFonts w:cs="Arial"/>
          <w:szCs w:val="22"/>
        </w:rPr>
        <w:t xml:space="preserve"> for example</w:t>
      </w:r>
      <w:r w:rsidR="00FA45A3" w:rsidRPr="007B02B9">
        <w:rPr>
          <w:rFonts w:cs="Arial"/>
          <w:szCs w:val="22"/>
        </w:rPr>
        <w:t>,</w:t>
      </w:r>
      <w:r w:rsidR="00A14D88" w:rsidRPr="007B02B9">
        <w:rPr>
          <w:rFonts w:cs="Arial"/>
          <w:szCs w:val="22"/>
        </w:rPr>
        <w:t xml:space="preserve"> to produce a public report for the website and a separate short appendix with </w:t>
      </w:r>
      <w:r w:rsidR="00FA45A3" w:rsidRPr="007B02B9">
        <w:rPr>
          <w:rFonts w:cs="Arial"/>
          <w:szCs w:val="22"/>
        </w:rPr>
        <w:t xml:space="preserve">issues and/or </w:t>
      </w:r>
      <w:r w:rsidR="00A14D88" w:rsidRPr="007B02B9">
        <w:rPr>
          <w:rFonts w:cs="Arial"/>
          <w:szCs w:val="22"/>
        </w:rPr>
        <w:t xml:space="preserve">recommendations for HLF that </w:t>
      </w:r>
      <w:r w:rsidR="00FA45A3" w:rsidRPr="007B02B9">
        <w:rPr>
          <w:rFonts w:cs="Arial"/>
          <w:szCs w:val="22"/>
        </w:rPr>
        <w:t xml:space="preserve">would </w:t>
      </w:r>
      <w:r w:rsidR="00A14D88" w:rsidRPr="007B02B9">
        <w:rPr>
          <w:rFonts w:cs="Arial"/>
          <w:szCs w:val="22"/>
        </w:rPr>
        <w:t xml:space="preserve">remain confidential. </w:t>
      </w:r>
    </w:p>
    <w:p w:rsidR="00441942" w:rsidRPr="007B02B9" w:rsidRDefault="0082194B" w:rsidP="00441942">
      <w:pPr>
        <w:numPr>
          <w:ilvl w:val="1"/>
          <w:numId w:val="2"/>
        </w:numPr>
        <w:spacing w:after="240" w:line="276" w:lineRule="auto"/>
        <w:rPr>
          <w:rFonts w:cs="Arial"/>
          <w:szCs w:val="22"/>
        </w:rPr>
      </w:pPr>
      <w:r w:rsidRPr="007B02B9">
        <w:rPr>
          <w:rFonts w:cs="Arial"/>
          <w:szCs w:val="22"/>
        </w:rPr>
        <w:t>HLF may prepare or commission summary reports and other materials for subsequent wider distribution based on the results.</w:t>
      </w:r>
    </w:p>
    <w:p w:rsidR="00441942" w:rsidRPr="007B02B9" w:rsidRDefault="00441942" w:rsidP="00441942">
      <w:pPr>
        <w:numPr>
          <w:ilvl w:val="1"/>
          <w:numId w:val="2"/>
        </w:numPr>
        <w:spacing w:after="240" w:line="276" w:lineRule="auto"/>
        <w:rPr>
          <w:rFonts w:cs="Arial"/>
          <w:szCs w:val="22"/>
        </w:rPr>
      </w:pPr>
      <w:r w:rsidRPr="007B02B9">
        <w:rPr>
          <w:rFonts w:cs="Arial"/>
          <w:szCs w:val="22"/>
        </w:rPr>
        <w:t>All reports to include appendices as agreed between HLF and the contractor. The contents and structure of the report to be agreed in advance of writing. All reports to be supplied in both hard copy and electronic format.</w:t>
      </w:r>
    </w:p>
    <w:p w:rsidR="00E4627B" w:rsidRPr="007B02B9" w:rsidRDefault="00E4627B" w:rsidP="00E4627B">
      <w:pPr>
        <w:pStyle w:val="ListParagraph"/>
        <w:numPr>
          <w:ilvl w:val="1"/>
          <w:numId w:val="2"/>
        </w:numPr>
        <w:spacing w:after="240"/>
        <w:contextualSpacing w:val="0"/>
      </w:pPr>
      <w:r w:rsidRPr="007B02B9">
        <w:t>All bidders are required to adhere to all appropriate regulations and guidelines on the collection, storage, transmission and destruction of personal data (</w:t>
      </w:r>
      <w:hyperlink r:id="rId10" w:history="1">
        <w:r w:rsidRPr="007B02B9">
          <w:rPr>
            <w:rStyle w:val="Hyperlink"/>
          </w:rPr>
          <w:t>MRS/SRA, Data Protection Act 1998: Guidelines for Social Research, April 2013</w:t>
        </w:r>
      </w:hyperlink>
      <w:r w:rsidRPr="007B02B9">
        <w:t>).</w:t>
      </w:r>
    </w:p>
    <w:p w:rsidR="0082194B" w:rsidRPr="007B02B9" w:rsidRDefault="0082194B" w:rsidP="0082194B">
      <w:pPr>
        <w:spacing w:after="200" w:line="276" w:lineRule="auto"/>
        <w:ind w:left="720"/>
        <w:contextualSpacing/>
        <w:rPr>
          <w:rFonts w:cs="Arial"/>
          <w:szCs w:val="22"/>
        </w:rPr>
      </w:pPr>
    </w:p>
    <w:p w:rsidR="0082194B" w:rsidRPr="007B02B9" w:rsidRDefault="0082194B" w:rsidP="0082194B">
      <w:pPr>
        <w:pStyle w:val="Heading1"/>
        <w:numPr>
          <w:ilvl w:val="0"/>
          <w:numId w:val="2"/>
        </w:numPr>
      </w:pPr>
      <w:r w:rsidRPr="007B02B9">
        <w:t>Research management</w:t>
      </w:r>
    </w:p>
    <w:p w:rsidR="00E4627B" w:rsidRPr="007B02B9" w:rsidRDefault="00E4627B" w:rsidP="0082194B">
      <w:pPr>
        <w:numPr>
          <w:ilvl w:val="1"/>
          <w:numId w:val="2"/>
        </w:numPr>
        <w:spacing w:after="200" w:line="276" w:lineRule="auto"/>
        <w:contextualSpacing/>
        <w:rPr>
          <w:rFonts w:cs="Arial"/>
          <w:szCs w:val="22"/>
        </w:rPr>
      </w:pPr>
      <w:r w:rsidRPr="007B02B9">
        <w:rPr>
          <w:rFonts w:cs="Arial"/>
          <w:szCs w:val="22"/>
        </w:rPr>
        <w:t xml:space="preserve">We expect the research to begin </w:t>
      </w:r>
      <w:r w:rsidR="00661067" w:rsidRPr="007B02B9">
        <w:rPr>
          <w:rFonts w:cs="Arial"/>
          <w:szCs w:val="22"/>
        </w:rPr>
        <w:t>15 August 2016</w:t>
      </w:r>
      <w:r w:rsidRPr="007B02B9">
        <w:rPr>
          <w:rFonts w:cs="Arial"/>
          <w:color w:val="FF0000"/>
          <w:szCs w:val="22"/>
        </w:rPr>
        <w:t xml:space="preserve"> </w:t>
      </w:r>
      <w:r w:rsidRPr="007B02B9">
        <w:rPr>
          <w:rFonts w:cs="Arial"/>
          <w:szCs w:val="22"/>
        </w:rPr>
        <w:t xml:space="preserve">and be completed by </w:t>
      </w:r>
      <w:r w:rsidR="00661067" w:rsidRPr="007B02B9">
        <w:rPr>
          <w:rFonts w:cs="Arial"/>
          <w:szCs w:val="22"/>
        </w:rPr>
        <w:t>1 December 2016</w:t>
      </w:r>
      <w:r w:rsidRPr="007B02B9">
        <w:rPr>
          <w:rFonts w:cs="Arial"/>
          <w:szCs w:val="22"/>
        </w:rPr>
        <w:t xml:space="preserve">. The final report shall be submitted to HLF by </w:t>
      </w:r>
      <w:r w:rsidR="00661067" w:rsidRPr="007B02B9">
        <w:rPr>
          <w:rFonts w:cs="Arial"/>
          <w:szCs w:val="22"/>
        </w:rPr>
        <w:t>1 December 2016</w:t>
      </w:r>
      <w:r w:rsidR="00DB2497" w:rsidRPr="007B02B9">
        <w:rPr>
          <w:rFonts w:cs="Arial"/>
          <w:color w:val="FF0000"/>
          <w:szCs w:val="22"/>
        </w:rPr>
        <w:t>.</w:t>
      </w:r>
    </w:p>
    <w:p w:rsidR="00DB2497" w:rsidRPr="007B02B9" w:rsidRDefault="00DB2497" w:rsidP="00DB2497">
      <w:pPr>
        <w:spacing w:after="200" w:line="276" w:lineRule="auto"/>
        <w:ind w:left="720"/>
        <w:contextualSpacing/>
        <w:rPr>
          <w:rFonts w:cs="Arial"/>
          <w:szCs w:val="22"/>
        </w:rPr>
      </w:pPr>
    </w:p>
    <w:p w:rsidR="0082194B" w:rsidRPr="007B02B9" w:rsidRDefault="0082194B" w:rsidP="0082194B">
      <w:pPr>
        <w:numPr>
          <w:ilvl w:val="1"/>
          <w:numId w:val="2"/>
        </w:numPr>
        <w:spacing w:after="200" w:line="276" w:lineRule="auto"/>
        <w:contextualSpacing/>
        <w:rPr>
          <w:rFonts w:cs="Arial"/>
          <w:szCs w:val="22"/>
        </w:rPr>
      </w:pPr>
      <w:r w:rsidRPr="007B02B9">
        <w:rPr>
          <w:rFonts w:cs="Arial"/>
          <w:szCs w:val="22"/>
        </w:rPr>
        <w:t xml:space="preserve">The anticipated budget is </w:t>
      </w:r>
      <w:r w:rsidR="007E0F7F" w:rsidRPr="007B02B9">
        <w:rPr>
          <w:rFonts w:cs="Arial"/>
          <w:szCs w:val="22"/>
        </w:rPr>
        <w:t>£2</w:t>
      </w:r>
      <w:r w:rsidR="004E58E6" w:rsidRPr="007B02B9">
        <w:rPr>
          <w:rFonts w:cs="Arial"/>
          <w:szCs w:val="22"/>
        </w:rPr>
        <w:t>0,000</w:t>
      </w:r>
      <w:r w:rsidR="00E4627B" w:rsidRPr="007B02B9">
        <w:rPr>
          <w:rFonts w:cs="Arial"/>
          <w:szCs w:val="22"/>
        </w:rPr>
        <w:t xml:space="preserve"> </w:t>
      </w:r>
      <w:r w:rsidRPr="007B02B9">
        <w:rPr>
          <w:rFonts w:cs="Arial"/>
          <w:szCs w:val="22"/>
        </w:rPr>
        <w:t>to include all expenses and VAT. The contract will be let by the National Heritage Memorial Fund.</w:t>
      </w:r>
    </w:p>
    <w:p w:rsidR="00E4627B" w:rsidRPr="007B02B9" w:rsidRDefault="00E4627B" w:rsidP="00E4627B">
      <w:pPr>
        <w:spacing w:after="200" w:line="276" w:lineRule="auto"/>
        <w:ind w:left="720"/>
        <w:contextualSpacing/>
        <w:rPr>
          <w:rFonts w:cs="Arial"/>
          <w:szCs w:val="22"/>
        </w:rPr>
      </w:pPr>
    </w:p>
    <w:p w:rsidR="00E4627B" w:rsidRPr="007B02B9" w:rsidRDefault="0082194B" w:rsidP="00E4627B">
      <w:pPr>
        <w:numPr>
          <w:ilvl w:val="1"/>
          <w:numId w:val="2"/>
        </w:numPr>
        <w:spacing w:after="240" w:line="276" w:lineRule="auto"/>
        <w:rPr>
          <w:rFonts w:cs="Arial"/>
          <w:szCs w:val="22"/>
        </w:rPr>
      </w:pPr>
      <w:r w:rsidRPr="007B02B9">
        <w:rPr>
          <w:rFonts w:cs="Arial"/>
          <w:szCs w:val="22"/>
        </w:rPr>
        <w:t xml:space="preserve">The payment schedule will be </w:t>
      </w:r>
      <w:r w:rsidR="00E05980" w:rsidRPr="007B02B9">
        <w:rPr>
          <w:rFonts w:cs="Arial"/>
          <w:szCs w:val="22"/>
        </w:rPr>
        <w:t>50% upon completion of the research phase and evidence of the desk-based review and in-depth interviews. Remaining 50% upon completion and sign-off of the final report and submission of all data.</w:t>
      </w:r>
    </w:p>
    <w:p w:rsidR="00CF253B" w:rsidRPr="007B02B9" w:rsidRDefault="0082194B" w:rsidP="00CF253B">
      <w:pPr>
        <w:numPr>
          <w:ilvl w:val="1"/>
          <w:numId w:val="2"/>
        </w:numPr>
        <w:spacing w:after="240" w:line="276" w:lineRule="auto"/>
        <w:rPr>
          <w:rFonts w:cs="Arial"/>
          <w:szCs w:val="22"/>
        </w:rPr>
      </w:pPr>
      <w:r w:rsidRPr="007B02B9">
        <w:rPr>
          <w:rFonts w:cs="Arial"/>
          <w:szCs w:val="22"/>
        </w:rPr>
        <w:t>The contract will be based on the H</w:t>
      </w:r>
      <w:r w:rsidR="00CF253B" w:rsidRPr="007B02B9">
        <w:rPr>
          <w:rFonts w:cs="Arial"/>
          <w:szCs w:val="22"/>
        </w:rPr>
        <w:t>LF standard terms and conditions</w:t>
      </w:r>
    </w:p>
    <w:p w:rsidR="0082194B" w:rsidRPr="007B02B9" w:rsidRDefault="0082194B" w:rsidP="0082194B">
      <w:pPr>
        <w:numPr>
          <w:ilvl w:val="1"/>
          <w:numId w:val="2"/>
        </w:numPr>
        <w:spacing w:after="200" w:line="276" w:lineRule="auto"/>
        <w:contextualSpacing/>
        <w:rPr>
          <w:rFonts w:cs="Arial"/>
          <w:szCs w:val="22"/>
        </w:rPr>
      </w:pPr>
      <w:r w:rsidRPr="007B02B9">
        <w:rPr>
          <w:rFonts w:cs="Arial"/>
          <w:szCs w:val="22"/>
        </w:rPr>
        <w:t>The research will be managed on a day to day basis for HLF by</w:t>
      </w:r>
      <w:r w:rsidR="00E05980" w:rsidRPr="007B02B9">
        <w:rPr>
          <w:rFonts w:cs="Arial"/>
          <w:szCs w:val="22"/>
        </w:rPr>
        <w:t xml:space="preserve"> </w:t>
      </w:r>
      <w:r w:rsidR="003275D9">
        <w:rPr>
          <w:rFonts w:cs="Arial"/>
          <w:szCs w:val="22"/>
        </w:rPr>
        <w:t>Marie Hobson, Research Manager, Heritage Lottery Fund</w:t>
      </w:r>
      <w:r w:rsidRPr="007B02B9">
        <w:rPr>
          <w:rFonts w:cs="Arial"/>
          <w:color w:val="FF0000"/>
          <w:szCs w:val="22"/>
        </w:rPr>
        <w:t>.</w:t>
      </w:r>
    </w:p>
    <w:p w:rsidR="0082194B" w:rsidRPr="007B02B9" w:rsidRDefault="0082194B" w:rsidP="0082194B">
      <w:pPr>
        <w:spacing w:after="200" w:line="276" w:lineRule="auto"/>
        <w:ind w:left="720"/>
        <w:contextualSpacing/>
        <w:rPr>
          <w:rFonts w:cs="Arial"/>
          <w:szCs w:val="22"/>
        </w:rPr>
      </w:pPr>
    </w:p>
    <w:p w:rsidR="0082194B" w:rsidRPr="007B02B9" w:rsidRDefault="0082194B" w:rsidP="0082194B">
      <w:pPr>
        <w:spacing w:after="200" w:line="276" w:lineRule="auto"/>
        <w:ind w:left="720"/>
        <w:contextualSpacing/>
        <w:rPr>
          <w:rFonts w:cs="Arial"/>
          <w:szCs w:val="22"/>
        </w:rPr>
      </w:pPr>
    </w:p>
    <w:p w:rsidR="0082194B" w:rsidRPr="007B02B9" w:rsidRDefault="00CF253B" w:rsidP="0082194B">
      <w:pPr>
        <w:pStyle w:val="Heading1"/>
        <w:numPr>
          <w:ilvl w:val="0"/>
          <w:numId w:val="2"/>
        </w:numPr>
      </w:pPr>
      <w:r w:rsidRPr="007B02B9">
        <w:t>Award Criteria</w:t>
      </w:r>
    </w:p>
    <w:p w:rsidR="0082194B" w:rsidRPr="007B02B9" w:rsidRDefault="0082194B" w:rsidP="0082194B">
      <w:pPr>
        <w:numPr>
          <w:ilvl w:val="1"/>
          <w:numId w:val="2"/>
        </w:numPr>
        <w:spacing w:after="240" w:line="276" w:lineRule="auto"/>
        <w:rPr>
          <w:rFonts w:cs="Arial"/>
          <w:szCs w:val="22"/>
        </w:rPr>
      </w:pPr>
      <w:r w:rsidRPr="007B02B9">
        <w:rPr>
          <w:rFonts w:cs="Arial"/>
          <w:szCs w:val="22"/>
        </w:rPr>
        <w:t>A proposal for undertaking the work should include:</w:t>
      </w:r>
    </w:p>
    <w:p w:rsidR="0082194B" w:rsidRPr="007B02B9" w:rsidRDefault="0082194B" w:rsidP="0082194B">
      <w:pPr>
        <w:numPr>
          <w:ilvl w:val="0"/>
          <w:numId w:val="33"/>
        </w:numPr>
        <w:tabs>
          <w:tab w:val="left" w:pos="1080"/>
        </w:tabs>
        <w:spacing w:after="200" w:line="276" w:lineRule="auto"/>
        <w:rPr>
          <w:rFonts w:cs="Arial"/>
          <w:szCs w:val="22"/>
        </w:rPr>
      </w:pPr>
      <w:r w:rsidRPr="007B02B9">
        <w:rPr>
          <w:rFonts w:cs="Arial"/>
          <w:szCs w:val="22"/>
        </w:rPr>
        <w:t>a detailed method for undertaking the study</w:t>
      </w:r>
      <w:r w:rsidR="00845E67" w:rsidRPr="007B02B9">
        <w:rPr>
          <w:rFonts w:cs="Arial"/>
          <w:szCs w:val="22"/>
        </w:rPr>
        <w:t xml:space="preserve"> which clearly addresses the research questions outlined in Section 2</w:t>
      </w:r>
      <w:r w:rsidRPr="007B02B9">
        <w:rPr>
          <w:rFonts w:cs="Arial"/>
          <w:szCs w:val="22"/>
        </w:rPr>
        <w:t>;</w:t>
      </w:r>
    </w:p>
    <w:p w:rsidR="0082194B" w:rsidRPr="007B02B9" w:rsidRDefault="0082194B" w:rsidP="0082194B">
      <w:pPr>
        <w:numPr>
          <w:ilvl w:val="0"/>
          <w:numId w:val="33"/>
        </w:numPr>
        <w:tabs>
          <w:tab w:val="left" w:pos="1080"/>
        </w:tabs>
        <w:spacing w:after="200" w:line="276" w:lineRule="auto"/>
        <w:rPr>
          <w:rFonts w:cs="Arial"/>
          <w:szCs w:val="22"/>
        </w:rPr>
      </w:pPr>
      <w:r w:rsidRPr="007B02B9">
        <w:rPr>
          <w:rFonts w:cs="Arial"/>
          <w:szCs w:val="22"/>
        </w:rPr>
        <w:t>details of staff allocated to the project, together with experience of the contractor and staff members in carrying out similar projects. The project manager / lead contact should be identified;</w:t>
      </w:r>
    </w:p>
    <w:p w:rsidR="0082194B" w:rsidRPr="007B02B9" w:rsidRDefault="0082194B" w:rsidP="0082194B">
      <w:pPr>
        <w:numPr>
          <w:ilvl w:val="0"/>
          <w:numId w:val="33"/>
        </w:numPr>
        <w:tabs>
          <w:tab w:val="left" w:pos="1080"/>
        </w:tabs>
        <w:spacing w:after="200" w:line="276" w:lineRule="auto"/>
        <w:rPr>
          <w:rFonts w:cs="Arial"/>
          <w:szCs w:val="22"/>
        </w:rPr>
      </w:pPr>
      <w:r w:rsidRPr="007B02B9">
        <w:rPr>
          <w:rFonts w:cs="Arial"/>
          <w:szCs w:val="22"/>
        </w:rPr>
        <w:t>the allocation of days between members of the team;</w:t>
      </w:r>
    </w:p>
    <w:p w:rsidR="0082194B" w:rsidRPr="007B02B9" w:rsidRDefault="0082194B" w:rsidP="0082194B">
      <w:pPr>
        <w:numPr>
          <w:ilvl w:val="0"/>
          <w:numId w:val="33"/>
        </w:numPr>
        <w:tabs>
          <w:tab w:val="left" w:pos="1080"/>
        </w:tabs>
        <w:spacing w:after="200" w:line="276" w:lineRule="auto"/>
        <w:rPr>
          <w:rFonts w:cs="Arial"/>
          <w:szCs w:val="22"/>
        </w:rPr>
      </w:pPr>
      <w:r w:rsidRPr="007B02B9">
        <w:rPr>
          <w:rFonts w:cs="Arial"/>
          <w:szCs w:val="22"/>
        </w:rPr>
        <w:t>the daily charging rate of individual staff involved;</w:t>
      </w:r>
    </w:p>
    <w:p w:rsidR="0082194B" w:rsidRPr="007B02B9" w:rsidRDefault="0082194B" w:rsidP="0082194B">
      <w:pPr>
        <w:numPr>
          <w:ilvl w:val="0"/>
          <w:numId w:val="33"/>
        </w:numPr>
        <w:tabs>
          <w:tab w:val="left" w:pos="1080"/>
        </w:tabs>
        <w:spacing w:after="200" w:line="276" w:lineRule="auto"/>
        <w:rPr>
          <w:rFonts w:cs="Arial"/>
          <w:szCs w:val="22"/>
        </w:rPr>
      </w:pPr>
      <w:r w:rsidRPr="007B02B9">
        <w:rPr>
          <w:rFonts w:cs="Arial"/>
          <w:szCs w:val="22"/>
        </w:rPr>
        <w:t>a timescale for carrying out the project;</w:t>
      </w:r>
    </w:p>
    <w:p w:rsidR="0082194B" w:rsidRPr="007B02B9" w:rsidRDefault="0082194B" w:rsidP="0082194B">
      <w:pPr>
        <w:numPr>
          <w:ilvl w:val="0"/>
          <w:numId w:val="33"/>
        </w:numPr>
        <w:tabs>
          <w:tab w:val="left" w:pos="1080"/>
        </w:tabs>
        <w:spacing w:after="200" w:line="276" w:lineRule="auto"/>
        <w:rPr>
          <w:rFonts w:cs="Arial"/>
          <w:szCs w:val="22"/>
        </w:rPr>
      </w:pPr>
      <w:r w:rsidRPr="007B02B9">
        <w:rPr>
          <w:rFonts w:cs="Arial"/>
          <w:szCs w:val="22"/>
        </w:rPr>
        <w:t>an overall cost for the work.</w:t>
      </w:r>
    </w:p>
    <w:p w:rsidR="0082194B" w:rsidRPr="007B02B9" w:rsidRDefault="0082194B" w:rsidP="0082194B">
      <w:pPr>
        <w:numPr>
          <w:ilvl w:val="1"/>
          <w:numId w:val="2"/>
        </w:numPr>
        <w:spacing w:after="240" w:line="276" w:lineRule="auto"/>
        <w:rPr>
          <w:rFonts w:cs="Arial"/>
          <w:szCs w:val="22"/>
        </w:rPr>
      </w:pPr>
      <w:r w:rsidRPr="007B02B9">
        <w:rPr>
          <w:rFonts w:cs="Arial"/>
          <w:szCs w:val="22"/>
        </w:rPr>
        <w:t xml:space="preserve">Your Bid will be scored out of 100%. </w:t>
      </w:r>
    </w:p>
    <w:p w:rsidR="001B0833" w:rsidRPr="007B02B9" w:rsidRDefault="001B0833" w:rsidP="001B0833">
      <w:pPr>
        <w:pStyle w:val="BodyTextIndent2"/>
        <w:spacing w:after="240"/>
        <w:ind w:left="709"/>
        <w:rPr>
          <w:b w:val="0"/>
          <w:szCs w:val="22"/>
          <w:lang w:eastAsia="en-US"/>
        </w:rPr>
      </w:pPr>
      <w:r w:rsidRPr="007B02B9">
        <w:rPr>
          <w:b w:val="0"/>
          <w:szCs w:val="22"/>
        </w:rPr>
        <w:t xml:space="preserve">70% of the marks will be allocated to your response to the Quality Questions below. Each question will be scored using the methodology in the table below. </w:t>
      </w:r>
      <w:r w:rsidRPr="007B02B9">
        <w:rPr>
          <w:b w:val="0"/>
          <w:szCs w:val="22"/>
          <w:lang w:eastAsia="en-US"/>
        </w:rPr>
        <w:t xml:space="preserve"> </w:t>
      </w:r>
    </w:p>
    <w:p w:rsidR="001B0833" w:rsidRPr="007B02B9" w:rsidRDefault="001B0833" w:rsidP="001B0833">
      <w:pPr>
        <w:pStyle w:val="BodyTextIndent2"/>
        <w:spacing w:after="0"/>
        <w:ind w:left="709"/>
        <w:rPr>
          <w:b w:val="0"/>
          <w:szCs w:val="22"/>
        </w:rPr>
      </w:pPr>
      <w:r w:rsidRPr="007B02B9">
        <w:rPr>
          <w:b w:val="0"/>
          <w:szCs w:val="22"/>
        </w:rPr>
        <w:t xml:space="preserve">Tender responses submitted will be assessed by HLF against the following </w:t>
      </w:r>
      <w:r w:rsidRPr="007B02B9">
        <w:rPr>
          <w:b w:val="0"/>
          <w:szCs w:val="22"/>
          <w:u w:val="single"/>
        </w:rPr>
        <w:t>Quality Questions</w:t>
      </w:r>
      <w:r w:rsidRPr="007B02B9">
        <w:rPr>
          <w:b w:val="0"/>
          <w:szCs w:val="22"/>
        </w:rPr>
        <w:t>:</w:t>
      </w:r>
      <w:r w:rsidR="004F2D8D" w:rsidRPr="007B02B9">
        <w:rPr>
          <w:b w:val="0"/>
          <w:szCs w:val="22"/>
        </w:rPr>
        <w:t xml:space="preserve"> </w:t>
      </w:r>
    </w:p>
    <w:p w:rsidR="004E58E6" w:rsidRPr="007B02B9" w:rsidRDefault="001B0833" w:rsidP="004E58E6">
      <w:pPr>
        <w:pStyle w:val="Bullettext"/>
        <w:numPr>
          <w:ilvl w:val="0"/>
          <w:numId w:val="36"/>
        </w:numPr>
        <w:contextualSpacing/>
        <w:rPr>
          <w:rFonts w:cs="Arial"/>
          <w:szCs w:val="22"/>
        </w:rPr>
      </w:pPr>
      <w:r w:rsidRPr="007B02B9">
        <w:rPr>
          <w:rFonts w:cs="Arial"/>
        </w:rPr>
        <w:t>To what extent does the tender response demonstrate an understanding of the issues</w:t>
      </w:r>
      <w:r w:rsidR="004E58E6" w:rsidRPr="007B02B9">
        <w:rPr>
          <w:rFonts w:cs="Arial"/>
          <w:szCs w:val="22"/>
        </w:rPr>
        <w:t xml:space="preserve"> r</w:t>
      </w:r>
      <w:r w:rsidR="00E05980" w:rsidRPr="007B02B9">
        <w:rPr>
          <w:rFonts w:cs="Arial"/>
          <w:szCs w:val="22"/>
        </w:rPr>
        <w:t>aised in</w:t>
      </w:r>
      <w:r w:rsidR="004E58E6" w:rsidRPr="007B02B9">
        <w:rPr>
          <w:rFonts w:cs="Arial"/>
          <w:szCs w:val="22"/>
        </w:rPr>
        <w:t xml:space="preserve"> this research brief including</w:t>
      </w:r>
      <w:r w:rsidR="0035582F" w:rsidRPr="007B02B9">
        <w:rPr>
          <w:rFonts w:cs="Arial"/>
          <w:szCs w:val="22"/>
        </w:rPr>
        <w:t>:</w:t>
      </w:r>
      <w:r w:rsidR="004E58E6" w:rsidRPr="007B02B9">
        <w:rPr>
          <w:rFonts w:cs="Arial"/>
          <w:szCs w:val="22"/>
        </w:rPr>
        <w:t xml:space="preserve"> landscape</w:t>
      </w:r>
      <w:r w:rsidR="00E05980" w:rsidRPr="007B02B9">
        <w:rPr>
          <w:rFonts w:cs="Arial"/>
          <w:szCs w:val="22"/>
        </w:rPr>
        <w:t xml:space="preserve"> and </w:t>
      </w:r>
      <w:r w:rsidR="004E58E6" w:rsidRPr="007B02B9">
        <w:rPr>
          <w:rFonts w:cs="Arial"/>
          <w:szCs w:val="22"/>
        </w:rPr>
        <w:t>nature projects</w:t>
      </w:r>
      <w:r w:rsidR="0035582F" w:rsidRPr="007B02B9">
        <w:rPr>
          <w:rFonts w:cs="Arial"/>
          <w:szCs w:val="22"/>
        </w:rPr>
        <w:t>;</w:t>
      </w:r>
      <w:r w:rsidR="00E05980" w:rsidRPr="007B02B9">
        <w:rPr>
          <w:rFonts w:cs="Arial"/>
          <w:szCs w:val="22"/>
        </w:rPr>
        <w:t xml:space="preserve"> </w:t>
      </w:r>
      <w:r w:rsidR="000F3DCB" w:rsidRPr="007B02B9">
        <w:rPr>
          <w:rFonts w:cs="Arial"/>
          <w:szCs w:val="22"/>
        </w:rPr>
        <w:t>grant management and evaluation</w:t>
      </w:r>
      <w:r w:rsidR="0035582F" w:rsidRPr="007B02B9">
        <w:rPr>
          <w:rFonts w:cs="Arial"/>
          <w:szCs w:val="22"/>
        </w:rPr>
        <w:t>;</w:t>
      </w:r>
      <w:r w:rsidR="000F3DCB" w:rsidRPr="007B02B9">
        <w:rPr>
          <w:rFonts w:cs="Arial"/>
          <w:szCs w:val="22"/>
        </w:rPr>
        <w:t xml:space="preserve"> and risk management</w:t>
      </w:r>
      <w:r w:rsidR="004E58E6" w:rsidRPr="007B02B9">
        <w:rPr>
          <w:rFonts w:cs="Arial"/>
          <w:szCs w:val="22"/>
        </w:rPr>
        <w:t>?</w:t>
      </w:r>
    </w:p>
    <w:p w:rsidR="001B0833" w:rsidRPr="007B02B9" w:rsidRDefault="001B0833" w:rsidP="001B0833">
      <w:pPr>
        <w:pStyle w:val="Bullettext"/>
        <w:numPr>
          <w:ilvl w:val="0"/>
          <w:numId w:val="36"/>
        </w:numPr>
        <w:contextualSpacing/>
        <w:rPr>
          <w:rFonts w:cs="Arial"/>
          <w:szCs w:val="22"/>
        </w:rPr>
      </w:pPr>
      <w:r w:rsidRPr="007B02B9">
        <w:rPr>
          <w:rFonts w:cs="Arial"/>
        </w:rPr>
        <w:t xml:space="preserve">To what extent is the </w:t>
      </w:r>
      <w:r w:rsidRPr="007B02B9">
        <w:rPr>
          <w:rFonts w:cs="Arial"/>
          <w:szCs w:val="22"/>
        </w:rPr>
        <w:t xml:space="preserve">method </w:t>
      </w:r>
      <w:r w:rsidR="00E05980" w:rsidRPr="007B02B9">
        <w:rPr>
          <w:rFonts w:cs="Arial"/>
          <w:szCs w:val="22"/>
        </w:rPr>
        <w:t xml:space="preserve">to be </w:t>
      </w:r>
      <w:r w:rsidR="000F3DCB" w:rsidRPr="007B02B9">
        <w:rPr>
          <w:rFonts w:cs="Arial"/>
          <w:szCs w:val="22"/>
        </w:rPr>
        <w:t xml:space="preserve">actually </w:t>
      </w:r>
      <w:r w:rsidR="00E05980" w:rsidRPr="007B02B9">
        <w:rPr>
          <w:rFonts w:cs="Arial"/>
          <w:szCs w:val="22"/>
        </w:rPr>
        <w:t xml:space="preserve">used </w:t>
      </w:r>
      <w:r w:rsidRPr="007B02B9">
        <w:rPr>
          <w:rFonts w:cs="Arial"/>
          <w:szCs w:val="22"/>
        </w:rPr>
        <w:t>appropriate to the research requirements set out in this brief?</w:t>
      </w:r>
    </w:p>
    <w:p w:rsidR="001B0833" w:rsidRPr="007B02B9" w:rsidRDefault="001B0833" w:rsidP="001B0833">
      <w:pPr>
        <w:pStyle w:val="Bullettext"/>
        <w:numPr>
          <w:ilvl w:val="0"/>
          <w:numId w:val="36"/>
        </w:numPr>
        <w:contextualSpacing/>
        <w:rPr>
          <w:rFonts w:cs="Arial"/>
          <w:szCs w:val="22"/>
        </w:rPr>
      </w:pPr>
      <w:r w:rsidRPr="007B02B9">
        <w:rPr>
          <w:rFonts w:cs="Arial"/>
        </w:rPr>
        <w:t xml:space="preserve">What is the extent of the </w:t>
      </w:r>
      <w:r w:rsidR="0035582F" w:rsidRPr="007B02B9">
        <w:rPr>
          <w:rFonts w:cs="Arial"/>
        </w:rPr>
        <w:t xml:space="preserve">consultant’s </w:t>
      </w:r>
      <w:r w:rsidRPr="007B02B9">
        <w:rPr>
          <w:rFonts w:cs="Arial"/>
        </w:rPr>
        <w:t xml:space="preserve">experience of </w:t>
      </w:r>
      <w:r w:rsidR="00CF5A99" w:rsidRPr="007B02B9">
        <w:rPr>
          <w:rFonts w:cs="Arial"/>
        </w:rPr>
        <w:t xml:space="preserve">conducting </w:t>
      </w:r>
      <w:r w:rsidRPr="007B02B9">
        <w:rPr>
          <w:rFonts w:cs="Arial"/>
        </w:rPr>
        <w:t xml:space="preserve">similar </w:t>
      </w:r>
      <w:r w:rsidR="004E58E6" w:rsidRPr="007B02B9">
        <w:rPr>
          <w:rFonts w:cs="Arial"/>
        </w:rPr>
        <w:t xml:space="preserve">landscape, </w:t>
      </w:r>
      <w:r w:rsidRPr="007B02B9">
        <w:rPr>
          <w:rFonts w:cs="Arial"/>
        </w:rPr>
        <w:t>heritage and social research?</w:t>
      </w:r>
    </w:p>
    <w:p w:rsidR="001B0833" w:rsidRPr="007B02B9" w:rsidRDefault="001B0833" w:rsidP="001B0833">
      <w:pPr>
        <w:pStyle w:val="Bullettext"/>
        <w:numPr>
          <w:ilvl w:val="0"/>
          <w:numId w:val="36"/>
        </w:numPr>
        <w:contextualSpacing/>
        <w:rPr>
          <w:rFonts w:cs="Arial"/>
          <w:b/>
        </w:rPr>
      </w:pPr>
      <w:r w:rsidRPr="007B02B9">
        <w:rPr>
          <w:rFonts w:cs="Arial"/>
        </w:rPr>
        <w:t>How well has the tenderer structured a research team in order to successfully manage the contract and deliver the required work to the budget and timetable required by HLF?</w:t>
      </w:r>
    </w:p>
    <w:p w:rsidR="001B0833" w:rsidRPr="007B02B9" w:rsidRDefault="001B0833" w:rsidP="0082194B">
      <w:pPr>
        <w:spacing w:after="240"/>
        <w:ind w:left="720"/>
        <w:rPr>
          <w:rFonts w:cs="Arial"/>
          <w:szCs w:val="22"/>
        </w:rPr>
      </w:pPr>
    </w:p>
    <w:p w:rsidR="001B0833" w:rsidRPr="003C5497" w:rsidRDefault="001B0833" w:rsidP="00164796">
      <w:pPr>
        <w:pStyle w:val="Heading2"/>
        <w:ind w:firstLine="284"/>
      </w:pPr>
      <w:r w:rsidRPr="003C5497">
        <w:lastRenderedPageBreak/>
        <w:t>Quality Questions scoring methodology</w:t>
      </w:r>
    </w:p>
    <w:tbl>
      <w:tblPr>
        <w:tblStyle w:val="TableGrid"/>
        <w:tblW w:w="8391" w:type="dxa"/>
        <w:jc w:val="center"/>
        <w:tblLook w:val="04A0" w:firstRow="1" w:lastRow="0" w:firstColumn="1" w:lastColumn="0" w:noHBand="0" w:noVBand="1"/>
        <w:tblCaption w:val="Quality Questions scoring methodology"/>
        <w:tblDescription w:val="Three columns outlining; score, word descriptor and Description. Six Rows outlining the scores; 0,1,2,3,4, &amp; 5."/>
      </w:tblPr>
      <w:tblGrid>
        <w:gridCol w:w="1445"/>
        <w:gridCol w:w="1957"/>
        <w:gridCol w:w="4989"/>
      </w:tblGrid>
      <w:tr w:rsidR="001B0833" w:rsidRPr="00517834" w:rsidTr="00164796">
        <w:trPr>
          <w:tblHeader/>
          <w:jc w:val="center"/>
        </w:trPr>
        <w:tc>
          <w:tcPr>
            <w:tcW w:w="1445" w:type="dxa"/>
          </w:tcPr>
          <w:p w:rsidR="001B0833" w:rsidRPr="00517834" w:rsidRDefault="001B0833" w:rsidP="00164796">
            <w:pPr>
              <w:rPr>
                <w:rFonts w:cs="Arial"/>
                <w:b/>
                <w:lang w:val="en-US"/>
              </w:rPr>
            </w:pPr>
            <w:r>
              <w:rPr>
                <w:rFonts w:cs="Arial"/>
                <w:b/>
                <w:lang w:val="en-US"/>
              </w:rPr>
              <w:t>Score</w:t>
            </w:r>
          </w:p>
        </w:tc>
        <w:tc>
          <w:tcPr>
            <w:tcW w:w="1957" w:type="dxa"/>
          </w:tcPr>
          <w:p w:rsidR="001B0833" w:rsidRPr="00517834" w:rsidRDefault="001B0833" w:rsidP="00164796">
            <w:pPr>
              <w:rPr>
                <w:rFonts w:cs="Arial"/>
                <w:b/>
                <w:lang w:val="en-US"/>
              </w:rPr>
            </w:pPr>
            <w:r>
              <w:rPr>
                <w:rFonts w:cs="Arial"/>
                <w:b/>
                <w:lang w:val="en-US"/>
              </w:rPr>
              <w:t>Word descriptor</w:t>
            </w:r>
          </w:p>
        </w:tc>
        <w:tc>
          <w:tcPr>
            <w:tcW w:w="4989" w:type="dxa"/>
          </w:tcPr>
          <w:p w:rsidR="001B0833" w:rsidRPr="00EA24FB" w:rsidRDefault="001B0833" w:rsidP="00164796">
            <w:pPr>
              <w:rPr>
                <w:rFonts w:cs="Arial"/>
                <w:b/>
                <w:lang w:val="en-US"/>
              </w:rPr>
            </w:pPr>
            <w:r w:rsidRPr="00EA24FB">
              <w:rPr>
                <w:rFonts w:cs="Arial"/>
                <w:b/>
                <w:lang w:val="en-US"/>
              </w:rPr>
              <w:t>Description</w:t>
            </w:r>
          </w:p>
        </w:tc>
      </w:tr>
      <w:tr w:rsidR="001B0833" w:rsidRPr="00517834" w:rsidTr="00164796">
        <w:trPr>
          <w:jc w:val="center"/>
        </w:trPr>
        <w:tc>
          <w:tcPr>
            <w:tcW w:w="1445" w:type="dxa"/>
            <w:hideMark/>
          </w:tcPr>
          <w:p w:rsidR="001B0833" w:rsidRPr="00517834" w:rsidRDefault="001B0833" w:rsidP="00164796">
            <w:pPr>
              <w:rPr>
                <w:rFonts w:cs="Arial"/>
                <w:b/>
                <w:lang w:val="en-US"/>
              </w:rPr>
            </w:pPr>
            <w:r w:rsidRPr="00517834">
              <w:rPr>
                <w:rFonts w:cs="Arial"/>
                <w:b/>
                <w:lang w:val="en-US"/>
              </w:rPr>
              <w:t>0</w:t>
            </w:r>
          </w:p>
        </w:tc>
        <w:tc>
          <w:tcPr>
            <w:tcW w:w="1957" w:type="dxa"/>
          </w:tcPr>
          <w:p w:rsidR="001B0833" w:rsidRPr="00517834" w:rsidRDefault="001B0833" w:rsidP="00164796">
            <w:pPr>
              <w:rPr>
                <w:rFonts w:cs="Arial"/>
                <w:b/>
                <w:lang w:val="en-US"/>
              </w:rPr>
            </w:pPr>
            <w:r w:rsidRPr="00517834">
              <w:rPr>
                <w:rFonts w:cs="Arial"/>
                <w:b/>
                <w:lang w:val="en-US"/>
              </w:rPr>
              <w:t>Poor</w:t>
            </w:r>
          </w:p>
          <w:p w:rsidR="001B0833" w:rsidRPr="00517834" w:rsidRDefault="001B0833" w:rsidP="00164796">
            <w:pPr>
              <w:rPr>
                <w:rFonts w:cs="Arial"/>
                <w:b/>
                <w:lang w:val="en-US"/>
              </w:rPr>
            </w:pPr>
          </w:p>
        </w:tc>
        <w:tc>
          <w:tcPr>
            <w:tcW w:w="4989" w:type="dxa"/>
            <w:hideMark/>
          </w:tcPr>
          <w:p w:rsidR="001B0833" w:rsidRPr="00517834" w:rsidRDefault="001B0833" w:rsidP="00164796">
            <w:pPr>
              <w:rPr>
                <w:rFonts w:cs="Arial"/>
                <w:lang w:val="en-US"/>
              </w:rPr>
            </w:pPr>
            <w:r w:rsidRPr="00517834">
              <w:rPr>
                <w:rFonts w:cs="Arial"/>
                <w:lang w:val="en-US"/>
              </w:rPr>
              <w:t>No response or partial response and poor evidence provided in support of it.  Does not give the HLF confidence in the ability of the Bidder to deliver the Contract.</w:t>
            </w:r>
          </w:p>
        </w:tc>
      </w:tr>
      <w:tr w:rsidR="001B0833" w:rsidRPr="00517834" w:rsidTr="00164796">
        <w:trPr>
          <w:jc w:val="center"/>
        </w:trPr>
        <w:tc>
          <w:tcPr>
            <w:tcW w:w="1445" w:type="dxa"/>
            <w:hideMark/>
          </w:tcPr>
          <w:p w:rsidR="001B0833" w:rsidRPr="00517834" w:rsidRDefault="001B0833" w:rsidP="00164796">
            <w:pPr>
              <w:rPr>
                <w:rFonts w:cs="Arial"/>
                <w:b/>
                <w:lang w:val="en-US"/>
              </w:rPr>
            </w:pPr>
            <w:r w:rsidRPr="00517834">
              <w:rPr>
                <w:rFonts w:cs="Arial"/>
                <w:b/>
                <w:lang w:val="en-US"/>
              </w:rPr>
              <w:t>1</w:t>
            </w:r>
          </w:p>
        </w:tc>
        <w:tc>
          <w:tcPr>
            <w:tcW w:w="1957" w:type="dxa"/>
          </w:tcPr>
          <w:p w:rsidR="001B0833" w:rsidRPr="00517834" w:rsidRDefault="001B0833" w:rsidP="00164796">
            <w:pPr>
              <w:rPr>
                <w:rFonts w:cs="Arial"/>
                <w:b/>
                <w:lang w:val="en-US"/>
              </w:rPr>
            </w:pPr>
            <w:r w:rsidRPr="00517834">
              <w:rPr>
                <w:rFonts w:cs="Arial"/>
                <w:b/>
                <w:lang w:val="en-US"/>
              </w:rPr>
              <w:t>Weak</w:t>
            </w:r>
          </w:p>
          <w:p w:rsidR="001B0833" w:rsidRPr="00517834" w:rsidRDefault="001B0833" w:rsidP="00164796">
            <w:pPr>
              <w:rPr>
                <w:rFonts w:cs="Arial"/>
                <w:b/>
                <w:lang w:val="en-US"/>
              </w:rPr>
            </w:pPr>
          </w:p>
        </w:tc>
        <w:tc>
          <w:tcPr>
            <w:tcW w:w="4989" w:type="dxa"/>
            <w:hideMark/>
          </w:tcPr>
          <w:p w:rsidR="001B0833" w:rsidRPr="00517834" w:rsidRDefault="001B0833" w:rsidP="00164796">
            <w:pPr>
              <w:rPr>
                <w:rFonts w:cs="Arial"/>
                <w:lang w:val="en-US"/>
              </w:rPr>
            </w:pPr>
            <w:r w:rsidRPr="00517834">
              <w:rPr>
                <w:rFonts w:cs="Arial"/>
                <w:lang w:val="en-US"/>
              </w:rPr>
              <w:t>Response is supported by a weak standard of evidence in several areas giving rise to concern about the ability of the Bidder to deliver the Contract.</w:t>
            </w:r>
          </w:p>
        </w:tc>
      </w:tr>
      <w:tr w:rsidR="001B0833" w:rsidRPr="00517834" w:rsidTr="00164796">
        <w:trPr>
          <w:jc w:val="center"/>
        </w:trPr>
        <w:tc>
          <w:tcPr>
            <w:tcW w:w="1445" w:type="dxa"/>
            <w:hideMark/>
          </w:tcPr>
          <w:p w:rsidR="001B0833" w:rsidRPr="00517834" w:rsidRDefault="001B0833" w:rsidP="00164796">
            <w:pPr>
              <w:rPr>
                <w:rFonts w:cs="Arial"/>
                <w:b/>
                <w:lang w:val="en-US"/>
              </w:rPr>
            </w:pPr>
            <w:r w:rsidRPr="00517834">
              <w:rPr>
                <w:rFonts w:cs="Arial"/>
                <w:b/>
                <w:lang w:val="en-US"/>
              </w:rPr>
              <w:t>2</w:t>
            </w:r>
          </w:p>
        </w:tc>
        <w:tc>
          <w:tcPr>
            <w:tcW w:w="1957" w:type="dxa"/>
          </w:tcPr>
          <w:p w:rsidR="001B0833" w:rsidRPr="00517834" w:rsidRDefault="001B0833" w:rsidP="00164796">
            <w:pPr>
              <w:rPr>
                <w:rFonts w:cs="Arial"/>
                <w:b/>
                <w:lang w:val="en-US"/>
              </w:rPr>
            </w:pPr>
            <w:r w:rsidRPr="00517834">
              <w:rPr>
                <w:rFonts w:cs="Arial"/>
                <w:b/>
                <w:lang w:val="en-US"/>
              </w:rPr>
              <w:t>Satisfactory</w:t>
            </w:r>
          </w:p>
          <w:p w:rsidR="001B0833" w:rsidRPr="00517834" w:rsidRDefault="001B0833" w:rsidP="00164796">
            <w:pPr>
              <w:rPr>
                <w:rFonts w:cs="Arial"/>
                <w:b/>
                <w:lang w:val="en-US"/>
              </w:rPr>
            </w:pPr>
          </w:p>
        </w:tc>
        <w:tc>
          <w:tcPr>
            <w:tcW w:w="4989" w:type="dxa"/>
            <w:hideMark/>
          </w:tcPr>
          <w:p w:rsidR="001B0833" w:rsidRPr="00517834" w:rsidRDefault="001B0833" w:rsidP="00164796">
            <w:pPr>
              <w:rPr>
                <w:rFonts w:cs="Arial"/>
                <w:lang w:val="en-US"/>
              </w:rPr>
            </w:pPr>
            <w:r w:rsidRPr="00517834">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517834" w:rsidTr="00164796">
        <w:trPr>
          <w:jc w:val="center"/>
        </w:trPr>
        <w:tc>
          <w:tcPr>
            <w:tcW w:w="1445" w:type="dxa"/>
            <w:hideMark/>
          </w:tcPr>
          <w:p w:rsidR="001B0833" w:rsidRPr="00517834" w:rsidRDefault="001B0833" w:rsidP="00164796">
            <w:pPr>
              <w:rPr>
                <w:rFonts w:cs="Arial"/>
                <w:b/>
                <w:lang w:val="en-US"/>
              </w:rPr>
            </w:pPr>
            <w:r w:rsidRPr="00517834">
              <w:rPr>
                <w:rFonts w:cs="Arial"/>
                <w:b/>
                <w:lang w:val="en-US"/>
              </w:rPr>
              <w:t>3</w:t>
            </w:r>
          </w:p>
        </w:tc>
        <w:tc>
          <w:tcPr>
            <w:tcW w:w="1957" w:type="dxa"/>
          </w:tcPr>
          <w:p w:rsidR="001B0833" w:rsidRPr="00517834" w:rsidRDefault="001B0833" w:rsidP="00164796">
            <w:pPr>
              <w:rPr>
                <w:rFonts w:cs="Arial"/>
                <w:b/>
                <w:lang w:val="en-US"/>
              </w:rPr>
            </w:pPr>
            <w:r w:rsidRPr="00517834">
              <w:rPr>
                <w:rFonts w:cs="Arial"/>
                <w:b/>
                <w:lang w:val="en-US"/>
              </w:rPr>
              <w:t>Good</w:t>
            </w:r>
          </w:p>
          <w:p w:rsidR="001B0833" w:rsidRPr="00517834" w:rsidRDefault="001B0833" w:rsidP="00164796">
            <w:pPr>
              <w:rPr>
                <w:rFonts w:cs="Arial"/>
                <w:b/>
                <w:lang w:val="en-US"/>
              </w:rPr>
            </w:pPr>
          </w:p>
        </w:tc>
        <w:tc>
          <w:tcPr>
            <w:tcW w:w="4989" w:type="dxa"/>
            <w:hideMark/>
          </w:tcPr>
          <w:p w:rsidR="001B0833" w:rsidRPr="00517834" w:rsidRDefault="001B0833" w:rsidP="00164796">
            <w:pPr>
              <w:rPr>
                <w:rFonts w:cs="Arial"/>
                <w:lang w:val="en-US"/>
              </w:rPr>
            </w:pPr>
            <w:r w:rsidRPr="00517834">
              <w:rPr>
                <w:rFonts w:cs="Arial"/>
                <w:lang w:val="en-US"/>
              </w:rPr>
              <w:t>Response is comprehensive and supported by good standard of evidence. Gives the HLF confidence in the ability of the Bidder to deliver the contract. Meets the HLF’s requirements.</w:t>
            </w:r>
          </w:p>
        </w:tc>
      </w:tr>
      <w:tr w:rsidR="001B0833" w:rsidRPr="00517834" w:rsidTr="00164796">
        <w:trPr>
          <w:jc w:val="center"/>
        </w:trPr>
        <w:tc>
          <w:tcPr>
            <w:tcW w:w="1445" w:type="dxa"/>
            <w:hideMark/>
          </w:tcPr>
          <w:p w:rsidR="001B0833" w:rsidRPr="00517834" w:rsidRDefault="001B0833" w:rsidP="00164796">
            <w:pPr>
              <w:rPr>
                <w:rFonts w:cs="Arial"/>
                <w:b/>
                <w:lang w:val="en-US"/>
              </w:rPr>
            </w:pPr>
            <w:r w:rsidRPr="00517834">
              <w:rPr>
                <w:rFonts w:cs="Arial"/>
                <w:b/>
                <w:lang w:val="en-US"/>
              </w:rPr>
              <w:t>4</w:t>
            </w:r>
          </w:p>
        </w:tc>
        <w:tc>
          <w:tcPr>
            <w:tcW w:w="1957" w:type="dxa"/>
          </w:tcPr>
          <w:p w:rsidR="001B0833" w:rsidRPr="00517834" w:rsidRDefault="001B0833" w:rsidP="00164796">
            <w:pPr>
              <w:rPr>
                <w:rFonts w:cs="Arial"/>
                <w:b/>
                <w:lang w:val="en-US"/>
              </w:rPr>
            </w:pPr>
            <w:r w:rsidRPr="00517834">
              <w:rPr>
                <w:rFonts w:cs="Arial"/>
                <w:b/>
                <w:lang w:val="en-US"/>
              </w:rPr>
              <w:t>Very good</w:t>
            </w:r>
          </w:p>
          <w:p w:rsidR="001B0833" w:rsidRPr="00517834" w:rsidRDefault="001B0833" w:rsidP="00164796">
            <w:pPr>
              <w:rPr>
                <w:rFonts w:cs="Arial"/>
                <w:b/>
                <w:lang w:val="en-US"/>
              </w:rPr>
            </w:pPr>
          </w:p>
        </w:tc>
        <w:tc>
          <w:tcPr>
            <w:tcW w:w="4989" w:type="dxa"/>
            <w:hideMark/>
          </w:tcPr>
          <w:p w:rsidR="001B0833" w:rsidRPr="00517834" w:rsidRDefault="001B0833" w:rsidP="00164796">
            <w:pPr>
              <w:rPr>
                <w:rFonts w:cs="Arial"/>
                <w:lang w:val="en-US"/>
              </w:rPr>
            </w:pPr>
            <w:r w:rsidRPr="00517834">
              <w:rPr>
                <w:rFonts w:cs="Arial"/>
                <w:lang w:val="en-US"/>
              </w:rPr>
              <w:t xml:space="preserve">Response is comprehensive and supported by a high standard of evidence. Gives the HLF a high level of confidence in the ability of the Bidder to deliver the contract. </w:t>
            </w:r>
            <w:r>
              <w:rPr>
                <w:rFonts w:cs="Arial"/>
                <w:lang w:val="en-US"/>
              </w:rPr>
              <w:t>May e</w:t>
            </w:r>
            <w:r w:rsidRPr="00517834">
              <w:rPr>
                <w:rFonts w:cs="Arial"/>
                <w:lang w:val="en-US"/>
              </w:rPr>
              <w:t xml:space="preserve">xceed the HLF’s requirements in some respects. </w:t>
            </w:r>
          </w:p>
        </w:tc>
      </w:tr>
      <w:tr w:rsidR="001B0833" w:rsidRPr="00517834" w:rsidTr="00164796">
        <w:trPr>
          <w:jc w:val="center"/>
        </w:trPr>
        <w:tc>
          <w:tcPr>
            <w:tcW w:w="1445" w:type="dxa"/>
            <w:hideMark/>
          </w:tcPr>
          <w:p w:rsidR="001B0833" w:rsidRPr="00517834" w:rsidRDefault="001B0833" w:rsidP="00164796">
            <w:pPr>
              <w:rPr>
                <w:rFonts w:cs="Arial"/>
                <w:b/>
                <w:lang w:val="en-US"/>
              </w:rPr>
            </w:pPr>
            <w:r w:rsidRPr="00517834">
              <w:rPr>
                <w:rFonts w:cs="Arial"/>
                <w:b/>
                <w:lang w:val="en-US"/>
              </w:rPr>
              <w:t>5</w:t>
            </w:r>
          </w:p>
        </w:tc>
        <w:tc>
          <w:tcPr>
            <w:tcW w:w="1957" w:type="dxa"/>
            <w:hideMark/>
          </w:tcPr>
          <w:p w:rsidR="001B0833" w:rsidRPr="00517834" w:rsidRDefault="001B0833" w:rsidP="00164796">
            <w:pPr>
              <w:rPr>
                <w:rFonts w:cs="Arial"/>
                <w:b/>
                <w:lang w:val="en-US"/>
              </w:rPr>
            </w:pPr>
            <w:r w:rsidRPr="00517834">
              <w:rPr>
                <w:rFonts w:cs="Arial"/>
                <w:b/>
                <w:lang w:val="en-US"/>
              </w:rPr>
              <w:t>Excellent</w:t>
            </w:r>
          </w:p>
        </w:tc>
        <w:tc>
          <w:tcPr>
            <w:tcW w:w="4989" w:type="dxa"/>
            <w:hideMark/>
          </w:tcPr>
          <w:p w:rsidR="001B0833" w:rsidRPr="00517834" w:rsidRDefault="001B0833" w:rsidP="00164796">
            <w:pPr>
              <w:rPr>
                <w:rFonts w:cs="Arial"/>
                <w:lang w:val="en-US"/>
              </w:rPr>
            </w:pPr>
            <w:r w:rsidRPr="00517834">
              <w:rPr>
                <w:rFonts w:cs="Arial"/>
                <w:lang w:val="en-US"/>
              </w:rPr>
              <w:t xml:space="preserve">Response is very comprehensive and supported by a very high standard of evidence. Gives the HLF a very high level of confidence the ability of the Bidder to deliver the contract. </w:t>
            </w:r>
            <w:r>
              <w:rPr>
                <w:rFonts w:cs="Arial"/>
                <w:lang w:val="en-US"/>
              </w:rPr>
              <w:t>May e</w:t>
            </w:r>
            <w:r w:rsidRPr="00517834">
              <w:rPr>
                <w:rFonts w:cs="Arial"/>
                <w:lang w:val="en-US"/>
              </w:rPr>
              <w:t>xceed the HLF’s requirements in most respects.</w:t>
            </w:r>
          </w:p>
        </w:tc>
      </w:tr>
    </w:tbl>
    <w:p w:rsidR="001B0833" w:rsidRPr="00517834" w:rsidRDefault="001B0833" w:rsidP="001B0833">
      <w:pPr>
        <w:spacing w:before="240"/>
        <w:rPr>
          <w:rFonts w:cs="Arial"/>
          <w:b/>
          <w:bCs/>
          <w:iCs/>
          <w:u w:val="single"/>
        </w:rPr>
      </w:pPr>
      <w:r w:rsidRPr="00517834">
        <w:rPr>
          <w:rFonts w:cs="Arial"/>
          <w:b/>
          <w:bCs/>
          <w:iCs/>
          <w:u w:val="single"/>
        </w:rPr>
        <w:t>30% of marks will be awarded for Price.</w:t>
      </w:r>
    </w:p>
    <w:p w:rsidR="001B0833" w:rsidRDefault="001B0833" w:rsidP="001B0833">
      <w:pPr>
        <w:rPr>
          <w:rFonts w:cs="Arial"/>
        </w:rPr>
      </w:pPr>
    </w:p>
    <w:p w:rsidR="001B0833" w:rsidRPr="00517834" w:rsidRDefault="001B0833" w:rsidP="001B0833">
      <w:pPr>
        <w:rPr>
          <w:rFonts w:cs="Arial"/>
          <w:i/>
        </w:rPr>
      </w:pPr>
      <w:r w:rsidRPr="00517834">
        <w:rPr>
          <w:rFonts w:cs="Arial"/>
        </w:rPr>
        <w:t xml:space="preserve">Price: The evaluation of price will be carried out on the Schedule of charges you provide in response to </w:t>
      </w:r>
      <w:r w:rsidRPr="00E06E88">
        <w:rPr>
          <w:rFonts w:cs="Arial"/>
          <w:b/>
        </w:rPr>
        <w:t>Table A</w:t>
      </w:r>
    </w:p>
    <w:p w:rsidR="00E00936" w:rsidRDefault="00E00936" w:rsidP="00E00936">
      <w:pPr>
        <w:rPr>
          <w:rFonts w:cs="Arial"/>
          <w:lang w:val="en-US"/>
        </w:rPr>
      </w:pPr>
    </w:p>
    <w:p w:rsidR="00E00936" w:rsidRDefault="00E00936" w:rsidP="00E00936">
      <w:pPr>
        <w:pStyle w:val="Heading2"/>
        <w:rPr>
          <w:u w:val="single"/>
          <w:lang w:val="en-US"/>
        </w:rPr>
      </w:pPr>
      <w:r w:rsidRPr="00E00936">
        <w:rPr>
          <w:u w:val="single"/>
          <w:lang w:val="en-US"/>
        </w:rPr>
        <w:t>Price Criterion at 30%</w:t>
      </w:r>
    </w:p>
    <w:p w:rsidR="00E00936" w:rsidRPr="00E00936" w:rsidRDefault="00E00936" w:rsidP="00E00936">
      <w:pPr>
        <w:pStyle w:val="ListParagraph"/>
        <w:numPr>
          <w:ilvl w:val="0"/>
          <w:numId w:val="39"/>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rsidR="00E00936" w:rsidRPr="00E00936" w:rsidRDefault="00E00936" w:rsidP="00E00936">
      <w:pPr>
        <w:rPr>
          <w:rFonts w:cs="Arial"/>
          <w:lang w:val="en-US"/>
        </w:rPr>
      </w:pPr>
    </w:p>
    <w:p w:rsidR="00E00936" w:rsidRPr="00E00936" w:rsidRDefault="00E00936" w:rsidP="00E00936">
      <w:pPr>
        <w:pStyle w:val="ListParagraph"/>
        <w:numPr>
          <w:ilvl w:val="0"/>
          <w:numId w:val="39"/>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rsidR="001B0833" w:rsidRDefault="001B0833" w:rsidP="001B0833">
      <w:pPr>
        <w:rPr>
          <w:rFonts w:cs="Arial"/>
          <w:bCs/>
          <w:iCs/>
        </w:rPr>
      </w:pPr>
    </w:p>
    <w:p w:rsidR="001B0833" w:rsidRPr="00E00936" w:rsidRDefault="001B0833" w:rsidP="00E00936">
      <w:pPr>
        <w:pStyle w:val="ListParagraph"/>
        <w:numPr>
          <w:ilvl w:val="0"/>
          <w:numId w:val="39"/>
        </w:numPr>
        <w:spacing w:after="240"/>
        <w:rPr>
          <w:rFonts w:cs="Arial"/>
          <w:bCs/>
          <w:iCs/>
        </w:rPr>
      </w:pPr>
      <w:r w:rsidRPr="00E00936">
        <w:rPr>
          <w:rFonts w:cs="Arial"/>
          <w:bCs/>
          <w:iCs/>
        </w:rPr>
        <w:t>The scores for quality and price will be added together to obtain the overall score for each Bidder.</w:t>
      </w:r>
    </w:p>
    <w:p w:rsidR="001B0833" w:rsidRPr="00164796" w:rsidRDefault="001B0833" w:rsidP="00164796">
      <w:pPr>
        <w:pStyle w:val="Heading2"/>
        <w:rPr>
          <w:u w:val="single"/>
        </w:rPr>
      </w:pPr>
      <w:r w:rsidRPr="00164796">
        <w:rPr>
          <w:u w:val="single"/>
        </w:rPr>
        <w:t>Table A - Schedule of Charges</w:t>
      </w:r>
    </w:p>
    <w:p w:rsidR="001B0833" w:rsidRDefault="001B0833" w:rsidP="001B0833">
      <w:pPr>
        <w:rPr>
          <w:rFonts w:cs="Arial"/>
          <w:bCs/>
          <w:iCs/>
          <w:u w:val="single"/>
        </w:rPr>
      </w:pPr>
    </w:p>
    <w:p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rsidR="001B0833" w:rsidRPr="00DB6804" w:rsidRDefault="001B0833" w:rsidP="001B0833">
      <w:pPr>
        <w:rPr>
          <w:rFonts w:cs="Arial"/>
          <w:bCs/>
          <w:iCs/>
        </w:rPr>
      </w:pPr>
      <w:r w:rsidRPr="00DB6804">
        <w:rPr>
          <w:rFonts w:cs="Arial"/>
          <w:bCs/>
          <w:iCs/>
        </w:rPr>
        <w:lastRenderedPageBreak/>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 firm and fixed costs)"/>
        <w:tblDescription w:val="To be filled in. Six columns setting out: cost, Post 1 @cost per day (No of days) e.g Project Manager/Director @ £500), Post 2 @cost per day (No of days) e.g. Senior Consultant/Manager/Researcher @£300, Post 3 @cost per day (No of days) e.g. Junior Consultant/equivalent e.g. £200, Total days &amp; Total Fees. Five rows detailing Inception meeting to agree plans and finalise requirements with the Fund, add as necessary, add as necessary and add as necessary."/>
      </w:tblPr>
      <w:tblGrid>
        <w:gridCol w:w="3655"/>
        <w:gridCol w:w="1275"/>
        <w:gridCol w:w="1560"/>
        <w:gridCol w:w="1275"/>
        <w:gridCol w:w="850"/>
        <w:gridCol w:w="850"/>
      </w:tblGrid>
      <w:tr w:rsidR="00CF253B" w:rsidRPr="0082194B" w:rsidTr="00AA7BD2">
        <w:trPr>
          <w:tblHeader/>
        </w:trPr>
        <w:tc>
          <w:tcPr>
            <w:tcW w:w="3655" w:type="dxa"/>
          </w:tcPr>
          <w:p w:rsidR="00CF253B" w:rsidRPr="0082194B" w:rsidRDefault="00CF253B" w:rsidP="00AA7BD2">
            <w:pPr>
              <w:jc w:val="center"/>
              <w:rPr>
                <w:rFonts w:cs="Arial"/>
                <w:b/>
                <w:bCs/>
                <w:iCs/>
                <w:lang w:val="en-US"/>
              </w:rPr>
            </w:pPr>
            <w:r>
              <w:rPr>
                <w:rFonts w:cs="Arial"/>
                <w:b/>
                <w:bCs/>
                <w:iCs/>
                <w:lang w:val="en-US"/>
              </w:rPr>
              <w:t>Cost</w:t>
            </w:r>
          </w:p>
        </w:tc>
        <w:tc>
          <w:tcPr>
            <w:tcW w:w="1275" w:type="dxa"/>
            <w:hideMark/>
          </w:tcPr>
          <w:p w:rsidR="00CF253B" w:rsidRPr="0082194B" w:rsidRDefault="00CF253B" w:rsidP="00AA7BD2">
            <w:pPr>
              <w:rPr>
                <w:rFonts w:cs="Arial"/>
                <w:b/>
                <w:bCs/>
                <w:iCs/>
                <w:lang w:val="en-US"/>
              </w:rPr>
            </w:pPr>
            <w:r w:rsidRPr="0082194B">
              <w:rPr>
                <w:rFonts w:cs="Arial"/>
                <w:b/>
                <w:bCs/>
                <w:iCs/>
                <w:lang w:val="en-US"/>
              </w:rPr>
              <w:t>Post 1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Project Manager/ Director</w:t>
            </w:r>
          </w:p>
          <w:p w:rsidR="00CF253B" w:rsidRPr="0082194B" w:rsidRDefault="00CF253B" w:rsidP="00AA7BD2">
            <w:pPr>
              <w:rPr>
                <w:rFonts w:cs="Arial"/>
                <w:b/>
                <w:bCs/>
                <w:iCs/>
                <w:lang w:val="en-US"/>
              </w:rPr>
            </w:pPr>
            <w:r w:rsidRPr="0082194B">
              <w:rPr>
                <w:rFonts w:cs="Arial"/>
                <w:bCs/>
                <w:i/>
                <w:iCs/>
                <w:lang w:val="en-US"/>
              </w:rPr>
              <w:t>@ £500</w:t>
            </w:r>
          </w:p>
        </w:tc>
        <w:tc>
          <w:tcPr>
            <w:tcW w:w="1560" w:type="dxa"/>
            <w:hideMark/>
          </w:tcPr>
          <w:p w:rsidR="00CF253B" w:rsidRPr="0082194B" w:rsidRDefault="00CF253B" w:rsidP="00AA7BD2">
            <w:pPr>
              <w:rPr>
                <w:rFonts w:cs="Arial"/>
                <w:b/>
                <w:bCs/>
                <w:iCs/>
                <w:lang w:val="en-US"/>
              </w:rPr>
            </w:pPr>
            <w:r w:rsidRPr="0082194B">
              <w:rPr>
                <w:rFonts w:cs="Arial"/>
                <w:b/>
                <w:bCs/>
                <w:iCs/>
                <w:lang w:val="en-US"/>
              </w:rPr>
              <w:t>Post 2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Senior Consultant/manager/researcher</w:t>
            </w:r>
          </w:p>
          <w:p w:rsidR="00CF253B" w:rsidRPr="0082194B" w:rsidRDefault="00CF253B" w:rsidP="00AA7BD2">
            <w:pPr>
              <w:rPr>
                <w:rFonts w:cs="Arial"/>
                <w:b/>
                <w:bCs/>
                <w:iCs/>
                <w:lang w:val="en-US"/>
              </w:rPr>
            </w:pPr>
            <w:r w:rsidRPr="0082194B">
              <w:rPr>
                <w:rFonts w:cs="Arial"/>
                <w:bCs/>
                <w:i/>
                <w:iCs/>
                <w:lang w:val="en-US"/>
              </w:rPr>
              <w:t>@£300</w:t>
            </w:r>
          </w:p>
        </w:tc>
        <w:tc>
          <w:tcPr>
            <w:tcW w:w="1275" w:type="dxa"/>
          </w:tcPr>
          <w:p w:rsidR="00CF253B" w:rsidRPr="0082194B" w:rsidRDefault="00CF253B" w:rsidP="00AA7BD2">
            <w:pPr>
              <w:rPr>
                <w:rFonts w:cs="Arial"/>
                <w:b/>
                <w:bCs/>
                <w:iCs/>
                <w:lang w:val="en-US"/>
              </w:rPr>
            </w:pPr>
            <w:r w:rsidRPr="0082194B">
              <w:rPr>
                <w:rFonts w:cs="Arial"/>
                <w:b/>
                <w:bCs/>
                <w:iCs/>
                <w:lang w:val="en-US"/>
              </w:rPr>
              <w:t>Post 3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 xml:space="preserve">Junior </w:t>
            </w:r>
          </w:p>
          <w:p w:rsidR="00CF253B" w:rsidRPr="0082194B" w:rsidRDefault="00CF253B" w:rsidP="00AA7BD2">
            <w:pPr>
              <w:rPr>
                <w:rFonts w:cs="Arial"/>
                <w:bCs/>
                <w:i/>
                <w:iCs/>
                <w:lang w:val="en-US"/>
              </w:rPr>
            </w:pPr>
            <w:r w:rsidRPr="0082194B">
              <w:rPr>
                <w:rFonts w:cs="Arial"/>
                <w:bCs/>
                <w:i/>
                <w:iCs/>
                <w:lang w:val="en-US"/>
              </w:rPr>
              <w:t xml:space="preserve">Consultant/equivalent </w:t>
            </w:r>
          </w:p>
          <w:p w:rsidR="00CF253B" w:rsidRPr="0082194B" w:rsidRDefault="00CF253B" w:rsidP="00AA7BD2">
            <w:pPr>
              <w:rPr>
                <w:rFonts w:cs="Arial"/>
                <w:bCs/>
                <w:i/>
                <w:iCs/>
                <w:lang w:val="en-US"/>
              </w:rPr>
            </w:pPr>
            <w:r w:rsidRPr="0082194B">
              <w:rPr>
                <w:rFonts w:cs="Arial"/>
                <w:bCs/>
                <w:i/>
                <w:iCs/>
                <w:lang w:val="en-US"/>
              </w:rPr>
              <w:t>e.g. £200</w:t>
            </w:r>
          </w:p>
        </w:tc>
        <w:tc>
          <w:tcPr>
            <w:tcW w:w="850" w:type="dxa"/>
            <w:hideMark/>
          </w:tcPr>
          <w:p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rsidR="00CF253B" w:rsidRPr="0082194B" w:rsidRDefault="00CF253B" w:rsidP="00AA7BD2">
            <w:pPr>
              <w:rPr>
                <w:rFonts w:cs="Arial"/>
                <w:b/>
                <w:bCs/>
                <w:iCs/>
                <w:lang w:val="en-US"/>
              </w:rPr>
            </w:pPr>
            <w:r w:rsidRPr="0082194B">
              <w:rPr>
                <w:rFonts w:cs="Arial"/>
                <w:b/>
                <w:bCs/>
                <w:iCs/>
                <w:lang w:val="en-US"/>
              </w:rPr>
              <w:t>Total fees</w:t>
            </w:r>
          </w:p>
        </w:tc>
      </w:tr>
      <w:tr w:rsidR="00CF253B" w:rsidRPr="0082194B" w:rsidTr="00AA7BD2">
        <w:tc>
          <w:tcPr>
            <w:tcW w:w="3655" w:type="dxa"/>
            <w:hideMark/>
          </w:tcPr>
          <w:p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rsidR="00CF253B" w:rsidRPr="0082194B" w:rsidRDefault="00CF253B" w:rsidP="00AA7BD2">
            <w:pPr>
              <w:rPr>
                <w:rFonts w:cs="Arial"/>
                <w:bCs/>
                <w:i/>
                <w:iCs/>
                <w:lang w:val="en-US"/>
              </w:rPr>
            </w:pPr>
            <w:r w:rsidRPr="0082194B">
              <w:rPr>
                <w:rFonts w:cs="Arial"/>
                <w:bCs/>
                <w:i/>
                <w:iCs/>
                <w:lang w:val="en-US"/>
              </w:rPr>
              <w:t>1</w:t>
            </w:r>
          </w:p>
        </w:tc>
        <w:tc>
          <w:tcPr>
            <w:tcW w:w="1275" w:type="dxa"/>
            <w:hideMark/>
          </w:tcPr>
          <w:p w:rsidR="00CF253B" w:rsidRPr="0082194B" w:rsidRDefault="00CF253B" w:rsidP="00AA7BD2">
            <w:pPr>
              <w:rPr>
                <w:rFonts w:cs="Arial"/>
                <w:bCs/>
                <w:i/>
                <w:iCs/>
                <w:lang w:val="en-US"/>
              </w:rPr>
            </w:pPr>
            <w:r w:rsidRPr="0082194B">
              <w:rPr>
                <w:rFonts w:cs="Arial"/>
                <w:bCs/>
                <w:i/>
                <w:iCs/>
                <w:lang w:val="en-US"/>
              </w:rPr>
              <w:t>1.5</w:t>
            </w:r>
          </w:p>
        </w:tc>
        <w:tc>
          <w:tcPr>
            <w:tcW w:w="850" w:type="dxa"/>
            <w:hideMark/>
          </w:tcPr>
          <w:p w:rsidR="00CF253B" w:rsidRPr="0082194B" w:rsidRDefault="00CF253B" w:rsidP="00AA7BD2">
            <w:pPr>
              <w:rPr>
                <w:rFonts w:cs="Arial"/>
                <w:bCs/>
                <w:i/>
                <w:iCs/>
                <w:lang w:val="en-US"/>
              </w:rPr>
            </w:pPr>
            <w:r w:rsidRPr="0082194B">
              <w:rPr>
                <w:rFonts w:cs="Arial"/>
                <w:bCs/>
                <w:i/>
                <w:iCs/>
                <w:lang w:val="en-US"/>
              </w:rPr>
              <w:t>3</w:t>
            </w:r>
          </w:p>
        </w:tc>
        <w:tc>
          <w:tcPr>
            <w:tcW w:w="850" w:type="dxa"/>
            <w:hideMark/>
          </w:tcPr>
          <w:p w:rsidR="00CF253B" w:rsidRPr="0082194B" w:rsidRDefault="00CF253B" w:rsidP="00AA7BD2">
            <w:pPr>
              <w:rPr>
                <w:rFonts w:cs="Arial"/>
                <w:bCs/>
                <w:i/>
                <w:iCs/>
                <w:lang w:val="en-US"/>
              </w:rPr>
            </w:pPr>
            <w:r w:rsidRPr="0082194B">
              <w:rPr>
                <w:rFonts w:cs="Arial"/>
                <w:bCs/>
                <w:i/>
                <w:iCs/>
                <w:lang w:val="en-US"/>
              </w:rPr>
              <w:t>850</w:t>
            </w:r>
          </w:p>
        </w:tc>
      </w:tr>
      <w:tr w:rsidR="00CF253B" w:rsidRPr="0082194B" w:rsidTr="00AA7BD2">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AA7BD2">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AA7BD2">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bl>
    <w:p w:rsidR="00CF253B" w:rsidRPr="0082194B" w:rsidRDefault="00CF253B" w:rsidP="00CF253B">
      <w:pPr>
        <w:tabs>
          <w:tab w:val="right" w:pos="9072"/>
        </w:tabs>
        <w:rPr>
          <w:rFonts w:cs="Arial"/>
          <w:b/>
          <w:bCs/>
          <w:iCs/>
        </w:rPr>
      </w:pPr>
    </w:p>
    <w:tbl>
      <w:tblPr>
        <w:tblStyle w:val="TableGrid1"/>
        <w:tblW w:w="9464" w:type="dxa"/>
        <w:tblLook w:val="04A0" w:firstRow="1" w:lastRow="0" w:firstColumn="1" w:lastColumn="0" w:noHBand="0" w:noVBand="1"/>
        <w:tblCaption w:val="Table A pt. 2"/>
        <w:tblDescription w:val="To be filled in.Two Columns to show; cost type &amp; Value (3). Three rows to show sub -total, VAT &amp; Total"/>
      </w:tblPr>
      <w:tblGrid>
        <w:gridCol w:w="4621"/>
        <w:gridCol w:w="4843"/>
      </w:tblGrid>
      <w:tr w:rsidR="00CF253B" w:rsidRPr="0082194B" w:rsidTr="00AA7BD2">
        <w:trPr>
          <w:tblHeader/>
        </w:trPr>
        <w:tc>
          <w:tcPr>
            <w:tcW w:w="4621" w:type="dxa"/>
          </w:tcPr>
          <w:p w:rsidR="00CF253B" w:rsidRPr="0082194B" w:rsidRDefault="00CF253B" w:rsidP="00AA7BD2">
            <w:pPr>
              <w:tabs>
                <w:tab w:val="right" w:pos="9072"/>
              </w:tabs>
              <w:rPr>
                <w:rFonts w:cs="Arial"/>
                <w:b/>
                <w:bCs/>
                <w:iCs/>
                <w:lang w:val="en-US"/>
              </w:rPr>
            </w:pPr>
            <w:r w:rsidRPr="0082194B">
              <w:rPr>
                <w:rFonts w:cs="Arial"/>
                <w:b/>
                <w:bCs/>
                <w:iCs/>
                <w:lang w:val="en-US"/>
              </w:rPr>
              <w:t>Cost Type</w:t>
            </w:r>
          </w:p>
        </w:tc>
        <w:tc>
          <w:tcPr>
            <w:tcW w:w="4843" w:type="dxa"/>
          </w:tcPr>
          <w:p w:rsidR="00CF253B" w:rsidRPr="0082194B" w:rsidRDefault="00CF253B" w:rsidP="00AA7BD2">
            <w:pPr>
              <w:tabs>
                <w:tab w:val="right" w:pos="9072"/>
              </w:tabs>
              <w:rPr>
                <w:rFonts w:cs="Arial"/>
                <w:b/>
                <w:bCs/>
                <w:iCs/>
                <w:lang w:val="en-US"/>
              </w:rPr>
            </w:pPr>
            <w:r w:rsidRPr="0082194B">
              <w:rPr>
                <w:rFonts w:cs="Arial"/>
                <w:b/>
                <w:bCs/>
                <w:iCs/>
                <w:lang w:val="en-US"/>
              </w:rPr>
              <w:t>Value (£)</w:t>
            </w:r>
          </w:p>
        </w:tc>
      </w:tr>
      <w:tr w:rsidR="00CF253B" w:rsidRPr="0082194B" w:rsidTr="00AA7BD2">
        <w:tc>
          <w:tcPr>
            <w:tcW w:w="4621" w:type="dxa"/>
          </w:tcPr>
          <w:p w:rsidR="00CF253B" w:rsidRPr="0082194B" w:rsidRDefault="00CF253B" w:rsidP="00AA7BD2">
            <w:pPr>
              <w:tabs>
                <w:tab w:val="right" w:pos="9072"/>
              </w:tabs>
              <w:rPr>
                <w:rFonts w:cs="Arial"/>
                <w:bCs/>
                <w:iCs/>
                <w:lang w:val="en-US"/>
              </w:rPr>
            </w:pPr>
            <w:r w:rsidRPr="0082194B">
              <w:rPr>
                <w:rFonts w:cs="Arial"/>
                <w:bCs/>
                <w:iCs/>
                <w:lang w:val="en-US"/>
              </w:rPr>
              <w:t xml:space="preserve">Sub - Total </w:t>
            </w:r>
          </w:p>
        </w:tc>
        <w:tc>
          <w:tcPr>
            <w:tcW w:w="4843" w:type="dxa"/>
          </w:tcPr>
          <w:p w:rsidR="00CF253B" w:rsidRPr="0082194B" w:rsidRDefault="00CF253B" w:rsidP="00AA7BD2">
            <w:pPr>
              <w:tabs>
                <w:tab w:val="right" w:pos="9072"/>
              </w:tabs>
              <w:rPr>
                <w:rFonts w:cs="Arial"/>
                <w:b/>
                <w:bCs/>
                <w:iCs/>
                <w:lang w:val="en-US"/>
              </w:rPr>
            </w:pPr>
          </w:p>
        </w:tc>
      </w:tr>
      <w:tr w:rsidR="00CF253B" w:rsidRPr="0082194B" w:rsidTr="00AA7BD2">
        <w:tc>
          <w:tcPr>
            <w:tcW w:w="4621" w:type="dxa"/>
          </w:tcPr>
          <w:p w:rsidR="00CF253B" w:rsidRPr="0082194B" w:rsidRDefault="00CF253B" w:rsidP="00AA7BD2">
            <w:pPr>
              <w:tabs>
                <w:tab w:val="right" w:pos="9072"/>
              </w:tabs>
              <w:rPr>
                <w:rFonts w:cs="Arial"/>
                <w:bCs/>
                <w:iCs/>
                <w:lang w:val="en-US"/>
              </w:rPr>
            </w:pPr>
            <w:r w:rsidRPr="0082194B">
              <w:rPr>
                <w:rFonts w:cs="Arial"/>
                <w:bCs/>
                <w:iCs/>
                <w:lang w:val="en-US"/>
              </w:rPr>
              <w:t>VAT</w:t>
            </w:r>
          </w:p>
        </w:tc>
        <w:tc>
          <w:tcPr>
            <w:tcW w:w="4843" w:type="dxa"/>
          </w:tcPr>
          <w:p w:rsidR="00CF253B" w:rsidRPr="0082194B" w:rsidRDefault="00CF253B" w:rsidP="00AA7BD2">
            <w:pPr>
              <w:tabs>
                <w:tab w:val="right" w:pos="9072"/>
              </w:tabs>
              <w:rPr>
                <w:rFonts w:cs="Arial"/>
                <w:b/>
                <w:bCs/>
                <w:iCs/>
                <w:lang w:val="en-US"/>
              </w:rPr>
            </w:pPr>
          </w:p>
        </w:tc>
      </w:tr>
      <w:tr w:rsidR="00CF253B" w:rsidRPr="0082194B" w:rsidTr="00AA7BD2">
        <w:tc>
          <w:tcPr>
            <w:tcW w:w="4621" w:type="dxa"/>
          </w:tcPr>
          <w:p w:rsidR="00CF253B" w:rsidRPr="0082194B" w:rsidRDefault="00CF253B" w:rsidP="00AA7BD2">
            <w:pPr>
              <w:tabs>
                <w:tab w:val="right" w:pos="9072"/>
              </w:tabs>
              <w:rPr>
                <w:rFonts w:cs="Arial"/>
                <w:bCs/>
                <w:iCs/>
                <w:lang w:val="en-US"/>
              </w:rPr>
            </w:pPr>
            <w:r w:rsidRPr="0082194B">
              <w:rPr>
                <w:rFonts w:cs="Arial"/>
                <w:bCs/>
                <w:iCs/>
                <w:lang w:val="en-US"/>
              </w:rPr>
              <w:t>Total*</w:t>
            </w:r>
          </w:p>
        </w:tc>
        <w:tc>
          <w:tcPr>
            <w:tcW w:w="4843" w:type="dxa"/>
          </w:tcPr>
          <w:p w:rsidR="00CF253B" w:rsidRPr="0082194B" w:rsidRDefault="00CF253B" w:rsidP="00AA7BD2">
            <w:pPr>
              <w:tabs>
                <w:tab w:val="right" w:pos="9072"/>
              </w:tabs>
              <w:rPr>
                <w:rFonts w:cs="Arial"/>
                <w:b/>
                <w:bCs/>
                <w:iCs/>
                <w:lang w:val="en-US"/>
              </w:rPr>
            </w:pPr>
          </w:p>
        </w:tc>
      </w:tr>
    </w:tbl>
    <w:p w:rsidR="00CF253B" w:rsidRPr="0082194B" w:rsidRDefault="00CF253B" w:rsidP="00CF253B">
      <w:pPr>
        <w:tabs>
          <w:tab w:val="right" w:pos="9072"/>
        </w:tabs>
        <w:rPr>
          <w:rFonts w:cs="Arial"/>
          <w:b/>
          <w:bCs/>
          <w:iCs/>
        </w:rPr>
      </w:pPr>
      <w:r w:rsidRPr="0082194B">
        <w:rPr>
          <w:rFonts w:cs="Arial"/>
          <w:b/>
          <w:bCs/>
          <w:iCs/>
        </w:rPr>
        <w:tab/>
      </w:r>
    </w:p>
    <w:p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rsidR="00CF253B" w:rsidRPr="00DB6804" w:rsidRDefault="00CF253B" w:rsidP="00CF253B">
      <w:pPr>
        <w:spacing w:after="240"/>
        <w:rPr>
          <w:rFonts w:cs="Arial"/>
          <w:bCs/>
          <w:i/>
          <w:iCs/>
        </w:rPr>
      </w:pPr>
      <w:r w:rsidRPr="00DB6804">
        <w:rPr>
          <w:rFonts w:cs="Arial"/>
          <w:bCs/>
          <w:i/>
          <w:iCs/>
        </w:rPr>
        <w:t xml:space="preserve">Notes: </w:t>
      </w:r>
      <w:r w:rsidRPr="00DB6804">
        <w:rPr>
          <w:rFonts w:cs="Arial"/>
          <w:bCs/>
          <w:i/>
          <w:iCs/>
        </w:rPr>
        <w:tab/>
        <w:t xml:space="preserve">HLF reserves the right to reject </w:t>
      </w:r>
      <w:r w:rsidRPr="002E71C4">
        <w:rPr>
          <w:rFonts w:cs="Arial"/>
          <w:bCs/>
          <w:i/>
          <w:iCs/>
        </w:rPr>
        <w:t>abnormally low tenders.</w:t>
      </w:r>
      <w:r w:rsidRPr="00E06E88">
        <w:rPr>
          <w:rFonts w:cs="Arial"/>
          <w:bCs/>
          <w:i/>
          <w:iCs/>
          <w:u w:val="single"/>
        </w:rPr>
        <w:t xml:space="preserve"> HLF reserve</w:t>
      </w:r>
      <w:r>
        <w:rPr>
          <w:rFonts w:cs="Arial"/>
          <w:bCs/>
          <w:i/>
          <w:iCs/>
          <w:u w:val="single"/>
        </w:rPr>
        <w:t>s</w:t>
      </w:r>
      <w:r w:rsidRPr="00E06E88">
        <w:rPr>
          <w:rFonts w:cs="Arial"/>
          <w:bCs/>
          <w:i/>
          <w:iCs/>
          <w:u w:val="single"/>
        </w:rPr>
        <w:t xml:space="preserve"> the right to amend th</w:t>
      </w:r>
      <w:r>
        <w:rPr>
          <w:rFonts w:cs="Arial"/>
          <w:bCs/>
          <w:i/>
          <w:iCs/>
          <w:u w:val="single"/>
        </w:rPr>
        <w:t xml:space="preserve">e </w:t>
      </w:r>
      <w:r w:rsidRPr="00E06E88">
        <w:rPr>
          <w:rFonts w:cs="Arial"/>
          <w:bCs/>
          <w:i/>
          <w:iCs/>
          <w:u w:val="single"/>
        </w:rPr>
        <w:t xml:space="preserve">timetable </w:t>
      </w:r>
      <w:r>
        <w:rPr>
          <w:rFonts w:cs="Arial"/>
          <w:bCs/>
          <w:i/>
          <w:iCs/>
          <w:u w:val="single"/>
        </w:rPr>
        <w:t xml:space="preserve">of work </w:t>
      </w:r>
      <w:r w:rsidRPr="00E06E88">
        <w:rPr>
          <w:rFonts w:cs="Arial"/>
          <w:bCs/>
          <w:i/>
          <w:iCs/>
          <w:u w:val="single"/>
        </w:rPr>
        <w:t>where required</w:t>
      </w:r>
    </w:p>
    <w:p w:rsidR="00CF253B" w:rsidRPr="00CF253B" w:rsidRDefault="00CF253B" w:rsidP="001B0833">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rsidR="001B0833" w:rsidRDefault="001B0833" w:rsidP="001B0833">
      <w:pPr>
        <w:spacing w:after="240"/>
        <w:ind w:left="720"/>
        <w:rPr>
          <w:rFonts w:cs="Arial"/>
          <w:szCs w:val="22"/>
        </w:rPr>
      </w:pPr>
    </w:p>
    <w:p w:rsidR="00CF253B" w:rsidRPr="00CF253B" w:rsidRDefault="00CF253B" w:rsidP="00CF253B">
      <w:pPr>
        <w:pStyle w:val="Heading1"/>
        <w:numPr>
          <w:ilvl w:val="0"/>
          <w:numId w:val="2"/>
        </w:numPr>
      </w:pPr>
      <w:r w:rsidRPr="0034414E">
        <w:lastRenderedPageBreak/>
        <w:t>Procurement Process</w:t>
      </w:r>
    </w:p>
    <w:p w:rsidR="00E4627B" w:rsidRDefault="0082194B" w:rsidP="00E4627B">
      <w:pPr>
        <w:numPr>
          <w:ilvl w:val="1"/>
          <w:numId w:val="2"/>
        </w:numPr>
        <w:spacing w:after="240" w:line="276" w:lineRule="auto"/>
        <w:rPr>
          <w:rFonts w:cs="Arial"/>
          <w:szCs w:val="22"/>
        </w:rPr>
      </w:pPr>
      <w:r w:rsidRPr="0082194B">
        <w:rPr>
          <w:rFonts w:cs="Arial"/>
          <w:szCs w:val="22"/>
        </w:rPr>
        <w:t>HLF reserves the right to reject abnormally low tenders. HLF reserves the right not to appoint and to achieve the outcomes of the research through other methods</w:t>
      </w:r>
    </w:p>
    <w:p w:rsidR="00E4627B" w:rsidRPr="00C064D2" w:rsidRDefault="00E4627B" w:rsidP="00E4627B">
      <w:pPr>
        <w:numPr>
          <w:ilvl w:val="1"/>
          <w:numId w:val="2"/>
        </w:numPr>
        <w:spacing w:after="240" w:line="276" w:lineRule="auto"/>
        <w:rPr>
          <w:rFonts w:cs="Arial"/>
          <w:szCs w:val="22"/>
        </w:rPr>
      </w:pPr>
      <w:r w:rsidRPr="00C064D2">
        <w:rPr>
          <w:szCs w:val="22"/>
        </w:rPr>
        <w:t>The procurement timetable will be:</w:t>
      </w:r>
    </w:p>
    <w:p w:rsidR="00E4627B" w:rsidRPr="00C064D2" w:rsidRDefault="00E4627B" w:rsidP="00B30492">
      <w:pPr>
        <w:pStyle w:val="ListParagraph"/>
        <w:numPr>
          <w:ilvl w:val="0"/>
          <w:numId w:val="47"/>
        </w:numPr>
      </w:pPr>
      <w:r w:rsidRPr="00C064D2">
        <w:t xml:space="preserve">Tender return deadline: completed proposal to be returned to HLF by </w:t>
      </w:r>
      <w:r w:rsidR="007B02B9">
        <w:t xml:space="preserve">12 noon on </w:t>
      </w:r>
      <w:r w:rsidR="00661067" w:rsidRPr="00C064D2">
        <w:t>1 August 2016</w:t>
      </w:r>
      <w:r w:rsidRPr="00C064D2">
        <w:t>.</w:t>
      </w:r>
    </w:p>
    <w:p w:rsidR="00E4627B" w:rsidRPr="00C064D2" w:rsidRDefault="00E4627B" w:rsidP="00B30492">
      <w:pPr>
        <w:pStyle w:val="ListParagraph"/>
        <w:numPr>
          <w:ilvl w:val="0"/>
          <w:numId w:val="47"/>
        </w:numPr>
      </w:pPr>
      <w:r w:rsidRPr="00C064D2">
        <w:t xml:space="preserve">Interviews may be held with shortlisted consultants and would take place on </w:t>
      </w:r>
      <w:r w:rsidR="00661067" w:rsidRPr="00C064D2">
        <w:t>10 August 2016</w:t>
      </w:r>
    </w:p>
    <w:p w:rsidR="00E4627B" w:rsidRPr="00B30492" w:rsidRDefault="00DB2497" w:rsidP="00B30492">
      <w:pPr>
        <w:pStyle w:val="ListParagraph"/>
        <w:numPr>
          <w:ilvl w:val="0"/>
          <w:numId w:val="47"/>
        </w:numPr>
        <w:rPr>
          <w:i/>
        </w:rPr>
      </w:pPr>
      <w:r w:rsidRPr="00C064D2">
        <w:t>HLF will n</w:t>
      </w:r>
      <w:r w:rsidR="00E4627B" w:rsidRPr="00C064D2">
        <w:t>otify</w:t>
      </w:r>
      <w:r w:rsidRPr="00C064D2">
        <w:t xml:space="preserve"> bidders of our procurement decision </w:t>
      </w:r>
      <w:r w:rsidR="00E4627B" w:rsidRPr="00C064D2">
        <w:t xml:space="preserve">on </w:t>
      </w:r>
      <w:r w:rsidR="00C064D2" w:rsidRPr="00C064D2">
        <w:t>15 August 2016</w:t>
      </w:r>
      <w:r w:rsidR="00E4627B" w:rsidRPr="00B30492">
        <w:rPr>
          <w:i/>
        </w:rPr>
        <w:t>.</w:t>
      </w:r>
    </w:p>
    <w:p w:rsidR="00DB2497" w:rsidRPr="00C064D2" w:rsidRDefault="00DB2497" w:rsidP="00DB2497">
      <w:pPr>
        <w:pStyle w:val="ListParagraph"/>
        <w:spacing w:after="240"/>
        <w:contextualSpacing w:val="0"/>
        <w:rPr>
          <w:szCs w:val="22"/>
        </w:rPr>
      </w:pPr>
    </w:p>
    <w:p w:rsidR="00E4627B" w:rsidRPr="004D2C5F" w:rsidRDefault="00E4627B" w:rsidP="00E4627B">
      <w:pPr>
        <w:pStyle w:val="ListParagraph"/>
        <w:numPr>
          <w:ilvl w:val="1"/>
          <w:numId w:val="2"/>
        </w:numPr>
        <w:spacing w:after="240"/>
        <w:contextualSpacing w:val="0"/>
      </w:pPr>
      <w:r w:rsidRPr="004D2C5F">
        <w:t xml:space="preserve">Your tender proposals must be sent electronically via e-mail before the tender return deadline of </w:t>
      </w:r>
      <w:r w:rsidR="00C064D2">
        <w:t>12 noon on 1 August 2016</w:t>
      </w:r>
      <w:r w:rsidRPr="004D2C5F">
        <w:t xml:space="preserve"> to the following contact:</w:t>
      </w:r>
    </w:p>
    <w:p w:rsidR="00E4627B" w:rsidRDefault="003275D9" w:rsidP="00E4627B">
      <w:pPr>
        <w:ind w:left="720"/>
        <w:rPr>
          <w:rFonts w:cs="Arial"/>
          <w:szCs w:val="22"/>
        </w:rPr>
      </w:pPr>
      <w:r>
        <w:rPr>
          <w:rFonts w:cs="Arial"/>
          <w:szCs w:val="22"/>
        </w:rPr>
        <w:t>Marie Hobson</w:t>
      </w:r>
    </w:p>
    <w:p w:rsidR="003275D9" w:rsidRPr="007B02B9" w:rsidRDefault="003275D9" w:rsidP="00E4627B">
      <w:pPr>
        <w:ind w:left="720"/>
        <w:rPr>
          <w:rFonts w:cs="Arial"/>
          <w:szCs w:val="22"/>
        </w:rPr>
      </w:pPr>
      <w:r>
        <w:rPr>
          <w:rFonts w:cs="Arial"/>
          <w:szCs w:val="22"/>
        </w:rPr>
        <w:t>Research Manager</w:t>
      </w:r>
    </w:p>
    <w:p w:rsidR="00E4627B" w:rsidRPr="007B02B9" w:rsidRDefault="00E4627B" w:rsidP="00E4627B">
      <w:pPr>
        <w:ind w:left="720"/>
        <w:rPr>
          <w:rFonts w:cs="Arial"/>
          <w:szCs w:val="22"/>
        </w:rPr>
      </w:pPr>
      <w:r w:rsidRPr="007B02B9">
        <w:rPr>
          <w:rFonts w:cs="Arial"/>
          <w:szCs w:val="22"/>
        </w:rPr>
        <w:t>Heritage Lottery Fund</w:t>
      </w:r>
    </w:p>
    <w:p w:rsidR="00E4627B" w:rsidRPr="007B02B9" w:rsidRDefault="00E4627B" w:rsidP="00E4627B">
      <w:pPr>
        <w:ind w:left="720"/>
        <w:rPr>
          <w:rFonts w:cs="Arial"/>
          <w:szCs w:val="22"/>
        </w:rPr>
      </w:pPr>
      <w:smartTag w:uri="urn:schemas-microsoft-com:office:smarttags" w:element="City">
        <w:r w:rsidRPr="007B02B9">
          <w:rPr>
            <w:rFonts w:cs="Arial"/>
            <w:szCs w:val="22"/>
          </w:rPr>
          <w:t>Holbein Place</w:t>
        </w:r>
      </w:smartTag>
    </w:p>
    <w:p w:rsidR="00E4627B" w:rsidRPr="007B02B9" w:rsidRDefault="00E4627B" w:rsidP="00E4627B">
      <w:pPr>
        <w:ind w:left="720"/>
        <w:rPr>
          <w:rFonts w:cs="Arial"/>
          <w:szCs w:val="22"/>
        </w:rPr>
      </w:pPr>
      <w:smartTag w:uri="urn:schemas-microsoft-com:office:smarttags" w:element="City">
        <w:r w:rsidRPr="007B02B9">
          <w:rPr>
            <w:rFonts w:cs="Arial"/>
            <w:szCs w:val="22"/>
          </w:rPr>
          <w:t>London</w:t>
        </w:r>
      </w:smartTag>
    </w:p>
    <w:p w:rsidR="00E4627B" w:rsidRPr="007B02B9" w:rsidRDefault="00E4627B" w:rsidP="00E4627B">
      <w:pPr>
        <w:ind w:left="720"/>
        <w:rPr>
          <w:rFonts w:cs="Arial"/>
          <w:szCs w:val="22"/>
        </w:rPr>
      </w:pPr>
      <w:r w:rsidRPr="007B02B9">
        <w:rPr>
          <w:rFonts w:cs="Arial"/>
          <w:szCs w:val="22"/>
        </w:rPr>
        <w:t>SW1W 8NL</w:t>
      </w:r>
    </w:p>
    <w:p w:rsidR="00E4627B" w:rsidRPr="007B02B9" w:rsidRDefault="003275D9" w:rsidP="00E4627B">
      <w:pPr>
        <w:ind w:left="720"/>
        <w:rPr>
          <w:rFonts w:cs="Arial"/>
          <w:szCs w:val="22"/>
        </w:rPr>
      </w:pPr>
      <w:r>
        <w:rPr>
          <w:rFonts w:cs="Arial"/>
          <w:szCs w:val="22"/>
        </w:rPr>
        <w:t>Marie.hobson</w:t>
      </w:r>
      <w:r w:rsidR="000F3DCB" w:rsidRPr="007B02B9">
        <w:rPr>
          <w:rFonts w:cs="Arial"/>
          <w:szCs w:val="22"/>
        </w:rPr>
        <w:t>@hlf.org.uk</w:t>
      </w:r>
    </w:p>
    <w:p w:rsidR="00E4627B" w:rsidRPr="00E4627B" w:rsidRDefault="00E4627B" w:rsidP="00E4627B">
      <w:pPr>
        <w:ind w:left="720"/>
        <w:rPr>
          <w:rFonts w:cs="Arial"/>
          <w:color w:val="FF0000"/>
          <w:szCs w:val="22"/>
        </w:rPr>
      </w:pPr>
    </w:p>
    <w:p w:rsidR="00E4627B" w:rsidRPr="00CF253B" w:rsidRDefault="00E4627B" w:rsidP="00CF253B">
      <w:pPr>
        <w:numPr>
          <w:ilvl w:val="1"/>
          <w:numId w:val="2"/>
        </w:numPr>
        <w:spacing w:after="240" w:line="276" w:lineRule="auto"/>
        <w:rPr>
          <w:rFonts w:cs="Arial"/>
          <w:szCs w:val="22"/>
        </w:rPr>
      </w:pPr>
      <w:r w:rsidRPr="00E4627B">
        <w:rPr>
          <w:szCs w:val="22"/>
        </w:rPr>
        <w:t xml:space="preserve">Please visit the </w:t>
      </w:r>
      <w:hyperlink r:id="rId11"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rsidR="0082194B" w:rsidRPr="0082194B" w:rsidRDefault="0082194B" w:rsidP="0082194B">
      <w:pPr>
        <w:spacing w:after="240"/>
        <w:rPr>
          <w:rFonts w:cs="Arial"/>
          <w:bCs/>
          <w:iCs/>
        </w:rPr>
      </w:pPr>
    </w:p>
    <w:p w:rsidR="0082194B" w:rsidRPr="0082194B" w:rsidRDefault="0082194B" w:rsidP="0082194B">
      <w:pPr>
        <w:rPr>
          <w:rFonts w:cs="Arial"/>
          <w:szCs w:val="22"/>
        </w:rPr>
      </w:pPr>
      <w:r w:rsidRPr="0082194B">
        <w:rPr>
          <w:rFonts w:cs="Arial"/>
          <w:szCs w:val="22"/>
        </w:rPr>
        <w:br w:type="page"/>
      </w:r>
    </w:p>
    <w:p w:rsidR="0082194B" w:rsidRPr="0082194B" w:rsidRDefault="0082194B" w:rsidP="00164796">
      <w:pPr>
        <w:pStyle w:val="Heading1"/>
      </w:pPr>
      <w:r w:rsidRPr="0082194B">
        <w:lastRenderedPageBreak/>
        <w:t>Appendix: Accessibility and formatting guidance</w:t>
      </w:r>
    </w:p>
    <w:p w:rsidR="0082194B" w:rsidRPr="0082194B" w:rsidRDefault="0082194B" w:rsidP="0082194B">
      <w:pPr>
        <w:spacing w:after="240"/>
      </w:pPr>
      <w:r w:rsidRPr="0082194B">
        <w:t>Reports and other documents created for HLF need to be clear, straightforward to use, and ready to circulate internally, externally and online, as well as suitable for use by screen reading software. Best practice in accessibility is summarised below:</w:t>
      </w:r>
    </w:p>
    <w:p w:rsidR="0082194B" w:rsidRPr="0082194B" w:rsidRDefault="0082194B" w:rsidP="00164796">
      <w:pPr>
        <w:pStyle w:val="Heading2"/>
      </w:pPr>
      <w:r w:rsidRPr="0082194B">
        <w:t>Readability</w:t>
      </w:r>
    </w:p>
    <w:p w:rsidR="0082194B" w:rsidRPr="0082194B" w:rsidRDefault="0082194B" w:rsidP="0082194B">
      <w:pPr>
        <w:rPr>
          <w:rFonts w:cs="Arial"/>
          <w:szCs w:val="22"/>
          <w:lang w:eastAsia="en-GB"/>
        </w:rPr>
      </w:pPr>
      <w:r w:rsidRPr="0082194B">
        <w:rPr>
          <w:rFonts w:cs="Arial"/>
          <w:szCs w:val="22"/>
          <w:lang w:eastAsia="en-GB"/>
        </w:rPr>
        <w:t>In the final report,</w:t>
      </w:r>
      <w:r w:rsidR="004F2D8D">
        <w:rPr>
          <w:rFonts w:cs="Arial"/>
          <w:szCs w:val="22"/>
          <w:lang w:eastAsia="en-GB"/>
        </w:rPr>
        <w:t xml:space="preserve"> and all other documents that may be published online including the tender application</w:t>
      </w:r>
      <w:r w:rsidRPr="0082194B">
        <w:rPr>
          <w:rFonts w:cs="Arial"/>
          <w:szCs w:val="22"/>
          <w:lang w:eastAsia="en-GB"/>
        </w:rPr>
        <w:t xml:space="preserve"> consultants should ensure that:</w:t>
      </w:r>
    </w:p>
    <w:p w:rsidR="0082194B" w:rsidRPr="00164796" w:rsidRDefault="00164796" w:rsidP="00164796">
      <w:pPr>
        <w:pStyle w:val="ListParagraph"/>
        <w:numPr>
          <w:ilvl w:val="0"/>
          <w:numId w:val="38"/>
        </w:numPr>
        <w:rPr>
          <w:szCs w:val="24"/>
          <w:lang w:eastAsia="en-GB"/>
        </w:rPr>
      </w:pPr>
      <w:r>
        <w:rPr>
          <w:szCs w:val="24"/>
          <w:lang w:eastAsia="en-GB"/>
        </w:rPr>
        <w:t>T</w:t>
      </w:r>
      <w:r w:rsidR="0082194B" w:rsidRPr="00164796">
        <w:rPr>
          <w:szCs w:val="24"/>
          <w:lang w:eastAsia="en-GB"/>
        </w:rPr>
        <w:t>he size of the font is at least 11pt;</w:t>
      </w:r>
    </w:p>
    <w:p w:rsidR="0082194B" w:rsidRPr="00164796" w:rsidRDefault="00164796" w:rsidP="00164796">
      <w:pPr>
        <w:pStyle w:val="ListParagraph"/>
        <w:numPr>
          <w:ilvl w:val="0"/>
          <w:numId w:val="38"/>
        </w:numPr>
        <w:rPr>
          <w:szCs w:val="24"/>
          <w:lang w:eastAsia="en-GB"/>
        </w:rPr>
      </w:pPr>
      <w:r>
        <w:rPr>
          <w:szCs w:val="24"/>
          <w:lang w:eastAsia="en-GB"/>
        </w:rPr>
        <w:t>T</w:t>
      </w:r>
      <w:r w:rsidR="0082194B" w:rsidRPr="00164796">
        <w:rPr>
          <w:szCs w:val="24"/>
          <w:lang w:eastAsia="en-GB"/>
        </w:rPr>
        <w:t>here is a strong contrast between the background colour and the colour of the text. Black text on a white background provides the best contrast. This also applies to any shading used in tables and/or diagrams;</w:t>
      </w:r>
    </w:p>
    <w:p w:rsidR="00164796" w:rsidRDefault="0082194B" w:rsidP="00164796">
      <w:pPr>
        <w:pStyle w:val="ListParagraph"/>
        <w:numPr>
          <w:ilvl w:val="0"/>
          <w:numId w:val="38"/>
        </w:numPr>
        <w:rPr>
          <w:szCs w:val="24"/>
          <w:lang w:eastAsia="en-GB"/>
        </w:rPr>
      </w:pPr>
      <w:r w:rsidRPr="00164796">
        <w:rPr>
          <w:szCs w:val="24"/>
          <w:lang w:eastAsia="en-GB"/>
        </w:rPr>
        <w:t xml:space="preserve">Italics are only used when quoting book titles for citations and items on the </w:t>
      </w:r>
      <w:r w:rsidR="001D6D8C">
        <w:rPr>
          <w:szCs w:val="24"/>
          <w:lang w:eastAsia="en-GB"/>
        </w:rPr>
        <w:t>Bibliography</w:t>
      </w:r>
      <w:r w:rsidRPr="00164796">
        <w:rPr>
          <w:szCs w:val="24"/>
          <w:lang w:eastAsia="en-GB"/>
        </w:rPr>
        <w:t xml:space="preserve"> should be arr</w:t>
      </w:r>
      <w:r w:rsidR="00164796">
        <w:rPr>
          <w:szCs w:val="24"/>
          <w:lang w:eastAsia="en-GB"/>
        </w:rPr>
        <w:t>anged alphabetically by author</w:t>
      </w:r>
      <w:r w:rsidR="005B14D0">
        <w:rPr>
          <w:szCs w:val="24"/>
          <w:lang w:eastAsia="en-GB"/>
        </w:rPr>
        <w:t>;</w:t>
      </w:r>
      <w:r w:rsidR="00164796">
        <w:rPr>
          <w:szCs w:val="24"/>
          <w:lang w:eastAsia="en-GB"/>
        </w:rPr>
        <w:t xml:space="preserve"> </w:t>
      </w:r>
    </w:p>
    <w:p w:rsidR="0082194B" w:rsidRPr="00164796" w:rsidRDefault="00164796" w:rsidP="00164796">
      <w:pPr>
        <w:pStyle w:val="ListParagraph"/>
        <w:numPr>
          <w:ilvl w:val="0"/>
          <w:numId w:val="38"/>
        </w:numPr>
        <w:rPr>
          <w:szCs w:val="24"/>
          <w:lang w:eastAsia="en-GB"/>
        </w:rPr>
      </w:pPr>
      <w:r>
        <w:rPr>
          <w:szCs w:val="24"/>
          <w:lang w:eastAsia="en-GB"/>
        </w:rPr>
        <w:t>C</w:t>
      </w:r>
      <w:r w:rsidR="0082194B" w:rsidRPr="00164796">
        <w:rPr>
          <w:szCs w:val="24"/>
          <w:lang w:eastAsia="en-GB"/>
        </w:rPr>
        <w:t>olour formatting and use of photos should be of a resolution size that is easily printable and does not compromise the printability of the document.</w:t>
      </w:r>
    </w:p>
    <w:p w:rsidR="00164796" w:rsidRDefault="00164796" w:rsidP="0082194B">
      <w:pPr>
        <w:autoSpaceDE w:val="0"/>
        <w:autoSpaceDN w:val="0"/>
        <w:adjustRightInd w:val="0"/>
        <w:spacing w:after="240"/>
        <w:rPr>
          <w:rFonts w:cs="Arial"/>
          <w:szCs w:val="22"/>
        </w:rPr>
      </w:pPr>
    </w:p>
    <w:p w:rsidR="0082194B" w:rsidRPr="0082194B" w:rsidRDefault="0082194B" w:rsidP="0082194B">
      <w:pPr>
        <w:autoSpaceDE w:val="0"/>
        <w:autoSpaceDN w:val="0"/>
        <w:adjustRightInd w:val="0"/>
        <w:spacing w:after="240"/>
        <w:rPr>
          <w:rFonts w:cs="Arial"/>
          <w:szCs w:val="22"/>
        </w:rPr>
      </w:pPr>
      <w:r w:rsidRPr="0082194B">
        <w:rPr>
          <w:rFonts w:cs="Arial"/>
          <w:szCs w:val="22"/>
        </w:rPr>
        <w:t xml:space="preserve">For further guidance on ensuring readability of printed materials, please refer to the RNIB Clear Print guidelines. These can be found on the </w:t>
      </w:r>
      <w:hyperlink r:id="rId12" w:history="1">
        <w:r w:rsidRPr="0082194B">
          <w:rPr>
            <w:rFonts w:cs="Arial"/>
            <w:color w:val="0000FF"/>
            <w:szCs w:val="22"/>
            <w:u w:val="single"/>
          </w:rPr>
          <w:t>RNIB website</w:t>
        </w:r>
      </w:hyperlink>
      <w:r w:rsidRPr="0082194B">
        <w:rPr>
          <w:rFonts w:cs="Arial"/>
          <w:szCs w:val="22"/>
        </w:rPr>
        <w:t>.</w:t>
      </w:r>
    </w:p>
    <w:p w:rsidR="0082194B" w:rsidRPr="0082194B" w:rsidRDefault="0082194B" w:rsidP="00164796">
      <w:pPr>
        <w:pStyle w:val="Heading2"/>
        <w:spacing w:after="0"/>
      </w:pPr>
      <w:r w:rsidRPr="0082194B">
        <w:t>Accessibility</w:t>
      </w:r>
    </w:p>
    <w:p w:rsidR="0082194B" w:rsidRPr="0082194B" w:rsidRDefault="0082194B" w:rsidP="00164796">
      <w:r w:rsidRPr="0082194B">
        <w:t>Reports should adhere to the following guidelines:</w:t>
      </w:r>
    </w:p>
    <w:p w:rsidR="0082194B" w:rsidRPr="0082194B" w:rsidRDefault="0082194B" w:rsidP="00164796">
      <w:pPr>
        <w:pStyle w:val="Heading2"/>
        <w:spacing w:after="0"/>
        <w:rPr>
          <w:lang w:eastAsia="en-GB"/>
        </w:rPr>
      </w:pPr>
      <w:r w:rsidRPr="0082194B">
        <w:rPr>
          <w:lang w:eastAsia="en-GB"/>
        </w:rPr>
        <w:t>Formatting</w:t>
      </w:r>
    </w:p>
    <w:p w:rsidR="0082194B" w:rsidRPr="0082194B" w:rsidRDefault="0082194B" w:rsidP="00164796">
      <w:pPr>
        <w:contextualSpacing/>
      </w:pPr>
      <w:r w:rsidRPr="0082194B">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82194B" w:rsidRPr="0082194B" w:rsidRDefault="0082194B" w:rsidP="00164796">
      <w:pPr>
        <w:pStyle w:val="Heading2"/>
        <w:spacing w:after="0"/>
        <w:rPr>
          <w:lang w:eastAsia="en-GB"/>
        </w:rPr>
      </w:pPr>
      <w:bookmarkStart w:id="1" w:name="_Toc322438558"/>
      <w:r w:rsidRPr="0082194B">
        <w:rPr>
          <w:lang w:eastAsia="en-GB"/>
        </w:rPr>
        <w:t>Spacing</w:t>
      </w:r>
      <w:bookmarkEnd w:id="1"/>
    </w:p>
    <w:p w:rsidR="0082194B" w:rsidRPr="0082194B" w:rsidRDefault="0082194B" w:rsidP="00164796">
      <w:pPr>
        <w:contextualSpacing/>
      </w:pPr>
      <w:r w:rsidRPr="0082194B">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82194B" w:rsidRPr="0082194B" w:rsidRDefault="0082194B" w:rsidP="00164796">
      <w:pPr>
        <w:pStyle w:val="Heading2"/>
        <w:spacing w:after="0"/>
        <w:rPr>
          <w:lang w:eastAsia="en-GB"/>
        </w:rPr>
      </w:pPr>
      <w:r w:rsidRPr="0082194B">
        <w:rPr>
          <w:lang w:eastAsia="en-GB"/>
        </w:rPr>
        <w:t>Alternative text</w:t>
      </w:r>
    </w:p>
    <w:p w:rsidR="0082194B" w:rsidRPr="0082194B" w:rsidRDefault="0082194B" w:rsidP="00164796">
      <w:pPr>
        <w:contextualSpacing/>
      </w:pPr>
      <w:r w:rsidRPr="0082194B">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82194B" w:rsidRPr="0082194B" w:rsidRDefault="0082194B" w:rsidP="00164796">
      <w:pPr>
        <w:pStyle w:val="Heading2"/>
        <w:spacing w:after="0"/>
        <w:rPr>
          <w:lang w:eastAsia="en-GB"/>
        </w:rPr>
      </w:pPr>
      <w:r w:rsidRPr="0082194B">
        <w:rPr>
          <w:lang w:eastAsia="en-GB"/>
        </w:rPr>
        <w:t>Images</w:t>
      </w:r>
    </w:p>
    <w:p w:rsidR="0082194B" w:rsidRPr="0082194B" w:rsidRDefault="0082194B" w:rsidP="00164796">
      <w:pPr>
        <w:contextualSpacing/>
      </w:pPr>
      <w:r w:rsidRPr="0082194B">
        <w:t>These should be formatted in</w:t>
      </w:r>
      <w:r w:rsidR="004F2D8D">
        <w:t>-</w:t>
      </w:r>
      <w:r w:rsidRPr="0082194B">
        <w:t>line with text, to support screen readers. Crediting pictures may be necessary, usually in response to a direct request from a third party.</w:t>
      </w:r>
    </w:p>
    <w:p w:rsidR="0082194B" w:rsidRPr="0082194B" w:rsidRDefault="0082194B" w:rsidP="00164796">
      <w:pPr>
        <w:pStyle w:val="Heading2"/>
        <w:spacing w:after="0"/>
        <w:rPr>
          <w:lang w:eastAsia="en-GB"/>
        </w:rPr>
      </w:pPr>
      <w:r w:rsidRPr="0082194B">
        <w:rPr>
          <w:lang w:eastAsia="en-GB"/>
        </w:rPr>
        <w:t>Tables</w:t>
      </w:r>
    </w:p>
    <w:p w:rsidR="0082194B" w:rsidRPr="0082194B" w:rsidRDefault="0082194B" w:rsidP="00164796">
      <w:pPr>
        <w:contextualSpacing/>
      </w:pPr>
      <w:r w:rsidRPr="0082194B">
        <w:t>These should be for used for presenting data and not for layout or design. They should also be simple, and include a descriptive title.</w:t>
      </w:r>
    </w:p>
    <w:p w:rsidR="0082194B" w:rsidRPr="0082194B" w:rsidRDefault="0082194B" w:rsidP="00164796">
      <w:pPr>
        <w:pStyle w:val="Heading2"/>
        <w:spacing w:after="0"/>
      </w:pPr>
      <w:r w:rsidRPr="0082194B">
        <w:t>Additional documents</w:t>
      </w:r>
    </w:p>
    <w:p w:rsidR="0082194B" w:rsidRPr="0082194B" w:rsidRDefault="0082194B" w:rsidP="00164796">
      <w:pPr>
        <w:autoSpaceDE w:val="0"/>
        <w:autoSpaceDN w:val="0"/>
        <w:adjustRightInd w:val="0"/>
        <w:rPr>
          <w:rFonts w:cs="Arial"/>
          <w:szCs w:val="22"/>
        </w:rPr>
      </w:pPr>
      <w:r w:rsidRPr="0082194B">
        <w:rPr>
          <w:rFonts w:cs="Arial"/>
          <w:szCs w:val="22"/>
        </w:rPr>
        <w:t xml:space="preserve">Any additional information, separate to the report, for example </w:t>
      </w:r>
      <w:proofErr w:type="spellStart"/>
      <w:r w:rsidRPr="0082194B">
        <w:rPr>
          <w:rFonts w:cs="Arial"/>
          <w:szCs w:val="22"/>
        </w:rPr>
        <w:t>proformas</w:t>
      </w:r>
      <w:proofErr w:type="spellEnd"/>
      <w:r w:rsidRPr="0082194B">
        <w:rPr>
          <w:rFonts w:cs="Arial"/>
          <w:szCs w:val="22"/>
        </w:rPr>
        <w:t xml:space="preserve"> and transcripts which may be used as standalone documents must be fully referenced to the piece of work being submitting and therefore dated, formatted and numbered appropriately.</w:t>
      </w:r>
    </w:p>
    <w:p w:rsidR="0082194B" w:rsidRPr="0082194B" w:rsidRDefault="0082194B" w:rsidP="00164796">
      <w:pPr>
        <w:pStyle w:val="Heading2"/>
        <w:spacing w:after="0"/>
      </w:pPr>
      <w:r w:rsidRPr="0082194B">
        <w:t>Acknowledgement</w:t>
      </w:r>
    </w:p>
    <w:p w:rsidR="0082194B" w:rsidRPr="0082194B" w:rsidRDefault="0082194B" w:rsidP="00164796">
      <w:pPr>
        <w:rPr>
          <w:rFonts w:cs="Arial"/>
          <w:szCs w:val="22"/>
        </w:rPr>
      </w:pPr>
      <w:r w:rsidRPr="0082194B">
        <w:rPr>
          <w:rFonts w:cs="Arial"/>
          <w:szCs w:val="22"/>
        </w:rPr>
        <w:t xml:space="preserve">All reports should acknowledge HLF. Our logo can be found on the </w:t>
      </w:r>
      <w:hyperlink r:id="rId13" w:history="1">
        <w:r w:rsidRPr="0082194B">
          <w:rPr>
            <w:rFonts w:cs="Arial"/>
            <w:color w:val="0000FF"/>
            <w:szCs w:val="22"/>
            <w:u w:val="single"/>
          </w:rPr>
          <w:t>HLF website</w:t>
        </w:r>
      </w:hyperlink>
      <w:r w:rsidRPr="0082194B">
        <w:rPr>
          <w:rFonts w:cs="Arial"/>
          <w:szCs w:val="22"/>
        </w:rPr>
        <w:t>.</w:t>
      </w:r>
    </w:p>
    <w:p w:rsidR="0082194B" w:rsidRPr="0082194B" w:rsidRDefault="0082194B" w:rsidP="00164796">
      <w:pPr>
        <w:ind w:left="720"/>
        <w:rPr>
          <w:rFonts w:cs="Arial"/>
          <w:szCs w:val="22"/>
        </w:rPr>
      </w:pPr>
    </w:p>
    <w:p w:rsidR="00FA3F8F" w:rsidRDefault="00FA3F8F" w:rsidP="00023FF3"/>
    <w:sectPr w:rsidR="00FA3F8F" w:rsidSect="00372811">
      <w:footerReference w:type="even" r:id="rId14"/>
      <w:footerReference w:type="default" r:id="rId15"/>
      <w:headerReference w:type="first" r:id="rId16"/>
      <w:footerReference w:type="first" r:id="rId17"/>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D2" w:rsidRDefault="00C064D2">
      <w:r>
        <w:separator/>
      </w:r>
    </w:p>
  </w:endnote>
  <w:endnote w:type="continuationSeparator" w:id="0">
    <w:p w:rsidR="00C064D2" w:rsidRDefault="00C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4D2" w:rsidRDefault="00C064D2"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64D2" w:rsidRDefault="00C064D2"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4D2" w:rsidRPr="00FE2F89" w:rsidRDefault="00C064D2"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9F1BCA">
      <w:rPr>
        <w:rStyle w:val="PageNumber"/>
        <w:rFonts w:cs="Arial"/>
        <w:noProof/>
        <w:sz w:val="20"/>
      </w:rPr>
      <w:t>2</w:t>
    </w:r>
    <w:r w:rsidRPr="00FE2F89">
      <w:rPr>
        <w:rStyle w:val="PageNumber"/>
        <w:rFonts w:cs="Arial"/>
        <w:sz w:val="20"/>
      </w:rPr>
      <w:fldChar w:fldCharType="end"/>
    </w:r>
  </w:p>
  <w:p w:rsidR="00C064D2" w:rsidRDefault="00C064D2"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4D2" w:rsidRDefault="00C064D2" w:rsidP="00D27190">
    <w:pPr>
      <w:pStyle w:val="Footer"/>
      <w:tabs>
        <w:tab w:val="clear" w:pos="4153"/>
        <w:tab w:val="clear" w:pos="8306"/>
        <w:tab w:val="left" w:pos="2552"/>
      </w:tabs>
      <w:ind w:right="-1"/>
    </w:pPr>
    <w:r>
      <w:rPr>
        <w:noProof/>
        <w:lang w:eastAsia="en-GB"/>
      </w:rPr>
      <w:drawing>
        <wp:inline distT="0" distB="0" distL="0" distR="0" wp14:anchorId="023DE501" wp14:editId="1B86FFFA">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C064D2" w:rsidRPr="00DC45DF" w:rsidRDefault="00C064D2" w:rsidP="00C93A35">
    <w:pPr>
      <w:pStyle w:val="Footer"/>
      <w:ind w:left="-1260" w:right="-1176"/>
      <w:jc w:val="center"/>
      <w:rPr>
        <w:sz w:val="20"/>
      </w:rPr>
    </w:pPr>
  </w:p>
  <w:p w:rsidR="00C064D2" w:rsidRDefault="00C064D2"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D2" w:rsidRDefault="00C064D2">
      <w:r>
        <w:separator/>
      </w:r>
    </w:p>
  </w:footnote>
  <w:footnote w:type="continuationSeparator" w:id="0">
    <w:p w:rsidR="00C064D2" w:rsidRDefault="00C06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4D2" w:rsidRDefault="00C064D2" w:rsidP="0082540F">
    <w:pPr>
      <w:pStyle w:val="Header"/>
      <w:tabs>
        <w:tab w:val="clear" w:pos="4153"/>
        <w:tab w:val="clear" w:pos="8306"/>
      </w:tabs>
      <w:jc w:val="center"/>
    </w:pPr>
    <w:r>
      <w:rPr>
        <w:noProof/>
        <w:lang w:eastAsia="en-GB"/>
      </w:rPr>
      <w:drawing>
        <wp:inline distT="0" distB="0" distL="0" distR="0" wp14:anchorId="622BADBE" wp14:editId="40B531A2">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DF60CEE"/>
    <w:multiLevelType w:val="hybridMultilevel"/>
    <w:tmpl w:val="7E16A0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7">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5">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6">
    <w:nsid w:val="465D3434"/>
    <w:multiLevelType w:val="hybridMultilevel"/>
    <w:tmpl w:val="BDE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9">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nsid w:val="53714E51"/>
    <w:multiLevelType w:val="hybridMultilevel"/>
    <w:tmpl w:val="638E974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1">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2">
    <w:nsid w:val="59F30D2F"/>
    <w:multiLevelType w:val="multilevel"/>
    <w:tmpl w:val="01709B5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8">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73584821"/>
    <w:multiLevelType w:val="hybridMultilevel"/>
    <w:tmpl w:val="1E0AE93C"/>
    <w:lvl w:ilvl="0" w:tplc="45F2C02C">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6">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32"/>
  </w:num>
  <w:num w:numId="3">
    <w:abstractNumId w:val="46"/>
  </w:num>
  <w:num w:numId="4">
    <w:abstractNumId w:val="35"/>
  </w:num>
  <w:num w:numId="5">
    <w:abstractNumId w:val="13"/>
  </w:num>
  <w:num w:numId="6">
    <w:abstractNumId w:val="20"/>
  </w:num>
  <w:num w:numId="7">
    <w:abstractNumId w:val="34"/>
  </w:num>
  <w:num w:numId="8">
    <w:abstractNumId w:val="4"/>
  </w:num>
  <w:num w:numId="9">
    <w:abstractNumId w:val="42"/>
  </w:num>
  <w:num w:numId="10">
    <w:abstractNumId w:val="23"/>
  </w:num>
  <w:num w:numId="11">
    <w:abstractNumId w:val="25"/>
  </w:num>
  <w:num w:numId="12">
    <w:abstractNumId w:val="14"/>
  </w:num>
  <w:num w:numId="13">
    <w:abstractNumId w:val="44"/>
  </w:num>
  <w:num w:numId="14">
    <w:abstractNumId w:val="2"/>
  </w:num>
  <w:num w:numId="15">
    <w:abstractNumId w:val="1"/>
  </w:num>
  <w:num w:numId="16">
    <w:abstractNumId w:val="22"/>
  </w:num>
  <w:num w:numId="17">
    <w:abstractNumId w:val="43"/>
  </w:num>
  <w:num w:numId="18">
    <w:abstractNumId w:val="17"/>
  </w:num>
  <w:num w:numId="19">
    <w:abstractNumId w:val="33"/>
  </w:num>
  <w:num w:numId="20">
    <w:abstractNumId w:val="21"/>
  </w:num>
  <w:num w:numId="21">
    <w:abstractNumId w:val="10"/>
  </w:num>
  <w:num w:numId="22">
    <w:abstractNumId w:val="5"/>
  </w:num>
  <w:num w:numId="23">
    <w:abstractNumId w:val="12"/>
  </w:num>
  <w:num w:numId="24">
    <w:abstractNumId w:val="36"/>
  </w:num>
  <w:num w:numId="25">
    <w:abstractNumId w:val="37"/>
  </w:num>
  <w:num w:numId="26">
    <w:abstractNumId w:val="15"/>
  </w:num>
  <w:num w:numId="27">
    <w:abstractNumId w:val="9"/>
  </w:num>
  <w:num w:numId="28">
    <w:abstractNumId w:val="7"/>
  </w:num>
  <w:num w:numId="29">
    <w:abstractNumId w:val="0"/>
  </w:num>
  <w:num w:numId="30">
    <w:abstractNumId w:val="27"/>
  </w:num>
  <w:num w:numId="31">
    <w:abstractNumId w:val="39"/>
  </w:num>
  <w:num w:numId="32">
    <w:abstractNumId w:val="31"/>
  </w:num>
  <w:num w:numId="33">
    <w:abstractNumId w:val="16"/>
  </w:num>
  <w:num w:numId="34">
    <w:abstractNumId w:val="40"/>
  </w:num>
  <w:num w:numId="35">
    <w:abstractNumId w:val="6"/>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3"/>
  </w:num>
  <w:num w:numId="38">
    <w:abstractNumId w:val="8"/>
  </w:num>
  <w:num w:numId="39">
    <w:abstractNumId w:val="41"/>
  </w:num>
  <w:num w:numId="40">
    <w:abstractNumId w:val="38"/>
  </w:num>
  <w:num w:numId="41">
    <w:abstractNumId w:val="18"/>
  </w:num>
  <w:num w:numId="42">
    <w:abstractNumId w:val="24"/>
  </w:num>
  <w:num w:numId="43">
    <w:abstractNumId w:val="45"/>
  </w:num>
  <w:num w:numId="44">
    <w:abstractNumId w:val="19"/>
  </w:num>
  <w:num w:numId="45">
    <w:abstractNumId w:val="11"/>
  </w:num>
  <w:num w:numId="46">
    <w:abstractNumId w:val="30"/>
  </w:num>
  <w:num w:numId="47">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11"/>
    <w:rsid w:val="00010420"/>
    <w:rsid w:val="00010655"/>
    <w:rsid w:val="000110B3"/>
    <w:rsid w:val="000232DC"/>
    <w:rsid w:val="00023FF3"/>
    <w:rsid w:val="000302FA"/>
    <w:rsid w:val="00044308"/>
    <w:rsid w:val="00056B22"/>
    <w:rsid w:val="000600B0"/>
    <w:rsid w:val="00065DF2"/>
    <w:rsid w:val="0007195E"/>
    <w:rsid w:val="00080479"/>
    <w:rsid w:val="00084D37"/>
    <w:rsid w:val="00087032"/>
    <w:rsid w:val="000B1288"/>
    <w:rsid w:val="000B4E51"/>
    <w:rsid w:val="000C0DC9"/>
    <w:rsid w:val="000C1537"/>
    <w:rsid w:val="000D05FE"/>
    <w:rsid w:val="000E4409"/>
    <w:rsid w:val="000F3DCB"/>
    <w:rsid w:val="00100665"/>
    <w:rsid w:val="0010334A"/>
    <w:rsid w:val="0011075E"/>
    <w:rsid w:val="0012514A"/>
    <w:rsid w:val="00130E94"/>
    <w:rsid w:val="00131128"/>
    <w:rsid w:val="0013153F"/>
    <w:rsid w:val="001467AF"/>
    <w:rsid w:val="00156E03"/>
    <w:rsid w:val="00157446"/>
    <w:rsid w:val="00164796"/>
    <w:rsid w:val="001750B2"/>
    <w:rsid w:val="00175979"/>
    <w:rsid w:val="00183CA1"/>
    <w:rsid w:val="001855AF"/>
    <w:rsid w:val="00193C0A"/>
    <w:rsid w:val="001A510E"/>
    <w:rsid w:val="001A5F4A"/>
    <w:rsid w:val="001B0833"/>
    <w:rsid w:val="001B0A45"/>
    <w:rsid w:val="001B3754"/>
    <w:rsid w:val="001B633C"/>
    <w:rsid w:val="001C3408"/>
    <w:rsid w:val="001D222D"/>
    <w:rsid w:val="001D5F79"/>
    <w:rsid w:val="001D6D8C"/>
    <w:rsid w:val="001E0220"/>
    <w:rsid w:val="00204E73"/>
    <w:rsid w:val="0021230D"/>
    <w:rsid w:val="00230F44"/>
    <w:rsid w:val="00234ED8"/>
    <w:rsid w:val="002409F5"/>
    <w:rsid w:val="0024143D"/>
    <w:rsid w:val="00245CDA"/>
    <w:rsid w:val="00252DBB"/>
    <w:rsid w:val="00274270"/>
    <w:rsid w:val="00286E4F"/>
    <w:rsid w:val="0029057B"/>
    <w:rsid w:val="002A3C07"/>
    <w:rsid w:val="002B736C"/>
    <w:rsid w:val="002C59C0"/>
    <w:rsid w:val="002D1955"/>
    <w:rsid w:val="002D6957"/>
    <w:rsid w:val="002E6DE0"/>
    <w:rsid w:val="002F2E3D"/>
    <w:rsid w:val="0030091E"/>
    <w:rsid w:val="0030363F"/>
    <w:rsid w:val="00304AC1"/>
    <w:rsid w:val="00310EB0"/>
    <w:rsid w:val="003119D1"/>
    <w:rsid w:val="0032402A"/>
    <w:rsid w:val="003275D9"/>
    <w:rsid w:val="00334094"/>
    <w:rsid w:val="00337632"/>
    <w:rsid w:val="003440FF"/>
    <w:rsid w:val="0035582F"/>
    <w:rsid w:val="003653D3"/>
    <w:rsid w:val="00370C76"/>
    <w:rsid w:val="00372811"/>
    <w:rsid w:val="00374149"/>
    <w:rsid w:val="00390875"/>
    <w:rsid w:val="00393618"/>
    <w:rsid w:val="003A3FA3"/>
    <w:rsid w:val="003A6577"/>
    <w:rsid w:val="003B180F"/>
    <w:rsid w:val="003B2883"/>
    <w:rsid w:val="003C0CAC"/>
    <w:rsid w:val="003C5497"/>
    <w:rsid w:val="003D688D"/>
    <w:rsid w:val="003E1863"/>
    <w:rsid w:val="00406171"/>
    <w:rsid w:val="00410299"/>
    <w:rsid w:val="004200B6"/>
    <w:rsid w:val="0042281E"/>
    <w:rsid w:val="00437E6F"/>
    <w:rsid w:val="00441942"/>
    <w:rsid w:val="00457454"/>
    <w:rsid w:val="00485DF2"/>
    <w:rsid w:val="00487BA4"/>
    <w:rsid w:val="004A1711"/>
    <w:rsid w:val="004A57F3"/>
    <w:rsid w:val="004A60CE"/>
    <w:rsid w:val="004C39CE"/>
    <w:rsid w:val="004C558D"/>
    <w:rsid w:val="004C69E3"/>
    <w:rsid w:val="004D2D17"/>
    <w:rsid w:val="004D30D5"/>
    <w:rsid w:val="004D31DE"/>
    <w:rsid w:val="004E0346"/>
    <w:rsid w:val="004E161A"/>
    <w:rsid w:val="004E50DD"/>
    <w:rsid w:val="004E58E6"/>
    <w:rsid w:val="004F29AC"/>
    <w:rsid w:val="004F2D8D"/>
    <w:rsid w:val="00506D30"/>
    <w:rsid w:val="00511955"/>
    <w:rsid w:val="00512642"/>
    <w:rsid w:val="00525F85"/>
    <w:rsid w:val="00533801"/>
    <w:rsid w:val="00543341"/>
    <w:rsid w:val="00551CF6"/>
    <w:rsid w:val="00586075"/>
    <w:rsid w:val="0058712E"/>
    <w:rsid w:val="0059222F"/>
    <w:rsid w:val="005949B6"/>
    <w:rsid w:val="005956B7"/>
    <w:rsid w:val="005A5561"/>
    <w:rsid w:val="005B14D0"/>
    <w:rsid w:val="005B4F9C"/>
    <w:rsid w:val="005C5052"/>
    <w:rsid w:val="005D78CC"/>
    <w:rsid w:val="005E2B6C"/>
    <w:rsid w:val="005F01C7"/>
    <w:rsid w:val="005F3B9A"/>
    <w:rsid w:val="005F7F3F"/>
    <w:rsid w:val="00601065"/>
    <w:rsid w:val="006018FA"/>
    <w:rsid w:val="006101AF"/>
    <w:rsid w:val="0061033A"/>
    <w:rsid w:val="0061657B"/>
    <w:rsid w:val="00617D51"/>
    <w:rsid w:val="00635984"/>
    <w:rsid w:val="0063721C"/>
    <w:rsid w:val="0063783B"/>
    <w:rsid w:val="0064695C"/>
    <w:rsid w:val="00646D58"/>
    <w:rsid w:val="00661067"/>
    <w:rsid w:val="0066252D"/>
    <w:rsid w:val="00671D59"/>
    <w:rsid w:val="00690EA9"/>
    <w:rsid w:val="006C226A"/>
    <w:rsid w:val="006D3573"/>
    <w:rsid w:val="006E4C66"/>
    <w:rsid w:val="006F375E"/>
    <w:rsid w:val="006F41A3"/>
    <w:rsid w:val="006F47FA"/>
    <w:rsid w:val="00701F0C"/>
    <w:rsid w:val="0070362F"/>
    <w:rsid w:val="00705DBB"/>
    <w:rsid w:val="00711011"/>
    <w:rsid w:val="00734E40"/>
    <w:rsid w:val="00743E11"/>
    <w:rsid w:val="00746586"/>
    <w:rsid w:val="00774489"/>
    <w:rsid w:val="00785B3B"/>
    <w:rsid w:val="00794744"/>
    <w:rsid w:val="007A096A"/>
    <w:rsid w:val="007A3B89"/>
    <w:rsid w:val="007A491E"/>
    <w:rsid w:val="007B02B9"/>
    <w:rsid w:val="007B4B9B"/>
    <w:rsid w:val="007C0317"/>
    <w:rsid w:val="007C29BF"/>
    <w:rsid w:val="007C40BC"/>
    <w:rsid w:val="007D5EE0"/>
    <w:rsid w:val="007D7154"/>
    <w:rsid w:val="007D750C"/>
    <w:rsid w:val="007E0F7F"/>
    <w:rsid w:val="007F22D4"/>
    <w:rsid w:val="0082194B"/>
    <w:rsid w:val="0082540F"/>
    <w:rsid w:val="008341BC"/>
    <w:rsid w:val="0084478B"/>
    <w:rsid w:val="00845E67"/>
    <w:rsid w:val="0086443C"/>
    <w:rsid w:val="0087078E"/>
    <w:rsid w:val="00871A60"/>
    <w:rsid w:val="00895A89"/>
    <w:rsid w:val="008A4668"/>
    <w:rsid w:val="008A4DA4"/>
    <w:rsid w:val="008A5F51"/>
    <w:rsid w:val="008D4111"/>
    <w:rsid w:val="008E4937"/>
    <w:rsid w:val="009012D3"/>
    <w:rsid w:val="00910375"/>
    <w:rsid w:val="00914043"/>
    <w:rsid w:val="00916ECA"/>
    <w:rsid w:val="009247B0"/>
    <w:rsid w:val="00933D4B"/>
    <w:rsid w:val="009901B6"/>
    <w:rsid w:val="009970CC"/>
    <w:rsid w:val="009A0AFE"/>
    <w:rsid w:val="009B0D88"/>
    <w:rsid w:val="009D7BCE"/>
    <w:rsid w:val="009E7000"/>
    <w:rsid w:val="009F1BCA"/>
    <w:rsid w:val="009F733A"/>
    <w:rsid w:val="00A05123"/>
    <w:rsid w:val="00A06A66"/>
    <w:rsid w:val="00A14D88"/>
    <w:rsid w:val="00A1566C"/>
    <w:rsid w:val="00A313B1"/>
    <w:rsid w:val="00A3484F"/>
    <w:rsid w:val="00A37458"/>
    <w:rsid w:val="00A41848"/>
    <w:rsid w:val="00A46DB0"/>
    <w:rsid w:val="00A52F79"/>
    <w:rsid w:val="00A61094"/>
    <w:rsid w:val="00A70C89"/>
    <w:rsid w:val="00A75320"/>
    <w:rsid w:val="00A75D04"/>
    <w:rsid w:val="00A75F0A"/>
    <w:rsid w:val="00A77FE7"/>
    <w:rsid w:val="00A87B76"/>
    <w:rsid w:val="00A96B6A"/>
    <w:rsid w:val="00AA004E"/>
    <w:rsid w:val="00AA7BD2"/>
    <w:rsid w:val="00AB6493"/>
    <w:rsid w:val="00AC14FF"/>
    <w:rsid w:val="00AC368F"/>
    <w:rsid w:val="00AE0C61"/>
    <w:rsid w:val="00AE436A"/>
    <w:rsid w:val="00AF57EC"/>
    <w:rsid w:val="00B01F5A"/>
    <w:rsid w:val="00B11CB8"/>
    <w:rsid w:val="00B30492"/>
    <w:rsid w:val="00B3228E"/>
    <w:rsid w:val="00B42AA0"/>
    <w:rsid w:val="00B47373"/>
    <w:rsid w:val="00B50AEE"/>
    <w:rsid w:val="00B52005"/>
    <w:rsid w:val="00B61E0C"/>
    <w:rsid w:val="00B62348"/>
    <w:rsid w:val="00B63A91"/>
    <w:rsid w:val="00B66C11"/>
    <w:rsid w:val="00B831A0"/>
    <w:rsid w:val="00BA1623"/>
    <w:rsid w:val="00BA6125"/>
    <w:rsid w:val="00BB427C"/>
    <w:rsid w:val="00BC0577"/>
    <w:rsid w:val="00BD050F"/>
    <w:rsid w:val="00BD163B"/>
    <w:rsid w:val="00BD4BBE"/>
    <w:rsid w:val="00C064D2"/>
    <w:rsid w:val="00C10E1D"/>
    <w:rsid w:val="00C231DD"/>
    <w:rsid w:val="00C507FB"/>
    <w:rsid w:val="00C5168D"/>
    <w:rsid w:val="00C53228"/>
    <w:rsid w:val="00C75004"/>
    <w:rsid w:val="00C75AE9"/>
    <w:rsid w:val="00C819A0"/>
    <w:rsid w:val="00C93A35"/>
    <w:rsid w:val="00CB4ACA"/>
    <w:rsid w:val="00CB58A2"/>
    <w:rsid w:val="00CB6EA7"/>
    <w:rsid w:val="00CD6F79"/>
    <w:rsid w:val="00CD7B50"/>
    <w:rsid w:val="00CF0490"/>
    <w:rsid w:val="00CF253B"/>
    <w:rsid w:val="00CF3EFA"/>
    <w:rsid w:val="00CF5A99"/>
    <w:rsid w:val="00CF6323"/>
    <w:rsid w:val="00D00803"/>
    <w:rsid w:val="00D02D77"/>
    <w:rsid w:val="00D07124"/>
    <w:rsid w:val="00D13DCB"/>
    <w:rsid w:val="00D22C1B"/>
    <w:rsid w:val="00D23D3E"/>
    <w:rsid w:val="00D27190"/>
    <w:rsid w:val="00D32ACE"/>
    <w:rsid w:val="00D54BBE"/>
    <w:rsid w:val="00D61E71"/>
    <w:rsid w:val="00D62225"/>
    <w:rsid w:val="00D721B9"/>
    <w:rsid w:val="00D74D78"/>
    <w:rsid w:val="00D74FFB"/>
    <w:rsid w:val="00D83401"/>
    <w:rsid w:val="00D92A41"/>
    <w:rsid w:val="00D951FD"/>
    <w:rsid w:val="00DA0AEF"/>
    <w:rsid w:val="00DB2497"/>
    <w:rsid w:val="00DB5DDE"/>
    <w:rsid w:val="00DC350E"/>
    <w:rsid w:val="00DC45DF"/>
    <w:rsid w:val="00DD0D84"/>
    <w:rsid w:val="00DD29EF"/>
    <w:rsid w:val="00DD60E7"/>
    <w:rsid w:val="00DD78BF"/>
    <w:rsid w:val="00DF17DC"/>
    <w:rsid w:val="00DF3BDB"/>
    <w:rsid w:val="00E00936"/>
    <w:rsid w:val="00E01E77"/>
    <w:rsid w:val="00E04BF0"/>
    <w:rsid w:val="00E05980"/>
    <w:rsid w:val="00E13B2A"/>
    <w:rsid w:val="00E23564"/>
    <w:rsid w:val="00E446E6"/>
    <w:rsid w:val="00E4627B"/>
    <w:rsid w:val="00E61EE1"/>
    <w:rsid w:val="00E7611E"/>
    <w:rsid w:val="00E83D56"/>
    <w:rsid w:val="00E87C87"/>
    <w:rsid w:val="00E91339"/>
    <w:rsid w:val="00EA0BBB"/>
    <w:rsid w:val="00EA3ED2"/>
    <w:rsid w:val="00EA7234"/>
    <w:rsid w:val="00EB5159"/>
    <w:rsid w:val="00ED3A60"/>
    <w:rsid w:val="00ED5E78"/>
    <w:rsid w:val="00EE0C84"/>
    <w:rsid w:val="00EF0AA1"/>
    <w:rsid w:val="00EF1286"/>
    <w:rsid w:val="00EF48E1"/>
    <w:rsid w:val="00F03DBE"/>
    <w:rsid w:val="00F45311"/>
    <w:rsid w:val="00F471F2"/>
    <w:rsid w:val="00F52988"/>
    <w:rsid w:val="00F61389"/>
    <w:rsid w:val="00F61636"/>
    <w:rsid w:val="00F70CBA"/>
    <w:rsid w:val="00F75A7D"/>
    <w:rsid w:val="00FA3F8F"/>
    <w:rsid w:val="00FA45A3"/>
    <w:rsid w:val="00FB5F73"/>
    <w:rsid w:val="00FC222D"/>
    <w:rsid w:val="00FC6B0C"/>
    <w:rsid w:val="00FD069A"/>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aliases w:val="b"/>
    <w:basedOn w:val="Normal"/>
    <w:next w:val="Normal"/>
    <w:link w:val="Heading3Char"/>
    <w:uiPriority w:val="99"/>
    <w:qFormat/>
    <w:rsid w:val="00F61636"/>
    <w:pPr>
      <w:keepNext/>
      <w:numPr>
        <w:numId w:val="31"/>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6"/>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99"/>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164796"/>
    <w:pPr>
      <w:pBdr>
        <w:bottom w:val="single" w:sz="8" w:space="4" w:color="4F81BD" w:themeColor="accent1"/>
      </w:pBdr>
      <w:spacing w:after="300"/>
      <w:contextualSpacing/>
      <w:jc w:val="center"/>
    </w:pPr>
    <w:rPr>
      <w:rFonts w:eastAsiaTheme="majorEastAsia" w:cstheme="majorBidi"/>
      <w:b/>
      <w:color w:val="365F91" w:themeColor="accent1" w:themeShade="BF"/>
      <w:spacing w:val="5"/>
      <w:kern w:val="28"/>
      <w:sz w:val="36"/>
      <w:szCs w:val="52"/>
    </w:rPr>
  </w:style>
  <w:style w:type="character" w:customStyle="1" w:styleId="TitleChar">
    <w:name w:val="Title Char"/>
    <w:basedOn w:val="DefaultParagraphFont"/>
    <w:link w:val="Title"/>
    <w:rsid w:val="00164796"/>
    <w:rPr>
      <w:rFonts w:ascii="Arial" w:eastAsiaTheme="majorEastAsia" w:hAnsi="Arial" w:cstheme="majorBidi"/>
      <w:b/>
      <w:color w:val="365F91" w:themeColor="accent1" w:themeShade="BF"/>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aliases w:val="b"/>
    <w:basedOn w:val="Normal"/>
    <w:next w:val="Normal"/>
    <w:link w:val="Heading3Char"/>
    <w:uiPriority w:val="99"/>
    <w:qFormat/>
    <w:rsid w:val="00F61636"/>
    <w:pPr>
      <w:keepNext/>
      <w:numPr>
        <w:numId w:val="31"/>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6"/>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99"/>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164796"/>
    <w:pPr>
      <w:pBdr>
        <w:bottom w:val="single" w:sz="8" w:space="4" w:color="4F81BD" w:themeColor="accent1"/>
      </w:pBdr>
      <w:spacing w:after="300"/>
      <w:contextualSpacing/>
      <w:jc w:val="center"/>
    </w:pPr>
    <w:rPr>
      <w:rFonts w:eastAsiaTheme="majorEastAsia" w:cstheme="majorBidi"/>
      <w:b/>
      <w:color w:val="365F91" w:themeColor="accent1" w:themeShade="BF"/>
      <w:spacing w:val="5"/>
      <w:kern w:val="28"/>
      <w:sz w:val="36"/>
      <w:szCs w:val="52"/>
    </w:rPr>
  </w:style>
  <w:style w:type="character" w:customStyle="1" w:styleId="TitleChar">
    <w:name w:val="Title Char"/>
    <w:basedOn w:val="DefaultParagraphFont"/>
    <w:link w:val="Title"/>
    <w:rsid w:val="00164796"/>
    <w:rPr>
      <w:rFonts w:ascii="Arial" w:eastAsiaTheme="majorEastAsia" w:hAnsi="Arial" w:cstheme="majorBidi"/>
      <w:b/>
      <w:color w:val="365F91" w:themeColor="accent1" w:themeShade="BF"/>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f.org.uk/grantholders/acknowledgement/Pages/Logosandacknowledgemen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nib.org.uk/Pages/Home.a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f.org.uk/Pages/Home.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rs.org.uk/pdf/2013-04-23%20MRS%20SRA%20-%20DP%20Guidelines%20updated.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lf.org.uk/aboutus/whatwedo/Pages/StrategicFramework2013to2018.aspx"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A3FFD-A04E-4035-81B5-C1506409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3094</Words>
  <Characters>16317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gailf</dc:creator>
  <cp:lastModifiedBy>Robin Seedhouse</cp:lastModifiedBy>
  <cp:revision>2</cp:revision>
  <cp:lastPrinted>2012-10-15T14:38:00Z</cp:lastPrinted>
  <dcterms:created xsi:type="dcterms:W3CDTF">2016-07-06T08:43:00Z</dcterms:created>
  <dcterms:modified xsi:type="dcterms:W3CDTF">2016-07-06T08:43:00Z</dcterms:modified>
</cp:coreProperties>
</file>