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DPS Schedule 6 (Order Form Template and Order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REFERENCE:</w:t>
        <w:tab/>
        <w:tab/>
        <w:t xml:space="preserve">CCZZ24A17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Cabinet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Horse Guards Road, London, SW1A 2HQ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36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</w:t>
        <w:tab/>
        <w:t xml:space="preserve">The Public Service Consultants Limited (trading as The PSC)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45 Pall Mall</w:t>
      </w:r>
    </w:p>
    <w:p w:rsidR="00000000" w:rsidDel="00000000" w:rsidP="00000000" w:rsidRDefault="00000000" w:rsidRPr="00000000" w14:paraId="0000000E">
      <w:pPr>
        <w:spacing w:after="0" w:line="240" w:lineRule="auto"/>
        <w:ind w:left="288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London</w:t>
      </w:r>
    </w:p>
    <w:p w:rsidR="00000000" w:rsidDel="00000000" w:rsidP="00000000" w:rsidRDefault="00000000" w:rsidRPr="00000000" w14:paraId="0000000F">
      <w:pPr>
        <w:spacing w:line="240" w:lineRule="auto"/>
        <w:ind w:left="2880" w:firstLine="72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SW1Y 5JG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29/01/25 at Contract Award.</w:t>
      </w:r>
    </w:p>
    <w:p w:rsidR="00000000" w:rsidDel="00000000" w:rsidP="00000000" w:rsidRDefault="00000000" w:rsidRPr="00000000" w14:paraId="0000001A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for the provision of research services.</w:t>
      </w:r>
    </w:p>
    <w:p w:rsidR="00000000" w:rsidDel="00000000" w:rsidP="00000000" w:rsidRDefault="00000000" w:rsidRPr="00000000" w14:paraId="0000001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1D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Category number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55945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RM6126.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Special Terms</w:t>
      </w:r>
    </w:p>
    <w:p w:rsidR="00000000" w:rsidDel="00000000" w:rsidP="00000000" w:rsidRDefault="00000000" w:rsidRPr="00000000" w14:paraId="00000024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RM6126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RM6216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5 (Pricing Details)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7 (Key Supplier Staff)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10 (Exit Management) (paragraphs 2.1; 2.2.1; 2.2; 2.3.1; 2.4; and 4.1 only apply if requested by the Buyer)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15 (Order Contract Management)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18 (Background Checks)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20 (Order Specification)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RM6216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Schedule 4 (Order Tender) as long as any parts of the Order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4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4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Special Term 1</w:t>
        <w:tab/>
        <w:t xml:space="preserve">Security Management (Short Form)</w:t>
      </w:r>
    </w:p>
    <w:p w:rsidR="00000000" w:rsidDel="00000000" w:rsidP="00000000" w:rsidRDefault="00000000" w:rsidRPr="00000000" w14:paraId="0000004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START DATE:</w:t>
        <w:tab/>
        <w:tab/>
        <w:tab/>
        <w:t xml:space="preserve">30/01/25</w:t>
      </w:r>
    </w:p>
    <w:p w:rsidR="00000000" w:rsidDel="00000000" w:rsidP="00000000" w:rsidRDefault="00000000" w:rsidRPr="00000000" w14:paraId="0000004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EXPIRY DATE: </w:t>
        <w:tab/>
        <w:tab/>
        <w:tab/>
        <w:t xml:space="preserve">30/06/25</w:t>
      </w:r>
    </w:p>
    <w:p w:rsidR="00000000" w:rsidDel="00000000" w:rsidP="00000000" w:rsidRDefault="00000000" w:rsidRPr="00000000" w14:paraId="0000004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INITIAL PERIOD:</w:t>
        <w:tab/>
        <w:tab/>
        <w:tab/>
        <w:t xml:space="preserve">5 months</w:t>
      </w:r>
    </w:p>
    <w:p w:rsidR="00000000" w:rsidDel="00000000" w:rsidP="00000000" w:rsidRDefault="00000000" w:rsidRPr="00000000" w14:paraId="0000004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</w:t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</w:t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payment method for this contract is BACS.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 will pay the Supplier within 30 days of receipt of a valid undisputed invoice.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electronic invoices must be sent, quoting a valid Purchase Order (PO) Number.</w:t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must be in receipt of a valid PO Number before submitting an invoice. To avoid delay in payment it is important that the invoice is compliant and that it includes a valid PO Number, PO Number item number (if applicable) and the details (name and telephone number) of your Buyer contact (i.e., Contract Manager).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</w:t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8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Cabinet Office Environmental Policy Statement available online at:</w:t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https://www.gov.uk/government/publications/cabinet-office-environmental-policy-statement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4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7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Weekly progress updates - to update on progress towards milestones and management of risks arising.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after="240" w:before="0" w:line="24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Fieldwork updates (frequency to be agreed) – to outline response rates and progress towards targets.</w:t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Monthly contract review updates - to review adherence to objectives and milestones, and consider any course correction required.</w:t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0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3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 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44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4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6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</w:t>
      </w:r>
    </w:p>
    <w:tbl>
      <w:tblPr>
        <w:tblStyle w:val="Table1"/>
        <w:tblW w:w="9170.0" w:type="dxa"/>
        <w:jc w:val="left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2et92p0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8E17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E176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E1767"/>
    <w:rPr>
      <w:color w:val="800080" w:themeColor="followedHyperlink"/>
      <w:u w:val="single"/>
    </w:r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cabinet-office-environmental-policy-statemen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wcCosXGch0pVgd7e0oBMSWmcA==">CgMxLjAyCWguM3pueXNoNzIJaC4zMGowemxsMghoLmdqZGd4czIJaC4yZXQ5MnAwOAByITEtb2VLYmdfMGN0cGRZbTFvSnRyZGJyMzRVQ0JPMHZaWg==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2025-02-28T08:38:00Z</dcterms:created>
  <dc:creator>Chris Redford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