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520F80">
      <w:pPr>
        <w:pStyle w:val="DHTitle"/>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DE618B" w:rsidRPr="00A24900" w:rsidRDefault="00706202" w:rsidP="00520F80">
      <w:pPr>
        <w:pStyle w:val="DHTitle"/>
      </w:pPr>
      <w:r>
        <w:t xml:space="preserve">NHS Premises Assurance Model Metrics Update </w:t>
      </w:r>
    </w:p>
    <w:p w:rsidR="006E609F" w:rsidRPr="00A24900" w:rsidRDefault="006E609F" w:rsidP="00520F80">
      <w:pPr>
        <w:pStyle w:val="DHTitle"/>
      </w:pPr>
    </w:p>
    <w:p w:rsidR="00363EB9" w:rsidRDefault="00926CEC" w:rsidP="006E55D5">
      <w:pPr>
        <w:pStyle w:val="SubT"/>
      </w:pPr>
      <w:r w:rsidRPr="006E55D5">
        <w:t>Deadline:</w:t>
      </w:r>
      <w:r w:rsidR="00363EB9">
        <w:t xml:space="preserve"> </w:t>
      </w:r>
      <w:r w:rsidR="00A1110E">
        <w:t>Wednesday 11</w:t>
      </w:r>
      <w:r w:rsidR="00A1110E" w:rsidRPr="00A1110E">
        <w:rPr>
          <w:vertAlign w:val="superscript"/>
        </w:rPr>
        <w:t>th</w:t>
      </w:r>
      <w:r w:rsidR="00A1110E">
        <w:t xml:space="preserve"> </w:t>
      </w:r>
      <w:r w:rsidR="00363EB9">
        <w:t xml:space="preserve">March at 12 noon </w:t>
      </w:r>
    </w:p>
    <w:p w:rsidR="008A4796" w:rsidRPr="006E55D5" w:rsidRDefault="008A4796" w:rsidP="006E55D5">
      <w:pPr>
        <w:pStyle w:val="SubT"/>
      </w:pPr>
      <w:r w:rsidRPr="006E55D5">
        <w:t xml:space="preserve">ITT Reference: </w:t>
      </w:r>
      <w:r w:rsidR="00DC473A" w:rsidRPr="002951C1">
        <w:rPr>
          <w:sz w:val="36"/>
          <w:szCs w:val="36"/>
        </w:rPr>
        <w:t>59821</w:t>
      </w:r>
    </w:p>
    <w:p w:rsidR="006E609F" w:rsidRPr="006E55D5" w:rsidRDefault="006E609F" w:rsidP="006E55D5">
      <w:pPr>
        <w:pStyle w:val="SubT"/>
      </w:pPr>
    </w:p>
    <w:p w:rsidR="00015085" w:rsidRPr="006E55D5" w:rsidRDefault="006E609F" w:rsidP="006E55D5">
      <w:pPr>
        <w:pStyle w:val="SubT"/>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3C7AF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2" w:name="_Ref358883593"/>
      <w:r w:rsidRPr="00A24900">
        <w:lastRenderedPageBreak/>
        <w:t>Invitation to Tender</w:t>
      </w:r>
      <w:bookmarkEnd w:id="2"/>
    </w:p>
    <w:p w:rsidR="00DE618B" w:rsidRPr="004A173F" w:rsidRDefault="00441043" w:rsidP="003E7E65">
      <w:pPr>
        <w:pStyle w:val="LeftSide"/>
        <w:rPr>
          <w:b/>
          <w:bCs/>
        </w:rPr>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BC6417">
        <w:t xml:space="preserve"> for </w:t>
      </w:r>
      <w:r w:rsidR="002D3CDC">
        <w:t xml:space="preserve">NHS Premises Assurance Model Metrics Update.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r w:rsidR="005A60DC">
        <w:t xml:space="preserve"> </w:t>
      </w:r>
    </w:p>
    <w:p w:rsidR="00DE618B" w:rsidRPr="00A24900" w:rsidRDefault="00DE618B" w:rsidP="003E7E65">
      <w:pPr>
        <w:pStyle w:val="LeftSide"/>
      </w:pPr>
      <w:r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4D1C18">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4D1C18">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4D1C18">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9311E6" w:rsidRDefault="00CC1F46" w:rsidP="000759C3">
      <w:pPr>
        <w:pStyle w:val="LeftSide"/>
      </w:pPr>
      <w:r w:rsidRPr="00A24900">
        <w:t xml:space="preserve">If </w:t>
      </w:r>
      <w:r w:rsidR="00035ECF" w:rsidRPr="00A24900">
        <w:t>there is an intention</w:t>
      </w:r>
      <w:r w:rsidR="006E1129" w:rsidRPr="00A24900">
        <w:t xml:space="preserve"> to </w:t>
      </w:r>
      <w:r w:rsidRPr="00A24900">
        <w:t>tender</w:t>
      </w:r>
      <w:r w:rsidR="00E53ACA" w:rsidRPr="00A24900">
        <w:t>,</w:t>
      </w:r>
      <w:r w:rsidR="00836E0A" w:rsidRPr="00A24900">
        <w:t xml:space="preserve"> </w:t>
      </w:r>
      <w:r w:rsidR="00CA7B5B" w:rsidRPr="00A24900">
        <w:t xml:space="preserve">please acknowledge receipt of this </w:t>
      </w:r>
      <w:r w:rsidR="006E1129" w:rsidRPr="00A24900">
        <w:t xml:space="preserve">ITT </w:t>
      </w:r>
      <w:r w:rsidR="00CA7B5B" w:rsidRPr="00A24900">
        <w:t>by clicking on the Acknowledge Participation entry</w:t>
      </w:r>
      <w:r w:rsidR="004407A1" w:rsidRPr="00A24900">
        <w:t>,</w:t>
      </w:r>
      <w:r w:rsidR="00CA7B5B" w:rsidRPr="00A24900">
        <w:t xml:space="preserve"> in the </w:t>
      </w:r>
      <w:r w:rsidR="001C1A35" w:rsidRPr="00A24900">
        <w:t>drop down actions</w:t>
      </w:r>
      <w:r w:rsidR="001C1A35" w:rsidRPr="00A24900" w:rsidDel="001C1A35">
        <w:t xml:space="preserve"> </w:t>
      </w:r>
      <w:r w:rsidR="00CA7B5B" w:rsidRPr="00A24900">
        <w:t xml:space="preserve">on the </w:t>
      </w:r>
      <w:r w:rsidR="004407A1" w:rsidRPr="00A24900">
        <w:t xml:space="preserve">appropriate </w:t>
      </w:r>
      <w:r w:rsidR="00516D9F" w:rsidRPr="00A24900">
        <w:t xml:space="preserve">BMS </w:t>
      </w:r>
      <w:r w:rsidR="00CA7B5B" w:rsidRPr="00A24900">
        <w:t>screen.</w:t>
      </w:r>
      <w:r w:rsidR="009311E6">
        <w:t xml:space="preserve">  </w:t>
      </w:r>
    </w:p>
    <w:p w:rsidR="00CA7B5B" w:rsidRPr="004A173F" w:rsidRDefault="009311E6" w:rsidP="001E14F1">
      <w:pPr>
        <w:pStyle w:val="LeftSide"/>
        <w:rPr>
          <w:b/>
          <w:bCs/>
        </w:rPr>
      </w:pPr>
      <w:r w:rsidRPr="004033A9">
        <w:rPr>
          <w:b/>
          <w:bCs/>
        </w:rPr>
        <w:t xml:space="preserve">If there is an intention to tender, then the potential Tenderer should </w:t>
      </w:r>
      <w:r w:rsidR="00012A74" w:rsidRPr="004033A9">
        <w:rPr>
          <w:b/>
          <w:bCs/>
        </w:rPr>
        <w:t>acknowledge</w:t>
      </w:r>
      <w:r w:rsidR="00DB6819" w:rsidRPr="004033A9">
        <w:rPr>
          <w:b/>
          <w:bCs/>
        </w:rPr>
        <w:t xml:space="preserve"> their </w:t>
      </w:r>
      <w:r w:rsidR="00012A74" w:rsidRPr="004033A9">
        <w:rPr>
          <w:b/>
          <w:bCs/>
        </w:rPr>
        <w:t xml:space="preserve">interest, </w:t>
      </w:r>
      <w:r w:rsidRPr="004033A9">
        <w:rPr>
          <w:b/>
          <w:bCs/>
        </w:rPr>
        <w:t>as quickly as possible</w:t>
      </w:r>
      <w:r w:rsidR="00012A74" w:rsidRPr="004033A9">
        <w:rPr>
          <w:b/>
          <w:bCs/>
        </w:rPr>
        <w:t>,</w:t>
      </w:r>
      <w:r w:rsidRPr="004033A9">
        <w:rPr>
          <w:b/>
          <w:bCs/>
        </w:rPr>
        <w:t xml:space="preserve"> by sending a message through BMS (online messages).  This is the sole responsibility of the Tenderer and ensures that future updates etc. can be provided in an effective and timely manner.  Failure to acknowledge </w:t>
      </w:r>
      <w:r w:rsidR="00DB6819" w:rsidRPr="004033A9">
        <w:rPr>
          <w:b/>
          <w:bCs/>
        </w:rPr>
        <w:t>your intention</w:t>
      </w:r>
      <w:r w:rsidRPr="004033A9">
        <w:rPr>
          <w:b/>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 xml:space="preserve">for </w:t>
      </w:r>
      <w:r w:rsidR="00B512AB" w:rsidRPr="00F90B1A">
        <w:t>questions</w:t>
      </w:r>
      <w:r w:rsidR="00E53ACA" w:rsidRPr="00F90B1A">
        <w:t xml:space="preserve"> </w:t>
      </w:r>
      <w:r w:rsidR="00D012B5" w:rsidRPr="00F90B1A">
        <w:t>Wednesday 4</w:t>
      </w:r>
      <w:r w:rsidR="00D012B5" w:rsidRPr="00F90B1A">
        <w:rPr>
          <w:vertAlign w:val="superscript"/>
        </w:rPr>
        <w:t>th</w:t>
      </w:r>
      <w:r w:rsidR="00D012B5" w:rsidRPr="00F90B1A">
        <w:t xml:space="preserve"> March </w:t>
      </w:r>
      <w:r w:rsidR="00975526" w:rsidRPr="00F90B1A">
        <w:t>12 noon</w:t>
      </w:r>
      <w:r w:rsidR="00975526" w:rsidRPr="00D012B5">
        <w:rPr>
          <w:highlight w:val="yellow"/>
        </w:rPr>
        <w:t>.</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 xml:space="preserve">tenders </w:t>
      </w:r>
      <w:r w:rsidR="00D012B5" w:rsidRPr="00F90B1A">
        <w:t>Wednesday 11</w:t>
      </w:r>
      <w:r w:rsidR="00D012B5" w:rsidRPr="00F90B1A">
        <w:rPr>
          <w:vertAlign w:val="superscript"/>
        </w:rPr>
        <w:t>th</w:t>
      </w:r>
      <w:r w:rsidR="00D012B5" w:rsidRPr="00F90B1A">
        <w:t xml:space="preserve"> </w:t>
      </w:r>
      <w:r w:rsidR="005A0F5A" w:rsidRPr="00F90B1A">
        <w:t>March</w:t>
      </w:r>
      <w:r w:rsidR="005A0F5A">
        <w:t xml:space="preserve"> </w:t>
      </w:r>
      <w:r w:rsidR="007206D2">
        <w:t>at 12 noon</w:t>
      </w:r>
      <w:r w:rsidR="002D7F0F" w:rsidRPr="00BC6417">
        <w:t xml:space="preserve"> 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4759B" w:rsidRPr="004A173F" w:rsidTr="00C62E71">
        <w:trPr>
          <w:trHeight w:val="126"/>
        </w:trPr>
        <w:tc>
          <w:tcPr>
            <w:tcW w:w="8505" w:type="dxa"/>
            <w:shd w:val="clear" w:color="auto" w:fill="auto"/>
          </w:tcPr>
          <w:p w:rsidR="0024759B" w:rsidRPr="00C62E71" w:rsidRDefault="0024759B" w:rsidP="00C62E71">
            <w:pPr>
              <w:widowControl w:val="0"/>
              <w:rPr>
                <w:sz w:val="22"/>
                <w:szCs w:val="22"/>
              </w:rPr>
            </w:pPr>
          </w:p>
          <w:p w:rsidR="0024759B" w:rsidRPr="00C62E71" w:rsidRDefault="0024759B" w:rsidP="00C62E71">
            <w:pPr>
              <w:widowControl w:val="0"/>
              <w:rPr>
                <w:b/>
                <w:sz w:val="22"/>
                <w:szCs w:val="22"/>
              </w:rPr>
            </w:pPr>
            <w:r w:rsidRPr="00C62E71">
              <w:rPr>
                <w:b/>
                <w:bCs/>
                <w:sz w:val="22"/>
                <w:szCs w:val="22"/>
              </w:rPr>
              <w:t xml:space="preserve">Quotations may only be uploaded via the Sourcing Home Page, </w:t>
            </w:r>
            <w:r w:rsidRPr="00C62E71">
              <w:rPr>
                <w:b/>
                <w:sz w:val="22"/>
                <w:szCs w:val="22"/>
              </w:rPr>
              <w:t>using the</w:t>
            </w:r>
            <w:r w:rsidRPr="00C62E71">
              <w:rPr>
                <w:b/>
                <w:bCs/>
                <w:sz w:val="22"/>
                <w:szCs w:val="22"/>
              </w:rPr>
              <w:t xml:space="preserve"> ‘Actions’ </w:t>
            </w:r>
            <w:r w:rsidRPr="00C62E71">
              <w:rPr>
                <w:b/>
                <w:sz w:val="22"/>
                <w:szCs w:val="22"/>
              </w:rPr>
              <w:t>window and selecting the</w:t>
            </w:r>
            <w:r w:rsidRPr="00C62E71">
              <w:rPr>
                <w:b/>
                <w:bCs/>
                <w:sz w:val="22"/>
                <w:szCs w:val="22"/>
              </w:rPr>
              <w:t xml:space="preserve"> ‘Create Quote’ </w:t>
            </w:r>
            <w:r w:rsidRPr="00C62E71">
              <w:rPr>
                <w:b/>
                <w:sz w:val="22"/>
                <w:szCs w:val="22"/>
              </w:rPr>
              <w:t>option.</w:t>
            </w:r>
          </w:p>
          <w:p w:rsidR="00DF2091" w:rsidRPr="00C62E71" w:rsidRDefault="00DF2091" w:rsidP="00C62E71">
            <w:pPr>
              <w:widowControl w:val="0"/>
              <w:rPr>
                <w:b/>
                <w:sz w:val="22"/>
                <w:szCs w:val="22"/>
              </w:rPr>
            </w:pPr>
          </w:p>
          <w:p w:rsidR="0024759B" w:rsidRPr="00C62E71" w:rsidRDefault="0024759B" w:rsidP="00C62E71">
            <w:pPr>
              <w:widowControl w:val="0"/>
              <w:rPr>
                <w:sz w:val="22"/>
                <w:szCs w:val="22"/>
              </w:rPr>
            </w:pPr>
            <w:r w:rsidRPr="00C62E71">
              <w:rPr>
                <w:b/>
                <w:sz w:val="22"/>
                <w:szCs w:val="22"/>
              </w:rPr>
              <w:t xml:space="preserve">If you upload your quotation by any other method for example by using the ‘New Message/ Documents’ tab, </w:t>
            </w:r>
            <w:r w:rsidRPr="00C62E71">
              <w:rPr>
                <w:b/>
                <w:bCs/>
                <w:sz w:val="22"/>
                <w:szCs w:val="22"/>
              </w:rPr>
              <w:t xml:space="preserve">the quotation will not be correctly linked to the ITT </w:t>
            </w:r>
            <w:r w:rsidRPr="00C62E71">
              <w:rPr>
                <w:b/>
                <w:sz w:val="22"/>
                <w:szCs w:val="22"/>
              </w:rPr>
              <w:t xml:space="preserve">and </w:t>
            </w:r>
            <w:r w:rsidRPr="00C62E71">
              <w:rPr>
                <w:b/>
                <w:bCs/>
                <w:sz w:val="22"/>
                <w:szCs w:val="22"/>
              </w:rPr>
              <w:t>your submission will be rejected</w:t>
            </w:r>
            <w:r w:rsidRPr="00C62E71">
              <w:rPr>
                <w:sz w:val="22"/>
                <w:szCs w:val="22"/>
              </w:rPr>
              <w:t>.</w:t>
            </w:r>
          </w:p>
          <w:p w:rsidR="0024759B" w:rsidRPr="004A173F" w:rsidRDefault="0024759B" w:rsidP="00C62E71">
            <w:pPr>
              <w:keepNext/>
              <w:widowControl w:val="0"/>
            </w:pPr>
          </w:p>
        </w:tc>
      </w:tr>
    </w:tbl>
    <w:p w:rsidR="008E00DE" w:rsidRPr="00A24900" w:rsidRDefault="00DF2091" w:rsidP="00695658">
      <w:pPr>
        <w:pStyle w:val="StyleSectionXBottomSinglesolidlineAuto05ptLinewi1"/>
      </w:pPr>
      <w:bookmarkStart w:id="3" w:name="_Ref266274003"/>
      <w:r>
        <w:lastRenderedPageBreak/>
        <w:t>I</w:t>
      </w:r>
      <w:r w:rsidR="002B0FBF" w:rsidRPr="00A24900">
        <w:t xml:space="preserve">nstructions to </w:t>
      </w:r>
      <w:bookmarkEnd w:id="3"/>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4D1C18" w:rsidRPr="004A173F">
        <w:t>Table </w:t>
      </w:r>
      <w:r w:rsidR="004D1C18" w:rsidRPr="004D1C18">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E562A5" w:rsidRPr="00A24900" w:rsidRDefault="00E562A5" w:rsidP="004A173F">
      <w:pPr>
        <w:pStyle w:val="Indented"/>
      </w:pPr>
    </w:p>
    <w:p w:rsidR="00E562A5" w:rsidRDefault="00E562A5" w:rsidP="006037E8">
      <w:pPr>
        <w:pStyle w:val="ONEH2"/>
      </w:pPr>
      <w:r w:rsidRPr="009A10D6">
        <w:t xml:space="preserve">The Authority has set aside dates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4D1C18" w:rsidRPr="00925860">
        <w:t>Tenderer Clarification Meeting</w:t>
      </w:r>
      <w:r w:rsidR="008676C6">
        <w:fldChar w:fldCharType="end"/>
      </w:r>
      <w:r w:rsidR="008676C6">
        <w:t xml:space="preserve"> </w:t>
      </w:r>
      <w:r w:rsidR="005C3FDD">
        <w:t>for details)</w:t>
      </w:r>
      <w:r w:rsidR="002726A4">
        <w:t>.</w:t>
      </w:r>
    </w:p>
    <w:p w:rsidR="004407A1" w:rsidRPr="00A24900" w:rsidRDefault="004407A1" w:rsidP="00695658">
      <w:pPr>
        <w:pStyle w:val="Indented"/>
      </w:pPr>
    </w:p>
    <w:p w:rsidR="00C77FCF" w:rsidRPr="004A173F" w:rsidRDefault="004407A1" w:rsidP="00DF2091">
      <w:pPr>
        <w:pStyle w:val="CaptionBold"/>
      </w:pPr>
      <w:bookmarkStart w:id="4"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4D1C18">
        <w:rPr>
          <w:rStyle w:val="CaptionBoldChar"/>
          <w:noProof/>
        </w:rPr>
        <w:t>1</w:t>
      </w:r>
      <w:r w:rsidRPr="006E55D5">
        <w:rPr>
          <w:rStyle w:val="CaptionBoldChar"/>
        </w:rPr>
        <w:fldChar w:fldCharType="end"/>
      </w:r>
      <w:bookmarkEnd w:id="4"/>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trPr>
          <w:cantSplit/>
          <w:trHeight w:val="510"/>
        </w:trPr>
        <w:tc>
          <w:tcPr>
            <w:tcW w:w="4678" w:type="dxa"/>
            <w:vAlign w:val="center"/>
          </w:tcPr>
          <w:p w:rsidR="00C77FCF" w:rsidRPr="00AE4E1F" w:rsidRDefault="00C77FCF" w:rsidP="00D6068D">
            <w:pPr>
              <w:pStyle w:val="Table"/>
            </w:pPr>
            <w:r w:rsidRPr="00AE4E1F">
              <w:t>Invitation to Tender document issued</w:t>
            </w:r>
          </w:p>
        </w:tc>
        <w:tc>
          <w:tcPr>
            <w:tcW w:w="3119" w:type="dxa"/>
            <w:vAlign w:val="center"/>
          </w:tcPr>
          <w:p w:rsidR="00C77FCF" w:rsidRPr="00AE4E1F" w:rsidRDefault="00C472F4" w:rsidP="00D6068D">
            <w:pPr>
              <w:pStyle w:val="Table"/>
            </w:pPr>
            <w:r w:rsidRPr="00AE4E1F">
              <w:t>23</w:t>
            </w:r>
            <w:r w:rsidRPr="00AE4E1F">
              <w:rPr>
                <w:vertAlign w:val="superscript"/>
              </w:rPr>
              <w:t>rd</w:t>
            </w:r>
            <w:r w:rsidRPr="00AE4E1F">
              <w:t xml:space="preserve"> February 2015</w:t>
            </w:r>
            <w:r w:rsidR="00B2571F" w:rsidRPr="00AE4E1F">
              <w:t xml:space="preserve"> </w:t>
            </w:r>
          </w:p>
        </w:tc>
      </w:tr>
      <w:tr w:rsidR="004B6454" w:rsidRPr="00A24900">
        <w:trPr>
          <w:cantSplit/>
          <w:trHeight w:val="510"/>
        </w:trPr>
        <w:tc>
          <w:tcPr>
            <w:tcW w:w="4678" w:type="dxa"/>
            <w:vAlign w:val="center"/>
          </w:tcPr>
          <w:p w:rsidR="004B6454" w:rsidRPr="00AE4E1F" w:rsidRDefault="004B6454" w:rsidP="004B6454">
            <w:pPr>
              <w:pStyle w:val="Table"/>
            </w:pPr>
            <w:r w:rsidRPr="00AE4E1F">
              <w:lastRenderedPageBreak/>
              <w:t>End of clarification question period*</w:t>
            </w:r>
          </w:p>
        </w:tc>
        <w:tc>
          <w:tcPr>
            <w:tcW w:w="3119" w:type="dxa"/>
            <w:vAlign w:val="center"/>
          </w:tcPr>
          <w:p w:rsidR="004B6454" w:rsidRPr="00AE4E1F" w:rsidRDefault="00B23146" w:rsidP="00535857">
            <w:pPr>
              <w:pStyle w:val="Table"/>
            </w:pPr>
            <w:r w:rsidRPr="00AE4E1F">
              <w:t xml:space="preserve">12 Noon </w:t>
            </w:r>
            <w:r w:rsidR="00535857" w:rsidRPr="00AE4E1F">
              <w:t xml:space="preserve"> Wednesday 4</w:t>
            </w:r>
            <w:r w:rsidR="00535857" w:rsidRPr="00AE4E1F">
              <w:rPr>
                <w:vertAlign w:val="superscript"/>
              </w:rPr>
              <w:t>th</w:t>
            </w:r>
            <w:r w:rsidR="00535857" w:rsidRPr="00AE4E1F">
              <w:t xml:space="preserve"> March </w:t>
            </w:r>
            <w:r w:rsidR="00237909" w:rsidRPr="00AE4E1F">
              <w:t xml:space="preserve"> </w:t>
            </w:r>
          </w:p>
        </w:tc>
      </w:tr>
      <w:tr w:rsidR="004B6454" w:rsidRPr="00A24900">
        <w:trPr>
          <w:cantSplit/>
          <w:trHeight w:val="510"/>
        </w:trPr>
        <w:tc>
          <w:tcPr>
            <w:tcW w:w="4678" w:type="dxa"/>
            <w:vAlign w:val="center"/>
          </w:tcPr>
          <w:p w:rsidR="004B6454" w:rsidRPr="00AE4E1F" w:rsidRDefault="004B6454" w:rsidP="00D6068D">
            <w:pPr>
              <w:pStyle w:val="Table"/>
            </w:pPr>
            <w:r w:rsidRPr="00AE4E1F">
              <w:t>Tender return date and time</w:t>
            </w:r>
            <w:r w:rsidRPr="00AE4E1F" w:rsidDel="00EB4876">
              <w:t xml:space="preserve"> </w:t>
            </w:r>
          </w:p>
        </w:tc>
        <w:tc>
          <w:tcPr>
            <w:tcW w:w="3119" w:type="dxa"/>
            <w:vAlign w:val="center"/>
          </w:tcPr>
          <w:p w:rsidR="004B6454" w:rsidRPr="00AE4E1F" w:rsidRDefault="00B23146" w:rsidP="00535857">
            <w:pPr>
              <w:pStyle w:val="Table"/>
            </w:pPr>
            <w:r w:rsidRPr="00AE4E1F">
              <w:t xml:space="preserve">12 Noon </w:t>
            </w:r>
            <w:r w:rsidR="00975526" w:rsidRPr="00AE4E1F">
              <w:t xml:space="preserve"> </w:t>
            </w:r>
            <w:r w:rsidR="00535857" w:rsidRPr="00AE4E1F">
              <w:t>Wednesday 11</w:t>
            </w:r>
            <w:r w:rsidR="00535857" w:rsidRPr="00AE4E1F">
              <w:rPr>
                <w:vertAlign w:val="superscript"/>
              </w:rPr>
              <w:t>th</w:t>
            </w:r>
            <w:r w:rsidR="00535857" w:rsidRPr="00AE4E1F">
              <w:t xml:space="preserve"> March </w:t>
            </w:r>
            <w:r w:rsidR="00826F2C" w:rsidRPr="00AE4E1F">
              <w:t xml:space="preserve"> </w:t>
            </w:r>
          </w:p>
        </w:tc>
      </w:tr>
      <w:tr w:rsidR="00E562A5" w:rsidRPr="00A24900">
        <w:trPr>
          <w:cantSplit/>
          <w:trHeight w:val="510"/>
        </w:trPr>
        <w:tc>
          <w:tcPr>
            <w:tcW w:w="4678" w:type="dxa"/>
            <w:vAlign w:val="center"/>
          </w:tcPr>
          <w:p w:rsidR="00E562A5" w:rsidRPr="00AE4E1F" w:rsidRDefault="00E562A5" w:rsidP="008D5283">
            <w:pPr>
              <w:pStyle w:val="Table"/>
            </w:pPr>
            <w:r w:rsidRPr="00AE4E1F">
              <w:t>Notification to unsuccessful and preferred Tenderers</w:t>
            </w:r>
          </w:p>
        </w:tc>
        <w:tc>
          <w:tcPr>
            <w:tcW w:w="3119" w:type="dxa"/>
            <w:vAlign w:val="center"/>
          </w:tcPr>
          <w:p w:rsidR="00E562A5" w:rsidRPr="00AE4E1F" w:rsidRDefault="00535857" w:rsidP="00535857">
            <w:pPr>
              <w:pStyle w:val="Table"/>
            </w:pPr>
            <w:r w:rsidRPr="00AE4E1F">
              <w:t>Tuesday 17</w:t>
            </w:r>
            <w:r w:rsidRPr="00AE4E1F">
              <w:rPr>
                <w:vertAlign w:val="superscript"/>
              </w:rPr>
              <w:t>th</w:t>
            </w:r>
            <w:r w:rsidRPr="00AE4E1F">
              <w:t xml:space="preserve"> March  </w:t>
            </w:r>
            <w:r w:rsidR="00826F2C" w:rsidRPr="00AE4E1F">
              <w:t xml:space="preserve"> </w:t>
            </w:r>
            <w:r w:rsidR="00C340E3" w:rsidRPr="00AE4E1F">
              <w:t xml:space="preserve"> </w:t>
            </w:r>
          </w:p>
        </w:tc>
      </w:tr>
      <w:tr w:rsidR="00E562A5" w:rsidRPr="00A24900">
        <w:trPr>
          <w:cantSplit/>
          <w:trHeight w:val="510"/>
        </w:trPr>
        <w:tc>
          <w:tcPr>
            <w:tcW w:w="4678" w:type="dxa"/>
            <w:vAlign w:val="center"/>
          </w:tcPr>
          <w:p w:rsidR="00E562A5" w:rsidRPr="00AE4E1F" w:rsidRDefault="00E562A5" w:rsidP="008D5283">
            <w:pPr>
              <w:pStyle w:val="Table"/>
            </w:pPr>
            <w:r w:rsidRPr="00AE4E1F">
              <w:t>Contract work starts</w:t>
            </w:r>
          </w:p>
        </w:tc>
        <w:tc>
          <w:tcPr>
            <w:tcW w:w="3119" w:type="dxa"/>
            <w:vAlign w:val="center"/>
          </w:tcPr>
          <w:p w:rsidR="00E562A5" w:rsidRPr="00AE4E1F" w:rsidRDefault="00535857" w:rsidP="00975526">
            <w:pPr>
              <w:pStyle w:val="Table"/>
            </w:pPr>
            <w:r w:rsidRPr="00AE4E1F">
              <w:t>Thursday 19</w:t>
            </w:r>
            <w:r w:rsidRPr="00AE4E1F">
              <w:rPr>
                <w:vertAlign w:val="superscript"/>
              </w:rPr>
              <w:t>th</w:t>
            </w:r>
            <w:r w:rsidRPr="00AE4E1F">
              <w:t xml:space="preserve"> March </w:t>
            </w:r>
            <w:r w:rsidR="00C340E3" w:rsidRPr="00AE4E1F">
              <w:t xml:space="preserve"> </w:t>
            </w:r>
          </w:p>
        </w:tc>
      </w:tr>
    </w:tbl>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D91D89">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D91D89">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5"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5"/>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1E14F1">
      <w:pPr>
        <w:pStyle w:val="ONEH2"/>
      </w:pPr>
      <w:bookmarkStart w:id="6" w:name="_Ref149547621"/>
      <w:r w:rsidRPr="00A24900">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6"/>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7" w:name="_Ref257279343"/>
      <w:r w:rsidRPr="00E77CD6">
        <w:t>S</w:t>
      </w:r>
      <w:r w:rsidR="00795A45" w:rsidRPr="00E77CD6">
        <w:t>ubmission of Tenders</w:t>
      </w:r>
      <w:bookmarkEnd w:id="7"/>
    </w:p>
    <w:p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1E14F1">
      <w:pPr>
        <w:pStyle w:val="ONEH2"/>
      </w:pPr>
      <w:bookmarkStart w:id="8"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8"/>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DE618B" w:rsidRPr="00A24900" w:rsidRDefault="00DE618B" w:rsidP="001E14F1">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w:t>
      </w:r>
      <w:r w:rsidR="003C7AFD">
        <w:t xml:space="preserve">e </w:t>
      </w:r>
      <w:r w:rsidRPr="00A24900">
        <w:t>figure that should be entered</w:t>
      </w:r>
      <w:r w:rsidR="00BC513D" w:rsidRPr="00A24900">
        <w:t xml:space="preserve"> on the system</w:t>
      </w:r>
      <w:r w:rsidR="003C7AFD">
        <w:t xml:space="preserve"> is the</w:t>
      </w:r>
      <w:r w:rsidR="00BC513D" w:rsidRPr="00A24900">
        <w:t xml:space="preserve"> </w:t>
      </w:r>
      <w:r w:rsidR="003C7AFD">
        <w:t>‘</w:t>
      </w:r>
      <w:r w:rsidR="003C7AFD" w:rsidRPr="00C86CA7">
        <w:rPr>
          <w:b/>
          <w:bCs/>
        </w:rPr>
        <w:t>Total Contract Price (Evaluation Price)</w:t>
      </w:r>
      <w:r w:rsidR="003C7AFD">
        <w:rPr>
          <w:b/>
          <w:bCs/>
        </w:rPr>
        <w:t>’ as ITT B Schedule two Pricing Schedule.</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t>Language</w:t>
      </w:r>
    </w:p>
    <w:p w:rsidR="005B47E6" w:rsidRPr="00A24900" w:rsidRDefault="005B47E6" w:rsidP="005B47E6">
      <w:pPr>
        <w:pStyle w:val="ONEH2"/>
      </w:pPr>
      <w:r>
        <w:t>A</w:t>
      </w:r>
      <w:r w:rsidRPr="00A24900">
        <w:t>ll documents and all correspondence relating to the tender must be written in English.</w:t>
      </w:r>
    </w:p>
    <w:p w:rsidR="001D5212" w:rsidRPr="00A24900" w:rsidRDefault="001D5212" w:rsidP="00695658">
      <w:pPr>
        <w:pStyle w:val="StyleSectionXBottomSinglesolidlineAuto05ptLinewi1"/>
      </w:pPr>
      <w:bookmarkStart w:id="9" w:name="_Ref257301389"/>
      <w:bookmarkStart w:id="10" w:name="_Ref266273505"/>
      <w:r w:rsidRPr="00A24900">
        <w:t>C</w:t>
      </w:r>
      <w:r w:rsidR="00C92379" w:rsidRPr="00A24900">
        <w:t>onditions of Contract</w:t>
      </w:r>
      <w:bookmarkEnd w:id="9"/>
      <w:bookmarkEnd w:id="10"/>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0759C3">
      <w:pPr>
        <w:pStyle w:val="LeftSide"/>
        <w:jc w:val="center"/>
        <w:rPr>
          <w:b/>
          <w:bCs/>
        </w:rPr>
      </w:pPr>
      <w:r w:rsidRPr="00A24900">
        <w:rPr>
          <w:b/>
          <w:bCs/>
        </w:rPr>
        <w:t>THIS PAGE HAS BEEN LEFT INTENTIONALLY BLANK</w:t>
      </w:r>
    </w:p>
    <w:p w:rsidR="003434E2" w:rsidRDefault="00C11E91" w:rsidP="000759C3">
      <w:pPr>
        <w:pStyle w:val="LeftSide"/>
      </w:pPr>
      <w:r>
        <w:t>Conditions of Contract</w:t>
      </w:r>
      <w:r w:rsidR="00C92B47" w:rsidRPr="00A24900">
        <w:t xml:space="preserve"> are downloadable from BMS</w:t>
      </w:r>
    </w:p>
    <w:p w:rsidR="00BC6417" w:rsidRPr="00A24900" w:rsidRDefault="00BC6417" w:rsidP="000759C3">
      <w:pPr>
        <w:pStyle w:val="LeftSide"/>
      </w:pPr>
    </w:p>
    <w:p w:rsidR="00DE618B" w:rsidRPr="00A24900" w:rsidRDefault="00DE618B" w:rsidP="000759C3">
      <w:pPr>
        <w:pStyle w:val="LeftSide"/>
      </w:pPr>
    </w:p>
    <w:p w:rsidR="00E066F8" w:rsidRPr="00A24900" w:rsidRDefault="00E066F8" w:rsidP="00E066F8">
      <w:pPr>
        <w:pStyle w:val="LeftSide"/>
      </w:pPr>
      <w:bookmarkStart w:id="11" w:name="_Toc519998894"/>
    </w:p>
    <w:p w:rsidR="00E066F8" w:rsidRPr="00A24900" w:rsidRDefault="00E066F8" w:rsidP="00E066F8">
      <w:pPr>
        <w:pStyle w:val="LeftSide"/>
      </w:pPr>
    </w:p>
    <w:p w:rsidR="00CC6078" w:rsidRPr="00A24900" w:rsidRDefault="00CC6078" w:rsidP="00695658">
      <w:pPr>
        <w:pStyle w:val="StyleSectionXBottomSinglesolidlineAuto05ptLinewi1"/>
      </w:pPr>
      <w:bookmarkStart w:id="12" w:name="_Ref266273547"/>
      <w:r w:rsidRPr="00A24900">
        <w:t>E</w:t>
      </w:r>
      <w:r w:rsidR="00C92379" w:rsidRPr="00A24900">
        <w:t>valuation Methodology &amp; Criteria</w:t>
      </w:r>
      <w:bookmarkEnd w:id="12"/>
    </w:p>
    <w:p w:rsidR="00EA0471" w:rsidRPr="00E77CD6" w:rsidRDefault="00EA0471" w:rsidP="005E6657">
      <w:pPr>
        <w:pStyle w:val="SIXH1"/>
      </w:pPr>
      <w:r w:rsidRPr="00E77CD6">
        <w:t>Overview</w:t>
      </w:r>
      <w:bookmarkStart w:id="13" w:name="_DV_C597"/>
    </w:p>
    <w:p w:rsidR="001416DF" w:rsidRDefault="00F276E0" w:rsidP="00DF2091">
      <w:pPr>
        <w:pStyle w:val="SIXH2"/>
      </w:pPr>
      <w:bookmarkStart w:id="14" w:name="_DV_C598"/>
      <w:bookmarkEnd w:id="13"/>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Default="00EA0471" w:rsidP="00695658">
      <w:pPr>
        <w:pStyle w:val="Indented"/>
      </w:pPr>
    </w:p>
    <w:p w:rsidR="0039339D" w:rsidRPr="0039339D" w:rsidRDefault="0039339D" w:rsidP="0039339D">
      <w:pPr>
        <w:keepNext/>
        <w:numPr>
          <w:ilvl w:val="0"/>
          <w:numId w:val="13"/>
        </w:numPr>
        <w:spacing w:before="120" w:after="120"/>
        <w:ind w:left="709" w:hanging="709"/>
        <w:jc w:val="both"/>
        <w:rPr>
          <w:rFonts w:ascii="Arial Bold" w:hAnsi="Arial Bold"/>
          <w:b/>
          <w:bCs/>
          <w:smallCaps/>
          <w:sz w:val="28"/>
          <w:szCs w:val="28"/>
        </w:rPr>
      </w:pPr>
      <w:r w:rsidRPr="0039339D">
        <w:rPr>
          <w:rFonts w:ascii="Arial Bold" w:hAnsi="Arial Bold"/>
          <w:b/>
          <w:bCs/>
          <w:smallCaps/>
          <w:sz w:val="28"/>
          <w:szCs w:val="28"/>
        </w:rPr>
        <w:t>Evaluation Process</w:t>
      </w:r>
    </w:p>
    <w:p w:rsidR="0039339D" w:rsidRPr="0039339D" w:rsidRDefault="0039339D" w:rsidP="0039339D">
      <w:pPr>
        <w:numPr>
          <w:ilvl w:val="1"/>
          <w:numId w:val="13"/>
        </w:numPr>
        <w:tabs>
          <w:tab w:val="clear" w:pos="1440"/>
          <w:tab w:val="num" w:pos="851"/>
        </w:tabs>
        <w:spacing w:before="60" w:after="60"/>
        <w:ind w:left="851" w:hanging="709"/>
        <w:jc w:val="both"/>
        <w:rPr>
          <w:sz w:val="22"/>
        </w:rPr>
      </w:pPr>
      <w:r w:rsidRPr="0039339D">
        <w:rPr>
          <w:sz w:val="22"/>
        </w:rPr>
        <w:t>The diagram below summaries the process that will be used to select an appropriate Tenderer and award the contract for this procurement.</w:t>
      </w:r>
    </w:p>
    <w:p w:rsidR="0039339D" w:rsidRPr="0039339D" w:rsidRDefault="0039339D" w:rsidP="0039339D">
      <w:pPr>
        <w:ind w:left="851"/>
        <w:rPr>
          <w:sz w:val="22"/>
        </w:rPr>
      </w:pPr>
    </w:p>
    <w:p w:rsidR="0039339D" w:rsidRPr="0039339D" w:rsidRDefault="0039339D" w:rsidP="0039339D">
      <w:pPr>
        <w:spacing w:before="60" w:after="120"/>
        <w:ind w:left="567"/>
        <w:jc w:val="center"/>
        <w:rPr>
          <w:sz w:val="20"/>
        </w:rPr>
      </w:pPr>
      <w:r w:rsidRPr="0039339D">
        <w:rPr>
          <w:b/>
          <w:bCs/>
          <w:sz w:val="20"/>
        </w:rPr>
        <w:t xml:space="preserve">Figure 1: </w:t>
      </w:r>
      <w:r w:rsidRPr="0039339D">
        <w:rPr>
          <w:sz w:val="20"/>
        </w:rPr>
        <w:t>Evaluation process overview</w:t>
      </w:r>
    </w:p>
    <w:p w:rsidR="0039339D" w:rsidRPr="0039339D" w:rsidRDefault="0039339D" w:rsidP="0039339D">
      <w:pPr>
        <w:spacing w:before="60" w:after="120"/>
        <w:ind w:left="567"/>
        <w:jc w:val="center"/>
        <w:rPr>
          <w:sz w:val="20"/>
        </w:rPr>
      </w:pPr>
      <w:r w:rsidRPr="0039339D">
        <w:rPr>
          <w:b/>
          <w:bCs/>
          <w:noProof/>
          <w:sz w:val="20"/>
          <w:lang w:eastAsia="en-GB"/>
        </w:rPr>
        <w:drawing>
          <wp:inline distT="0" distB="0" distL="0" distR="0" wp14:anchorId="29A09C10" wp14:editId="118FDD6B">
            <wp:extent cx="5200650" cy="419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0650" cy="4191000"/>
                    </a:xfrm>
                    <a:prstGeom prst="rect">
                      <a:avLst/>
                    </a:prstGeom>
                    <a:noFill/>
                    <a:ln>
                      <a:noFill/>
                    </a:ln>
                  </pic:spPr>
                </pic:pic>
              </a:graphicData>
            </a:graphic>
          </wp:inline>
        </w:drawing>
      </w:r>
    </w:p>
    <w:p w:rsidR="0039339D" w:rsidRPr="0039339D" w:rsidRDefault="0039339D" w:rsidP="0039339D">
      <w:pPr>
        <w:ind w:left="851"/>
        <w:jc w:val="center"/>
        <w:rPr>
          <w:sz w:val="22"/>
        </w:rPr>
      </w:pPr>
    </w:p>
    <w:p w:rsidR="0039339D" w:rsidRPr="0039339D" w:rsidRDefault="0039339D" w:rsidP="0039339D">
      <w:pPr>
        <w:ind w:left="851"/>
        <w:rPr>
          <w:sz w:val="22"/>
        </w:rPr>
      </w:pPr>
    </w:p>
    <w:p w:rsidR="0039339D" w:rsidRPr="0039339D" w:rsidRDefault="0039339D" w:rsidP="0039339D">
      <w:pPr>
        <w:numPr>
          <w:ilvl w:val="1"/>
          <w:numId w:val="13"/>
        </w:numPr>
        <w:tabs>
          <w:tab w:val="clear" w:pos="1440"/>
          <w:tab w:val="num" w:pos="851"/>
        </w:tabs>
        <w:spacing w:before="60" w:after="60"/>
        <w:ind w:left="851" w:hanging="709"/>
        <w:jc w:val="both"/>
        <w:rPr>
          <w:sz w:val="22"/>
        </w:rPr>
      </w:pPr>
      <w:r w:rsidRPr="0039339D">
        <w:rPr>
          <w:sz w:val="22"/>
        </w:rPr>
        <w:t>The Tender Panel will consist of:</w:t>
      </w:r>
    </w:p>
    <w:p w:rsidR="0039339D" w:rsidRPr="0039339D" w:rsidRDefault="0039339D" w:rsidP="0039339D">
      <w:pPr>
        <w:numPr>
          <w:ilvl w:val="3"/>
          <w:numId w:val="2"/>
        </w:numPr>
        <w:tabs>
          <w:tab w:val="clear" w:pos="2171"/>
          <w:tab w:val="num" w:pos="1560"/>
        </w:tabs>
        <w:ind w:left="1560" w:hanging="426"/>
        <w:rPr>
          <w:iCs/>
          <w:sz w:val="22"/>
        </w:rPr>
      </w:pPr>
      <w:r w:rsidRPr="0039339D">
        <w:rPr>
          <w:i/>
          <w:iCs/>
          <w:sz w:val="22"/>
        </w:rPr>
        <w:t>Technical Evaluation</w:t>
      </w:r>
      <w:r w:rsidRPr="0039339D">
        <w:rPr>
          <w:iCs/>
          <w:sz w:val="22"/>
        </w:rPr>
        <w:t>: suitably experienced members from across DH and a moderator from the DH Procurement Services; and</w:t>
      </w:r>
    </w:p>
    <w:p w:rsidR="0039339D" w:rsidRPr="0039339D" w:rsidRDefault="0039339D" w:rsidP="0039339D">
      <w:pPr>
        <w:numPr>
          <w:ilvl w:val="3"/>
          <w:numId w:val="2"/>
        </w:numPr>
        <w:tabs>
          <w:tab w:val="clear" w:pos="2171"/>
          <w:tab w:val="num" w:pos="1560"/>
        </w:tabs>
        <w:ind w:left="1560" w:hanging="426"/>
        <w:rPr>
          <w:sz w:val="22"/>
        </w:rPr>
      </w:pPr>
      <w:r w:rsidRPr="0039339D">
        <w:rPr>
          <w:i/>
          <w:iCs/>
          <w:sz w:val="22"/>
        </w:rPr>
        <w:t>Price Evaluation:</w:t>
      </w:r>
      <w:r w:rsidRPr="0039339D">
        <w:rPr>
          <w:sz w:val="22"/>
        </w:rPr>
        <w:t xml:space="preserve"> DH Procurement Services only.</w:t>
      </w:r>
    </w:p>
    <w:p w:rsidR="0039339D" w:rsidRPr="0039339D" w:rsidRDefault="0039339D" w:rsidP="0039339D">
      <w:pPr>
        <w:ind w:left="851"/>
        <w:rPr>
          <w:sz w:val="22"/>
        </w:rPr>
      </w:pPr>
    </w:p>
    <w:p w:rsidR="0039339D" w:rsidRPr="0039339D" w:rsidRDefault="0039339D" w:rsidP="0039339D">
      <w:pPr>
        <w:ind w:left="851"/>
        <w:rPr>
          <w:sz w:val="22"/>
        </w:rPr>
      </w:pPr>
    </w:p>
    <w:p w:rsidR="0039339D" w:rsidRPr="00A24900" w:rsidRDefault="0039339D" w:rsidP="00695658">
      <w:pPr>
        <w:pStyle w:val="Indented"/>
      </w:pPr>
    </w:p>
    <w:p w:rsidR="00613EB0" w:rsidRDefault="00613EB0" w:rsidP="004A173F">
      <w:pPr>
        <w:pStyle w:val="Indented"/>
        <w:jc w:val="center"/>
      </w:pPr>
    </w:p>
    <w:p w:rsidR="00613EB0" w:rsidRDefault="00613EB0" w:rsidP="004A173F">
      <w:pPr>
        <w:pStyle w:val="Indented"/>
      </w:pPr>
    </w:p>
    <w:p w:rsidR="00DD7F79" w:rsidRDefault="00DD7F79" w:rsidP="00DD7F79">
      <w:pPr>
        <w:pStyle w:val="SIXH1"/>
      </w:pPr>
      <w:r>
        <w:t>Administrative Compliance</w:t>
      </w:r>
    </w:p>
    <w:p w:rsidR="00DD7F79" w:rsidRDefault="00DD7F79" w:rsidP="00DD7F79">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DD7F79" w:rsidRDefault="00DD7F79" w:rsidP="00DD7F79">
      <w:pPr>
        <w:pStyle w:val="Indented"/>
      </w:pPr>
    </w:p>
    <w:p w:rsidR="00DD7F79" w:rsidRDefault="00DD7F79" w:rsidP="00DD7F79">
      <w:pPr>
        <w:pStyle w:val="SIXH1"/>
      </w:pPr>
      <w:r>
        <w:t>Technical Evaluation</w:t>
      </w:r>
    </w:p>
    <w:p w:rsidR="00DD7F79" w:rsidRDefault="00DD7F79" w:rsidP="00DD7F79">
      <w:pPr>
        <w:pStyle w:val="SIXH2"/>
      </w:pPr>
      <w:r>
        <w:t xml:space="preserve">The technical evaluation will be carried out using Tenderer responses to Part B of this ITT, Schedules One and Three, using the scoring scheme provided in Table 3.   </w:t>
      </w:r>
    </w:p>
    <w:p w:rsidR="00DD7F79" w:rsidRDefault="00DD7F79" w:rsidP="00DD7F79">
      <w:pPr>
        <w:pStyle w:val="SIXH2"/>
      </w:pPr>
      <w:r>
        <w:t xml:space="preserve">Each evaluation area is weighted to show the relative importance / significance of the criteria specific to this evaluation.  </w:t>
      </w:r>
      <w:r w:rsidRPr="004A173F">
        <w:rPr>
          <w:szCs w:val="22"/>
        </w:rPr>
        <w:fldChar w:fldCharType="begin"/>
      </w:r>
      <w:r w:rsidRPr="004A173F">
        <w:rPr>
          <w:szCs w:val="22"/>
        </w:rPr>
        <w:instrText xml:space="preserve"> REF _Ref342917032 \h  \* MERGEFORMAT </w:instrText>
      </w:r>
      <w:r w:rsidRPr="004A173F">
        <w:rPr>
          <w:szCs w:val="22"/>
        </w:rPr>
      </w:r>
      <w:r w:rsidRPr="004A173F">
        <w:rPr>
          <w:szCs w:val="22"/>
        </w:rPr>
        <w:fldChar w:fldCharType="separate"/>
      </w:r>
      <w:r w:rsidR="004D1C18" w:rsidRPr="004D1C18">
        <w:rPr>
          <w:szCs w:val="22"/>
        </w:rPr>
        <w:t>Table 2</w:t>
      </w:r>
      <w:r w:rsidRPr="004A173F">
        <w:rPr>
          <w:szCs w:val="22"/>
        </w:rPr>
        <w:fldChar w:fldCharType="end"/>
      </w:r>
      <w:r w:rsidRPr="00DF2091">
        <w:t xml:space="preserve"> pr</w:t>
      </w:r>
      <w:r w:rsidRPr="00A24900">
        <w:t>ovides</w:t>
      </w:r>
      <w:r>
        <w:t xml:space="preserve"> further information to assist in understanding the evaluation criteria and</w:t>
      </w:r>
      <w:r w:rsidRPr="00A24900">
        <w:t xml:space="preserve"> the </w:t>
      </w:r>
      <w:r>
        <w:t xml:space="preserve">relevant </w:t>
      </w:r>
      <w:r w:rsidRPr="00A24900">
        <w:t>weightings that the Authority will use in assessing Tenderer proposals.</w:t>
      </w:r>
      <w:r>
        <w:t xml:space="preserve">  </w:t>
      </w:r>
    </w:p>
    <w:p w:rsidR="00DD7F79" w:rsidRPr="004A173F" w:rsidRDefault="00DD7F79" w:rsidP="00DD7F79">
      <w:pPr>
        <w:pStyle w:val="SIXH2"/>
      </w:pPr>
      <w:r>
        <w:t>The scored responses are assessed out of a maximum of five</w:t>
      </w:r>
      <w:r w:rsidRPr="00402940">
        <w:t xml:space="preserve"> (</w:t>
      </w:r>
      <w:r>
        <w:t>5</w:t>
      </w:r>
      <w:r w:rsidRPr="00402940">
        <w:t>).</w:t>
      </w:r>
      <w:r>
        <w:t xml:space="preserve"> The Technical Evaluators will assess all Tenders independently after which the Evaluation Panel will convene. The Evaluation Panel will reach a consensus on each assessed question to arrive at a Panel Technical Score.  The Evaluation Panel will not be allowed to give partial scores (for example 3.5)  </w:t>
      </w:r>
    </w:p>
    <w:p w:rsidR="00A77E9A" w:rsidRDefault="00DD7F79" w:rsidP="00DD7F79">
      <w:pPr>
        <w:pStyle w:val="SIXH2"/>
      </w:pPr>
      <w:r>
        <w:t xml:space="preserve">The Authority has set a minimum quality threshold for this procurement, therefore, those Tenderers that achieve a score equivalent to 50% of the maximum technical score or above, will be eligible for consideration of Contract Award by evaluation of the Tenderer’s pricing proposal.  Those tenders not achieving this threshold will be set aside and will not be considered further. The Authority also requires a minimum score of two (2) for the Method Statement parts A-D and tenders not achieving this will have their proposal set aside and not considered further.   </w:t>
      </w:r>
    </w:p>
    <w:p w:rsidR="00DD7F79" w:rsidRPr="00A24900" w:rsidRDefault="00A77E9A" w:rsidP="00DD7F79">
      <w:pPr>
        <w:pStyle w:val="SIXH2"/>
      </w:pPr>
      <w:r>
        <w:t xml:space="preserve">A score of 0 or 1 on any </w:t>
      </w:r>
      <w:r w:rsidR="00831826">
        <w:t xml:space="preserve">quality </w:t>
      </w:r>
      <w:r>
        <w:t>question will automatically exclude the proposal from further consideration</w:t>
      </w:r>
      <w:r w:rsidR="00BB486C">
        <w:t>.</w:t>
      </w:r>
      <w:r>
        <w:t xml:space="preserve">    </w:t>
      </w:r>
      <w:r w:rsidR="00DD7F79">
        <w:t xml:space="preserve">  </w:t>
      </w:r>
    </w:p>
    <w:p w:rsidR="00F276E0" w:rsidRPr="00F276E0" w:rsidRDefault="00F276E0" w:rsidP="004A173F">
      <w:pPr>
        <w:pStyle w:val="Indented"/>
      </w:pPr>
    </w:p>
    <w:p w:rsidR="00925860" w:rsidRDefault="008E3138" w:rsidP="003C7AFD">
      <w:pPr>
        <w:pStyle w:val="SIXH2"/>
        <w:numPr>
          <w:ilvl w:val="0"/>
          <w:numId w:val="0"/>
        </w:numPr>
        <w:tabs>
          <w:tab w:val="num" w:pos="851"/>
        </w:tabs>
        <w:ind w:left="851"/>
      </w:pPr>
      <w:r>
        <w:t xml:space="preserve"> </w:t>
      </w:r>
    </w:p>
    <w:p w:rsidR="00062664" w:rsidRDefault="00062664" w:rsidP="00F276E0">
      <w:pPr>
        <w:pStyle w:val="Indented"/>
      </w:pPr>
    </w:p>
    <w:p w:rsidR="00DF2091" w:rsidRDefault="00DF2091" w:rsidP="00F276E0">
      <w:pPr>
        <w:pStyle w:val="Indented"/>
        <w:sectPr w:rsidR="00DF2091" w:rsidSect="003C7AFD">
          <w:headerReference w:type="first" r:id="rId17"/>
          <w:footerReference w:type="first" r:id="rId18"/>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5" w:name="_Ref342917032"/>
      <w:r w:rsidRPr="00DF2091">
        <w:t xml:space="preserve">Table </w:t>
      </w:r>
      <w:r w:rsidRPr="00DF2091">
        <w:fldChar w:fldCharType="begin"/>
      </w:r>
      <w:r w:rsidRPr="004A173F">
        <w:instrText xml:space="preserve"> SEQ Table \* ARABIC </w:instrText>
      </w:r>
      <w:r w:rsidRPr="00DF2091">
        <w:fldChar w:fldCharType="separate"/>
      </w:r>
      <w:r w:rsidR="004D1C18">
        <w:rPr>
          <w:noProof/>
        </w:rPr>
        <w:t>2</w:t>
      </w:r>
      <w:r w:rsidRPr="00DF2091">
        <w:fldChar w:fldCharType="end"/>
      </w:r>
      <w:bookmarkEnd w:id="15"/>
      <w:r w:rsidR="008E3138" w:rsidRPr="00DF2091">
        <w:t xml:space="preserve">: </w:t>
      </w:r>
      <w:r w:rsidR="008E3138" w:rsidRPr="004A173F">
        <w:rPr>
          <w:b w:val="0"/>
          <w:bCs w:val="0"/>
        </w:rPr>
        <w:t>Technical Evaluation Criteria Matrix</w:t>
      </w:r>
      <w:r w:rsidR="00AD7656">
        <w:rPr>
          <w:b w:val="0"/>
          <w:bCs w:val="0"/>
        </w:rPr>
        <w:t xml:space="preserve"> </w:t>
      </w:r>
    </w:p>
    <w:p w:rsidR="008E3138" w:rsidRPr="00DF2091" w:rsidRDefault="008E3138" w:rsidP="00DF2091">
      <w:pPr>
        <w:pStyle w:val="Indented"/>
      </w:pPr>
    </w:p>
    <w:tbl>
      <w:tblPr>
        <w:tblW w:w="1329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23"/>
        <w:gridCol w:w="4962"/>
        <w:gridCol w:w="1086"/>
      </w:tblGrid>
      <w:tr w:rsidR="00F276E0" w:rsidRPr="00A24900" w:rsidTr="00C62E71">
        <w:trPr>
          <w:cantSplit/>
          <w:trHeight w:val="70"/>
          <w:tblHeader/>
        </w:trPr>
        <w:tc>
          <w:tcPr>
            <w:tcW w:w="3622" w:type="dxa"/>
            <w:shd w:val="clear" w:color="auto" w:fill="FF99CC"/>
            <w:vAlign w:val="center"/>
          </w:tcPr>
          <w:p w:rsidR="00F276E0" w:rsidRPr="00A24900" w:rsidRDefault="00F276E0" w:rsidP="00C62E71">
            <w:pPr>
              <w:pStyle w:val="TableHead"/>
              <w:keepNext/>
            </w:pPr>
            <w:r>
              <w:t>Evaluation Area</w:t>
            </w:r>
          </w:p>
        </w:tc>
        <w:tc>
          <w:tcPr>
            <w:tcW w:w="3623" w:type="dxa"/>
            <w:shd w:val="clear" w:color="auto" w:fill="FF99CC"/>
            <w:vAlign w:val="center"/>
          </w:tcPr>
          <w:p w:rsidR="00F276E0" w:rsidRPr="004468C0" w:rsidRDefault="00F276E0" w:rsidP="00C62E71">
            <w:pPr>
              <w:pStyle w:val="TableHead"/>
              <w:keepNext/>
            </w:pPr>
            <w:r w:rsidRPr="004468C0">
              <w:t>Evaluation intention</w:t>
            </w:r>
          </w:p>
        </w:tc>
        <w:tc>
          <w:tcPr>
            <w:tcW w:w="4962" w:type="dxa"/>
            <w:shd w:val="clear" w:color="auto" w:fill="FF99CC"/>
            <w:vAlign w:val="center"/>
          </w:tcPr>
          <w:p w:rsidR="00F276E0" w:rsidRPr="004468C0" w:rsidRDefault="00F276E0" w:rsidP="00C62E71">
            <w:pPr>
              <w:pStyle w:val="TableHead"/>
              <w:keepNext/>
            </w:pPr>
            <w:r w:rsidRPr="004468C0">
              <w:t>Evaluation criteria</w:t>
            </w:r>
          </w:p>
        </w:tc>
        <w:tc>
          <w:tcPr>
            <w:tcW w:w="1086" w:type="dxa"/>
            <w:shd w:val="clear" w:color="auto" w:fill="FF99CC"/>
            <w:vAlign w:val="center"/>
          </w:tcPr>
          <w:p w:rsidR="00F276E0" w:rsidRPr="00A24900" w:rsidRDefault="00F276E0" w:rsidP="00C62E71">
            <w:pPr>
              <w:pStyle w:val="TableHead"/>
              <w:keepNext/>
              <w:jc w:val="center"/>
            </w:pPr>
            <w:r>
              <w:t>Weight</w:t>
            </w:r>
          </w:p>
        </w:tc>
      </w:tr>
      <w:tr w:rsidR="00F276E0" w:rsidRPr="00A24900" w:rsidTr="00C62E71">
        <w:trPr>
          <w:cantSplit/>
          <w:trHeight w:val="860"/>
        </w:trPr>
        <w:tc>
          <w:tcPr>
            <w:tcW w:w="3622" w:type="dxa"/>
            <w:shd w:val="clear" w:color="auto" w:fill="auto"/>
            <w:vAlign w:val="center"/>
          </w:tcPr>
          <w:p w:rsidR="00F276E0" w:rsidRPr="004468C0" w:rsidRDefault="00A46B78" w:rsidP="00A81FBF">
            <w:pPr>
              <w:pStyle w:val="Table"/>
            </w:pPr>
            <w:r>
              <w:rPr>
                <w:b/>
                <w:bCs w:val="0"/>
              </w:rPr>
              <w:t xml:space="preserve">B1. </w:t>
            </w:r>
            <w:r w:rsidR="00F276E0" w:rsidRPr="00C62E71">
              <w:rPr>
                <w:b/>
                <w:bCs w:val="0"/>
              </w:rPr>
              <w:t>Overview</w:t>
            </w:r>
            <w:r w:rsidR="00F276E0">
              <w:br/>
            </w:r>
            <w:r w:rsidR="00F276E0" w:rsidRPr="004D5866">
              <w:t>Tenderers must provide a concise summary highlighting the key aspects of the proposal.</w:t>
            </w:r>
          </w:p>
        </w:tc>
        <w:tc>
          <w:tcPr>
            <w:tcW w:w="3623" w:type="dxa"/>
            <w:shd w:val="clear" w:color="auto" w:fill="auto"/>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shd w:val="clear" w:color="auto" w:fill="auto"/>
            <w:vAlign w:val="center"/>
          </w:tcPr>
          <w:p w:rsidR="00F276E0" w:rsidRPr="004468C0" w:rsidRDefault="00F276E0" w:rsidP="00A81FBF">
            <w:pPr>
              <w:pStyle w:val="Table"/>
            </w:pPr>
            <w:r w:rsidRPr="004468C0">
              <w:t>N/a</w:t>
            </w:r>
          </w:p>
        </w:tc>
        <w:tc>
          <w:tcPr>
            <w:tcW w:w="1086" w:type="dxa"/>
            <w:shd w:val="clear" w:color="auto" w:fill="auto"/>
            <w:vAlign w:val="center"/>
          </w:tcPr>
          <w:p w:rsidR="00F276E0" w:rsidRPr="004468C0" w:rsidRDefault="00F276E0" w:rsidP="00C62E71">
            <w:pPr>
              <w:pStyle w:val="Table"/>
              <w:jc w:val="center"/>
            </w:pPr>
            <w:r w:rsidRPr="004468C0">
              <w:t>N/a</w:t>
            </w:r>
          </w:p>
        </w:tc>
      </w:tr>
      <w:tr w:rsidR="00F276E0" w:rsidRPr="00A24900" w:rsidTr="003C7AFD">
        <w:trPr>
          <w:cantSplit/>
          <w:trHeight w:val="860"/>
        </w:trPr>
        <w:tc>
          <w:tcPr>
            <w:tcW w:w="3622" w:type="dxa"/>
            <w:tcBorders>
              <w:bottom w:val="single" w:sz="4" w:space="0" w:color="auto"/>
            </w:tcBorders>
            <w:shd w:val="clear" w:color="auto" w:fill="auto"/>
            <w:vAlign w:val="center"/>
          </w:tcPr>
          <w:p w:rsidR="00F276E0" w:rsidRPr="004468C0" w:rsidRDefault="00A46B78" w:rsidP="00E2040C">
            <w:pPr>
              <w:pStyle w:val="Table"/>
            </w:pPr>
            <w:r>
              <w:rPr>
                <w:b/>
                <w:bCs w:val="0"/>
              </w:rPr>
              <w:t xml:space="preserve">B.2 </w:t>
            </w:r>
            <w:r w:rsidR="00F276E0" w:rsidRPr="00C62E71">
              <w:rPr>
                <w:b/>
                <w:bCs w:val="0"/>
              </w:rPr>
              <w:t>Leadership</w:t>
            </w:r>
            <w:r w:rsidR="00F276E0" w:rsidRPr="00C62E71">
              <w:rPr>
                <w:b/>
                <w:bCs w:val="0"/>
              </w:rPr>
              <w:br/>
            </w:r>
            <w:r w:rsidR="00F276E0">
              <w:t xml:space="preserve">Provide details of the qualifications and </w:t>
            </w:r>
            <w:r w:rsidR="00E2040C">
              <w:t xml:space="preserve">skills </w:t>
            </w:r>
            <w:r w:rsidR="00F276E0">
              <w:t>of the individual whose responsibility will be to ensure that the requirement is delivered.</w:t>
            </w:r>
          </w:p>
        </w:tc>
        <w:tc>
          <w:tcPr>
            <w:tcW w:w="3623" w:type="dxa"/>
            <w:tcBorders>
              <w:bottom w:val="single" w:sz="4" w:space="0" w:color="auto"/>
            </w:tcBorders>
            <w:shd w:val="clear" w:color="auto" w:fill="auto"/>
            <w:vAlign w:val="center"/>
          </w:tcPr>
          <w:p w:rsidR="00F276E0" w:rsidRPr="004468C0" w:rsidRDefault="00F276E0" w:rsidP="007A0AD0">
            <w:pPr>
              <w:pStyle w:val="Table"/>
            </w:pPr>
            <w:r w:rsidRPr="00CB053B">
              <w:t xml:space="preserve">Seeks to establish that the Tenderer has the appropriate leadership, expertise and credibility in the field  </w:t>
            </w:r>
            <w:r w:rsidR="00B9540D">
              <w:t xml:space="preserve">along with </w:t>
            </w:r>
            <w:bookmarkStart w:id="16" w:name="_GoBack"/>
            <w:bookmarkEnd w:id="16"/>
            <w:r w:rsidRPr="00CB053B">
              <w:t>the skills</w:t>
            </w:r>
            <w:r w:rsidR="007A0AD0">
              <w:t xml:space="preserve"> and </w:t>
            </w:r>
            <w:r w:rsidRPr="00CB053B">
              <w:t>qualifications to lead the scope of service delivery requirements</w:t>
            </w:r>
          </w:p>
        </w:tc>
        <w:tc>
          <w:tcPr>
            <w:tcW w:w="4962" w:type="dxa"/>
            <w:tcBorders>
              <w:bottom w:val="single" w:sz="4" w:space="0" w:color="auto"/>
            </w:tcBorders>
            <w:shd w:val="clear" w:color="auto" w:fill="auto"/>
            <w:vAlign w:val="center"/>
          </w:tcPr>
          <w:p w:rsidR="00F276E0" w:rsidRPr="004468C0" w:rsidRDefault="00F276E0" w:rsidP="00A81FBF">
            <w:pPr>
              <w:pStyle w:val="Table"/>
            </w:pPr>
            <w:r w:rsidRPr="00CB053B">
              <w:t>Tenderer leadership arrangements are sufficient and suitable to ensure successful delivery</w:t>
            </w:r>
          </w:p>
        </w:tc>
        <w:tc>
          <w:tcPr>
            <w:tcW w:w="1086" w:type="dxa"/>
            <w:tcBorders>
              <w:bottom w:val="single" w:sz="4" w:space="0" w:color="auto"/>
            </w:tcBorders>
            <w:shd w:val="clear" w:color="auto" w:fill="auto"/>
            <w:vAlign w:val="center"/>
          </w:tcPr>
          <w:p w:rsidR="00F276E0" w:rsidRPr="004468C0" w:rsidRDefault="00F276E0" w:rsidP="00C62E71">
            <w:pPr>
              <w:pStyle w:val="Table"/>
              <w:jc w:val="center"/>
            </w:pPr>
            <w:r>
              <w:t>1</w:t>
            </w:r>
            <w:r w:rsidR="00CA05F0">
              <w:t>0</w:t>
            </w:r>
            <w:r>
              <w:t>%</w:t>
            </w:r>
          </w:p>
        </w:tc>
      </w:tr>
      <w:tr w:rsidR="00F276E0" w:rsidRPr="00A24900" w:rsidTr="003C7AFD">
        <w:trPr>
          <w:cantSplit/>
          <w:trHeight w:val="860"/>
        </w:trPr>
        <w:tc>
          <w:tcPr>
            <w:tcW w:w="3622" w:type="dxa"/>
            <w:tcBorders>
              <w:bottom w:val="nil"/>
            </w:tcBorders>
            <w:shd w:val="clear" w:color="auto" w:fill="auto"/>
            <w:vAlign w:val="center"/>
          </w:tcPr>
          <w:p w:rsidR="003C7AFD" w:rsidRPr="004468C0" w:rsidRDefault="00A46B78" w:rsidP="00656D0D">
            <w:pPr>
              <w:pStyle w:val="Table"/>
            </w:pPr>
            <w:r>
              <w:rPr>
                <w:b/>
                <w:bCs w:val="0"/>
              </w:rPr>
              <w:t>B3.</w:t>
            </w:r>
            <w:r w:rsidR="00656D0D">
              <w:rPr>
                <w:b/>
                <w:bCs w:val="0"/>
              </w:rPr>
              <w:t>A</w:t>
            </w:r>
            <w:r>
              <w:rPr>
                <w:b/>
                <w:bCs w:val="0"/>
              </w:rPr>
              <w:t xml:space="preserve"> </w:t>
            </w:r>
            <w:r w:rsidR="00F276E0" w:rsidRPr="00C62E71">
              <w:rPr>
                <w:b/>
                <w:bCs w:val="0"/>
              </w:rPr>
              <w:t>Method statement</w:t>
            </w:r>
            <w:r w:rsidR="001D735D">
              <w:rPr>
                <w:b/>
                <w:bCs w:val="0"/>
              </w:rPr>
              <w:t xml:space="preserve"> </w:t>
            </w:r>
            <w:r w:rsidR="00F276E0">
              <w:br/>
            </w:r>
            <w:r w:rsidR="00F276E0" w:rsidRPr="004D5866">
              <w:t>Describe (with specific reference to the elements of the requirements and the outcomes expected) how it is intended to deliver the requirements of the specification</w:t>
            </w:r>
            <w:r w:rsidR="001A29F9">
              <w:t xml:space="preserve"> in relation to:</w:t>
            </w:r>
          </w:p>
        </w:tc>
        <w:tc>
          <w:tcPr>
            <w:tcW w:w="3623" w:type="dxa"/>
            <w:tcBorders>
              <w:bottom w:val="nil"/>
            </w:tcBorders>
            <w:shd w:val="clear" w:color="auto" w:fill="auto"/>
            <w:vAlign w:val="center"/>
          </w:tcPr>
          <w:p w:rsidR="00F276E0" w:rsidRPr="0012747E" w:rsidRDefault="00F276E0" w:rsidP="00A81FBF">
            <w:pPr>
              <w:pStyle w:val="Table"/>
            </w:pPr>
            <w:r w:rsidRPr="0012747E">
              <w:t xml:space="preserve">Seeks to establish that the Tenderer has understood the requirements and has a credible plan for delivering successful </w:t>
            </w:r>
            <w:r>
              <w:t>outcomes</w:t>
            </w:r>
          </w:p>
        </w:tc>
        <w:tc>
          <w:tcPr>
            <w:tcW w:w="4962" w:type="dxa"/>
            <w:tcBorders>
              <w:bottom w:val="nil"/>
            </w:tcBorders>
            <w:shd w:val="clear" w:color="auto" w:fill="auto"/>
            <w:vAlign w:val="center"/>
          </w:tcPr>
          <w:p w:rsidR="00F276E0" w:rsidRPr="0012747E" w:rsidRDefault="00F276E0" w:rsidP="00A81FBF">
            <w:pPr>
              <w:pStyle w:val="Table"/>
            </w:pPr>
            <w:r w:rsidRPr="00CB053B">
              <w:t>The Tenderer</w:t>
            </w:r>
            <w:r>
              <w:t>’s response shows that it</w:t>
            </w:r>
            <w:r w:rsidRPr="00CB053B">
              <w:t>:</w:t>
            </w:r>
            <w:r>
              <w:br/>
            </w:r>
            <w:r w:rsidRPr="00CB053B">
              <w:t>- Has a credible solution</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086" w:type="dxa"/>
            <w:tcBorders>
              <w:bottom w:val="nil"/>
            </w:tcBorders>
            <w:shd w:val="clear" w:color="auto" w:fill="auto"/>
            <w:vAlign w:val="center"/>
          </w:tcPr>
          <w:p w:rsidR="00F276E0" w:rsidRPr="004468C0" w:rsidRDefault="001F2A86" w:rsidP="00C62E71">
            <w:pPr>
              <w:pStyle w:val="Table"/>
              <w:jc w:val="center"/>
            </w:pPr>
            <w:r>
              <w:t>10%</w:t>
            </w:r>
          </w:p>
        </w:tc>
      </w:tr>
      <w:tr w:rsidR="003C7AFD" w:rsidRPr="00A24900" w:rsidTr="003C7AFD">
        <w:trPr>
          <w:cantSplit/>
          <w:trHeight w:val="860"/>
        </w:trPr>
        <w:tc>
          <w:tcPr>
            <w:tcW w:w="3622" w:type="dxa"/>
            <w:tcBorders>
              <w:top w:val="nil"/>
            </w:tcBorders>
            <w:shd w:val="clear" w:color="auto" w:fill="auto"/>
            <w:vAlign w:val="center"/>
          </w:tcPr>
          <w:p w:rsidR="001F2A86" w:rsidRDefault="001F2A86" w:rsidP="001F2A86">
            <w:pPr>
              <w:pStyle w:val="Table"/>
              <w:rPr>
                <w:b/>
              </w:rPr>
            </w:pPr>
            <w:r>
              <w:rPr>
                <w:b/>
              </w:rPr>
              <w:t>Incorporate new Data and related modifications (10%)</w:t>
            </w:r>
          </w:p>
          <w:p w:rsidR="003C7AFD" w:rsidRPr="00C62E71" w:rsidRDefault="003C7AFD" w:rsidP="001D735D">
            <w:pPr>
              <w:pStyle w:val="Table"/>
              <w:rPr>
                <w:b/>
                <w:bCs w:val="0"/>
              </w:rPr>
            </w:pPr>
          </w:p>
        </w:tc>
        <w:tc>
          <w:tcPr>
            <w:tcW w:w="3623" w:type="dxa"/>
            <w:tcBorders>
              <w:top w:val="nil"/>
            </w:tcBorders>
            <w:shd w:val="clear" w:color="auto" w:fill="auto"/>
            <w:vAlign w:val="center"/>
          </w:tcPr>
          <w:p w:rsidR="003C7AFD" w:rsidRPr="0012747E" w:rsidRDefault="003C7AFD" w:rsidP="00A81FBF">
            <w:pPr>
              <w:pStyle w:val="Table"/>
            </w:pPr>
          </w:p>
        </w:tc>
        <w:tc>
          <w:tcPr>
            <w:tcW w:w="4962" w:type="dxa"/>
            <w:tcBorders>
              <w:top w:val="nil"/>
            </w:tcBorders>
            <w:shd w:val="clear" w:color="auto" w:fill="auto"/>
            <w:vAlign w:val="center"/>
          </w:tcPr>
          <w:p w:rsidR="003C7AFD" w:rsidRPr="00C62E71" w:rsidRDefault="003C7AFD" w:rsidP="003C7AFD">
            <w:pPr>
              <w:pStyle w:val="Table"/>
              <w:rPr>
                <w:b/>
                <w:bCs w:val="0"/>
              </w:rPr>
            </w:pPr>
          </w:p>
        </w:tc>
        <w:tc>
          <w:tcPr>
            <w:tcW w:w="1086" w:type="dxa"/>
            <w:tcBorders>
              <w:top w:val="nil"/>
            </w:tcBorders>
            <w:shd w:val="clear" w:color="auto" w:fill="auto"/>
            <w:vAlign w:val="center"/>
          </w:tcPr>
          <w:p w:rsidR="003C7AFD" w:rsidRDefault="003C7AFD" w:rsidP="00C62E71">
            <w:pPr>
              <w:pStyle w:val="Table"/>
              <w:jc w:val="center"/>
            </w:pPr>
          </w:p>
        </w:tc>
      </w:tr>
      <w:tr w:rsidR="001F2A86" w:rsidRPr="00A24900" w:rsidTr="003C7AFD">
        <w:trPr>
          <w:cantSplit/>
          <w:trHeight w:val="860"/>
        </w:trPr>
        <w:tc>
          <w:tcPr>
            <w:tcW w:w="3622" w:type="dxa"/>
            <w:tcBorders>
              <w:top w:val="nil"/>
            </w:tcBorders>
            <w:shd w:val="clear" w:color="auto" w:fill="auto"/>
            <w:vAlign w:val="center"/>
          </w:tcPr>
          <w:p w:rsidR="001F2A86" w:rsidRDefault="00A46B78" w:rsidP="001D735D">
            <w:pPr>
              <w:pStyle w:val="Table"/>
            </w:pPr>
            <w:r>
              <w:rPr>
                <w:b/>
                <w:bCs w:val="0"/>
              </w:rPr>
              <w:t>B3.</w:t>
            </w:r>
            <w:r w:rsidR="00656D0D">
              <w:rPr>
                <w:b/>
                <w:bCs w:val="0"/>
              </w:rPr>
              <w:t>B</w:t>
            </w:r>
            <w:r>
              <w:rPr>
                <w:b/>
                <w:bCs w:val="0"/>
              </w:rPr>
              <w:t xml:space="preserve"> </w:t>
            </w:r>
            <w:r w:rsidR="001F2A86" w:rsidRPr="00C62E71">
              <w:rPr>
                <w:b/>
                <w:bCs w:val="0"/>
              </w:rPr>
              <w:t>Method statement</w:t>
            </w:r>
            <w:r w:rsidR="001F2A86">
              <w:rPr>
                <w:b/>
                <w:bCs w:val="0"/>
              </w:rPr>
              <w:t xml:space="preserve"> </w:t>
            </w:r>
            <w:r w:rsidR="001F2A86">
              <w:br/>
            </w:r>
            <w:r w:rsidR="001F2A86" w:rsidRPr="004D5866">
              <w:t>Describe (with specific reference to the elements of the requirements and the outcomes expected) how it is intended to deliver the requirements of the specification</w:t>
            </w:r>
            <w:r w:rsidR="001A29F9">
              <w:t xml:space="preserve"> in relation to:</w:t>
            </w:r>
          </w:p>
          <w:p w:rsidR="001F2A86" w:rsidRDefault="001F2A86" w:rsidP="001F2A86">
            <w:pPr>
              <w:pStyle w:val="Table"/>
              <w:rPr>
                <w:b/>
              </w:rPr>
            </w:pPr>
            <w:r>
              <w:rPr>
                <w:b/>
              </w:rPr>
              <w:t>Dat</w:t>
            </w:r>
            <w:r w:rsidR="00C46A51">
              <w:rPr>
                <w:b/>
              </w:rPr>
              <w:t>a</w:t>
            </w:r>
            <w:r>
              <w:rPr>
                <w:b/>
              </w:rPr>
              <w:t xml:space="preserve"> Envelope Analysis (15%) </w:t>
            </w:r>
          </w:p>
          <w:p w:rsidR="001F2A86" w:rsidRPr="00C62E71" w:rsidRDefault="001F2A86" w:rsidP="001D735D">
            <w:pPr>
              <w:pStyle w:val="Table"/>
              <w:rPr>
                <w:b/>
                <w:bCs w:val="0"/>
              </w:rPr>
            </w:pPr>
          </w:p>
        </w:tc>
        <w:tc>
          <w:tcPr>
            <w:tcW w:w="3623" w:type="dxa"/>
            <w:tcBorders>
              <w:top w:val="nil"/>
            </w:tcBorders>
            <w:shd w:val="clear" w:color="auto" w:fill="auto"/>
            <w:vAlign w:val="center"/>
          </w:tcPr>
          <w:p w:rsidR="001F2A86" w:rsidRPr="0012747E" w:rsidRDefault="001F2A86" w:rsidP="00A81FBF">
            <w:pPr>
              <w:pStyle w:val="Table"/>
            </w:pPr>
            <w:r w:rsidRPr="0012747E">
              <w:t xml:space="preserve">Seeks to establish that the Tenderer has understood the requirements and has a credible plan for delivering successful </w:t>
            </w:r>
            <w:r>
              <w:t>outcomes</w:t>
            </w:r>
          </w:p>
        </w:tc>
        <w:tc>
          <w:tcPr>
            <w:tcW w:w="4962" w:type="dxa"/>
            <w:tcBorders>
              <w:top w:val="nil"/>
            </w:tcBorders>
            <w:shd w:val="clear" w:color="auto" w:fill="auto"/>
            <w:vAlign w:val="center"/>
          </w:tcPr>
          <w:p w:rsidR="001F2A86" w:rsidRDefault="007B70F8" w:rsidP="008F243F">
            <w:pPr>
              <w:pStyle w:val="Table"/>
              <w:rPr>
                <w:b/>
                <w:bCs w:val="0"/>
              </w:rPr>
            </w:pPr>
            <w:r w:rsidRPr="00CB053B">
              <w:t>The Tenderer</w:t>
            </w:r>
            <w:r>
              <w:t>’s response shows that it</w:t>
            </w:r>
            <w:r w:rsidRPr="00CB053B">
              <w:t>:</w:t>
            </w:r>
            <w:r>
              <w:br/>
            </w:r>
            <w:r w:rsidRPr="00CB053B">
              <w:t>- Has a credible solution</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086" w:type="dxa"/>
            <w:tcBorders>
              <w:top w:val="nil"/>
            </w:tcBorders>
            <w:shd w:val="clear" w:color="auto" w:fill="auto"/>
            <w:vAlign w:val="center"/>
          </w:tcPr>
          <w:p w:rsidR="001F2A86" w:rsidRDefault="001F2A86" w:rsidP="00C62E71">
            <w:pPr>
              <w:pStyle w:val="Table"/>
              <w:jc w:val="center"/>
            </w:pPr>
            <w:r>
              <w:t>15%</w:t>
            </w:r>
          </w:p>
        </w:tc>
      </w:tr>
      <w:tr w:rsidR="001F2A86" w:rsidRPr="00A24900" w:rsidTr="003C7AFD">
        <w:trPr>
          <w:cantSplit/>
          <w:trHeight w:val="860"/>
        </w:trPr>
        <w:tc>
          <w:tcPr>
            <w:tcW w:w="3622" w:type="dxa"/>
            <w:tcBorders>
              <w:top w:val="nil"/>
            </w:tcBorders>
            <w:shd w:val="clear" w:color="auto" w:fill="auto"/>
            <w:vAlign w:val="center"/>
          </w:tcPr>
          <w:p w:rsidR="001F2A86" w:rsidRDefault="00A46B78" w:rsidP="001D735D">
            <w:pPr>
              <w:pStyle w:val="Table"/>
            </w:pPr>
            <w:r>
              <w:rPr>
                <w:b/>
                <w:bCs w:val="0"/>
              </w:rPr>
              <w:t>B3.</w:t>
            </w:r>
            <w:r w:rsidR="00656D0D">
              <w:rPr>
                <w:b/>
                <w:bCs w:val="0"/>
              </w:rPr>
              <w:t>C</w:t>
            </w:r>
            <w:r>
              <w:rPr>
                <w:b/>
                <w:bCs w:val="0"/>
              </w:rPr>
              <w:t xml:space="preserve"> </w:t>
            </w:r>
            <w:r w:rsidR="001F2A86" w:rsidRPr="00C62E71">
              <w:rPr>
                <w:b/>
                <w:bCs w:val="0"/>
              </w:rPr>
              <w:t>Method statement</w:t>
            </w:r>
            <w:r w:rsidR="001F2A86">
              <w:rPr>
                <w:b/>
                <w:bCs w:val="0"/>
              </w:rPr>
              <w:t xml:space="preserve"> </w:t>
            </w:r>
            <w:r w:rsidR="001F2A86">
              <w:br/>
            </w:r>
            <w:r w:rsidR="001F2A86" w:rsidRPr="004D5866">
              <w:t>Describe (with specific reference to the elements of the requirements and the outcomes expected) how it is intended to deliver the requirements of the specification</w:t>
            </w:r>
            <w:r w:rsidR="001A29F9">
              <w:t xml:space="preserve"> in relation to: </w:t>
            </w:r>
          </w:p>
          <w:p w:rsidR="001F2A86" w:rsidRDefault="001F2A86" w:rsidP="001F2A86">
            <w:pPr>
              <w:pStyle w:val="Table"/>
              <w:rPr>
                <w:b/>
              </w:rPr>
            </w:pPr>
            <w:r>
              <w:rPr>
                <w:b/>
              </w:rPr>
              <w:t>IT considerations (5%)</w:t>
            </w:r>
          </w:p>
          <w:p w:rsidR="001F2A86" w:rsidRPr="00C62E71" w:rsidRDefault="001F2A86" w:rsidP="001D735D">
            <w:pPr>
              <w:pStyle w:val="Table"/>
              <w:rPr>
                <w:b/>
                <w:bCs w:val="0"/>
              </w:rPr>
            </w:pPr>
          </w:p>
        </w:tc>
        <w:tc>
          <w:tcPr>
            <w:tcW w:w="3623" w:type="dxa"/>
            <w:tcBorders>
              <w:top w:val="nil"/>
            </w:tcBorders>
            <w:shd w:val="clear" w:color="auto" w:fill="auto"/>
            <w:vAlign w:val="center"/>
          </w:tcPr>
          <w:p w:rsidR="001F2A86" w:rsidRPr="0012747E" w:rsidRDefault="001F2A86" w:rsidP="00A81FBF">
            <w:pPr>
              <w:pStyle w:val="Table"/>
            </w:pPr>
            <w:r w:rsidRPr="0012747E">
              <w:t xml:space="preserve">Seeks to establish that the Tenderer has understood the requirements and has a credible plan for delivering successful </w:t>
            </w:r>
            <w:r>
              <w:t>outcomes</w:t>
            </w:r>
          </w:p>
        </w:tc>
        <w:tc>
          <w:tcPr>
            <w:tcW w:w="4962" w:type="dxa"/>
            <w:tcBorders>
              <w:top w:val="nil"/>
            </w:tcBorders>
            <w:shd w:val="clear" w:color="auto" w:fill="auto"/>
            <w:vAlign w:val="center"/>
          </w:tcPr>
          <w:p w:rsidR="001F2A86" w:rsidRDefault="007B70F8" w:rsidP="008F243F">
            <w:pPr>
              <w:pStyle w:val="Table"/>
              <w:rPr>
                <w:b/>
                <w:bCs w:val="0"/>
              </w:rPr>
            </w:pPr>
            <w:r w:rsidRPr="00CB053B">
              <w:t>The Tenderer</w:t>
            </w:r>
            <w:r>
              <w:t>’s response shows that it</w:t>
            </w:r>
            <w:r w:rsidRPr="00CB053B">
              <w:t>:</w:t>
            </w:r>
            <w:r>
              <w:br/>
            </w:r>
            <w:r w:rsidRPr="00CB053B">
              <w:t>- Has a credible solution</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086" w:type="dxa"/>
            <w:tcBorders>
              <w:top w:val="nil"/>
            </w:tcBorders>
            <w:shd w:val="clear" w:color="auto" w:fill="auto"/>
            <w:vAlign w:val="center"/>
          </w:tcPr>
          <w:p w:rsidR="001F2A86" w:rsidRDefault="001F2A86" w:rsidP="00C62E71">
            <w:pPr>
              <w:pStyle w:val="Table"/>
              <w:jc w:val="center"/>
            </w:pPr>
            <w:r>
              <w:t>5%</w:t>
            </w:r>
          </w:p>
        </w:tc>
      </w:tr>
      <w:tr w:rsidR="001F2A86" w:rsidRPr="00A24900" w:rsidTr="003C7AFD">
        <w:trPr>
          <w:cantSplit/>
          <w:trHeight w:val="860"/>
        </w:trPr>
        <w:tc>
          <w:tcPr>
            <w:tcW w:w="3622" w:type="dxa"/>
            <w:tcBorders>
              <w:top w:val="nil"/>
            </w:tcBorders>
            <w:shd w:val="clear" w:color="auto" w:fill="auto"/>
            <w:vAlign w:val="center"/>
          </w:tcPr>
          <w:p w:rsidR="001F2A86" w:rsidRDefault="00A46B78" w:rsidP="001D735D">
            <w:pPr>
              <w:pStyle w:val="Table"/>
            </w:pPr>
            <w:r>
              <w:rPr>
                <w:b/>
                <w:bCs w:val="0"/>
              </w:rPr>
              <w:t>B3.</w:t>
            </w:r>
            <w:r w:rsidR="00656D0D">
              <w:rPr>
                <w:b/>
                <w:bCs w:val="0"/>
              </w:rPr>
              <w:t>D</w:t>
            </w:r>
            <w:r>
              <w:rPr>
                <w:b/>
                <w:bCs w:val="0"/>
              </w:rPr>
              <w:t xml:space="preserve"> </w:t>
            </w:r>
            <w:r w:rsidR="001F2A86" w:rsidRPr="00C62E71">
              <w:rPr>
                <w:b/>
                <w:bCs w:val="0"/>
              </w:rPr>
              <w:t>Method statement</w:t>
            </w:r>
            <w:r w:rsidR="001F2A86">
              <w:rPr>
                <w:b/>
                <w:bCs w:val="0"/>
              </w:rPr>
              <w:t xml:space="preserve"> </w:t>
            </w:r>
            <w:r w:rsidR="001F2A86">
              <w:br/>
            </w:r>
            <w:r w:rsidR="001F2A86" w:rsidRPr="004D5866">
              <w:t>Describe (with specific reference to the elements of the requirements and the outcomes expected) how it is intended to deliver the requirements of the specification</w:t>
            </w:r>
            <w:r w:rsidR="001A29F9">
              <w:t xml:space="preserve"> in relation to: </w:t>
            </w:r>
          </w:p>
          <w:p w:rsidR="001F2A86" w:rsidRPr="00C62E71" w:rsidRDefault="001F2A86" w:rsidP="001D735D">
            <w:pPr>
              <w:pStyle w:val="Table"/>
              <w:rPr>
                <w:b/>
                <w:bCs w:val="0"/>
              </w:rPr>
            </w:pPr>
            <w:r>
              <w:rPr>
                <w:b/>
              </w:rPr>
              <w:t>Optional Requirements (5%)</w:t>
            </w:r>
          </w:p>
        </w:tc>
        <w:tc>
          <w:tcPr>
            <w:tcW w:w="3623" w:type="dxa"/>
            <w:tcBorders>
              <w:top w:val="nil"/>
            </w:tcBorders>
            <w:shd w:val="clear" w:color="auto" w:fill="auto"/>
            <w:vAlign w:val="center"/>
          </w:tcPr>
          <w:p w:rsidR="001F2A86" w:rsidRPr="0012747E" w:rsidRDefault="001F2A86" w:rsidP="00A81FBF">
            <w:pPr>
              <w:pStyle w:val="Table"/>
            </w:pPr>
            <w:r w:rsidRPr="0012747E">
              <w:t xml:space="preserve">Seeks to establish that the Tenderer has understood the requirements and has a credible plan for delivering successful </w:t>
            </w:r>
            <w:r>
              <w:t>outcomes</w:t>
            </w:r>
          </w:p>
        </w:tc>
        <w:tc>
          <w:tcPr>
            <w:tcW w:w="4962" w:type="dxa"/>
            <w:tcBorders>
              <w:top w:val="nil"/>
            </w:tcBorders>
            <w:shd w:val="clear" w:color="auto" w:fill="auto"/>
            <w:vAlign w:val="center"/>
          </w:tcPr>
          <w:p w:rsidR="001F2A86" w:rsidRDefault="007B70F8" w:rsidP="008F243F">
            <w:pPr>
              <w:pStyle w:val="Table"/>
              <w:rPr>
                <w:b/>
                <w:bCs w:val="0"/>
              </w:rPr>
            </w:pPr>
            <w:r w:rsidRPr="00CB053B">
              <w:t>The Tenderer</w:t>
            </w:r>
            <w:r>
              <w:t>’s response shows that it</w:t>
            </w:r>
            <w:r w:rsidRPr="00CB053B">
              <w:t>:</w:t>
            </w:r>
            <w:r>
              <w:br/>
            </w:r>
            <w:r w:rsidRPr="00CB053B">
              <w:t>- Has a credible solution</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086" w:type="dxa"/>
            <w:tcBorders>
              <w:top w:val="nil"/>
            </w:tcBorders>
            <w:shd w:val="clear" w:color="auto" w:fill="auto"/>
            <w:vAlign w:val="center"/>
          </w:tcPr>
          <w:p w:rsidR="001F2A86" w:rsidRDefault="001F2A86" w:rsidP="00C62E71">
            <w:pPr>
              <w:pStyle w:val="Table"/>
              <w:jc w:val="center"/>
            </w:pPr>
            <w:r>
              <w:t>5%</w:t>
            </w:r>
          </w:p>
        </w:tc>
      </w:tr>
      <w:tr w:rsidR="003C7AFD" w:rsidRPr="00A24900" w:rsidTr="00C62E71">
        <w:trPr>
          <w:cantSplit/>
          <w:trHeight w:val="860"/>
        </w:trPr>
        <w:tc>
          <w:tcPr>
            <w:tcW w:w="3622" w:type="dxa"/>
            <w:shd w:val="clear" w:color="auto" w:fill="auto"/>
            <w:vAlign w:val="center"/>
          </w:tcPr>
          <w:p w:rsidR="003C7AFD" w:rsidRPr="004468C0" w:rsidRDefault="00A46B78" w:rsidP="00A81FBF">
            <w:pPr>
              <w:pStyle w:val="Table"/>
            </w:pPr>
            <w:r>
              <w:rPr>
                <w:b/>
                <w:bCs w:val="0"/>
              </w:rPr>
              <w:t xml:space="preserve">B4. </w:t>
            </w:r>
            <w:r w:rsidR="003C7AFD" w:rsidRPr="00C62E71">
              <w:rPr>
                <w:b/>
                <w:bCs w:val="0"/>
              </w:rPr>
              <w:t>Resource Plan</w:t>
            </w:r>
            <w:r w:rsidR="003C7AFD">
              <w:br/>
              <w:t>Provide a complete resource plan for the delivery of the Specification including details of the team involved, what these individuals will be doing and why these individuals are suitable for this requirement.</w:t>
            </w:r>
          </w:p>
        </w:tc>
        <w:tc>
          <w:tcPr>
            <w:tcW w:w="3623" w:type="dxa"/>
            <w:shd w:val="clear" w:color="auto" w:fill="auto"/>
            <w:vAlign w:val="center"/>
          </w:tcPr>
          <w:p w:rsidR="003C7AFD" w:rsidRPr="00CB053B" w:rsidRDefault="003C7AFD" w:rsidP="00A81FBF">
            <w:pPr>
              <w:pStyle w:val="Table"/>
            </w:pPr>
            <w:r w:rsidRPr="00CB053B">
              <w:t>Seeks to establish that the Tenderer has the level and quality of resources to deliver scope of service delivery requirements</w:t>
            </w:r>
          </w:p>
        </w:tc>
        <w:tc>
          <w:tcPr>
            <w:tcW w:w="4962" w:type="dxa"/>
            <w:shd w:val="clear" w:color="auto" w:fill="auto"/>
            <w:vAlign w:val="center"/>
          </w:tcPr>
          <w:p w:rsidR="003C7AFD" w:rsidRPr="00CB053B" w:rsidRDefault="003C7AFD" w:rsidP="00A81FBF">
            <w:pPr>
              <w:pStyle w:val="Table"/>
            </w:pPr>
            <w:r w:rsidRPr="00CB053B">
              <w:t>The Tenderer</w:t>
            </w:r>
            <w:r>
              <w:t>’s response shows that it</w:t>
            </w:r>
            <w:r w:rsidRPr="00CB053B">
              <w:br/>
              <w:t>- Has provided sufficient resource to deliver the Method Statement proposals</w:t>
            </w:r>
            <w:r w:rsidRPr="00CB053B">
              <w:br/>
              <w:t>- Has identified appropriate management of these resources</w:t>
            </w:r>
            <w:r w:rsidRPr="00CB053B">
              <w:br/>
              <w:t>- Has assigned suitably qualified and experienced resource for service delivery</w:t>
            </w:r>
            <w:r w:rsidRPr="00CB053B">
              <w:br/>
              <w:t xml:space="preserve">- </w:t>
            </w:r>
            <w:r>
              <w:t>Has</w:t>
            </w:r>
            <w:r w:rsidRPr="00CB053B">
              <w:t xml:space="preserve"> </w:t>
            </w:r>
            <w:r>
              <w:t xml:space="preserve">a </w:t>
            </w:r>
            <w:r w:rsidRPr="00CB053B">
              <w:t xml:space="preserve">resource plan </w:t>
            </w:r>
            <w:r>
              <w:t xml:space="preserve">that </w:t>
            </w:r>
            <w:r w:rsidRPr="00CB053B">
              <w:t>integrates with the method statement(s)</w:t>
            </w:r>
          </w:p>
        </w:tc>
        <w:tc>
          <w:tcPr>
            <w:tcW w:w="1086" w:type="dxa"/>
            <w:shd w:val="clear" w:color="auto" w:fill="auto"/>
            <w:vAlign w:val="center"/>
          </w:tcPr>
          <w:p w:rsidR="003C7AFD" w:rsidRPr="004468C0" w:rsidRDefault="003C7AFD" w:rsidP="00C62E71">
            <w:pPr>
              <w:pStyle w:val="Table"/>
              <w:jc w:val="center"/>
            </w:pPr>
            <w:r>
              <w:t>20%</w:t>
            </w:r>
          </w:p>
        </w:tc>
      </w:tr>
      <w:tr w:rsidR="003C7AFD" w:rsidRPr="00A24900" w:rsidTr="00C62E71">
        <w:trPr>
          <w:cantSplit/>
          <w:trHeight w:val="860"/>
        </w:trPr>
        <w:tc>
          <w:tcPr>
            <w:tcW w:w="3622" w:type="dxa"/>
            <w:shd w:val="clear" w:color="auto" w:fill="auto"/>
            <w:vAlign w:val="center"/>
          </w:tcPr>
          <w:p w:rsidR="003C7AFD" w:rsidRPr="004468C0" w:rsidRDefault="00A46B78" w:rsidP="00A81FBF">
            <w:pPr>
              <w:pStyle w:val="Table"/>
            </w:pPr>
            <w:r>
              <w:rPr>
                <w:b/>
                <w:bCs w:val="0"/>
              </w:rPr>
              <w:t xml:space="preserve">B.5 </w:t>
            </w:r>
            <w:r w:rsidR="003C7AFD" w:rsidRPr="00C62E71">
              <w:rPr>
                <w:b/>
                <w:bCs w:val="0"/>
              </w:rPr>
              <w:t>Exit Strategy &amp; Skills Transfer</w:t>
            </w:r>
            <w:r w:rsidR="003C7AFD">
              <w:br/>
              <w:t>Describe the processes and deliverables of the exit phase of the service and how skills will be retained within the Authority.</w:t>
            </w:r>
          </w:p>
        </w:tc>
        <w:tc>
          <w:tcPr>
            <w:tcW w:w="3623" w:type="dxa"/>
            <w:shd w:val="clear" w:color="auto" w:fill="auto"/>
            <w:vAlign w:val="center"/>
          </w:tcPr>
          <w:p w:rsidR="003C7AFD" w:rsidRDefault="003C7AFD" w:rsidP="00A81FBF">
            <w:pPr>
              <w:pStyle w:val="Table"/>
            </w:pPr>
            <w:r>
              <w:t>Seeks to ensure that the Tenderer will transfer knowledge back into the Authority and exit the contract in such a way as to facilitate re-procurement and/or project termination</w:t>
            </w:r>
          </w:p>
        </w:tc>
        <w:tc>
          <w:tcPr>
            <w:tcW w:w="4962" w:type="dxa"/>
            <w:shd w:val="clear" w:color="auto" w:fill="auto"/>
            <w:vAlign w:val="center"/>
          </w:tcPr>
          <w:p w:rsidR="003C7AFD" w:rsidRDefault="003C7AFD" w:rsidP="00A81FBF">
            <w:pPr>
              <w:pStyle w:val="Table"/>
            </w:pPr>
            <w:r>
              <w:t>The Tenderer knowledge transfer arrangements and exit strategy is credible and can achieve the required outputs</w:t>
            </w:r>
          </w:p>
        </w:tc>
        <w:tc>
          <w:tcPr>
            <w:tcW w:w="1086" w:type="dxa"/>
            <w:shd w:val="clear" w:color="auto" w:fill="auto"/>
            <w:vAlign w:val="center"/>
          </w:tcPr>
          <w:p w:rsidR="003C7AFD" w:rsidRPr="004468C0" w:rsidRDefault="003C7AFD" w:rsidP="00C62E71">
            <w:pPr>
              <w:pStyle w:val="Table"/>
              <w:jc w:val="center"/>
            </w:pPr>
            <w:r>
              <w:t>5%</w:t>
            </w:r>
          </w:p>
        </w:tc>
      </w:tr>
    </w:tbl>
    <w:p w:rsidR="00F276E0" w:rsidRDefault="00F276E0" w:rsidP="00F276E0">
      <w:pPr>
        <w:pStyle w:val="Indented"/>
      </w:pPr>
    </w:p>
    <w:p w:rsidR="00F276E0" w:rsidRDefault="00F276E0" w:rsidP="00F276E0">
      <w:pPr>
        <w:pStyle w:val="Indented"/>
        <w:sectPr w:rsidR="00F276E0" w:rsidSect="003C7AFD">
          <w:pgSz w:w="16838" w:h="11906" w:orient="landscape" w:code="9"/>
          <w:pgMar w:top="1134" w:right="1418" w:bottom="1134" w:left="1134" w:header="720" w:footer="720" w:gutter="0"/>
          <w:cols w:space="720"/>
          <w:formProt w:val="0"/>
        </w:sectPr>
      </w:pPr>
    </w:p>
    <w:p w:rsidR="003C7AFD" w:rsidRDefault="00F276E0" w:rsidP="00C471B3">
      <w:pPr>
        <w:keepNext/>
        <w:spacing w:after="120"/>
        <w:ind w:left="851"/>
        <w:jc w:val="center"/>
      </w:pPr>
      <w:r>
        <w:t>Tenders will be scored using the following scoring model:</w:t>
      </w:r>
      <w:bookmarkStart w:id="17" w:name="_Ref303957154"/>
      <w:bookmarkStart w:id="18" w:name="_Ref342917017"/>
    </w:p>
    <w:p w:rsidR="00C471B3" w:rsidRPr="00C471B3" w:rsidRDefault="00C471B3" w:rsidP="00C471B3">
      <w:pPr>
        <w:keepNext/>
        <w:spacing w:after="120"/>
        <w:ind w:left="851"/>
        <w:jc w:val="center"/>
        <w:rPr>
          <w:sz w:val="20"/>
        </w:rPr>
      </w:pPr>
      <w:r w:rsidRPr="00C471B3">
        <w:rPr>
          <w:sz w:val="18"/>
          <w:szCs w:val="18"/>
        </w:rPr>
        <w:t>Table </w:t>
      </w:r>
      <w:r w:rsidRPr="00C471B3">
        <w:rPr>
          <w:b/>
          <w:bCs/>
          <w:sz w:val="20"/>
        </w:rPr>
        <w:fldChar w:fldCharType="begin"/>
      </w:r>
      <w:r w:rsidRPr="00C471B3">
        <w:rPr>
          <w:b/>
          <w:bCs/>
          <w:sz w:val="20"/>
        </w:rPr>
        <w:instrText xml:space="preserve"> SEQ Table \* ARABIC </w:instrText>
      </w:r>
      <w:r w:rsidRPr="00C471B3">
        <w:rPr>
          <w:b/>
          <w:bCs/>
          <w:sz w:val="20"/>
        </w:rPr>
        <w:fldChar w:fldCharType="separate"/>
      </w:r>
      <w:r w:rsidR="004D1C18">
        <w:rPr>
          <w:b/>
          <w:bCs/>
          <w:noProof/>
          <w:sz w:val="20"/>
        </w:rPr>
        <w:t>3</w:t>
      </w:r>
      <w:r w:rsidRPr="00C471B3">
        <w:rPr>
          <w:b/>
          <w:bCs/>
          <w:noProof/>
          <w:sz w:val="20"/>
        </w:rPr>
        <w:fldChar w:fldCharType="end"/>
      </w:r>
      <w:bookmarkEnd w:id="17"/>
      <w:r w:rsidRPr="00C471B3">
        <w:rPr>
          <w:sz w:val="18"/>
          <w:szCs w:val="18"/>
        </w:rPr>
        <w:t xml:space="preserve">: </w:t>
      </w:r>
      <w:r w:rsidRPr="00C471B3">
        <w:rPr>
          <w:sz w:val="20"/>
        </w:rPr>
        <w:t>Generic Technical Evaluation Scoring Scheme</w:t>
      </w:r>
    </w:p>
    <w:tbl>
      <w:tblPr>
        <w:tblStyle w:val="TableGrid"/>
        <w:tblW w:w="9072" w:type="dxa"/>
        <w:tblInd w:w="392" w:type="dxa"/>
        <w:tblLayout w:type="fixed"/>
        <w:tblLook w:val="01E0" w:firstRow="1" w:lastRow="1" w:firstColumn="1" w:lastColumn="1" w:noHBand="0" w:noVBand="0"/>
      </w:tblPr>
      <w:tblGrid>
        <w:gridCol w:w="992"/>
        <w:gridCol w:w="1276"/>
        <w:gridCol w:w="6804"/>
      </w:tblGrid>
      <w:tr w:rsidR="00C471B3" w:rsidRPr="00C471B3" w:rsidTr="003C7AFD">
        <w:trPr>
          <w:cantSplit/>
          <w:trHeight w:val="70"/>
          <w:tblHeader/>
        </w:trPr>
        <w:tc>
          <w:tcPr>
            <w:tcW w:w="992" w:type="dxa"/>
            <w:shd w:val="clear" w:color="auto" w:fill="FF99CC"/>
            <w:vAlign w:val="center"/>
          </w:tcPr>
          <w:p w:rsidR="00C471B3" w:rsidRPr="00C471B3" w:rsidRDefault="00C471B3" w:rsidP="00C471B3">
            <w:pPr>
              <w:keepNext/>
              <w:spacing w:before="120" w:after="120"/>
              <w:ind w:left="74"/>
              <w:rPr>
                <w:b/>
                <w:iCs/>
                <w:smallCaps/>
                <w:sz w:val="22"/>
                <w:szCs w:val="22"/>
              </w:rPr>
            </w:pPr>
            <w:r w:rsidRPr="00C471B3">
              <w:rPr>
                <w:b/>
                <w:iCs/>
                <w:smallCaps/>
                <w:sz w:val="22"/>
                <w:szCs w:val="22"/>
              </w:rPr>
              <w:t>Grade</w:t>
            </w:r>
          </w:p>
        </w:tc>
        <w:tc>
          <w:tcPr>
            <w:tcW w:w="1276" w:type="dxa"/>
            <w:shd w:val="clear" w:color="auto" w:fill="FF99CC"/>
            <w:vAlign w:val="center"/>
          </w:tcPr>
          <w:p w:rsidR="00C471B3" w:rsidRPr="00C471B3" w:rsidRDefault="00C471B3" w:rsidP="00C471B3">
            <w:pPr>
              <w:keepNext/>
              <w:spacing w:before="120" w:after="120"/>
              <w:ind w:left="74"/>
              <w:rPr>
                <w:b/>
                <w:iCs/>
                <w:smallCaps/>
                <w:sz w:val="22"/>
                <w:szCs w:val="22"/>
              </w:rPr>
            </w:pPr>
            <w:r w:rsidRPr="00C471B3">
              <w:rPr>
                <w:b/>
                <w:iCs/>
                <w:smallCaps/>
                <w:sz w:val="22"/>
                <w:szCs w:val="22"/>
              </w:rPr>
              <w:t xml:space="preserve">Grade label </w:t>
            </w:r>
          </w:p>
        </w:tc>
        <w:tc>
          <w:tcPr>
            <w:tcW w:w="6804" w:type="dxa"/>
            <w:shd w:val="clear" w:color="auto" w:fill="FF99CC"/>
            <w:vAlign w:val="center"/>
          </w:tcPr>
          <w:p w:rsidR="00C471B3" w:rsidRPr="00C471B3" w:rsidRDefault="00C471B3" w:rsidP="00C471B3">
            <w:pPr>
              <w:keepNext/>
              <w:spacing w:before="120" w:after="120"/>
              <w:ind w:left="74"/>
              <w:rPr>
                <w:b/>
                <w:iCs/>
                <w:smallCaps/>
                <w:sz w:val="22"/>
                <w:szCs w:val="22"/>
              </w:rPr>
            </w:pPr>
            <w:r w:rsidRPr="00C471B3">
              <w:rPr>
                <w:b/>
                <w:iCs/>
                <w:smallCaps/>
                <w:sz w:val="22"/>
                <w:szCs w:val="22"/>
              </w:rPr>
              <w:t>Definition of grade</w:t>
            </w:r>
          </w:p>
        </w:tc>
      </w:tr>
    </w:tbl>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1276"/>
        <w:gridCol w:w="6804"/>
      </w:tblGrid>
      <w:tr w:rsidR="00C471B3" w:rsidRPr="00C471B3" w:rsidTr="003C7AFD">
        <w:trPr>
          <w:cantSplit/>
          <w:trHeight w:val="861"/>
        </w:trPr>
        <w:tc>
          <w:tcPr>
            <w:tcW w:w="992" w:type="dxa"/>
            <w:tcMar>
              <w:top w:w="0" w:type="dxa"/>
              <w:left w:w="108" w:type="dxa"/>
              <w:bottom w:w="0" w:type="dxa"/>
              <w:right w:w="108" w:type="dxa"/>
            </w:tcMar>
            <w:vAlign w:val="center"/>
            <w:hideMark/>
          </w:tcPr>
          <w:p w:rsidR="00C471B3" w:rsidRPr="00C471B3" w:rsidRDefault="00C471B3" w:rsidP="00C471B3">
            <w:pPr>
              <w:keepNext/>
              <w:autoSpaceDE w:val="0"/>
              <w:autoSpaceDN w:val="0"/>
              <w:spacing w:before="40" w:after="40"/>
              <w:ind w:right="130"/>
              <w:jc w:val="center"/>
              <w:rPr>
                <w:rFonts w:asciiTheme="minorHAnsi" w:eastAsiaTheme="minorHAnsi" w:hAnsiTheme="minorHAnsi" w:cstheme="minorHAnsi"/>
                <w:sz w:val="22"/>
                <w:szCs w:val="22"/>
                <w:lang w:eastAsia="en-GB"/>
              </w:rPr>
            </w:pPr>
            <w:r w:rsidRPr="00C471B3">
              <w:rPr>
                <w:rFonts w:asciiTheme="minorHAnsi" w:eastAsiaTheme="minorHAnsi" w:hAnsiTheme="minorHAnsi" w:cstheme="minorHAnsi"/>
                <w:sz w:val="22"/>
                <w:szCs w:val="22"/>
                <w:lang w:eastAsia="en-GB"/>
              </w:rPr>
              <w:t>5</w:t>
            </w:r>
          </w:p>
        </w:tc>
        <w:tc>
          <w:tcPr>
            <w:tcW w:w="1276" w:type="dxa"/>
            <w:vAlign w:val="center"/>
          </w:tcPr>
          <w:p w:rsidR="00C471B3" w:rsidRPr="00C471B3" w:rsidRDefault="00C471B3" w:rsidP="00C471B3">
            <w:pPr>
              <w:jc w:val="center"/>
              <w:rPr>
                <w:rFonts w:asciiTheme="minorHAnsi" w:hAnsiTheme="minorHAnsi" w:cstheme="minorHAnsi"/>
                <w:sz w:val="22"/>
                <w:szCs w:val="22"/>
                <w:lang w:eastAsia="en-GB"/>
              </w:rPr>
            </w:pPr>
            <w:r w:rsidRPr="00C471B3">
              <w:rPr>
                <w:rFonts w:asciiTheme="minorHAnsi" w:hAnsiTheme="minorHAnsi" w:cstheme="minorHAnsi"/>
                <w:sz w:val="22"/>
                <w:szCs w:val="22"/>
                <w:lang w:eastAsia="en-GB"/>
              </w:rPr>
              <w:t>Excellent</w:t>
            </w:r>
          </w:p>
        </w:tc>
        <w:tc>
          <w:tcPr>
            <w:tcW w:w="6804" w:type="dxa"/>
            <w:tcMar>
              <w:top w:w="0" w:type="dxa"/>
              <w:left w:w="108" w:type="dxa"/>
              <w:bottom w:w="0" w:type="dxa"/>
              <w:right w:w="108" w:type="dxa"/>
            </w:tcMar>
            <w:hideMark/>
          </w:tcPr>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A wholly excellent Tender Response that (where applicable):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xml:space="preserve">a)     Addresses all aspects of the question in an informed and comprehensive manner; </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b)    Demonstrates a thorough understanding of what is being asked for;</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c)     Provides evidence of how that understanding can be applied in practice;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d)    Offers full confidence that the Tenderer will deliver the service in full;</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xml:space="preserve">e)     Addresses the majority of areas of doubt and uncertainty; and </w:t>
            </w:r>
          </w:p>
          <w:p w:rsidR="00C471B3" w:rsidRPr="00C471B3" w:rsidRDefault="00C471B3" w:rsidP="00C471B3">
            <w:pPr>
              <w:ind w:left="720"/>
              <w:contextualSpacing/>
              <w:rPr>
                <w:rFonts w:asciiTheme="minorHAnsi" w:eastAsia="Calibri" w:hAnsiTheme="minorHAnsi" w:cstheme="minorHAnsi"/>
                <w:sz w:val="22"/>
                <w:szCs w:val="22"/>
                <w:lang w:eastAsia="en-GB"/>
              </w:rPr>
            </w:pPr>
            <w:r w:rsidRPr="00C471B3">
              <w:rPr>
                <w:rFonts w:asciiTheme="minorHAnsi" w:eastAsia="Calibr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f)     Provides certain, unambiguous commitments or statements of intent that permit reliance through translation into contractual terms  </w:t>
            </w:r>
          </w:p>
        </w:tc>
      </w:tr>
      <w:tr w:rsidR="00C471B3" w:rsidRPr="00C471B3" w:rsidTr="003C7AFD">
        <w:trPr>
          <w:cantSplit/>
          <w:trHeight w:val="860"/>
        </w:trPr>
        <w:tc>
          <w:tcPr>
            <w:tcW w:w="992" w:type="dxa"/>
            <w:tcMar>
              <w:top w:w="0" w:type="dxa"/>
              <w:left w:w="108" w:type="dxa"/>
              <w:bottom w:w="0" w:type="dxa"/>
              <w:right w:w="108" w:type="dxa"/>
            </w:tcMar>
            <w:vAlign w:val="center"/>
            <w:hideMark/>
          </w:tcPr>
          <w:p w:rsidR="00C471B3" w:rsidRPr="00C471B3" w:rsidRDefault="00C471B3" w:rsidP="00C471B3">
            <w:pPr>
              <w:keepNext/>
              <w:autoSpaceDE w:val="0"/>
              <w:autoSpaceDN w:val="0"/>
              <w:spacing w:before="40" w:after="40"/>
              <w:ind w:right="130"/>
              <w:jc w:val="center"/>
              <w:rPr>
                <w:rFonts w:asciiTheme="minorHAnsi" w:eastAsiaTheme="minorHAnsi" w:hAnsiTheme="minorHAnsi" w:cstheme="minorHAnsi"/>
                <w:sz w:val="22"/>
                <w:szCs w:val="22"/>
                <w:lang w:eastAsia="en-GB"/>
              </w:rPr>
            </w:pPr>
            <w:r w:rsidRPr="00C471B3">
              <w:rPr>
                <w:rFonts w:asciiTheme="minorHAnsi" w:eastAsiaTheme="minorHAnsi" w:hAnsiTheme="minorHAnsi" w:cstheme="minorHAnsi"/>
                <w:sz w:val="22"/>
                <w:szCs w:val="22"/>
                <w:lang w:eastAsia="en-GB"/>
              </w:rPr>
              <w:t>4</w:t>
            </w:r>
          </w:p>
        </w:tc>
        <w:tc>
          <w:tcPr>
            <w:tcW w:w="1276" w:type="dxa"/>
            <w:vAlign w:val="center"/>
          </w:tcPr>
          <w:p w:rsidR="00C471B3" w:rsidRPr="00C471B3" w:rsidRDefault="00C471B3" w:rsidP="00C471B3">
            <w:pPr>
              <w:jc w:val="center"/>
              <w:rPr>
                <w:rFonts w:asciiTheme="minorHAnsi" w:hAnsiTheme="minorHAnsi" w:cstheme="minorHAnsi"/>
                <w:sz w:val="22"/>
                <w:szCs w:val="22"/>
              </w:rPr>
            </w:pPr>
            <w:r w:rsidRPr="00C471B3">
              <w:rPr>
                <w:rFonts w:asciiTheme="minorHAnsi" w:hAnsiTheme="minorHAnsi" w:cstheme="minorHAnsi"/>
                <w:sz w:val="22"/>
                <w:szCs w:val="22"/>
              </w:rPr>
              <w:t>Very Good</w:t>
            </w:r>
          </w:p>
        </w:tc>
        <w:tc>
          <w:tcPr>
            <w:tcW w:w="6804" w:type="dxa"/>
            <w:tcMar>
              <w:top w:w="0" w:type="dxa"/>
              <w:left w:w="108" w:type="dxa"/>
              <w:bottom w:w="0" w:type="dxa"/>
              <w:right w:w="108" w:type="dxa"/>
            </w:tcMar>
            <w:hideMark/>
          </w:tcPr>
          <w:p w:rsidR="00C471B3" w:rsidRPr="00C471B3" w:rsidRDefault="00C471B3" w:rsidP="00C471B3">
            <w:pPr>
              <w:rPr>
                <w:rFonts w:asciiTheme="minorHAnsi" w:hAnsiTheme="minorHAnsi" w:cstheme="minorHAnsi"/>
                <w:sz w:val="22"/>
                <w:szCs w:val="22"/>
              </w:rPr>
            </w:pPr>
            <w:r w:rsidRPr="00C471B3">
              <w:rPr>
                <w:rFonts w:asciiTheme="minorHAnsi" w:hAnsiTheme="minorHAnsi" w:cstheme="minorHAnsi"/>
                <w:sz w:val="22"/>
                <w:szCs w:val="22"/>
              </w:rPr>
              <w:t> A good Tender Response that (where applicable):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a)     Addresses all aspects of the question and is generally of a good standard;</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b)    Demonstrates a good understanding of what is being asked for;</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c)     Provides a worked-up methodical approach;</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d)    Offers confidence that the Tenderer will deliver the service in full with limited areas of doubt or uncertainty;</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xml:space="preserve">e)     Addresses key areas of doubt and uncertainty; and </w:t>
            </w:r>
          </w:p>
          <w:p w:rsidR="00C471B3" w:rsidRPr="00C471B3" w:rsidRDefault="00C471B3" w:rsidP="00C471B3">
            <w:pPr>
              <w:ind w:left="720"/>
              <w:contextualSpacing/>
              <w:rPr>
                <w:rFonts w:asciiTheme="minorHAnsi" w:eastAsia="Calibri" w:hAnsiTheme="minorHAnsi" w:cstheme="minorHAnsi"/>
                <w:sz w:val="22"/>
                <w:szCs w:val="22"/>
                <w:lang w:eastAsia="en-GB"/>
              </w:rPr>
            </w:pPr>
            <w:r w:rsidRPr="00C471B3">
              <w:rPr>
                <w:rFonts w:asciiTheme="minorHAnsi" w:eastAsia="Calibr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f)     Provides commitments that can be translated well into contractual terms </w:t>
            </w:r>
          </w:p>
        </w:tc>
      </w:tr>
      <w:tr w:rsidR="00C471B3" w:rsidRPr="00C471B3" w:rsidTr="003C7AFD">
        <w:trPr>
          <w:cantSplit/>
          <w:trHeight w:val="861"/>
        </w:trPr>
        <w:tc>
          <w:tcPr>
            <w:tcW w:w="992" w:type="dxa"/>
            <w:tcMar>
              <w:top w:w="0" w:type="dxa"/>
              <w:left w:w="108" w:type="dxa"/>
              <w:bottom w:w="0" w:type="dxa"/>
              <w:right w:w="108" w:type="dxa"/>
            </w:tcMar>
            <w:vAlign w:val="center"/>
            <w:hideMark/>
          </w:tcPr>
          <w:p w:rsidR="00C471B3" w:rsidRPr="00C471B3" w:rsidRDefault="00C471B3" w:rsidP="00C471B3">
            <w:pPr>
              <w:keepNext/>
              <w:autoSpaceDE w:val="0"/>
              <w:autoSpaceDN w:val="0"/>
              <w:spacing w:before="40" w:after="40"/>
              <w:ind w:right="130"/>
              <w:jc w:val="center"/>
              <w:rPr>
                <w:rFonts w:asciiTheme="minorHAnsi" w:eastAsiaTheme="minorHAnsi" w:hAnsiTheme="minorHAnsi" w:cstheme="minorHAnsi"/>
                <w:sz w:val="22"/>
                <w:szCs w:val="22"/>
                <w:lang w:eastAsia="en-GB"/>
              </w:rPr>
            </w:pPr>
            <w:r w:rsidRPr="00C471B3">
              <w:rPr>
                <w:rFonts w:asciiTheme="minorHAnsi" w:eastAsiaTheme="minorHAnsi" w:hAnsiTheme="minorHAnsi" w:cstheme="minorHAnsi"/>
                <w:sz w:val="22"/>
                <w:szCs w:val="22"/>
                <w:lang w:eastAsia="en-GB"/>
              </w:rPr>
              <w:t>3</w:t>
            </w:r>
          </w:p>
        </w:tc>
        <w:tc>
          <w:tcPr>
            <w:tcW w:w="1276" w:type="dxa"/>
            <w:vAlign w:val="center"/>
          </w:tcPr>
          <w:p w:rsidR="00C471B3" w:rsidRPr="00C471B3" w:rsidRDefault="00C471B3" w:rsidP="00C471B3">
            <w:pPr>
              <w:jc w:val="center"/>
              <w:rPr>
                <w:rFonts w:asciiTheme="minorHAnsi" w:hAnsiTheme="minorHAnsi" w:cstheme="minorHAnsi"/>
                <w:sz w:val="22"/>
                <w:szCs w:val="22"/>
              </w:rPr>
            </w:pPr>
            <w:r w:rsidRPr="00C471B3">
              <w:rPr>
                <w:rFonts w:asciiTheme="minorHAnsi" w:hAnsiTheme="minorHAnsi" w:cstheme="minorHAnsi"/>
                <w:sz w:val="22"/>
                <w:szCs w:val="22"/>
              </w:rPr>
              <w:t>Good</w:t>
            </w:r>
          </w:p>
        </w:tc>
        <w:tc>
          <w:tcPr>
            <w:tcW w:w="6804" w:type="dxa"/>
            <w:tcMar>
              <w:top w:w="0" w:type="dxa"/>
              <w:left w:w="108" w:type="dxa"/>
              <w:bottom w:w="0" w:type="dxa"/>
              <w:right w:w="108" w:type="dxa"/>
            </w:tcMar>
            <w:hideMark/>
          </w:tcPr>
          <w:p w:rsidR="00C471B3" w:rsidRPr="00C471B3" w:rsidRDefault="00C471B3" w:rsidP="00C471B3">
            <w:pPr>
              <w:rPr>
                <w:rFonts w:asciiTheme="minorHAnsi" w:hAnsiTheme="minorHAnsi" w:cstheme="minorHAnsi"/>
                <w:sz w:val="22"/>
                <w:szCs w:val="22"/>
              </w:rPr>
            </w:pPr>
            <w:r w:rsidRPr="00C471B3">
              <w:rPr>
                <w:rFonts w:asciiTheme="minorHAnsi" w:hAnsiTheme="minorHAnsi" w:cstheme="minorHAnsi"/>
                <w:sz w:val="22"/>
                <w:szCs w:val="22"/>
              </w:rPr>
              <w:t> A satisfactory Tender Response that (where applicable):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a)     Addresses the majority of the question and is generally of a good standard but lacks substance or detail in some areas;</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b)    Demonstrates an understanding of what is being asked for;</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c)     Provides a satisfactory approach;</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d)    Offers a general level of confidence that the Tenderer will deliver the service (but with room for doubt in some areas);</w:t>
            </w:r>
          </w:p>
          <w:p w:rsidR="00C471B3" w:rsidRPr="00C471B3" w:rsidRDefault="00C471B3" w:rsidP="00C471B3">
            <w:pPr>
              <w:ind w:left="720"/>
              <w:contextualSpacing/>
              <w:rPr>
                <w:rFonts w:asciiTheme="minorHAnsi" w:eastAsia="Calibri" w:hAnsiTheme="minorHAnsi" w:cstheme="minorHAnsi"/>
                <w:sz w:val="22"/>
                <w:szCs w:val="22"/>
                <w:lang w:eastAsia="en-GB"/>
              </w:rPr>
            </w:pPr>
            <w:r w:rsidRPr="00C471B3">
              <w:rPr>
                <w:rFonts w:asciiTheme="minorHAnsi" w:eastAsia="Calibr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e)     Address some areas of doubt and uncertainty; and</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f)     Provides some commitments that can be translated well into contractual terms.</w:t>
            </w:r>
          </w:p>
          <w:p w:rsidR="00C471B3" w:rsidRPr="00C471B3" w:rsidRDefault="00C471B3" w:rsidP="00C471B3">
            <w:pPr>
              <w:rPr>
                <w:rFonts w:asciiTheme="minorHAnsi" w:hAnsiTheme="minorHAnsi" w:cstheme="minorHAnsi"/>
                <w:sz w:val="22"/>
                <w:szCs w:val="22"/>
              </w:rPr>
            </w:pPr>
            <w:r w:rsidRPr="00C471B3">
              <w:rPr>
                <w:rFonts w:asciiTheme="minorHAnsi" w:hAnsiTheme="minorHAnsi" w:cstheme="minorHAnsi"/>
                <w:sz w:val="22"/>
                <w:szCs w:val="22"/>
              </w:rPr>
              <w:t> </w:t>
            </w:r>
          </w:p>
        </w:tc>
      </w:tr>
      <w:tr w:rsidR="00C471B3" w:rsidRPr="00C471B3" w:rsidTr="003C7AFD">
        <w:trPr>
          <w:cantSplit/>
          <w:trHeight w:val="861"/>
        </w:trPr>
        <w:tc>
          <w:tcPr>
            <w:tcW w:w="992" w:type="dxa"/>
            <w:tcMar>
              <w:top w:w="0" w:type="dxa"/>
              <w:left w:w="108" w:type="dxa"/>
              <w:bottom w:w="0" w:type="dxa"/>
              <w:right w:w="108" w:type="dxa"/>
            </w:tcMar>
            <w:vAlign w:val="center"/>
            <w:hideMark/>
          </w:tcPr>
          <w:p w:rsidR="00C471B3" w:rsidRPr="00C471B3" w:rsidRDefault="00C471B3" w:rsidP="00C471B3">
            <w:pPr>
              <w:keepNext/>
              <w:autoSpaceDE w:val="0"/>
              <w:autoSpaceDN w:val="0"/>
              <w:spacing w:before="40" w:after="40"/>
              <w:ind w:right="130"/>
              <w:jc w:val="center"/>
              <w:rPr>
                <w:rFonts w:asciiTheme="minorHAnsi" w:eastAsiaTheme="minorHAnsi" w:hAnsiTheme="minorHAnsi" w:cstheme="minorHAnsi"/>
                <w:sz w:val="22"/>
                <w:szCs w:val="22"/>
                <w:lang w:eastAsia="en-GB"/>
              </w:rPr>
            </w:pPr>
            <w:r w:rsidRPr="00C471B3">
              <w:rPr>
                <w:rFonts w:asciiTheme="minorHAnsi" w:eastAsiaTheme="minorHAnsi" w:hAnsiTheme="minorHAnsi" w:cstheme="minorHAnsi"/>
                <w:sz w:val="22"/>
                <w:szCs w:val="22"/>
                <w:lang w:eastAsia="en-GB"/>
              </w:rPr>
              <w:t>2</w:t>
            </w:r>
          </w:p>
        </w:tc>
        <w:tc>
          <w:tcPr>
            <w:tcW w:w="1276" w:type="dxa"/>
            <w:vAlign w:val="center"/>
          </w:tcPr>
          <w:p w:rsidR="00C471B3" w:rsidRPr="00C471B3" w:rsidRDefault="00C471B3" w:rsidP="00C471B3">
            <w:pPr>
              <w:jc w:val="center"/>
              <w:rPr>
                <w:rFonts w:asciiTheme="minorHAnsi" w:hAnsiTheme="minorHAnsi" w:cstheme="minorHAnsi"/>
                <w:sz w:val="22"/>
                <w:szCs w:val="22"/>
              </w:rPr>
            </w:pPr>
            <w:r w:rsidRPr="00C471B3">
              <w:rPr>
                <w:rFonts w:asciiTheme="minorHAnsi" w:hAnsiTheme="minorHAnsi" w:cstheme="minorHAnsi"/>
                <w:sz w:val="22"/>
                <w:szCs w:val="22"/>
              </w:rPr>
              <w:t>Satisfactory</w:t>
            </w:r>
          </w:p>
        </w:tc>
        <w:tc>
          <w:tcPr>
            <w:tcW w:w="6804" w:type="dxa"/>
            <w:tcMar>
              <w:top w:w="0" w:type="dxa"/>
              <w:left w:w="108" w:type="dxa"/>
              <w:bottom w:w="0" w:type="dxa"/>
              <w:right w:w="108" w:type="dxa"/>
            </w:tcMar>
            <w:hideMark/>
          </w:tcPr>
          <w:p w:rsidR="00C471B3" w:rsidRPr="00C471B3" w:rsidRDefault="00C471B3" w:rsidP="00C471B3">
            <w:pPr>
              <w:rPr>
                <w:rFonts w:asciiTheme="minorHAnsi" w:hAnsiTheme="minorHAnsi" w:cstheme="minorHAnsi"/>
                <w:sz w:val="22"/>
                <w:szCs w:val="22"/>
              </w:rPr>
            </w:pPr>
            <w:r w:rsidRPr="00C471B3">
              <w:rPr>
                <w:rFonts w:asciiTheme="minorHAnsi" w:hAnsiTheme="minorHAnsi" w:cstheme="minorHAnsi"/>
                <w:sz w:val="22"/>
                <w:szCs w:val="22"/>
              </w:rPr>
              <w:t> A  Tender Response that (where applicable):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xml:space="preserve">a)     Addresses some of the question but </w:t>
            </w:r>
            <w:r w:rsidRPr="00C471B3">
              <w:rPr>
                <w:rFonts w:asciiTheme="minorHAnsi" w:hAnsiTheme="minorHAnsi" w:cstheme="minorHAnsi"/>
                <w:i/>
                <w:iCs/>
                <w:sz w:val="22"/>
                <w:szCs w:val="22"/>
                <w:lang w:eastAsia="en-GB"/>
              </w:rPr>
              <w:t xml:space="preserve">either </w:t>
            </w:r>
            <w:r w:rsidRPr="00C471B3">
              <w:rPr>
                <w:rFonts w:asciiTheme="minorHAnsi" w:hAnsiTheme="minorHAnsi" w:cstheme="minorHAnsi"/>
                <w:sz w:val="22"/>
                <w:szCs w:val="22"/>
                <w:lang w:eastAsia="en-GB"/>
              </w:rPr>
              <w:t xml:space="preserve">lacks relevant information and detail </w:t>
            </w:r>
            <w:r w:rsidRPr="00C471B3">
              <w:rPr>
                <w:rFonts w:asciiTheme="minorHAnsi" w:hAnsiTheme="minorHAnsi" w:cstheme="minorHAnsi"/>
                <w:i/>
                <w:iCs/>
                <w:sz w:val="22"/>
                <w:szCs w:val="22"/>
                <w:lang w:eastAsia="en-GB"/>
              </w:rPr>
              <w:t xml:space="preserve">or </w:t>
            </w:r>
            <w:r w:rsidRPr="00C471B3">
              <w:rPr>
                <w:rFonts w:asciiTheme="minorHAnsi" w:hAnsiTheme="minorHAnsi" w:cstheme="minorHAnsi"/>
                <w:sz w:val="22"/>
                <w:szCs w:val="22"/>
                <w:lang w:eastAsia="en-GB"/>
              </w:rPr>
              <w:t>lacks substance in a manner that would suggest the response is a “model answer”;</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b)    Demonstrates some understanding but with a lack of clarity in key areas;</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c)     Provides an approach which is not wholly appropriate or viable or</w:t>
            </w:r>
            <w:r w:rsidRPr="00C471B3">
              <w:rPr>
                <w:rFonts w:asciiTheme="minorHAnsi" w:hAnsiTheme="minorHAnsi" w:cstheme="minorHAnsi"/>
                <w:i/>
                <w:iCs/>
                <w:sz w:val="22"/>
                <w:szCs w:val="22"/>
                <w:lang w:eastAsia="en-GB"/>
              </w:rPr>
              <w:t xml:space="preserve"> </w:t>
            </w:r>
            <w:r w:rsidRPr="00C471B3">
              <w:rPr>
                <w:rFonts w:asciiTheme="minorHAnsi" w:hAnsiTheme="minorHAnsi" w:cstheme="minorHAnsi"/>
                <w:sz w:val="22"/>
                <w:szCs w:val="22"/>
                <w:lang w:eastAsia="en-GB"/>
              </w:rPr>
              <w:t>lacks evidence;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d)    Shows that the level of confidence that the supplier can deliver does not outweigh the doubt;</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e)     Does not address many areas of doubt and uncertainty; and</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f)     Does not offer sufficient commitment (with doubt as to the extent to which would translate into contractual terms)</w:t>
            </w:r>
          </w:p>
          <w:p w:rsidR="00C471B3" w:rsidRPr="00C471B3" w:rsidRDefault="00C471B3" w:rsidP="00C471B3">
            <w:pPr>
              <w:rPr>
                <w:rFonts w:asciiTheme="minorHAnsi" w:hAnsiTheme="minorHAnsi" w:cstheme="minorHAnsi"/>
                <w:sz w:val="22"/>
                <w:szCs w:val="22"/>
              </w:rPr>
            </w:pPr>
            <w:r w:rsidRPr="00C471B3">
              <w:rPr>
                <w:rFonts w:asciiTheme="minorHAnsi" w:hAnsiTheme="minorHAnsi" w:cstheme="minorHAnsi"/>
                <w:sz w:val="22"/>
                <w:szCs w:val="22"/>
              </w:rPr>
              <w:t> </w:t>
            </w:r>
          </w:p>
        </w:tc>
      </w:tr>
      <w:tr w:rsidR="00C471B3" w:rsidRPr="00C471B3" w:rsidTr="003C7AFD">
        <w:trPr>
          <w:cantSplit/>
          <w:trHeight w:val="3812"/>
        </w:trPr>
        <w:tc>
          <w:tcPr>
            <w:tcW w:w="992" w:type="dxa"/>
            <w:tcMar>
              <w:top w:w="0" w:type="dxa"/>
              <w:left w:w="108" w:type="dxa"/>
              <w:bottom w:w="0" w:type="dxa"/>
              <w:right w:w="108" w:type="dxa"/>
            </w:tcMar>
            <w:vAlign w:val="center"/>
            <w:hideMark/>
          </w:tcPr>
          <w:p w:rsidR="00C471B3" w:rsidRPr="00C471B3" w:rsidRDefault="00C471B3" w:rsidP="00C471B3">
            <w:pPr>
              <w:keepNext/>
              <w:autoSpaceDE w:val="0"/>
              <w:autoSpaceDN w:val="0"/>
              <w:spacing w:before="40" w:after="40"/>
              <w:ind w:right="130"/>
              <w:jc w:val="center"/>
              <w:rPr>
                <w:rFonts w:asciiTheme="minorHAnsi" w:eastAsiaTheme="minorHAnsi" w:hAnsiTheme="minorHAnsi" w:cstheme="minorHAnsi"/>
                <w:sz w:val="22"/>
                <w:szCs w:val="22"/>
                <w:lang w:eastAsia="en-GB"/>
              </w:rPr>
            </w:pPr>
            <w:r w:rsidRPr="00C471B3">
              <w:rPr>
                <w:rFonts w:asciiTheme="minorHAnsi" w:eastAsiaTheme="minorHAnsi" w:hAnsiTheme="minorHAnsi" w:cstheme="minorHAnsi"/>
                <w:sz w:val="22"/>
                <w:szCs w:val="22"/>
                <w:lang w:eastAsia="en-GB"/>
              </w:rPr>
              <w:t>1</w:t>
            </w:r>
          </w:p>
        </w:tc>
        <w:tc>
          <w:tcPr>
            <w:tcW w:w="1276" w:type="dxa"/>
            <w:vAlign w:val="center"/>
          </w:tcPr>
          <w:p w:rsidR="00C471B3" w:rsidRPr="00C471B3" w:rsidRDefault="00C471B3" w:rsidP="00C471B3">
            <w:pPr>
              <w:jc w:val="center"/>
              <w:rPr>
                <w:rFonts w:asciiTheme="minorHAnsi" w:hAnsiTheme="minorHAnsi" w:cstheme="minorHAnsi"/>
                <w:sz w:val="22"/>
                <w:szCs w:val="22"/>
              </w:rPr>
            </w:pPr>
            <w:r w:rsidRPr="00C471B3">
              <w:rPr>
                <w:rFonts w:asciiTheme="minorHAnsi" w:hAnsiTheme="minorHAnsi" w:cstheme="minorHAnsi"/>
                <w:sz w:val="22"/>
                <w:szCs w:val="22"/>
              </w:rPr>
              <w:t>Weak</w:t>
            </w:r>
          </w:p>
        </w:tc>
        <w:tc>
          <w:tcPr>
            <w:tcW w:w="6804" w:type="dxa"/>
            <w:tcMar>
              <w:top w:w="0" w:type="dxa"/>
              <w:left w:w="108" w:type="dxa"/>
              <w:bottom w:w="0" w:type="dxa"/>
              <w:right w:w="108" w:type="dxa"/>
            </w:tcMar>
            <w:hideMark/>
          </w:tcPr>
          <w:p w:rsidR="00C471B3" w:rsidRPr="00C471B3" w:rsidRDefault="00C471B3" w:rsidP="00C471B3">
            <w:pPr>
              <w:rPr>
                <w:rFonts w:asciiTheme="minorHAnsi" w:hAnsiTheme="minorHAnsi" w:cstheme="minorHAnsi"/>
                <w:sz w:val="22"/>
                <w:szCs w:val="22"/>
              </w:rPr>
            </w:pPr>
            <w:r w:rsidRPr="00C471B3">
              <w:rPr>
                <w:rFonts w:asciiTheme="minorHAnsi" w:hAnsiTheme="minorHAnsi" w:cstheme="minorHAnsi"/>
                <w:sz w:val="22"/>
                <w:szCs w:val="22"/>
              </w:rPr>
              <w:t> A generally unsatisfactory Tenderer response that (where applicable):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a)     Does not address the question or has omissions;</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b)    Lacks understanding in significant areas:</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c)     Provides an approach which has gaps or creates concerns;</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d)    Shows that the level of confidence that the supplier can deliver is low;</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e)     Creates uncertainty; and</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xml:space="preserve">f)      Displays significant lack of commitment (with doubt as to the extent to which would translate into contractual terms)                                    </w:t>
            </w:r>
          </w:p>
          <w:p w:rsidR="00C471B3" w:rsidRPr="00C471B3" w:rsidRDefault="00C471B3" w:rsidP="00C471B3">
            <w:pPr>
              <w:rPr>
                <w:rFonts w:asciiTheme="minorHAnsi" w:hAnsiTheme="minorHAnsi" w:cstheme="minorHAnsi"/>
                <w:sz w:val="22"/>
                <w:szCs w:val="22"/>
              </w:rPr>
            </w:pPr>
          </w:p>
        </w:tc>
      </w:tr>
      <w:tr w:rsidR="00C471B3" w:rsidRPr="00C471B3" w:rsidTr="003C7AFD">
        <w:trPr>
          <w:cantSplit/>
          <w:trHeight w:val="861"/>
        </w:trPr>
        <w:tc>
          <w:tcPr>
            <w:tcW w:w="992" w:type="dxa"/>
            <w:tcMar>
              <w:top w:w="0" w:type="dxa"/>
              <w:left w:w="108" w:type="dxa"/>
              <w:bottom w:w="0" w:type="dxa"/>
              <w:right w:w="108" w:type="dxa"/>
            </w:tcMar>
            <w:vAlign w:val="center"/>
            <w:hideMark/>
          </w:tcPr>
          <w:p w:rsidR="00C471B3" w:rsidRPr="00C471B3" w:rsidRDefault="00C471B3" w:rsidP="00C471B3">
            <w:pPr>
              <w:keepNext/>
              <w:autoSpaceDE w:val="0"/>
              <w:autoSpaceDN w:val="0"/>
              <w:spacing w:before="40" w:after="40"/>
              <w:ind w:right="130"/>
              <w:jc w:val="center"/>
              <w:rPr>
                <w:rFonts w:asciiTheme="minorHAnsi" w:eastAsiaTheme="minorHAnsi" w:hAnsiTheme="minorHAnsi" w:cstheme="minorHAnsi"/>
                <w:sz w:val="22"/>
                <w:szCs w:val="22"/>
                <w:lang w:eastAsia="en-GB"/>
              </w:rPr>
            </w:pPr>
            <w:r w:rsidRPr="00C471B3">
              <w:rPr>
                <w:rFonts w:asciiTheme="minorHAnsi" w:eastAsiaTheme="minorHAnsi" w:hAnsiTheme="minorHAnsi" w:cstheme="minorHAnsi"/>
                <w:sz w:val="22"/>
                <w:szCs w:val="22"/>
                <w:lang w:eastAsia="en-GB"/>
              </w:rPr>
              <w:t>0</w:t>
            </w:r>
          </w:p>
        </w:tc>
        <w:tc>
          <w:tcPr>
            <w:tcW w:w="1276" w:type="dxa"/>
            <w:vAlign w:val="center"/>
          </w:tcPr>
          <w:p w:rsidR="00C471B3" w:rsidRPr="00C471B3" w:rsidRDefault="00C471B3" w:rsidP="00C471B3">
            <w:pPr>
              <w:jc w:val="center"/>
              <w:rPr>
                <w:rFonts w:asciiTheme="minorHAnsi" w:hAnsiTheme="minorHAnsi" w:cstheme="minorHAnsi"/>
                <w:sz w:val="22"/>
                <w:szCs w:val="22"/>
              </w:rPr>
            </w:pPr>
            <w:r w:rsidRPr="00C471B3">
              <w:rPr>
                <w:rFonts w:asciiTheme="minorHAnsi" w:hAnsiTheme="minorHAnsi" w:cstheme="minorHAnsi"/>
                <w:sz w:val="22"/>
                <w:szCs w:val="22"/>
              </w:rPr>
              <w:t>Unacceptable</w:t>
            </w:r>
          </w:p>
        </w:tc>
        <w:tc>
          <w:tcPr>
            <w:tcW w:w="6804" w:type="dxa"/>
            <w:tcMar>
              <w:top w:w="0" w:type="dxa"/>
              <w:left w:w="108" w:type="dxa"/>
              <w:bottom w:w="0" w:type="dxa"/>
              <w:right w:w="108" w:type="dxa"/>
            </w:tcMar>
            <w:hideMark/>
          </w:tcPr>
          <w:p w:rsidR="00C471B3" w:rsidRPr="00C471B3" w:rsidRDefault="00C471B3" w:rsidP="00C471B3">
            <w:pPr>
              <w:rPr>
                <w:rFonts w:asciiTheme="minorHAnsi" w:hAnsiTheme="minorHAnsi" w:cstheme="minorHAnsi"/>
                <w:sz w:val="22"/>
                <w:szCs w:val="22"/>
              </w:rPr>
            </w:pPr>
            <w:r w:rsidRPr="00C471B3">
              <w:rPr>
                <w:rFonts w:asciiTheme="minorHAnsi" w:hAnsiTheme="minorHAnsi" w:cstheme="minorHAnsi"/>
                <w:sz w:val="22"/>
                <w:szCs w:val="22"/>
              </w:rPr>
              <w:t> A wholly unsatisfactory Tenderer response that (where applicable):</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a)     Provides no response or omissions/oversights that prevent scoring;</w:t>
            </w:r>
          </w:p>
          <w:p w:rsidR="00C471B3" w:rsidRPr="00C471B3" w:rsidRDefault="00C471B3" w:rsidP="00C471B3">
            <w:pPr>
              <w:ind w:left="72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b)    Refuses to deliver the requirement; and</w:t>
            </w:r>
          </w:p>
          <w:p w:rsidR="00C471B3" w:rsidRPr="00C471B3" w:rsidRDefault="00C471B3" w:rsidP="00C471B3">
            <w:pPr>
              <w:rPr>
                <w:rFonts w:asciiTheme="minorHAnsi" w:hAnsiTheme="minorHAnsi" w:cstheme="minorHAnsi"/>
                <w:sz w:val="22"/>
                <w:szCs w:val="22"/>
                <w:lang w:eastAsia="en-GB"/>
              </w:rPr>
            </w:pPr>
            <w:r w:rsidRPr="00C471B3">
              <w:rPr>
                <w:rFonts w:asciiTheme="minorHAnsi" w:hAnsiTheme="minorHAnsi" w:cstheme="minorHAnsi"/>
                <w:sz w:val="22"/>
                <w:szCs w:val="22"/>
                <w:lang w:eastAsia="en-GB"/>
              </w:rPr>
              <w:t> </w:t>
            </w:r>
          </w:p>
          <w:p w:rsidR="00C471B3" w:rsidRPr="00C471B3" w:rsidRDefault="00C471B3" w:rsidP="00C471B3">
            <w:pPr>
              <w:ind w:left="720" w:hanging="360"/>
              <w:rPr>
                <w:rFonts w:asciiTheme="minorHAnsi" w:hAnsiTheme="minorHAnsi" w:cstheme="minorHAnsi"/>
                <w:sz w:val="22"/>
                <w:szCs w:val="22"/>
                <w:lang w:eastAsia="en-GB"/>
              </w:rPr>
            </w:pPr>
            <w:r w:rsidRPr="00C471B3">
              <w:rPr>
                <w:rFonts w:asciiTheme="minorHAnsi" w:hAnsiTheme="minorHAnsi" w:cstheme="minorHAnsi"/>
                <w:sz w:val="22"/>
                <w:szCs w:val="22"/>
                <w:lang w:eastAsia="en-GB"/>
              </w:rPr>
              <w:t xml:space="preserve">c)     Creates concerns so significant that the response would be detrimental to the interests of the Department  </w:t>
            </w:r>
          </w:p>
        </w:tc>
      </w:tr>
    </w:tbl>
    <w:p w:rsidR="00C471B3" w:rsidRPr="00C471B3" w:rsidRDefault="00C471B3" w:rsidP="00C471B3">
      <w:pPr>
        <w:ind w:left="851"/>
        <w:rPr>
          <w:sz w:val="22"/>
        </w:rPr>
        <w:sectPr w:rsidR="00C471B3" w:rsidRPr="00C471B3" w:rsidSect="003C7AFD">
          <w:footerReference w:type="default" r:id="rId19"/>
          <w:pgSz w:w="11906" w:h="16838" w:code="9"/>
          <w:pgMar w:top="1418" w:right="1134" w:bottom="1134" w:left="1701" w:header="720" w:footer="720" w:gutter="0"/>
          <w:cols w:space="720"/>
          <w:formProt w:val="0"/>
        </w:sectPr>
      </w:pPr>
    </w:p>
    <w:bookmarkEnd w:id="18"/>
    <w:bookmarkEnd w:id="14"/>
    <w:p w:rsidR="00562D99" w:rsidRDefault="00562D99" w:rsidP="00695658">
      <w:pPr>
        <w:pStyle w:val="Indented"/>
      </w:pPr>
    </w:p>
    <w:p w:rsidR="00B162EC" w:rsidRPr="00E77CD6" w:rsidRDefault="00B162EC" w:rsidP="005E665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C93204" w:rsidRDefault="00C93204" w:rsidP="00DF2091">
      <w:pPr>
        <w:pStyle w:val="SIXH2"/>
      </w:pPr>
      <w:r w:rsidRPr="007E7B9C">
        <w:t>EP</w:t>
      </w:r>
      <w:r>
        <w:t xml:space="preserve"> </w:t>
      </w:r>
      <w:r w:rsidRPr="007E7B9C">
        <w:t xml:space="preserve">is calculated as follows: </w:t>
      </w:r>
    </w:p>
    <w:p w:rsidR="00804C80" w:rsidRDefault="00804C80" w:rsidP="004A173F">
      <w:pPr>
        <w:pStyle w:val="StyleBulletedBlue"/>
      </w:pPr>
      <w:r>
        <w:t>Fixed</w:t>
      </w:r>
      <w:r w:rsidR="0076692D">
        <w:t xml:space="preserve"> </w:t>
      </w:r>
      <w:r>
        <w:t>/</w:t>
      </w:r>
      <w:r w:rsidR="0076692D">
        <w:t xml:space="preserve"> </w:t>
      </w:r>
      <w:r>
        <w:t>Firm cost</w:t>
      </w:r>
    </w:p>
    <w:p w:rsidR="00C93204" w:rsidRDefault="00C93204" w:rsidP="00C93204">
      <w:pPr>
        <w:pStyle w:val="Indented"/>
      </w:pPr>
    </w:p>
    <w:p w:rsidR="00C93204" w:rsidRDefault="00C93204" w:rsidP="004A173F">
      <w:pPr>
        <w:pStyle w:val="SIXH2"/>
      </w:pPr>
      <w:r>
        <w:t>Once the EP is calculated, the following steps are taken:</w:t>
      </w:r>
    </w:p>
    <w:p w:rsidR="00C93204" w:rsidRPr="003C7AFD" w:rsidRDefault="00C93204" w:rsidP="00C93204">
      <w:pPr>
        <w:pStyle w:val="StyleBulletedBlue"/>
        <w:numPr>
          <w:ilvl w:val="0"/>
          <w:numId w:val="51"/>
        </w:numPr>
        <w:tabs>
          <w:tab w:val="clear" w:pos="2277"/>
          <w:tab w:val="num" w:pos="1701"/>
        </w:tabs>
        <w:ind w:left="1701" w:hanging="567"/>
      </w:pPr>
      <w:r>
        <w:t xml:space="preserve">The average </w:t>
      </w:r>
      <w:r w:rsidRPr="004A173F">
        <w:t>(i.e. the mean) EP across the Tenderers</w:t>
      </w:r>
      <w:r>
        <w:t xml:space="preserve"> </w:t>
      </w:r>
      <w:r w:rsidRPr="003C7AFD">
        <w:t xml:space="preserve">that have achieved the required technical/quality </w:t>
      </w:r>
      <w:r w:rsidR="00920464" w:rsidRPr="003C7AFD">
        <w:t>threshold</w:t>
      </w:r>
      <w:r w:rsidRPr="003C7AFD">
        <w:t xml:space="preserve"> is calculated;</w:t>
      </w:r>
    </w:p>
    <w:p w:rsidR="00C93204" w:rsidRDefault="00C93204" w:rsidP="00C93204">
      <w:pPr>
        <w:pStyle w:val="StyleBulletedBlue"/>
        <w:numPr>
          <w:ilvl w:val="0"/>
          <w:numId w:val="51"/>
        </w:numPr>
        <w:tabs>
          <w:tab w:val="clear" w:pos="2277"/>
          <w:tab w:val="num" w:pos="1701"/>
        </w:tabs>
        <w:ind w:left="1701" w:hanging="567"/>
      </w:pPr>
      <w:r>
        <w:t xml:space="preserve">The percentage difference between the Tenderer </w:t>
      </w:r>
      <w:r w:rsidRPr="002E4A91">
        <w:t xml:space="preserve">EP </w:t>
      </w:r>
      <w:r>
        <w:t xml:space="preserve">and the </w:t>
      </w:r>
      <w:r w:rsidR="00920464">
        <w:t>average</w:t>
      </w:r>
      <w:r>
        <w:t xml:space="preserve"> </w:t>
      </w:r>
      <w:r w:rsidRPr="002E4A91">
        <w:t>EP</w:t>
      </w:r>
      <w:r>
        <w:t xml:space="preserve"> is calculated;</w:t>
      </w:r>
    </w:p>
    <w:p w:rsidR="00C93204" w:rsidRDefault="00C93204" w:rsidP="00C93204">
      <w:pPr>
        <w:pStyle w:val="StyleBulletedBlue"/>
        <w:numPr>
          <w:ilvl w:val="0"/>
          <w:numId w:val="51"/>
        </w:numPr>
        <w:tabs>
          <w:tab w:val="clear" w:pos="2277"/>
          <w:tab w:val="num" w:pos="1701"/>
        </w:tabs>
        <w:ind w:left="1701" w:hanging="567"/>
      </w:pPr>
      <w:r>
        <w:t xml:space="preserve">The </w:t>
      </w:r>
      <w:r w:rsidR="002F462F">
        <w:t>average</w:t>
      </w:r>
      <w:r>
        <w:t xml:space="preserve"> </w:t>
      </w:r>
      <w:r w:rsidRPr="002E4A91">
        <w:t>EP</w:t>
      </w:r>
      <w:r>
        <w:t xml:space="preserve"> is assigned an equivalent value of 50-points as a starting point for each Tenderer;</w:t>
      </w:r>
    </w:p>
    <w:p w:rsidR="00C93204" w:rsidRDefault="00C93204" w:rsidP="00C93204">
      <w:pPr>
        <w:pStyle w:val="StyleBulletedBlue"/>
        <w:numPr>
          <w:ilvl w:val="0"/>
          <w:numId w:val="51"/>
        </w:numPr>
        <w:tabs>
          <w:tab w:val="clear" w:pos="2277"/>
          <w:tab w:val="num" w:pos="1701"/>
        </w:tabs>
        <w:ind w:left="1701" w:hanging="567"/>
      </w:pPr>
      <w:r>
        <w:t xml:space="preserve">One point is deducted for each percentage point that a Tenderer’s </w:t>
      </w:r>
      <w:r w:rsidRPr="002E4A91">
        <w:t>EP</w:t>
      </w:r>
      <w:r>
        <w:t xml:space="preserve"> is above the average </w:t>
      </w:r>
      <w:r w:rsidRPr="002E4A91">
        <w:t>EP</w:t>
      </w:r>
      <w:r>
        <w:t>; or</w:t>
      </w:r>
    </w:p>
    <w:p w:rsidR="00C93204" w:rsidRDefault="00C93204" w:rsidP="00C93204">
      <w:pPr>
        <w:pStyle w:val="StyleBulletedBlue"/>
        <w:numPr>
          <w:ilvl w:val="0"/>
          <w:numId w:val="51"/>
        </w:numPr>
        <w:tabs>
          <w:tab w:val="clear" w:pos="2277"/>
          <w:tab w:val="num" w:pos="1701"/>
        </w:tabs>
        <w:ind w:left="1701" w:hanging="567"/>
      </w:pPr>
      <w:r>
        <w:t xml:space="preserve">One point is added for each percentage point that a Tenderer’s </w:t>
      </w:r>
      <w:r w:rsidRPr="002E4A91">
        <w:t>EP</w:t>
      </w:r>
      <w:r>
        <w:t xml:space="preserve"> is below the average </w:t>
      </w:r>
      <w:r w:rsidRPr="002E4A91">
        <w:t>EP</w:t>
      </w:r>
      <w:r>
        <w:t>.</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4D1C18" w:rsidRPr="00DF2091">
        <w:t xml:space="preserve">Table </w:t>
      </w:r>
      <w:r w:rsidR="004D1C18">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C13A27" w:rsidRPr="00925860" w:rsidRDefault="00C13A27" w:rsidP="005E6657">
      <w:pPr>
        <w:pStyle w:val="SIXH1"/>
      </w:pPr>
      <w:bookmarkStart w:id="19" w:name="_Ref358883600"/>
      <w:bookmarkStart w:id="20" w:name="Section3_clause6"/>
      <w:r w:rsidRPr="00925860">
        <w:t>Tenderer Clarification Meeting</w:t>
      </w:r>
      <w:bookmarkEnd w:id="19"/>
    </w:p>
    <w:bookmarkEnd w:id="20"/>
    <w:p w:rsidR="00C13A27" w:rsidRDefault="00C13A27" w:rsidP="004A173F">
      <w:pPr>
        <w:pStyle w:val="SIXH2"/>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proofErr w:type="spellStart"/>
      <w:r w:rsidRPr="00925860">
        <w:t>days notice</w:t>
      </w:r>
      <w:proofErr w:type="spellEnd"/>
      <w:r w:rsidRPr="00925860">
        <w:t xml:space="preserv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C13A27" w:rsidRPr="00925860" w:rsidRDefault="00C13A27" w:rsidP="004A173F">
      <w:pPr>
        <w:pStyle w:val="SIXH2"/>
      </w:pPr>
      <w:r w:rsidRPr="00925860">
        <w:t>The Authority has set aside the following dates for accommodating potential Tenderer Clarification Meetings:</w:t>
      </w:r>
    </w:p>
    <w:p w:rsidR="00C13A27" w:rsidRPr="00F0650F" w:rsidRDefault="00AE4E1F" w:rsidP="00C13A27">
      <w:pPr>
        <w:pStyle w:val="StyleBulletedBlue"/>
      </w:pPr>
      <w:r>
        <w:t>16 March 2015</w:t>
      </w:r>
    </w:p>
    <w:p w:rsidR="00C93204" w:rsidRPr="00D4581F" w:rsidRDefault="00C93204" w:rsidP="004A173F">
      <w:pPr>
        <w:pStyle w:val="Indented"/>
      </w:pPr>
    </w:p>
    <w:p w:rsidR="00F748EC" w:rsidRDefault="00F748EC" w:rsidP="005E6657">
      <w:pPr>
        <w:pStyle w:val="SIXH1"/>
      </w:pPr>
      <w:r>
        <w:t>Consolidated View</w:t>
      </w:r>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516803" w:rsidP="004A173F">
      <w:pPr>
        <w:pStyle w:val="SIXH2"/>
      </w:pPr>
      <w:r>
        <w:t xml:space="preserve">The technical evaluation </w:t>
      </w:r>
      <w:r w:rsidRPr="003C7AFD">
        <w:t xml:space="preserve">forms [70%], whilst the </w:t>
      </w:r>
      <w:r w:rsidR="00607B4D" w:rsidRPr="003C7AFD">
        <w:t>p</w:t>
      </w:r>
      <w:r w:rsidRPr="003C7AFD">
        <w:t xml:space="preserve">rice </w:t>
      </w:r>
      <w:r w:rsidR="00607B4D" w:rsidRPr="003C7AFD">
        <w:t>e</w:t>
      </w:r>
      <w:r w:rsidRPr="003C7AFD">
        <w:t>valuation forms [30%] of</w:t>
      </w:r>
      <w:r>
        <w:t xml:space="preserve">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1" w:name="_Ref342916790"/>
      <w:bookmarkStart w:id="22" w:name="_Hlk342911880"/>
      <w:r w:rsidRPr="00DF2091">
        <w:t xml:space="preserve">Table </w:t>
      </w:r>
      <w:r w:rsidRPr="00DF2091">
        <w:fldChar w:fldCharType="begin"/>
      </w:r>
      <w:r w:rsidRPr="004A173F">
        <w:instrText xml:space="preserve"> SEQ Table \* ARABIC </w:instrText>
      </w:r>
      <w:r w:rsidRPr="00DF2091">
        <w:fldChar w:fldCharType="separate"/>
      </w:r>
      <w:r w:rsidR="004D1C18">
        <w:rPr>
          <w:noProof/>
        </w:rPr>
        <w:t>4</w:t>
      </w:r>
      <w:r w:rsidRPr="00DF2091">
        <w:fldChar w:fldCharType="end"/>
      </w:r>
      <w:bookmarkEnd w:id="21"/>
      <w:bookmarkEnd w:id="22"/>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W w:w="0" w:type="auto"/>
        <w:jc w:val="center"/>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2844"/>
      </w:tblGrid>
      <w:tr w:rsidR="004976FD" w:rsidRPr="00A24900" w:rsidTr="00C62E71">
        <w:trPr>
          <w:cantSplit/>
          <w:trHeight w:val="70"/>
          <w:tblHeader/>
          <w:jc w:val="center"/>
        </w:trPr>
        <w:tc>
          <w:tcPr>
            <w:tcW w:w="3783" w:type="dxa"/>
            <w:shd w:val="clear" w:color="auto" w:fill="FF99CC"/>
            <w:vAlign w:val="center"/>
          </w:tcPr>
          <w:p w:rsidR="004976FD" w:rsidRPr="00A24900" w:rsidRDefault="004976FD" w:rsidP="00C62E71">
            <w:pPr>
              <w:pStyle w:val="TableHead"/>
              <w:keepNext/>
            </w:pPr>
            <w:r>
              <w:t>Evaluation Area</w:t>
            </w:r>
          </w:p>
        </w:tc>
        <w:tc>
          <w:tcPr>
            <w:tcW w:w="2844" w:type="dxa"/>
            <w:shd w:val="clear" w:color="auto" w:fill="FF99CC"/>
            <w:vAlign w:val="center"/>
          </w:tcPr>
          <w:p w:rsidR="004976FD" w:rsidRPr="00A24900" w:rsidRDefault="004976FD" w:rsidP="00C62E71">
            <w:pPr>
              <w:pStyle w:val="TableHead"/>
              <w:keepNext/>
            </w:pPr>
            <w:r>
              <w:t>Calculation</w:t>
            </w:r>
          </w:p>
        </w:tc>
      </w:tr>
      <w:tr w:rsidR="002C08FF" w:rsidTr="00C62E71">
        <w:trPr>
          <w:jc w:val="center"/>
        </w:trPr>
        <w:tc>
          <w:tcPr>
            <w:tcW w:w="3783" w:type="dxa"/>
            <w:shd w:val="clear" w:color="auto" w:fill="auto"/>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shd w:val="clear" w:color="auto" w:fill="auto"/>
            <w:vAlign w:val="center"/>
          </w:tcPr>
          <w:p w:rsidR="002C08FF" w:rsidRPr="00C62E71" w:rsidRDefault="00A97AEA" w:rsidP="00C62E71">
            <w:pPr>
              <w:pStyle w:val="Table"/>
              <w:jc w:val="right"/>
              <w:rPr>
                <w:sz w:val="28"/>
              </w:rPr>
            </w:pPr>
            <w:r w:rsidRPr="00C62E71">
              <w:rPr>
                <w:sz w:val="28"/>
              </w:rPr>
              <w:t>6</w:t>
            </w:r>
            <w:r w:rsidR="002C08FF" w:rsidRPr="00C62E71">
              <w:rPr>
                <w:sz w:val="28"/>
              </w:rPr>
              <w:t>0 x 70</w:t>
            </w:r>
            <w:r w:rsidRPr="00C62E71">
              <w:rPr>
                <w:sz w:val="28"/>
              </w:rPr>
              <w:t>%</w:t>
            </w:r>
            <w:r w:rsidR="002C08FF" w:rsidRPr="00C62E71">
              <w:rPr>
                <w:sz w:val="28"/>
              </w:rPr>
              <w:t xml:space="preserve"> = </w:t>
            </w:r>
            <w:r w:rsidRPr="00C62E71">
              <w:rPr>
                <w:sz w:val="28"/>
              </w:rPr>
              <w:t>42</w:t>
            </w:r>
          </w:p>
        </w:tc>
      </w:tr>
      <w:tr w:rsidR="002C08FF" w:rsidTr="00C62E71">
        <w:trPr>
          <w:jc w:val="center"/>
        </w:trPr>
        <w:tc>
          <w:tcPr>
            <w:tcW w:w="3783" w:type="dxa"/>
            <w:tcBorders>
              <w:bottom w:val="single" w:sz="4" w:space="0" w:color="auto"/>
            </w:tcBorders>
            <w:shd w:val="clear" w:color="auto" w:fill="auto"/>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shd w:val="clear" w:color="auto" w:fill="auto"/>
            <w:vAlign w:val="center"/>
          </w:tcPr>
          <w:p w:rsidR="002C08FF" w:rsidRPr="00C62E71" w:rsidRDefault="002C08FF" w:rsidP="00C62E71">
            <w:pPr>
              <w:pStyle w:val="Table"/>
              <w:jc w:val="right"/>
              <w:rPr>
                <w:sz w:val="28"/>
              </w:rPr>
            </w:pPr>
            <w:r w:rsidRPr="00C62E71">
              <w:rPr>
                <w:sz w:val="28"/>
              </w:rPr>
              <w:t>50 x 30</w:t>
            </w:r>
            <w:r w:rsidR="00A97AEA" w:rsidRPr="00C62E71">
              <w:rPr>
                <w:sz w:val="28"/>
              </w:rPr>
              <w:t>%</w:t>
            </w:r>
            <w:r w:rsidRPr="00C62E71">
              <w:rPr>
                <w:sz w:val="28"/>
              </w:rPr>
              <w:t xml:space="preserve"> = 15</w:t>
            </w:r>
          </w:p>
        </w:tc>
      </w:tr>
      <w:tr w:rsidR="002C08FF" w:rsidTr="00C62E71">
        <w:trPr>
          <w:jc w:val="center"/>
        </w:trPr>
        <w:tc>
          <w:tcPr>
            <w:tcW w:w="3783" w:type="dxa"/>
            <w:tcBorders>
              <w:right w:val="single" w:sz="4" w:space="0" w:color="auto"/>
            </w:tcBorders>
            <w:shd w:val="clear" w:color="auto" w:fill="auto"/>
            <w:vAlign w:val="center"/>
          </w:tcPr>
          <w:p w:rsidR="002C08FF" w:rsidRPr="00C62E71" w:rsidRDefault="0001734D" w:rsidP="004A173F">
            <w:pPr>
              <w:pStyle w:val="Table"/>
              <w:rPr>
                <w:sz w:val="22"/>
                <w:szCs w:val="22"/>
              </w:rPr>
            </w:pPr>
            <w:r w:rsidRPr="00C62E71">
              <w:rPr>
                <w:b/>
                <w:sz w:val="22"/>
                <w:szCs w:val="22"/>
              </w:rPr>
              <w:t xml:space="preserve">Consolidated </w:t>
            </w:r>
            <w:r w:rsidR="002C08FF" w:rsidRPr="00C62E71">
              <w:rPr>
                <w:b/>
                <w:sz w:val="22"/>
                <w:szCs w:val="22"/>
              </w:rPr>
              <w:t>Score</w:t>
            </w:r>
          </w:p>
        </w:tc>
        <w:tc>
          <w:tcPr>
            <w:tcW w:w="2844" w:type="dxa"/>
            <w:tcBorders>
              <w:left w:val="single" w:sz="4" w:space="0" w:color="auto"/>
            </w:tcBorders>
            <w:shd w:val="clear" w:color="auto" w:fill="auto"/>
          </w:tcPr>
          <w:p w:rsidR="002C08FF" w:rsidRPr="00C62E71" w:rsidRDefault="00A97AEA" w:rsidP="00C62E71">
            <w:pPr>
              <w:pStyle w:val="Table"/>
              <w:jc w:val="right"/>
              <w:rPr>
                <w:sz w:val="28"/>
              </w:rPr>
            </w:pPr>
            <w:r w:rsidRPr="00C62E71">
              <w:rPr>
                <w:sz w:val="28"/>
              </w:rPr>
              <w:t>= 57</w:t>
            </w:r>
          </w:p>
        </w:tc>
      </w:tr>
    </w:tbl>
    <w:p w:rsidR="00AE2165" w:rsidRDefault="00AE2165" w:rsidP="00D4581F">
      <w:pPr>
        <w:pStyle w:val="Indented"/>
      </w:pPr>
    </w:p>
    <w:bookmarkEnd w:id="11"/>
    <w:p w:rsidR="009D0005" w:rsidRPr="00E77CD6" w:rsidRDefault="009D0005" w:rsidP="005E6657">
      <w:pPr>
        <w:pStyle w:val="SIXH1"/>
      </w:pPr>
      <w:r w:rsidRPr="00E77CD6">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3C7AFD">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F1F" w:rsidRDefault="00821F1F">
      <w:r>
        <w:separator/>
      </w:r>
    </w:p>
    <w:p w:rsidR="00821F1F" w:rsidRDefault="00821F1F"/>
  </w:endnote>
  <w:endnote w:type="continuationSeparator" w:id="0">
    <w:p w:rsidR="00821F1F" w:rsidRDefault="00821F1F">
      <w:r>
        <w:continuationSeparator/>
      </w:r>
    </w:p>
    <w:p w:rsidR="00821F1F" w:rsidRDefault="00821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5446D" w:rsidRDefault="0001734D" w:rsidP="0055446D">
    <w:pPr>
      <w:pStyle w:val="Footer"/>
      <w:tabs>
        <w:tab w:val="clear" w:pos="8306"/>
        <w:tab w:val="right" w:pos="9072"/>
      </w:tabs>
      <w:rPr>
        <w:rFonts w:ascii="Arial Narrow" w:hAnsi="Arial Narrow"/>
        <w:color w:val="808080"/>
        <w:sz w:val="18"/>
        <w:szCs w:val="18"/>
      </w:rPr>
    </w:pPr>
    <w:r w:rsidRPr="0055446D">
      <w:rPr>
        <w:rFonts w:ascii="Arial Narrow" w:hAnsi="Arial Narrow"/>
        <w:color w:val="808080"/>
        <w:sz w:val="18"/>
        <w:szCs w:val="18"/>
      </w:rPr>
      <w:fldChar w:fldCharType="begin"/>
    </w:r>
    <w:r w:rsidRPr="0055446D">
      <w:rPr>
        <w:rFonts w:ascii="Arial Narrow" w:hAnsi="Arial Narrow"/>
        <w:color w:val="808080"/>
        <w:sz w:val="18"/>
        <w:szCs w:val="18"/>
      </w:rPr>
      <w:instrText xml:space="preserve"> FILENAME </w:instrText>
    </w:r>
    <w:r w:rsidRPr="0055446D">
      <w:rPr>
        <w:rFonts w:ascii="Arial Narrow" w:hAnsi="Arial Narrow"/>
        <w:color w:val="808080"/>
        <w:sz w:val="18"/>
        <w:szCs w:val="18"/>
      </w:rPr>
      <w:fldChar w:fldCharType="separate"/>
    </w:r>
    <w:r w:rsidR="004D1C18">
      <w:rPr>
        <w:rFonts w:ascii="Arial Narrow" w:hAnsi="Arial Narrow"/>
        <w:noProof/>
        <w:color w:val="808080"/>
        <w:sz w:val="18"/>
        <w:szCs w:val="18"/>
      </w:rPr>
      <w:t>ITT Part A NHS PAM metrics 2015 Final 23022015</w:t>
    </w:r>
    <w:r w:rsidRPr="0055446D">
      <w:rPr>
        <w:rFonts w:ascii="Arial Narrow" w:hAnsi="Arial Narrow"/>
        <w:color w:val="808080"/>
        <w:sz w:val="18"/>
        <w:szCs w:val="18"/>
      </w:rPr>
      <w:fldChar w:fldCharType="end"/>
    </w:r>
    <w:r w:rsidRPr="0055446D">
      <w:rPr>
        <w:rFonts w:ascii="Arial Narrow" w:hAnsi="Arial Narrow"/>
        <w:color w:val="808080"/>
        <w:sz w:val="18"/>
        <w:szCs w:val="18"/>
      </w:rPr>
      <w:tab/>
    </w:r>
    <w:r w:rsidRPr="0055446D">
      <w:rPr>
        <w:rFonts w:ascii="Arial Narrow" w:hAnsi="Arial Narrow"/>
        <w:color w:val="808080"/>
        <w:sz w:val="18"/>
        <w:szCs w:val="18"/>
      </w:rPr>
      <w:tab/>
      <w:t xml:space="preserve">Page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PAGE </w:instrText>
    </w:r>
    <w:r w:rsidRPr="0055446D">
      <w:rPr>
        <w:rStyle w:val="PageNumber"/>
        <w:rFonts w:ascii="Arial Narrow" w:hAnsi="Arial Narrow"/>
        <w:color w:val="808080"/>
        <w:sz w:val="18"/>
        <w:szCs w:val="18"/>
      </w:rPr>
      <w:fldChar w:fldCharType="separate"/>
    </w:r>
    <w:r w:rsidR="004D1C18">
      <w:rPr>
        <w:rStyle w:val="PageNumber"/>
        <w:rFonts w:ascii="Arial Narrow" w:hAnsi="Arial Narrow"/>
        <w:noProof/>
        <w:color w:val="808080"/>
        <w:sz w:val="18"/>
        <w:szCs w:val="18"/>
      </w:rPr>
      <w:t>11</w:t>
    </w:r>
    <w:r w:rsidRPr="0055446D">
      <w:rPr>
        <w:rStyle w:val="PageNumber"/>
        <w:rFonts w:ascii="Arial Narrow" w:hAnsi="Arial Narrow"/>
        <w:color w:val="808080"/>
        <w:sz w:val="18"/>
        <w:szCs w:val="18"/>
      </w:rPr>
      <w:fldChar w:fldCharType="end"/>
    </w:r>
    <w:r w:rsidRPr="0055446D">
      <w:rPr>
        <w:rStyle w:val="PageNumber"/>
        <w:rFonts w:ascii="Arial Narrow" w:hAnsi="Arial Narrow"/>
        <w:color w:val="808080"/>
        <w:sz w:val="18"/>
        <w:szCs w:val="18"/>
      </w:rPr>
      <w:t xml:space="preserve"> of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NUMPAGES </w:instrText>
    </w:r>
    <w:r w:rsidRPr="0055446D">
      <w:rPr>
        <w:rStyle w:val="PageNumber"/>
        <w:rFonts w:ascii="Arial Narrow" w:hAnsi="Arial Narrow"/>
        <w:color w:val="808080"/>
        <w:sz w:val="18"/>
        <w:szCs w:val="18"/>
      </w:rPr>
      <w:fldChar w:fldCharType="separate"/>
    </w:r>
    <w:r w:rsidR="004D1C18">
      <w:rPr>
        <w:rStyle w:val="PageNumber"/>
        <w:rFonts w:ascii="Arial Narrow" w:hAnsi="Arial Narrow"/>
        <w:noProof/>
        <w:color w:val="808080"/>
        <w:sz w:val="18"/>
        <w:szCs w:val="18"/>
      </w:rPr>
      <w:t>16</w:t>
    </w:r>
    <w:r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4D1C18">
      <w:rPr>
        <w:rStyle w:val="PageNumber"/>
        <w:noProof/>
        <w:sz w:val="18"/>
        <w:szCs w:val="18"/>
      </w:rPr>
      <w:t>16</w:t>
    </w:r>
    <w:r w:rsidRPr="00B43C82">
      <w:rPr>
        <w:rStyle w:val="PageNumbe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B3" w:rsidRDefault="00C471B3" w:rsidP="00290FB3">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sidR="004D1C18">
      <w:rPr>
        <w:rFonts w:ascii="Arial Narrow" w:hAnsi="Arial Narrow"/>
        <w:noProof/>
        <w:color w:val="808080"/>
        <w:sz w:val="18"/>
        <w:szCs w:val="18"/>
      </w:rPr>
      <w:t>ITT Part A NHS PAM metrics 2015 Final 23022015</w:t>
    </w:r>
    <w:r w:rsidRPr="00AD729B">
      <w:rPr>
        <w:rFonts w:ascii="Arial Narrow" w:hAnsi="Arial Narrow"/>
        <w:color w:val="808080"/>
        <w:sz w:val="18"/>
        <w:szCs w:val="18"/>
      </w:rPr>
      <w:fldChar w:fldCharType="end"/>
    </w:r>
  </w:p>
  <w:p w:rsidR="00C471B3" w:rsidRPr="00AD729B" w:rsidRDefault="00C471B3" w:rsidP="00290FB3">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4D1C18">
      <w:rPr>
        <w:rStyle w:val="PageNumber"/>
        <w:rFonts w:ascii="Arial Narrow" w:hAnsi="Arial Narrow"/>
        <w:noProof/>
        <w:color w:val="808080"/>
        <w:sz w:val="18"/>
        <w:szCs w:val="18"/>
      </w:rPr>
      <w:t>12</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4D1C18">
      <w:rPr>
        <w:rStyle w:val="PageNumber"/>
        <w:rFonts w:ascii="Arial Narrow" w:hAnsi="Arial Narrow"/>
        <w:noProof/>
        <w:color w:val="808080"/>
        <w:sz w:val="18"/>
        <w:szCs w:val="18"/>
      </w:rPr>
      <w:t>16</w:t>
    </w:r>
    <w:r w:rsidRPr="00AD729B">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F1F" w:rsidRDefault="00821F1F">
      <w:r>
        <w:separator/>
      </w:r>
    </w:p>
    <w:p w:rsidR="00821F1F" w:rsidRDefault="00821F1F"/>
  </w:footnote>
  <w:footnote w:type="continuationSeparator" w:id="0">
    <w:p w:rsidR="00821F1F" w:rsidRDefault="00821F1F">
      <w:r>
        <w:continuationSeparator/>
      </w:r>
    </w:p>
    <w:p w:rsidR="00821F1F" w:rsidRDefault="00821F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821F1F" w:rsidP="004A173F">
    <w:r>
      <w:rPr>
        <w:noProof/>
        <w:lang w:eastAsia="en-GB"/>
      </w:rPr>
      <w:drawing>
        <wp:inline distT="0" distB="0" distL="0" distR="0" wp14:anchorId="6BAA804E" wp14:editId="070917AA">
          <wp:extent cx="3467100" cy="2228850"/>
          <wp:effectExtent l="0" t="0" r="0" b="0"/>
          <wp:docPr id="1"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89642B2"/>
    <w:multiLevelType w:val="hybridMultilevel"/>
    <w:tmpl w:val="BB205292"/>
    <w:lvl w:ilvl="0" w:tplc="FA5E9F2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7">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8">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0">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1">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3">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3"/>
  </w:num>
  <w:num w:numId="3">
    <w:abstractNumId w:val="30"/>
  </w:num>
  <w:num w:numId="4">
    <w:abstractNumId w:val="17"/>
  </w:num>
  <w:num w:numId="5">
    <w:abstractNumId w:val="14"/>
  </w:num>
  <w:num w:numId="6">
    <w:abstractNumId w:val="26"/>
  </w:num>
  <w:num w:numId="7">
    <w:abstractNumId w:val="36"/>
  </w:num>
  <w:num w:numId="8">
    <w:abstractNumId w:val="18"/>
  </w:num>
  <w:num w:numId="9">
    <w:abstractNumId w:val="2"/>
  </w:num>
  <w:num w:numId="10">
    <w:abstractNumId w:val="44"/>
  </w:num>
  <w:num w:numId="11">
    <w:abstractNumId w:val="45"/>
  </w:num>
  <w:num w:numId="12">
    <w:abstractNumId w:val="40"/>
  </w:num>
  <w:num w:numId="13">
    <w:abstractNumId w:val="9"/>
  </w:num>
  <w:num w:numId="14">
    <w:abstractNumId w:val="29"/>
  </w:num>
  <w:num w:numId="15">
    <w:abstractNumId w:val="12"/>
  </w:num>
  <w:num w:numId="16">
    <w:abstractNumId w:val="22"/>
  </w:num>
  <w:num w:numId="17">
    <w:abstractNumId w:val="38"/>
  </w:num>
  <w:num w:numId="18">
    <w:abstractNumId w:val="34"/>
  </w:num>
  <w:num w:numId="19">
    <w:abstractNumId w:val="16"/>
  </w:num>
  <w:num w:numId="20">
    <w:abstractNumId w:val="32"/>
  </w:num>
  <w:num w:numId="21">
    <w:abstractNumId w:val="15"/>
  </w:num>
  <w:num w:numId="22">
    <w:abstractNumId w:val="27"/>
  </w:num>
  <w:num w:numId="23">
    <w:abstractNumId w:val="1"/>
  </w:num>
  <w:num w:numId="24">
    <w:abstractNumId w:val="39"/>
  </w:num>
  <w:num w:numId="25">
    <w:abstractNumId w:val="31"/>
  </w:num>
  <w:num w:numId="26">
    <w:abstractNumId w:val="10"/>
  </w:num>
  <w:num w:numId="27">
    <w:abstractNumId w:val="23"/>
  </w:num>
  <w:num w:numId="28">
    <w:abstractNumId w:val="28"/>
  </w:num>
  <w:num w:numId="29">
    <w:abstractNumId w:val="25"/>
  </w:num>
  <w:num w:numId="30">
    <w:abstractNumId w:val="7"/>
  </w:num>
  <w:num w:numId="31">
    <w:abstractNumId w:val="3"/>
  </w:num>
  <w:num w:numId="32">
    <w:abstractNumId w:val="21"/>
  </w:num>
  <w:num w:numId="33">
    <w:abstractNumId w:val="37"/>
  </w:num>
  <w:num w:numId="34">
    <w:abstractNumId w:val="43"/>
  </w:num>
  <w:num w:numId="35">
    <w:abstractNumId w:val="24"/>
  </w:num>
  <w:num w:numId="36">
    <w:abstractNumId w:val="4"/>
  </w:num>
  <w:num w:numId="37">
    <w:abstractNumId w:val="11"/>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28"/>
  </w:num>
  <w:num w:numId="46">
    <w:abstractNumId w:val="28"/>
  </w:num>
  <w:num w:numId="47">
    <w:abstractNumId w:val="0"/>
  </w:num>
  <w:num w:numId="48">
    <w:abstractNumId w:val="9"/>
  </w:num>
  <w:num w:numId="49">
    <w:abstractNumId w:val="11"/>
  </w:num>
  <w:num w:numId="50">
    <w:abstractNumId w:val="9"/>
  </w:num>
  <w:num w:numId="51">
    <w:abstractNumId w:val="42"/>
  </w:num>
  <w:num w:numId="52">
    <w:abstractNumId w:val="41"/>
  </w:num>
  <w:num w:numId="53">
    <w:abstractNumId w:val="6"/>
  </w:num>
  <w:num w:numId="54">
    <w:abstractNumId w:val="13"/>
  </w:num>
  <w:num w:numId="55">
    <w:abstractNumId w:val="19"/>
  </w:num>
  <w:num w:numId="56">
    <w:abstractNumId w:val="20"/>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1F"/>
    <w:rsid w:val="00000A06"/>
    <w:rsid w:val="00003211"/>
    <w:rsid w:val="000077F2"/>
    <w:rsid w:val="000116F4"/>
    <w:rsid w:val="00012A74"/>
    <w:rsid w:val="0001328F"/>
    <w:rsid w:val="00015085"/>
    <w:rsid w:val="0001734D"/>
    <w:rsid w:val="00026C87"/>
    <w:rsid w:val="0003231B"/>
    <w:rsid w:val="00035ECF"/>
    <w:rsid w:val="0004201E"/>
    <w:rsid w:val="00050E78"/>
    <w:rsid w:val="00050E96"/>
    <w:rsid w:val="000526EC"/>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0ADC"/>
    <w:rsid w:val="000E344E"/>
    <w:rsid w:val="000E4404"/>
    <w:rsid w:val="000E7C4F"/>
    <w:rsid w:val="000F0641"/>
    <w:rsid w:val="000F477E"/>
    <w:rsid w:val="000F6021"/>
    <w:rsid w:val="000F6DA5"/>
    <w:rsid w:val="001003D8"/>
    <w:rsid w:val="00110B0F"/>
    <w:rsid w:val="0011380F"/>
    <w:rsid w:val="00113C69"/>
    <w:rsid w:val="00116926"/>
    <w:rsid w:val="00117953"/>
    <w:rsid w:val="00123AE5"/>
    <w:rsid w:val="00123D61"/>
    <w:rsid w:val="00125F14"/>
    <w:rsid w:val="00131AD6"/>
    <w:rsid w:val="0013425D"/>
    <w:rsid w:val="00134784"/>
    <w:rsid w:val="00140BF5"/>
    <w:rsid w:val="001416DF"/>
    <w:rsid w:val="00150621"/>
    <w:rsid w:val="001514FC"/>
    <w:rsid w:val="00152E6C"/>
    <w:rsid w:val="001531FC"/>
    <w:rsid w:val="001638BE"/>
    <w:rsid w:val="00163C78"/>
    <w:rsid w:val="0016777C"/>
    <w:rsid w:val="00167E19"/>
    <w:rsid w:val="001726DB"/>
    <w:rsid w:val="001757E4"/>
    <w:rsid w:val="0018511D"/>
    <w:rsid w:val="00187211"/>
    <w:rsid w:val="001872E1"/>
    <w:rsid w:val="0019230B"/>
    <w:rsid w:val="001A0F7B"/>
    <w:rsid w:val="001A29F9"/>
    <w:rsid w:val="001A391B"/>
    <w:rsid w:val="001B15D8"/>
    <w:rsid w:val="001B3B43"/>
    <w:rsid w:val="001B4BE2"/>
    <w:rsid w:val="001B6406"/>
    <w:rsid w:val="001B6789"/>
    <w:rsid w:val="001C0ECB"/>
    <w:rsid w:val="001C1A35"/>
    <w:rsid w:val="001C5595"/>
    <w:rsid w:val="001C6FE0"/>
    <w:rsid w:val="001C75BF"/>
    <w:rsid w:val="001D1F72"/>
    <w:rsid w:val="001D5212"/>
    <w:rsid w:val="001D5F92"/>
    <w:rsid w:val="001D7058"/>
    <w:rsid w:val="001D735D"/>
    <w:rsid w:val="001E14F1"/>
    <w:rsid w:val="001E6991"/>
    <w:rsid w:val="001F24BF"/>
    <w:rsid w:val="001F282E"/>
    <w:rsid w:val="001F2A86"/>
    <w:rsid w:val="001F6710"/>
    <w:rsid w:val="002022D7"/>
    <w:rsid w:val="00203B45"/>
    <w:rsid w:val="0020545E"/>
    <w:rsid w:val="00215250"/>
    <w:rsid w:val="002159A6"/>
    <w:rsid w:val="0022292E"/>
    <w:rsid w:val="00222E43"/>
    <w:rsid w:val="0022387E"/>
    <w:rsid w:val="00230E0D"/>
    <w:rsid w:val="00232477"/>
    <w:rsid w:val="00232BA1"/>
    <w:rsid w:val="00237909"/>
    <w:rsid w:val="002462D4"/>
    <w:rsid w:val="0024759B"/>
    <w:rsid w:val="00250DA6"/>
    <w:rsid w:val="0025124C"/>
    <w:rsid w:val="00253303"/>
    <w:rsid w:val="00253E5A"/>
    <w:rsid w:val="00261625"/>
    <w:rsid w:val="00264FBC"/>
    <w:rsid w:val="002726A4"/>
    <w:rsid w:val="00273E58"/>
    <w:rsid w:val="00276FCB"/>
    <w:rsid w:val="00291F1C"/>
    <w:rsid w:val="00296137"/>
    <w:rsid w:val="00297918"/>
    <w:rsid w:val="002A2D18"/>
    <w:rsid w:val="002A7142"/>
    <w:rsid w:val="002B00A6"/>
    <w:rsid w:val="002B0FBF"/>
    <w:rsid w:val="002B24FE"/>
    <w:rsid w:val="002C08FF"/>
    <w:rsid w:val="002C09E0"/>
    <w:rsid w:val="002C13C0"/>
    <w:rsid w:val="002D330F"/>
    <w:rsid w:val="002D3A7B"/>
    <w:rsid w:val="002D3CDC"/>
    <w:rsid w:val="002D7F0F"/>
    <w:rsid w:val="002E1295"/>
    <w:rsid w:val="002E3600"/>
    <w:rsid w:val="002E49BB"/>
    <w:rsid w:val="002F16EF"/>
    <w:rsid w:val="002F23B0"/>
    <w:rsid w:val="002F3D5C"/>
    <w:rsid w:val="002F462F"/>
    <w:rsid w:val="002F5AC9"/>
    <w:rsid w:val="003032AE"/>
    <w:rsid w:val="003034F3"/>
    <w:rsid w:val="00315986"/>
    <w:rsid w:val="00316A86"/>
    <w:rsid w:val="00317A93"/>
    <w:rsid w:val="0032103A"/>
    <w:rsid w:val="00323704"/>
    <w:rsid w:val="00326CA9"/>
    <w:rsid w:val="003358EB"/>
    <w:rsid w:val="00336432"/>
    <w:rsid w:val="00337442"/>
    <w:rsid w:val="00337DF4"/>
    <w:rsid w:val="003434E2"/>
    <w:rsid w:val="003457E3"/>
    <w:rsid w:val="00352AAB"/>
    <w:rsid w:val="00355414"/>
    <w:rsid w:val="00355A4C"/>
    <w:rsid w:val="003621AC"/>
    <w:rsid w:val="00363EB9"/>
    <w:rsid w:val="0036438C"/>
    <w:rsid w:val="00372817"/>
    <w:rsid w:val="00372D0B"/>
    <w:rsid w:val="0037708A"/>
    <w:rsid w:val="003806EF"/>
    <w:rsid w:val="00383237"/>
    <w:rsid w:val="00387F0E"/>
    <w:rsid w:val="0039339D"/>
    <w:rsid w:val="00393DB4"/>
    <w:rsid w:val="003A02AB"/>
    <w:rsid w:val="003A4323"/>
    <w:rsid w:val="003A69CC"/>
    <w:rsid w:val="003A6C32"/>
    <w:rsid w:val="003A776B"/>
    <w:rsid w:val="003A787B"/>
    <w:rsid w:val="003B147C"/>
    <w:rsid w:val="003B79E6"/>
    <w:rsid w:val="003C350D"/>
    <w:rsid w:val="003C3FFA"/>
    <w:rsid w:val="003C422E"/>
    <w:rsid w:val="003C76D6"/>
    <w:rsid w:val="003C7A11"/>
    <w:rsid w:val="003C7AFD"/>
    <w:rsid w:val="003D0260"/>
    <w:rsid w:val="003D1A67"/>
    <w:rsid w:val="003D797A"/>
    <w:rsid w:val="003D7D51"/>
    <w:rsid w:val="003E284A"/>
    <w:rsid w:val="003E545F"/>
    <w:rsid w:val="003E7786"/>
    <w:rsid w:val="003E7E65"/>
    <w:rsid w:val="003F1195"/>
    <w:rsid w:val="003F6ACD"/>
    <w:rsid w:val="004033A9"/>
    <w:rsid w:val="00407101"/>
    <w:rsid w:val="0041080E"/>
    <w:rsid w:val="00412738"/>
    <w:rsid w:val="0041404D"/>
    <w:rsid w:val="00422A7E"/>
    <w:rsid w:val="004249CA"/>
    <w:rsid w:val="004258A7"/>
    <w:rsid w:val="00430B38"/>
    <w:rsid w:val="00433F94"/>
    <w:rsid w:val="00435194"/>
    <w:rsid w:val="004407A1"/>
    <w:rsid w:val="00441043"/>
    <w:rsid w:val="00442455"/>
    <w:rsid w:val="004468C0"/>
    <w:rsid w:val="00450151"/>
    <w:rsid w:val="00453976"/>
    <w:rsid w:val="0045551E"/>
    <w:rsid w:val="004632F9"/>
    <w:rsid w:val="00464B36"/>
    <w:rsid w:val="00465C4F"/>
    <w:rsid w:val="0047133C"/>
    <w:rsid w:val="00472A20"/>
    <w:rsid w:val="00474FE1"/>
    <w:rsid w:val="00476380"/>
    <w:rsid w:val="00476E26"/>
    <w:rsid w:val="00477E94"/>
    <w:rsid w:val="004819EC"/>
    <w:rsid w:val="00482349"/>
    <w:rsid w:val="004833AF"/>
    <w:rsid w:val="00493C86"/>
    <w:rsid w:val="00494562"/>
    <w:rsid w:val="00494669"/>
    <w:rsid w:val="004976FD"/>
    <w:rsid w:val="004A173F"/>
    <w:rsid w:val="004A2860"/>
    <w:rsid w:val="004A3C2C"/>
    <w:rsid w:val="004A435B"/>
    <w:rsid w:val="004B6454"/>
    <w:rsid w:val="004C2950"/>
    <w:rsid w:val="004C317D"/>
    <w:rsid w:val="004C3B1F"/>
    <w:rsid w:val="004C620A"/>
    <w:rsid w:val="004D1C18"/>
    <w:rsid w:val="004D318D"/>
    <w:rsid w:val="004D401C"/>
    <w:rsid w:val="004D40C6"/>
    <w:rsid w:val="004D413C"/>
    <w:rsid w:val="004D4ED5"/>
    <w:rsid w:val="004E38E3"/>
    <w:rsid w:val="004F1474"/>
    <w:rsid w:val="004F28B6"/>
    <w:rsid w:val="004F5DBF"/>
    <w:rsid w:val="00500825"/>
    <w:rsid w:val="00500A6D"/>
    <w:rsid w:val="00503DC0"/>
    <w:rsid w:val="005056D9"/>
    <w:rsid w:val="00513EB5"/>
    <w:rsid w:val="00516803"/>
    <w:rsid w:val="00516D9F"/>
    <w:rsid w:val="00516F72"/>
    <w:rsid w:val="00517B7D"/>
    <w:rsid w:val="00520F80"/>
    <w:rsid w:val="005213F3"/>
    <w:rsid w:val="00524B46"/>
    <w:rsid w:val="00532162"/>
    <w:rsid w:val="00532A1B"/>
    <w:rsid w:val="00533139"/>
    <w:rsid w:val="00535857"/>
    <w:rsid w:val="00536B66"/>
    <w:rsid w:val="00541D90"/>
    <w:rsid w:val="00546AF6"/>
    <w:rsid w:val="0055360B"/>
    <w:rsid w:val="00553C95"/>
    <w:rsid w:val="0055446D"/>
    <w:rsid w:val="00562D99"/>
    <w:rsid w:val="0056347F"/>
    <w:rsid w:val="00563A91"/>
    <w:rsid w:val="00564542"/>
    <w:rsid w:val="00583608"/>
    <w:rsid w:val="0058534B"/>
    <w:rsid w:val="00585F39"/>
    <w:rsid w:val="00590B21"/>
    <w:rsid w:val="00595FD8"/>
    <w:rsid w:val="005A0F5A"/>
    <w:rsid w:val="005A104E"/>
    <w:rsid w:val="005A4059"/>
    <w:rsid w:val="005A4D2A"/>
    <w:rsid w:val="005A56DC"/>
    <w:rsid w:val="005A60DC"/>
    <w:rsid w:val="005A766D"/>
    <w:rsid w:val="005B1AD8"/>
    <w:rsid w:val="005B24AE"/>
    <w:rsid w:val="005B47E6"/>
    <w:rsid w:val="005C3757"/>
    <w:rsid w:val="005C3FDD"/>
    <w:rsid w:val="005D0250"/>
    <w:rsid w:val="005D02D6"/>
    <w:rsid w:val="005D3CD7"/>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50D5"/>
    <w:rsid w:val="006453D9"/>
    <w:rsid w:val="00656605"/>
    <w:rsid w:val="00656710"/>
    <w:rsid w:val="00656D0D"/>
    <w:rsid w:val="006579E3"/>
    <w:rsid w:val="00665D0D"/>
    <w:rsid w:val="006674CE"/>
    <w:rsid w:val="00667AFD"/>
    <w:rsid w:val="0067530D"/>
    <w:rsid w:val="00677564"/>
    <w:rsid w:val="00683A51"/>
    <w:rsid w:val="00683B8B"/>
    <w:rsid w:val="00685893"/>
    <w:rsid w:val="00691795"/>
    <w:rsid w:val="00694775"/>
    <w:rsid w:val="00695658"/>
    <w:rsid w:val="00696161"/>
    <w:rsid w:val="00696D30"/>
    <w:rsid w:val="006A0BEA"/>
    <w:rsid w:val="006A275B"/>
    <w:rsid w:val="006B1655"/>
    <w:rsid w:val="006B16F9"/>
    <w:rsid w:val="006B2BDD"/>
    <w:rsid w:val="006B3850"/>
    <w:rsid w:val="006B50EE"/>
    <w:rsid w:val="006B568B"/>
    <w:rsid w:val="006B6A9F"/>
    <w:rsid w:val="006C5BA9"/>
    <w:rsid w:val="006D288A"/>
    <w:rsid w:val="006D5453"/>
    <w:rsid w:val="006E1129"/>
    <w:rsid w:val="006E55D5"/>
    <w:rsid w:val="006E5B1B"/>
    <w:rsid w:val="006E609F"/>
    <w:rsid w:val="006E775E"/>
    <w:rsid w:val="006F3508"/>
    <w:rsid w:val="006F6FD3"/>
    <w:rsid w:val="00701628"/>
    <w:rsid w:val="0070466F"/>
    <w:rsid w:val="00706202"/>
    <w:rsid w:val="007206D2"/>
    <w:rsid w:val="0072269A"/>
    <w:rsid w:val="0072277C"/>
    <w:rsid w:val="007245CF"/>
    <w:rsid w:val="0072776B"/>
    <w:rsid w:val="007308F7"/>
    <w:rsid w:val="00731D63"/>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0AD0"/>
    <w:rsid w:val="007A5256"/>
    <w:rsid w:val="007A6080"/>
    <w:rsid w:val="007B70F8"/>
    <w:rsid w:val="007B7D76"/>
    <w:rsid w:val="007C3999"/>
    <w:rsid w:val="007D0257"/>
    <w:rsid w:val="007D309B"/>
    <w:rsid w:val="007D3975"/>
    <w:rsid w:val="007D7810"/>
    <w:rsid w:val="007E0FF9"/>
    <w:rsid w:val="007E65CC"/>
    <w:rsid w:val="007F3504"/>
    <w:rsid w:val="00801937"/>
    <w:rsid w:val="00804136"/>
    <w:rsid w:val="00804C80"/>
    <w:rsid w:val="00811BEF"/>
    <w:rsid w:val="00814D7E"/>
    <w:rsid w:val="00821F1F"/>
    <w:rsid w:val="00826F2C"/>
    <w:rsid w:val="00827CE9"/>
    <w:rsid w:val="00831826"/>
    <w:rsid w:val="0083626F"/>
    <w:rsid w:val="00836986"/>
    <w:rsid w:val="00836E0A"/>
    <w:rsid w:val="00847FEF"/>
    <w:rsid w:val="0085066D"/>
    <w:rsid w:val="00850A67"/>
    <w:rsid w:val="008525AB"/>
    <w:rsid w:val="008676C6"/>
    <w:rsid w:val="00873BC6"/>
    <w:rsid w:val="00874AB8"/>
    <w:rsid w:val="00883101"/>
    <w:rsid w:val="00887231"/>
    <w:rsid w:val="008922B7"/>
    <w:rsid w:val="00892A4D"/>
    <w:rsid w:val="008960C8"/>
    <w:rsid w:val="008A2531"/>
    <w:rsid w:val="008A4796"/>
    <w:rsid w:val="008A497D"/>
    <w:rsid w:val="008A5771"/>
    <w:rsid w:val="008B12AD"/>
    <w:rsid w:val="008B2A81"/>
    <w:rsid w:val="008B2BD8"/>
    <w:rsid w:val="008B360F"/>
    <w:rsid w:val="008B5622"/>
    <w:rsid w:val="008C0C81"/>
    <w:rsid w:val="008C11BB"/>
    <w:rsid w:val="008C36BF"/>
    <w:rsid w:val="008C50B2"/>
    <w:rsid w:val="008D1657"/>
    <w:rsid w:val="008D1C6C"/>
    <w:rsid w:val="008D2965"/>
    <w:rsid w:val="008D36A9"/>
    <w:rsid w:val="008D4DDC"/>
    <w:rsid w:val="008D5283"/>
    <w:rsid w:val="008E00DE"/>
    <w:rsid w:val="008E3138"/>
    <w:rsid w:val="008E4419"/>
    <w:rsid w:val="008F0FFC"/>
    <w:rsid w:val="008F308E"/>
    <w:rsid w:val="008F571E"/>
    <w:rsid w:val="008F68B8"/>
    <w:rsid w:val="009032DB"/>
    <w:rsid w:val="00903585"/>
    <w:rsid w:val="00904AF2"/>
    <w:rsid w:val="00905394"/>
    <w:rsid w:val="00905E73"/>
    <w:rsid w:val="00906844"/>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53957"/>
    <w:rsid w:val="0096099E"/>
    <w:rsid w:val="00961A54"/>
    <w:rsid w:val="009629BD"/>
    <w:rsid w:val="00965C9F"/>
    <w:rsid w:val="00974920"/>
    <w:rsid w:val="00975526"/>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D0005"/>
    <w:rsid w:val="009D0324"/>
    <w:rsid w:val="009D5FD9"/>
    <w:rsid w:val="009D682C"/>
    <w:rsid w:val="009D72A6"/>
    <w:rsid w:val="009E02CE"/>
    <w:rsid w:val="009E352E"/>
    <w:rsid w:val="009E63FC"/>
    <w:rsid w:val="009F14F6"/>
    <w:rsid w:val="009F5A60"/>
    <w:rsid w:val="009F5AFE"/>
    <w:rsid w:val="009F66AB"/>
    <w:rsid w:val="00A0120A"/>
    <w:rsid w:val="00A10A08"/>
    <w:rsid w:val="00A1110E"/>
    <w:rsid w:val="00A140C6"/>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6B78"/>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77E9A"/>
    <w:rsid w:val="00A81FBF"/>
    <w:rsid w:val="00A848BC"/>
    <w:rsid w:val="00A9115B"/>
    <w:rsid w:val="00A94E6A"/>
    <w:rsid w:val="00A95F76"/>
    <w:rsid w:val="00A97AEA"/>
    <w:rsid w:val="00AA0568"/>
    <w:rsid w:val="00AA18AB"/>
    <w:rsid w:val="00AB20A2"/>
    <w:rsid w:val="00AC37CE"/>
    <w:rsid w:val="00AC4DE1"/>
    <w:rsid w:val="00AD3A26"/>
    <w:rsid w:val="00AD4602"/>
    <w:rsid w:val="00AD6022"/>
    <w:rsid w:val="00AD7656"/>
    <w:rsid w:val="00AE1E4B"/>
    <w:rsid w:val="00AE2165"/>
    <w:rsid w:val="00AE22A2"/>
    <w:rsid w:val="00AE3909"/>
    <w:rsid w:val="00AE4E1F"/>
    <w:rsid w:val="00AE6246"/>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146"/>
    <w:rsid w:val="00B234B9"/>
    <w:rsid w:val="00B2571F"/>
    <w:rsid w:val="00B26D71"/>
    <w:rsid w:val="00B315C8"/>
    <w:rsid w:val="00B43C82"/>
    <w:rsid w:val="00B4420A"/>
    <w:rsid w:val="00B46034"/>
    <w:rsid w:val="00B512AB"/>
    <w:rsid w:val="00B55605"/>
    <w:rsid w:val="00B55848"/>
    <w:rsid w:val="00B56655"/>
    <w:rsid w:val="00B60220"/>
    <w:rsid w:val="00B60338"/>
    <w:rsid w:val="00B60E8B"/>
    <w:rsid w:val="00B65CF3"/>
    <w:rsid w:val="00B66264"/>
    <w:rsid w:val="00B66DF9"/>
    <w:rsid w:val="00B72552"/>
    <w:rsid w:val="00B73B1C"/>
    <w:rsid w:val="00B778E0"/>
    <w:rsid w:val="00B80394"/>
    <w:rsid w:val="00B8088B"/>
    <w:rsid w:val="00B8169F"/>
    <w:rsid w:val="00B81A71"/>
    <w:rsid w:val="00B820E8"/>
    <w:rsid w:val="00B857A4"/>
    <w:rsid w:val="00B9540D"/>
    <w:rsid w:val="00B96248"/>
    <w:rsid w:val="00B96BFB"/>
    <w:rsid w:val="00BA0BDF"/>
    <w:rsid w:val="00BA43B0"/>
    <w:rsid w:val="00BA5FCC"/>
    <w:rsid w:val="00BA6C58"/>
    <w:rsid w:val="00BB075D"/>
    <w:rsid w:val="00BB1F10"/>
    <w:rsid w:val="00BB3710"/>
    <w:rsid w:val="00BB3FA9"/>
    <w:rsid w:val="00BB486C"/>
    <w:rsid w:val="00BB4D3C"/>
    <w:rsid w:val="00BB5791"/>
    <w:rsid w:val="00BB740F"/>
    <w:rsid w:val="00BB7696"/>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40E3"/>
    <w:rsid w:val="00C37519"/>
    <w:rsid w:val="00C40E09"/>
    <w:rsid w:val="00C44764"/>
    <w:rsid w:val="00C46A51"/>
    <w:rsid w:val="00C471B3"/>
    <w:rsid w:val="00C472F4"/>
    <w:rsid w:val="00C5073D"/>
    <w:rsid w:val="00C507CF"/>
    <w:rsid w:val="00C51FB7"/>
    <w:rsid w:val="00C5485A"/>
    <w:rsid w:val="00C54AB6"/>
    <w:rsid w:val="00C54E62"/>
    <w:rsid w:val="00C56045"/>
    <w:rsid w:val="00C57F77"/>
    <w:rsid w:val="00C6039A"/>
    <w:rsid w:val="00C62E71"/>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0951"/>
    <w:rsid w:val="00CB10FF"/>
    <w:rsid w:val="00CB3078"/>
    <w:rsid w:val="00CB3FBF"/>
    <w:rsid w:val="00CB6111"/>
    <w:rsid w:val="00CB6167"/>
    <w:rsid w:val="00CC1BE2"/>
    <w:rsid w:val="00CC1F46"/>
    <w:rsid w:val="00CC6078"/>
    <w:rsid w:val="00CC7D1E"/>
    <w:rsid w:val="00CE2133"/>
    <w:rsid w:val="00CE5F0A"/>
    <w:rsid w:val="00D012B5"/>
    <w:rsid w:val="00D02445"/>
    <w:rsid w:val="00D02614"/>
    <w:rsid w:val="00D02D9A"/>
    <w:rsid w:val="00D047D3"/>
    <w:rsid w:val="00D05C86"/>
    <w:rsid w:val="00D13DA1"/>
    <w:rsid w:val="00D271C1"/>
    <w:rsid w:val="00D279F4"/>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3387"/>
    <w:rsid w:val="00D8615A"/>
    <w:rsid w:val="00D879CB"/>
    <w:rsid w:val="00D90F79"/>
    <w:rsid w:val="00D91488"/>
    <w:rsid w:val="00D91D89"/>
    <w:rsid w:val="00D9550D"/>
    <w:rsid w:val="00DB3179"/>
    <w:rsid w:val="00DB4489"/>
    <w:rsid w:val="00DB4CA1"/>
    <w:rsid w:val="00DB6819"/>
    <w:rsid w:val="00DC23B3"/>
    <w:rsid w:val="00DC356C"/>
    <w:rsid w:val="00DC473A"/>
    <w:rsid w:val="00DC66FE"/>
    <w:rsid w:val="00DD0E2C"/>
    <w:rsid w:val="00DD4911"/>
    <w:rsid w:val="00DD569D"/>
    <w:rsid w:val="00DD5727"/>
    <w:rsid w:val="00DD5DC8"/>
    <w:rsid w:val="00DD7F79"/>
    <w:rsid w:val="00DE115A"/>
    <w:rsid w:val="00DE4BB3"/>
    <w:rsid w:val="00DE5764"/>
    <w:rsid w:val="00DE618B"/>
    <w:rsid w:val="00DF2091"/>
    <w:rsid w:val="00DF600E"/>
    <w:rsid w:val="00E014F4"/>
    <w:rsid w:val="00E066F8"/>
    <w:rsid w:val="00E10649"/>
    <w:rsid w:val="00E201F0"/>
    <w:rsid w:val="00E2040C"/>
    <w:rsid w:val="00E248D6"/>
    <w:rsid w:val="00E30B02"/>
    <w:rsid w:val="00E37BA3"/>
    <w:rsid w:val="00E37FD8"/>
    <w:rsid w:val="00E40E51"/>
    <w:rsid w:val="00E4425D"/>
    <w:rsid w:val="00E442B4"/>
    <w:rsid w:val="00E45340"/>
    <w:rsid w:val="00E53ACA"/>
    <w:rsid w:val="00E53E61"/>
    <w:rsid w:val="00E562A5"/>
    <w:rsid w:val="00E60B47"/>
    <w:rsid w:val="00E615A9"/>
    <w:rsid w:val="00E661D7"/>
    <w:rsid w:val="00E7070A"/>
    <w:rsid w:val="00E718B6"/>
    <w:rsid w:val="00E72DCA"/>
    <w:rsid w:val="00E73008"/>
    <w:rsid w:val="00E737E7"/>
    <w:rsid w:val="00E749F5"/>
    <w:rsid w:val="00E75CA2"/>
    <w:rsid w:val="00E77CD6"/>
    <w:rsid w:val="00E819D6"/>
    <w:rsid w:val="00E82CA9"/>
    <w:rsid w:val="00E83C73"/>
    <w:rsid w:val="00E8404B"/>
    <w:rsid w:val="00E84DFE"/>
    <w:rsid w:val="00E859CC"/>
    <w:rsid w:val="00E93314"/>
    <w:rsid w:val="00EA0471"/>
    <w:rsid w:val="00EA599B"/>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BA2"/>
    <w:rsid w:val="00F66C9B"/>
    <w:rsid w:val="00F71470"/>
    <w:rsid w:val="00F715B9"/>
    <w:rsid w:val="00F72AE9"/>
    <w:rsid w:val="00F733F4"/>
    <w:rsid w:val="00F748EC"/>
    <w:rsid w:val="00F7683A"/>
    <w:rsid w:val="00F77141"/>
    <w:rsid w:val="00F77C3D"/>
    <w:rsid w:val="00F80BB4"/>
    <w:rsid w:val="00F8166A"/>
    <w:rsid w:val="00F857E4"/>
    <w:rsid w:val="00F90B1A"/>
    <w:rsid w:val="00F94566"/>
    <w:rsid w:val="00F94E86"/>
    <w:rsid w:val="00F952E7"/>
    <w:rsid w:val="00FA55E3"/>
    <w:rsid w:val="00FA579D"/>
    <w:rsid w:val="00FB1D0B"/>
    <w:rsid w:val="00FB275D"/>
    <w:rsid w:val="00FB5FD5"/>
    <w:rsid w:val="00FC193B"/>
    <w:rsid w:val="00FC522F"/>
    <w:rsid w:val="00FD2717"/>
    <w:rsid w:val="00FD3786"/>
    <w:rsid w:val="00FE02DD"/>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paragraph" w:styleId="Revision">
    <w:name w:val="Revision"/>
    <w:hidden/>
    <w:uiPriority w:val="99"/>
    <w:semiHidden/>
    <w:rsid w:val="005B24AE"/>
    <w:rPr>
      <w:rFonts w:ascii="Arial" w:hAnsi="Arial" w:cs="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 w:type="paragraph" w:styleId="Revision">
    <w:name w:val="Revision"/>
    <w:hidden/>
    <w:uiPriority w:val="99"/>
    <w:semiHidden/>
    <w:rsid w:val="005B24AE"/>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9566-A7E3-4E57-A81B-E68A5A3B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4644</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30269</CharactersWithSpaces>
  <SharedDoc>false</SharedDoc>
  <HLinks>
    <vt:vector size="18" baseType="variant">
      <vt:variant>
        <vt:i4>3211376</vt:i4>
      </vt:variant>
      <vt:variant>
        <vt:i4>40</vt:i4>
      </vt:variant>
      <vt:variant>
        <vt:i4>0</vt:i4>
      </vt:variant>
      <vt:variant>
        <vt:i4>5</vt:i4>
      </vt:variant>
      <vt:variant>
        <vt:lpwstr>http://www.businesslink.gov.uk/contractsfinder</vt:lpwstr>
      </vt:variant>
      <vt:variant>
        <vt:lpwstr/>
      </vt:variant>
      <vt:variant>
        <vt:i4>262215</vt:i4>
      </vt:variant>
      <vt:variant>
        <vt:i4>37</vt:i4>
      </vt:variant>
      <vt:variant>
        <vt:i4>0</vt:i4>
      </vt:variant>
      <vt:variant>
        <vt:i4>5</vt:i4>
      </vt:variant>
      <vt:variant>
        <vt:lpwstr>http://www.promptpaymentcode.org.uk/</vt:lpwstr>
      </vt:variant>
      <vt:variant>
        <vt:lpwstr/>
      </vt:variant>
      <vt:variant>
        <vt:i4>5111856</vt:i4>
      </vt:variant>
      <vt:variant>
        <vt:i4>34</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Johnson, Kerry</dc:creator>
  <cp:lastModifiedBy>Johnson, Kerry</cp:lastModifiedBy>
  <cp:revision>17</cp:revision>
  <cp:lastPrinted>2015-02-23T16:19:00Z</cp:lastPrinted>
  <dcterms:created xsi:type="dcterms:W3CDTF">2015-02-23T13:43:00Z</dcterms:created>
  <dcterms:modified xsi:type="dcterms:W3CDTF">2015-02-23T16:45:00Z</dcterms:modified>
</cp:coreProperties>
</file>