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709"/>
          <w:tab w:val="left" w:leader="none" w:pos="284"/>
          <w:tab w:val="left" w:leader="none" w:pos="284"/>
          <w:tab w:val="left" w:leader="none" w:pos="420"/>
          <w:tab w:val="left" w:leader="none" w:pos="0"/>
        </w:tabs>
        <w:spacing w:after="0" w:line="240" w:lineRule="auto"/>
        <w:ind w:left="0" w:firstLine="0"/>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Framework Schedule 1 Specification (Core Requirements) </w:t>
      </w:r>
    </w:p>
    <w:p w:rsidR="00000000" w:rsidDel="00000000" w:rsidP="00000000" w:rsidRDefault="00000000" w:rsidRPr="00000000" w14:paraId="00000002">
      <w:pPr>
        <w:tabs>
          <w:tab w:val="left" w:leader="none" w:pos="709"/>
          <w:tab w:val="left" w:leader="none" w:pos="284"/>
          <w:tab w:val="left" w:leader="none" w:pos="284"/>
          <w:tab w:val="left" w:leader="none" w:pos="420"/>
          <w:tab w:val="left" w:leader="none" w:pos="0"/>
        </w:tabs>
        <w:spacing w:after="0" w:line="240" w:lineRule="auto"/>
        <w:ind w:firstLine="360"/>
        <w:rPr>
          <w:rFonts w:ascii="Arial" w:cs="Arial" w:eastAsia="Arial" w:hAnsi="Arial"/>
          <w:b w:val="1"/>
          <w:sz w:val="36"/>
          <w:szCs w:val="36"/>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tabs>
          <w:tab w:val="left" w:leader="none" w:pos="709"/>
          <w:tab w:val="left" w:leader="none" w:pos="284"/>
          <w:tab w:val="left" w:leader="none" w:pos="284"/>
          <w:tab w:val="left" w:leader="none" w:pos="420"/>
          <w:tab w:val="left" w:leader="none" w:pos="0"/>
        </w:tabs>
        <w:spacing w:after="0" w:before="0" w:line="240" w:lineRule="auto"/>
        <w:ind w:left="0" w:firstLine="0"/>
        <w:rPr>
          <w:rFonts w:ascii="Arial" w:cs="Arial" w:eastAsia="Arial" w:hAnsi="Arial"/>
          <w:b w:val="1"/>
          <w:sz w:val="28"/>
          <w:szCs w:val="28"/>
        </w:rPr>
      </w:pPr>
      <w:bookmarkStart w:colFirst="0" w:colLast="0" w:name="_heading=h.1fob9te" w:id="2"/>
      <w:bookmarkEnd w:id="2"/>
      <w:r w:rsidDel="00000000" w:rsidR="00000000" w:rsidRPr="00000000">
        <w:rPr>
          <w:rFonts w:ascii="Arial" w:cs="Arial" w:eastAsia="Arial" w:hAnsi="Arial"/>
          <w:b w:val="1"/>
          <w:sz w:val="28"/>
          <w:szCs w:val="28"/>
          <w:rtl w:val="0"/>
        </w:rPr>
        <w:t xml:space="preserve">Logistics, Warehousing, and Supply Chain Solutions (RM6329)</w:t>
      </w:r>
    </w:p>
    <w:p w:rsidR="00000000" w:rsidDel="00000000" w:rsidP="00000000" w:rsidRDefault="00000000" w:rsidRPr="00000000" w14:paraId="00000004">
      <w:pPr>
        <w:tabs>
          <w:tab w:val="left" w:leader="none" w:pos="709"/>
          <w:tab w:val="left" w:leader="none" w:pos="284"/>
          <w:tab w:val="left" w:leader="none" w:pos="284"/>
          <w:tab w:val="left" w:leader="none" w:pos="420"/>
          <w:tab w:val="left" w:leader="none" w:pos="0"/>
        </w:tabs>
        <w:spacing w:after="0" w:before="0" w:line="240" w:lineRule="auto"/>
        <w:ind w:firstLine="360"/>
        <w:rPr/>
      </w:pPr>
      <w:r w:rsidDel="00000000" w:rsidR="00000000" w:rsidRPr="00000000">
        <w:rPr>
          <w:rtl w:val="0"/>
        </w:rPr>
      </w:r>
    </w:p>
    <w:p w:rsidR="00000000" w:rsidDel="00000000" w:rsidP="00000000" w:rsidRDefault="00000000" w:rsidRPr="00000000" w14:paraId="00000005">
      <w:pPr>
        <w:tabs>
          <w:tab w:val="left" w:leader="none" w:pos="709"/>
          <w:tab w:val="left" w:leader="none" w:pos="284"/>
          <w:tab w:val="left" w:leader="none" w:pos="284"/>
          <w:tab w:val="left" w:leader="none" w:pos="420"/>
          <w:tab w:val="left" w:leader="none" w:pos="0"/>
          <w:tab w:val="left" w:leader="none" w:pos="709"/>
        </w:tabs>
        <w:spacing w:after="0" w:before="0" w:line="240" w:lineRule="auto"/>
        <w:ind w:left="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The Specification </w:t>
      </w:r>
      <w:r w:rsidDel="00000000" w:rsidR="00000000" w:rsidRPr="00000000">
        <w:rPr>
          <w:rFonts w:ascii="Arial" w:cs="Arial" w:eastAsia="Arial" w:hAnsi="Arial"/>
          <w:color w:val="000000"/>
          <w:sz w:val="24"/>
          <w:szCs w:val="24"/>
          <w:rtl w:val="0"/>
        </w:rPr>
        <w:t xml:space="preserve">sets out what we and our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uyers want.</w:t>
      </w:r>
    </w:p>
    <w:p w:rsidR="00000000" w:rsidDel="00000000" w:rsidP="00000000" w:rsidRDefault="00000000" w:rsidRPr="00000000" w14:paraId="00000006">
      <w:pPr>
        <w:tabs>
          <w:tab w:val="left" w:leader="none" w:pos="709"/>
          <w:tab w:val="left" w:leader="none" w:pos="284"/>
          <w:tab w:val="left" w:leader="none" w:pos="284"/>
          <w:tab w:val="left" w:leader="none" w:pos="420"/>
          <w:tab w:val="left" w:leader="none" w:pos="0"/>
          <w:tab w:val="left" w:leader="none" w:pos="709"/>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tabs>
          <w:tab w:val="left" w:leader="none" w:pos="709"/>
          <w:tab w:val="left" w:leader="none" w:pos="284"/>
          <w:tab w:val="left" w:leader="none" w:pos="284"/>
          <w:tab w:val="left" w:leader="none" w:pos="420"/>
          <w:tab w:val="left" w:leader="none" w:pos="0"/>
          <w:tab w:val="left" w:leader="none" w:pos="709"/>
        </w:tabs>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Specification for this Framework Contract has been structured in the following way:</w:t>
      </w:r>
    </w:p>
    <w:p w:rsidR="00000000" w:rsidDel="00000000" w:rsidP="00000000" w:rsidRDefault="00000000" w:rsidRPr="00000000" w14:paraId="00000008">
      <w:pPr>
        <w:numPr>
          <w:ilvl w:val="0"/>
          <w:numId w:val="2"/>
        </w:numPr>
        <w:tabs>
          <w:tab w:val="left" w:leader="none" w:pos="709"/>
          <w:tab w:val="left" w:leader="none" w:pos="284"/>
          <w:tab w:val="left" w:leader="none" w:pos="284"/>
          <w:tab w:val="left" w:leader="none" w:pos="420"/>
          <w:tab w:val="left" w:leader="none" w:pos="0"/>
          <w:tab w:val="left" w:leader="none" w:pos="-2891"/>
        </w:tabs>
        <w:spacing w:after="0" w:before="0" w:line="240"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Core Requirements - these are requirements that are applicable to all the Framework Contract Lots.  The Core Requirements should be read in conjunction with each of the Lot specific Annex.</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 these are the Lot specific requirements under this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For example, the Deliverables for Lot 1 (Haulage and Distribution Solutions) can be found within Annex 1.</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has </w:t>
      </w:r>
      <w:r w:rsidDel="00000000" w:rsidR="00000000" w:rsidRPr="00000000">
        <w:rPr>
          <w:rFonts w:ascii="Arial" w:cs="Arial" w:eastAsia="Arial" w:hAnsi="Arial"/>
          <w:sz w:val="24"/>
          <w:szCs w:val="24"/>
          <w:rtl w:val="0"/>
        </w:rPr>
        <w:t xml:space="preserve">eight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Lots, therefore there are </w:t>
      </w:r>
      <w:r w:rsidDel="00000000" w:rsidR="00000000" w:rsidRPr="00000000">
        <w:rPr>
          <w:rFonts w:ascii="Arial" w:cs="Arial" w:eastAsia="Arial" w:hAnsi="Arial"/>
          <w:sz w:val="24"/>
          <w:szCs w:val="24"/>
          <w:rtl w:val="0"/>
        </w:rPr>
        <w:t xml:space="preserve">eight</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annexes</w:t>
      </w:r>
      <w:r w:rsidDel="00000000" w:rsidR="00000000" w:rsidRPr="00000000">
        <w:rPr>
          <w:rFonts w:ascii="Arial" w:cs="Arial" w:eastAsia="Arial" w:hAnsi="Arial"/>
          <w:color w:val="000000"/>
          <w:sz w:val="24"/>
          <w:szCs w:val="24"/>
          <w:rtl w:val="0"/>
        </w:rPr>
        <w:t xml:space="preserve">.  These are:</w:t>
      </w:r>
    </w:p>
    <w:p w:rsidR="00000000" w:rsidDel="00000000" w:rsidP="00000000" w:rsidRDefault="00000000" w:rsidRPr="00000000" w14:paraId="0000000B">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1 - Lot 1: Haulage and Distribution Solutions</w:t>
      </w:r>
    </w:p>
    <w:p w:rsidR="00000000" w:rsidDel="00000000" w:rsidP="00000000" w:rsidRDefault="00000000" w:rsidRPr="00000000" w14:paraId="0000000C">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2 - Lot 2: Warehousing and Storage Solutions</w:t>
      </w:r>
    </w:p>
    <w:p w:rsidR="00000000" w:rsidDel="00000000" w:rsidP="00000000" w:rsidRDefault="00000000" w:rsidRPr="00000000" w14:paraId="0000000D">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 Logistics Consultancy, Supply Chain, and Design Solutions</w:t>
      </w:r>
    </w:p>
    <w:p w:rsidR="00000000" w:rsidDel="00000000" w:rsidP="00000000" w:rsidRDefault="00000000" w:rsidRPr="00000000" w14:paraId="0000000E">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color w:val="000000"/>
          <w:sz w:val="24"/>
          <w:szCs w:val="24"/>
          <w:rtl w:val="0"/>
        </w:rPr>
        <w:t xml:space="preserve">: 3rd Party, 4th Party, and 5th Party Logistics Solutions</w:t>
      </w:r>
    </w:p>
    <w:p w:rsidR="00000000" w:rsidDel="00000000" w:rsidP="00000000" w:rsidRDefault="00000000" w:rsidRPr="00000000" w14:paraId="0000000F">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color w:val="000000"/>
          <w:sz w:val="24"/>
          <w:szCs w:val="24"/>
          <w:rtl w:val="0"/>
        </w:rPr>
        <w:t xml:space="preserve">: Removal and Relocation Solutions</w:t>
      </w:r>
    </w:p>
    <w:p w:rsidR="00000000" w:rsidDel="00000000" w:rsidP="00000000" w:rsidRDefault="00000000" w:rsidRPr="00000000" w14:paraId="00000010">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color w:val="000000"/>
          <w:sz w:val="24"/>
          <w:szCs w:val="24"/>
          <w:rtl w:val="0"/>
        </w:rPr>
        <w:t xml:space="preserve">: Vehicle and Plant Movement, Storage, and Detention Solutions</w:t>
      </w:r>
    </w:p>
    <w:p w:rsidR="00000000" w:rsidDel="00000000" w:rsidP="00000000" w:rsidRDefault="00000000" w:rsidRPr="00000000" w14:paraId="00000011">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color w:val="000000"/>
          <w:sz w:val="24"/>
          <w:szCs w:val="24"/>
          <w:rtl w:val="0"/>
        </w:rPr>
        <w:t xml:space="preserve">: Events, Shows and Exhibition Logistics               Solutions</w:t>
      </w:r>
    </w:p>
    <w:p w:rsidR="00000000" w:rsidDel="00000000" w:rsidP="00000000" w:rsidRDefault="00000000" w:rsidRPr="00000000" w14:paraId="00000012">
      <w:pPr>
        <w:numPr>
          <w:ilvl w:val="1"/>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Annex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 Lot </w:t>
      </w: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color w:val="000000"/>
          <w:sz w:val="24"/>
          <w:szCs w:val="24"/>
          <w:rtl w:val="0"/>
        </w:rPr>
        <w:t xml:space="preserve">: Construction Logistics and Associated Solutions</w:t>
      </w:r>
    </w:p>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Lot of this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is separated into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andatory Deliverables and </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ptional Deliverables.</w:t>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80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must only provide the Deliverables for the Lot(s) that they have been appointed to.</w:t>
      </w:r>
    </w:p>
    <w:p w:rsidR="00000000" w:rsidDel="00000000" w:rsidP="00000000" w:rsidRDefault="00000000" w:rsidRPr="00000000" w14:paraId="00000017">
      <w:pP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0" w:firstLine="0"/>
        <w:rPr>
          <w:rFonts w:ascii="Arial" w:cs="Arial" w:eastAsia="Arial" w:hAnsi="Arial"/>
          <w:sz w:val="24"/>
          <w:szCs w:val="24"/>
        </w:rPr>
      </w:pPr>
      <w:bookmarkStart w:colFirst="0" w:colLast="0" w:name="_heading=h.3znysh7" w:id="3"/>
      <w:bookmarkEnd w:id="3"/>
      <w:r w:rsidDel="00000000" w:rsidR="00000000" w:rsidRPr="00000000">
        <w:rPr>
          <w:rtl w:val="0"/>
        </w:rPr>
      </w:r>
    </w:p>
    <w:p w:rsidR="00000000" w:rsidDel="00000000" w:rsidP="00000000" w:rsidRDefault="00000000" w:rsidRPr="00000000" w14:paraId="00000018">
      <w:pP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all Lots and/or Deliverables, the Supplier must help Buyers comply with any Standards of the Buyer.</w:t>
      </w:r>
    </w:p>
    <w:p w:rsidR="00000000" w:rsidDel="00000000" w:rsidP="00000000" w:rsidRDefault="00000000" w:rsidRPr="00000000" w14:paraId="00000019">
      <w:pP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shd w:fill="ffffff" w:val="clear"/>
        <w:tabs>
          <w:tab w:val="left" w:leader="none" w:pos="709"/>
          <w:tab w:val="left" w:leader="none" w:pos="284"/>
          <w:tab w:val="left" w:leader="none" w:pos="284"/>
          <w:tab w:val="left" w:leader="none" w:pos="420"/>
          <w:tab w:val="left" w:leader="none" w:pos="0"/>
          <w:tab w:val="left" w:leader="none" w:pos="-2891"/>
          <w:tab w:val="left" w:leader="none" w:pos="420"/>
          <w:tab w:val="left" w:leader="none" w:pos="0"/>
          <w:tab w:val="left" w:leader="none" w:pos="1560"/>
        </w:tabs>
        <w:spacing w:after="0" w:before="0"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Deliverables and any Standards may be refined (to the extent permitted and set out in Framework Schedule 6 - Call Off Order Form) by a Buyer during a Further Competition Procedure to reflect its requirements for entering a particular Call-Off Contract.</w:t>
      </w:r>
    </w:p>
    <w:p w:rsidR="00000000" w:rsidDel="00000000" w:rsidP="00000000" w:rsidRDefault="00000000" w:rsidRPr="00000000" w14:paraId="0000001B">
      <w:pPr>
        <w:tabs>
          <w:tab w:val="left" w:leader="none" w:pos="709"/>
          <w:tab w:val="left" w:leader="none" w:pos="284"/>
          <w:tab w:val="left" w:leader="none" w:pos="284"/>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pStyle w:val="Heading1"/>
        <w:numPr>
          <w:ilvl w:val="0"/>
          <w:numId w:val="1"/>
        </w:numPr>
        <w:tabs>
          <w:tab w:val="left" w:leader="none" w:pos="709"/>
          <w:tab w:val="left" w:leader="none" w:pos="284"/>
          <w:tab w:val="left" w:leader="none" w:pos="709"/>
          <w:tab w:val="left" w:leader="none" w:pos="285"/>
          <w:tab w:val="left" w:leader="none" w:pos="285"/>
          <w:tab w:val="left" w:leader="none" w:pos="420"/>
          <w:tab w:val="left" w:leader="none" w:pos="-285"/>
        </w:tabs>
        <w:spacing w:after="0" w:line="240" w:lineRule="auto"/>
        <w:ind w:left="360" w:hanging="283.46456692913375"/>
        <w:rPr/>
      </w:pPr>
      <w:bookmarkStart w:colFirst="0" w:colLast="0" w:name="_heading=h.2et92p0" w:id="4"/>
      <w:bookmarkEnd w:id="4"/>
      <w:r w:rsidDel="00000000" w:rsidR="00000000" w:rsidRPr="00000000">
        <w:rPr>
          <w:b w:val="1"/>
          <w:sz w:val="24"/>
          <w:szCs w:val="24"/>
          <w:rtl w:val="0"/>
        </w:rPr>
        <w:t xml:space="preserve">Introduction</w:t>
      </w:r>
      <w:r w:rsidDel="00000000" w:rsidR="00000000" w:rsidRPr="00000000">
        <w:rPr>
          <w:rtl w:val="0"/>
        </w:rPr>
      </w:r>
    </w:p>
    <w:p w:rsidR="00000000" w:rsidDel="00000000" w:rsidP="00000000" w:rsidRDefault="00000000" w:rsidRPr="00000000" w14:paraId="0000001D">
      <w:pPr>
        <w:tabs>
          <w:tab w:val="left" w:leader="none" w:pos="709"/>
          <w:tab w:val="left" w:leader="none" w:pos="284"/>
          <w:tab w:val="left" w:leader="none" w:pos="284"/>
          <w:tab w:val="left" w:leader="none" w:pos="420"/>
          <w:tab w:val="left" w:leader="none" w:pos="0"/>
          <w:tab w:val="left" w:leader="none" w:pos="709"/>
          <w:tab w:val="left" w:leader="none" w:pos="284"/>
          <w:tab w:val="left" w:leader="none" w:pos="284"/>
          <w:tab w:val="left" w:leader="none" w:pos="420"/>
          <w:tab w:val="left" w:leader="none" w:pos="0"/>
        </w:tabs>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numPr>
          <w:ilvl w:val="1"/>
          <w:numId w:val="1"/>
        </w:numP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Crown Commercial Service (CCS), hereafter known as the ’The Authority’, is seeking to establish a Framework Contract (e.g. a CCS Commercial Agreement) with multiple Suppliers for the provision of Logistics, Warehousing, and Supply Chain Solutions for use by the UK public sector.</w:t>
      </w:r>
      <w:r w:rsidDel="00000000" w:rsidR="00000000" w:rsidRPr="00000000">
        <w:rPr>
          <w:rtl w:val="0"/>
        </w:rPr>
      </w:r>
    </w:p>
    <w:p w:rsidR="00000000" w:rsidDel="00000000" w:rsidP="00000000" w:rsidRDefault="00000000" w:rsidRPr="00000000" w14:paraId="0000001F">
      <w:pPr>
        <w:widowControl w:val="0"/>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79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numPr>
          <w:ilvl w:val="1"/>
          <w:numId w:val="1"/>
        </w:numP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The term of the Framework Contract will be for a period of forty-eight (48) months. There will be no option to extend the Framework Contract.  </w:t>
      </w:r>
      <w:r w:rsidDel="00000000" w:rsidR="00000000" w:rsidRPr="00000000">
        <w:rPr>
          <w:rtl w:val="0"/>
        </w:rPr>
      </w:r>
    </w:p>
    <w:p w:rsidR="00000000" w:rsidDel="00000000" w:rsidP="00000000" w:rsidRDefault="00000000" w:rsidRPr="00000000" w14:paraId="00000021">
      <w:pPr>
        <w:widowControl w:val="0"/>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79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numPr>
          <w:ilvl w:val="1"/>
          <w:numId w:val="1"/>
        </w:numP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Call-Off Contracts under this Framework Contract are expected to be of a length commensurate with the Buyer’s Specifications and in line with UK public sector best practice but are not generally expected to exceed 7 years beyond Framework Contract expiry. </w:t>
      </w:r>
      <w:r w:rsidDel="00000000" w:rsidR="00000000" w:rsidRPr="00000000">
        <w:rPr>
          <w:rtl w:val="0"/>
        </w:rPr>
      </w:r>
    </w:p>
    <w:p w:rsidR="00000000" w:rsidDel="00000000" w:rsidP="00000000" w:rsidRDefault="00000000" w:rsidRPr="00000000" w14:paraId="00000023">
      <w:pPr>
        <w:widowControl w:val="0"/>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79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The purpose of this Framework Specification (Core Requirements) and supporting Annexes is to set out the minimum scope of the Deliverables (e.g. Goods, Services, and Solutions) that the Supplier shall be required to make available to Buyers, and provide a description of what the Deliverables will entail, together with the specific standards applicable. Buyers may require additional services during the Call-Off Procedure and this will be permissible as long as the services fall within the scope of the title of the Lot.</w:t>
      </w:r>
      <w:r w:rsidDel="00000000" w:rsidR="00000000" w:rsidRPr="00000000">
        <w:rPr>
          <w:rtl w:val="0"/>
        </w:rPr>
      </w:r>
    </w:p>
    <w:p w:rsidR="00000000" w:rsidDel="00000000" w:rsidP="00000000" w:rsidRDefault="00000000" w:rsidRPr="00000000" w14:paraId="00000025">
      <w:pPr>
        <w:tabs>
          <w:tab w:val="left" w:leader="none" w:pos="709"/>
          <w:tab w:val="left" w:leader="none" w:pos="284"/>
          <w:tab w:val="left" w:leader="none" w:pos="284"/>
          <w:tab w:val="left" w:leader="none" w:pos="420"/>
          <w:tab w:val="left" w:leader="none" w:pos="0"/>
          <w:tab w:val="left" w:leader="none" w:pos="420"/>
        </w:tabs>
        <w:spacing w:after="0" w:line="240" w:lineRule="auto"/>
        <w:ind w:left="79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The Deliverables shall be provided across the UK (England, Wales, Scotland, Northern Ireland) and where specified by mandatory or optional Lot requirements, also Internationally (EU and the Rest of the World).  </w:t>
      </w:r>
      <w:r w:rsidDel="00000000" w:rsidR="00000000" w:rsidRPr="00000000">
        <w:rPr>
          <w:rtl w:val="0"/>
        </w:rPr>
      </w:r>
    </w:p>
    <w:p w:rsidR="00000000" w:rsidDel="00000000" w:rsidP="00000000" w:rsidRDefault="00000000" w:rsidRPr="00000000" w14:paraId="00000027">
      <w:pPr>
        <w:tabs>
          <w:tab w:val="left" w:leader="none" w:pos="709"/>
          <w:tab w:val="left" w:leader="none" w:pos="284"/>
          <w:tab w:val="left" w:leader="none" w:pos="284"/>
          <w:tab w:val="left" w:leader="none" w:pos="420"/>
          <w:tab w:val="left" w:leader="none" w:pos="0"/>
          <w:tab w:val="left" w:leader="none" w:pos="420"/>
          <w:tab w:val="left" w:leader="none" w:pos="0"/>
        </w:tabs>
        <w:spacing w:after="0" w:line="240" w:lineRule="auto"/>
        <w:ind w:left="992.1259842519685" w:hanging="100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The Deliverables will be required to serve business addresses, residential addresses, and any other locations that the Buyer determines. This may include but not be limited to:</w:t>
      </w:r>
      <w:r w:rsidDel="00000000" w:rsidR="00000000" w:rsidRPr="00000000">
        <w:rPr>
          <w:rtl w:val="0"/>
        </w:rPr>
      </w:r>
    </w:p>
    <w:p w:rsidR="00000000" w:rsidDel="00000000" w:rsidP="00000000" w:rsidRDefault="00000000" w:rsidRPr="00000000" w14:paraId="00000029">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ports; </w:t>
      </w:r>
      <w:r w:rsidDel="00000000" w:rsidR="00000000" w:rsidRPr="00000000">
        <w:rPr>
          <w:rtl w:val="0"/>
        </w:rPr>
      </w:r>
    </w:p>
    <w:p w:rsidR="00000000" w:rsidDel="00000000" w:rsidP="00000000" w:rsidRDefault="00000000" w:rsidRPr="00000000" w14:paraId="0000002A">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airports;</w:t>
      </w:r>
      <w:r w:rsidDel="00000000" w:rsidR="00000000" w:rsidRPr="00000000">
        <w:rPr>
          <w:rtl w:val="0"/>
        </w:rPr>
      </w:r>
    </w:p>
    <w:p w:rsidR="00000000" w:rsidDel="00000000" w:rsidP="00000000" w:rsidRDefault="00000000" w:rsidRPr="00000000" w14:paraId="0000002B">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rivers; </w:t>
      </w:r>
      <w:r w:rsidDel="00000000" w:rsidR="00000000" w:rsidRPr="00000000">
        <w:rPr>
          <w:rtl w:val="0"/>
        </w:rPr>
      </w:r>
    </w:p>
    <w:p w:rsidR="00000000" w:rsidDel="00000000" w:rsidP="00000000" w:rsidRDefault="00000000" w:rsidRPr="00000000" w14:paraId="0000002C">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roadside;</w:t>
      </w:r>
      <w:r w:rsidDel="00000000" w:rsidR="00000000" w:rsidRPr="00000000">
        <w:rPr>
          <w:rtl w:val="0"/>
        </w:rPr>
      </w:r>
    </w:p>
    <w:p w:rsidR="00000000" w:rsidDel="00000000" w:rsidP="00000000" w:rsidRDefault="00000000" w:rsidRPr="00000000" w14:paraId="0000002D">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military establishments; </w:t>
      </w:r>
      <w:r w:rsidDel="00000000" w:rsidR="00000000" w:rsidRPr="00000000">
        <w:rPr>
          <w:rtl w:val="0"/>
        </w:rPr>
      </w:r>
    </w:p>
    <w:p w:rsidR="00000000" w:rsidDel="00000000" w:rsidP="00000000" w:rsidRDefault="00000000" w:rsidRPr="00000000" w14:paraId="0000002E">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secure facilities,</w:t>
      </w:r>
      <w:r w:rsidDel="00000000" w:rsidR="00000000" w:rsidRPr="00000000">
        <w:rPr>
          <w:rtl w:val="0"/>
        </w:rPr>
      </w:r>
    </w:p>
    <w:p w:rsidR="00000000" w:rsidDel="00000000" w:rsidP="00000000" w:rsidRDefault="00000000" w:rsidRPr="00000000" w14:paraId="0000002F">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medical establishments;</w:t>
      </w:r>
      <w:r w:rsidDel="00000000" w:rsidR="00000000" w:rsidRPr="00000000">
        <w:rPr>
          <w:rtl w:val="0"/>
        </w:rPr>
      </w:r>
    </w:p>
    <w:p w:rsidR="00000000" w:rsidDel="00000000" w:rsidP="00000000" w:rsidRDefault="00000000" w:rsidRPr="00000000" w14:paraId="00000030">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hospitals, construction sites; </w:t>
      </w:r>
      <w:r w:rsidDel="00000000" w:rsidR="00000000" w:rsidRPr="00000000">
        <w:rPr>
          <w:rtl w:val="0"/>
        </w:rPr>
      </w:r>
    </w:p>
    <w:p w:rsidR="00000000" w:rsidDel="00000000" w:rsidP="00000000" w:rsidRDefault="00000000" w:rsidRPr="00000000" w14:paraId="00000031">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potentially hostile environments and </w:t>
      </w:r>
      <w:r w:rsidDel="00000000" w:rsidR="00000000" w:rsidRPr="00000000">
        <w:rPr>
          <w:rtl w:val="0"/>
        </w:rPr>
      </w:r>
    </w:p>
    <w:p w:rsidR="00000000" w:rsidDel="00000000" w:rsidP="00000000" w:rsidRDefault="00000000" w:rsidRPr="00000000" w14:paraId="00000032">
      <w:pPr>
        <w:numPr>
          <w:ilvl w:val="2"/>
          <w:numId w:val="1"/>
        </w:numPr>
        <w:tabs>
          <w:tab w:val="left" w:leader="none" w:pos="709"/>
          <w:tab w:val="left" w:leader="none" w:pos="284"/>
          <w:tab w:val="left" w:leader="none" w:pos="284"/>
          <w:tab w:val="left" w:leader="none" w:pos="420"/>
          <w:tab w:val="left" w:leader="none" w:pos="0"/>
          <w:tab w:val="left" w:leader="none" w:pos="0"/>
        </w:tabs>
        <w:spacing w:after="0" w:line="240" w:lineRule="auto"/>
        <w:ind w:left="1984.251968503937" w:hanging="992.1259842519685"/>
        <w:rPr/>
      </w:pPr>
      <w:r w:rsidDel="00000000" w:rsidR="00000000" w:rsidRPr="00000000">
        <w:rPr>
          <w:rFonts w:ascii="Arial" w:cs="Arial" w:eastAsia="Arial" w:hAnsi="Arial"/>
          <w:sz w:val="24"/>
          <w:szCs w:val="24"/>
          <w:rtl w:val="0"/>
        </w:rPr>
        <w:t xml:space="preserve">field operations.  </w:t>
      </w:r>
      <w:r w:rsidDel="00000000" w:rsidR="00000000" w:rsidRPr="00000000">
        <w:rPr>
          <w:rtl w:val="0"/>
        </w:rPr>
      </w:r>
    </w:p>
    <w:p w:rsidR="00000000" w:rsidDel="00000000" w:rsidP="00000000" w:rsidRDefault="00000000" w:rsidRPr="00000000" w14:paraId="00000033">
      <w:pPr>
        <w:tabs>
          <w:tab w:val="left" w:leader="none" w:pos="709"/>
          <w:tab w:val="left" w:leader="none" w:pos="284"/>
          <w:tab w:val="left" w:leader="none" w:pos="284"/>
          <w:tab w:val="left" w:leader="none" w:pos="420"/>
          <w:tab w:val="left" w:leader="none" w:pos="0"/>
          <w:tab w:val="left" w:leader="none" w:pos="0"/>
        </w:tabs>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This Framework Contract shall be managed centrally by the Authority and each Call-Off Contract shall be managed by the Buyer(s). Buyer(s) (or their nominated agents or Buyer Authorised Representative) are responsible for the management of their individual Call-Off Contract pursuant to this Framework Contract.</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0"/>
        </w:tabs>
        <w:spacing w:after="0" w:before="0" w:line="240" w:lineRule="auto"/>
        <w:ind w:left="1984.251968503937" w:right="0" w:hanging="992.1259842519685"/>
        <w:jc w:val="left"/>
        <w:rPr/>
      </w:pPr>
      <w:r w:rsidDel="00000000" w:rsidR="00000000" w:rsidRPr="00000000">
        <w:rPr>
          <w:rFonts w:ascii="Arial" w:cs="Arial" w:eastAsia="Arial" w:hAnsi="Arial"/>
          <w:sz w:val="24"/>
          <w:szCs w:val="24"/>
          <w:rtl w:val="0"/>
        </w:rPr>
        <w:t xml:space="preserve">For the avoidance of doubt, the Authority will not manage a Call Off Contract on behalf of a Buyer.</w:t>
      </w:r>
      <w:r w:rsidDel="00000000" w:rsidR="00000000" w:rsidRPr="00000000">
        <w:rPr>
          <w:rtl w:val="0"/>
        </w:rPr>
      </w:r>
    </w:p>
    <w:p w:rsidR="00000000" w:rsidDel="00000000" w:rsidP="00000000" w:rsidRDefault="00000000" w:rsidRPr="00000000" w14:paraId="00000036">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A full list of Buyer(s) who are able to use this Framework Contract from its commencement can be found in the Find a Tender Service (FTS) contract notice.</w:t>
      </w:r>
      <w:r w:rsidDel="00000000" w:rsidR="00000000" w:rsidRPr="00000000">
        <w:rPr>
          <w:rtl w:val="0"/>
        </w:rPr>
      </w:r>
    </w:p>
    <w:p w:rsidR="00000000" w:rsidDel="00000000" w:rsidP="00000000" w:rsidRDefault="00000000" w:rsidRPr="00000000" w14:paraId="00000037">
      <w:pPr>
        <w:tabs>
          <w:tab w:val="left" w:leader="none" w:pos="709"/>
          <w:tab w:val="left" w:leader="none" w:pos="284"/>
          <w:tab w:val="left" w:leader="none" w:pos="284"/>
          <w:tab w:val="left" w:leader="none" w:pos="420"/>
          <w:tab w:val="left" w:leader="none" w:pos="0"/>
          <w:tab w:val="left" w:leader="none" w:pos="420"/>
          <w:tab w:val="left" w:leader="none" w:pos="0"/>
        </w:tabs>
        <w:spacing w:after="0" w:line="240" w:lineRule="auto"/>
        <w:ind w:left="992.1259842519685" w:hanging="121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Suppliers are required to comply with ALL the regulatory requirements, relevant laws, accreditations, and hold all necessary licences to ensure full legal compliance in the performance of the Deliverables in their region of operation.</w:t>
      </w:r>
      <w:r w:rsidDel="00000000" w:rsidR="00000000" w:rsidRPr="00000000">
        <w:rPr>
          <w:rtl w:val="0"/>
        </w:rPr>
      </w:r>
    </w:p>
    <w:p w:rsidR="00000000" w:rsidDel="00000000" w:rsidP="00000000" w:rsidRDefault="00000000" w:rsidRPr="00000000" w14:paraId="00000039">
      <w:pPr>
        <w:tabs>
          <w:tab w:val="left" w:leader="none" w:pos="709"/>
          <w:tab w:val="left" w:leader="none" w:pos="284"/>
          <w:tab w:val="left" w:leader="none" w:pos="284"/>
          <w:tab w:val="left" w:leader="none" w:pos="420"/>
          <w:tab w:val="left" w:leader="none" w:pos="0"/>
          <w:tab w:val="left" w:leader="none" w:pos="420"/>
          <w:tab w:val="left" w:leader="none" w:pos="0"/>
        </w:tabs>
        <w:spacing w:after="0" w:line="240" w:lineRule="auto"/>
        <w:ind w:left="992.1259842519685" w:hanging="1215"/>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numPr>
          <w:ilvl w:val="1"/>
          <w:numId w:val="1"/>
        </w:numPr>
        <w:tabs>
          <w:tab w:val="left" w:leader="none" w:pos="709"/>
          <w:tab w:val="left" w:leader="none" w:pos="284"/>
          <w:tab w:val="left" w:leader="none" w:pos="284"/>
          <w:tab w:val="left" w:leader="none" w:pos="420"/>
          <w:tab w:val="left" w:leader="none" w:pos="0"/>
          <w:tab w:val="left" w:leader="none" w:pos="420"/>
        </w:tabs>
        <w:spacing w:after="0" w:line="240" w:lineRule="auto"/>
        <w:ind w:left="992.1259842519685" w:hanging="707.1259842519685"/>
        <w:jc w:val="both"/>
        <w:rPr/>
      </w:pPr>
      <w:r w:rsidDel="00000000" w:rsidR="00000000" w:rsidRPr="00000000">
        <w:rPr>
          <w:rFonts w:ascii="Arial" w:cs="Arial" w:eastAsia="Arial" w:hAnsi="Arial"/>
          <w:sz w:val="24"/>
          <w:szCs w:val="24"/>
          <w:rtl w:val="0"/>
        </w:rPr>
        <w:t xml:space="preserve">It is envisaged that the Framework Contract will be accessed by a broad base of Buyers with differing requirements.</w:t>
      </w:r>
      <w:r w:rsidDel="00000000" w:rsidR="00000000" w:rsidRPr="00000000">
        <w:rPr>
          <w:rtl w:val="0"/>
        </w:rPr>
      </w:r>
    </w:p>
    <w:p w:rsidR="00000000" w:rsidDel="00000000" w:rsidP="00000000" w:rsidRDefault="00000000" w:rsidRPr="00000000" w14:paraId="0000003B">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s>
        <w:spacing w:after="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have flexibility and scalability to meet the current and future needs and strategies of public sector Buyer(s) during the Call Off Procedure in order to accommodate this.</w:t>
      </w:r>
      <w:r w:rsidDel="00000000" w:rsidR="00000000" w:rsidRPr="00000000">
        <w:rPr>
          <w:rtl w:val="0"/>
        </w:rPr>
      </w:r>
    </w:p>
    <w:p w:rsidR="00000000" w:rsidDel="00000000" w:rsidP="00000000" w:rsidRDefault="00000000" w:rsidRPr="00000000" w14:paraId="0000003C">
      <w:pPr>
        <w:tabs>
          <w:tab w:val="left" w:leader="none" w:pos="709"/>
          <w:tab w:val="left" w:leader="none" w:pos="284"/>
          <w:tab w:val="left" w:leader="none" w:pos="284"/>
          <w:tab w:val="left" w:leader="none" w:pos="420"/>
          <w:tab w:val="left" w:leader="none" w:pos="0"/>
          <w:tab w:val="left" w:leader="none" w:pos="420"/>
          <w:tab w:val="left" w:leader="none" w:pos="0"/>
        </w:tabs>
        <w:spacing w:after="0" w:line="240" w:lineRule="auto"/>
        <w:ind w:lef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pStyle w:val="Heading1"/>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709"/>
          <w:tab w:val="left" w:leader="none" w:pos="284"/>
          <w:tab w:val="left" w:leader="none" w:pos="284"/>
          <w:tab w:val="left" w:leader="none" w:pos="420"/>
          <w:tab w:val="left" w:leader="none" w:pos="-285"/>
        </w:tabs>
        <w:spacing w:after="0" w:before="0" w:line="240" w:lineRule="auto"/>
        <w:ind w:left="360" w:right="0" w:hanging="643.4645669291338"/>
        <w:jc w:val="left"/>
        <w:rPr/>
      </w:pPr>
      <w:bookmarkStart w:colFirst="0" w:colLast="0" w:name="_heading=h.tyjcwt" w:id="5"/>
      <w:bookmarkEnd w:id="5"/>
      <w:r w:rsidDel="00000000" w:rsidR="00000000" w:rsidRPr="00000000">
        <w:rPr>
          <w:b w:val="1"/>
          <w:sz w:val="24"/>
          <w:szCs w:val="24"/>
          <w:rtl w:val="0"/>
        </w:rPr>
        <w:t xml:space="preserve">Hours of Operation</w:t>
      </w:r>
      <w:r w:rsidDel="00000000" w:rsidR="00000000" w:rsidRPr="00000000">
        <w:rPr>
          <w:rtl w:val="0"/>
        </w:rPr>
      </w:r>
    </w:p>
    <w:p w:rsidR="00000000" w:rsidDel="00000000" w:rsidP="00000000" w:rsidRDefault="00000000" w:rsidRPr="00000000" w14:paraId="0000003E">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mandatory hours of operation for each Lot shall be Monday to Friday, excluding bank holidays, between the hours of 08:00 and 18:00. However, Buyers may request alternative times and days of operation. The Buyer will determine the exact business requirement during the Call-Off Procedure.</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It should be noted that if a Buyer requests hours of operation during the Call-Off Procedure that includes bank holidays, this refers to bank holidays that apply to any area where the Deliverables are to be performed, including but not limited to UK and any international location where the Buyer may require services to be performed.</w:t>
      </w: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Supplier shall demonstrate flexibility in their service offering and this may include, but not be limited to, performing services which are out of standard working hours including the ability to deliver 24 hours a day, 365 days a year.</w:t>
      </w:r>
      <w:r w:rsidDel="00000000" w:rsidR="00000000" w:rsidRPr="00000000">
        <w:rPr>
          <w:rtl w:val="0"/>
        </w:rPr>
      </w:r>
    </w:p>
    <w:p w:rsidR="00000000" w:rsidDel="00000000" w:rsidP="00000000" w:rsidRDefault="00000000" w:rsidRPr="00000000" w14:paraId="00000044">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pStyle w:val="Heading1"/>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709"/>
          <w:tab w:val="left" w:leader="none" w:pos="284"/>
          <w:tab w:val="left" w:leader="none" w:pos="284"/>
          <w:tab w:val="left" w:leader="none" w:pos="420"/>
          <w:tab w:val="left" w:leader="none" w:pos="-285"/>
        </w:tabs>
        <w:spacing w:after="0" w:before="0" w:line="240" w:lineRule="auto"/>
        <w:ind w:left="360" w:right="0" w:hanging="643.4645669291338"/>
        <w:jc w:val="left"/>
        <w:rPr/>
      </w:pPr>
      <w:bookmarkStart w:colFirst="0" w:colLast="0" w:name="_heading=h.3dy6vkm" w:id="6"/>
      <w:bookmarkEnd w:id="6"/>
      <w:r w:rsidDel="00000000" w:rsidR="00000000" w:rsidRPr="00000000">
        <w:rPr>
          <w:b w:val="1"/>
          <w:sz w:val="24"/>
          <w:szCs w:val="24"/>
          <w:rtl w:val="0"/>
        </w:rPr>
        <w:t xml:space="preserve">Pricing</w:t>
      </w:r>
      <w:r w:rsidDel="00000000" w:rsidR="00000000" w:rsidRPr="00000000">
        <w:rPr>
          <w:rtl w:val="0"/>
        </w:rPr>
      </w:r>
    </w:p>
    <w:p w:rsidR="00000000" w:rsidDel="00000000" w:rsidP="00000000" w:rsidRDefault="00000000" w:rsidRPr="00000000" w14:paraId="00000046">
      <w:pPr>
        <w:pStyle w:val="Heading1"/>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709"/>
          <w:tab w:val="left" w:leader="none" w:pos="284"/>
          <w:tab w:val="left" w:leader="none" w:pos="284"/>
          <w:tab w:val="left" w:leader="none" w:pos="420"/>
          <w:tab w:val="left" w:leader="none" w:pos="0"/>
        </w:tabs>
        <w:spacing w:after="0" w:before="0" w:line="240" w:lineRule="auto"/>
        <w:ind w:left="0" w:right="0" w:firstLine="0"/>
        <w:jc w:val="left"/>
        <w:rPr>
          <w:sz w:val="24"/>
          <w:szCs w:val="24"/>
        </w:rPr>
      </w:pPr>
      <w:bookmarkStart w:colFirst="0" w:colLast="0" w:name="_heading=h.1t3h5sf" w:id="7"/>
      <w:bookmarkEnd w:id="7"/>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420"/>
        </w:tabs>
        <w:spacing w:after="0" w:before="0" w:line="240" w:lineRule="auto"/>
        <w:ind w:left="990" w:right="0" w:hanging="705"/>
        <w:jc w:val="both"/>
        <w:rPr/>
      </w:pPr>
      <w:r w:rsidDel="00000000" w:rsidR="00000000" w:rsidRPr="00000000">
        <w:rPr>
          <w:rFonts w:ascii="Arial" w:cs="Arial" w:eastAsia="Arial" w:hAnsi="Arial"/>
          <w:sz w:val="24"/>
          <w:szCs w:val="24"/>
          <w:rtl w:val="0"/>
        </w:rPr>
        <w:t xml:space="preserve">The mandatory Deliverables pricing structure for all Lots in this Framework Contract will comprise of the following:</w:t>
      </w:r>
      <w:r w:rsidDel="00000000" w:rsidR="00000000" w:rsidRPr="00000000">
        <w:rPr>
          <w:rtl w:val="0"/>
        </w:rPr>
      </w:r>
    </w:p>
    <w:p w:rsidR="00000000" w:rsidDel="00000000" w:rsidP="00000000" w:rsidRDefault="00000000" w:rsidRPr="00000000" w14:paraId="00000048">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0" w:hanging="987.8740157480315"/>
        <w:jc w:val="both"/>
        <w:rPr/>
      </w:pPr>
      <w:r w:rsidDel="00000000" w:rsidR="00000000" w:rsidRPr="00000000">
        <w:rPr>
          <w:rFonts w:ascii="Arial" w:cs="Arial" w:eastAsia="Arial" w:hAnsi="Arial"/>
          <w:color w:val="000000"/>
          <w:sz w:val="24"/>
          <w:szCs w:val="24"/>
          <w:rtl w:val="0"/>
        </w:rPr>
        <w:t xml:space="preserve">All pricing inserted into Framework Schedule 3 (Framework Prices) of the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will be used within the Call-Off Award Procedure, as the maximum chargeable rate by the Supplier for all Lots;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color w:val="000000"/>
          <w:sz w:val="24"/>
          <w:szCs w:val="24"/>
          <w:rtl w:val="0"/>
        </w:rPr>
        <w:t xml:space="preserve">The maximum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prices cannot be exceeded at any time during the life of the </w:t>
      </w:r>
      <w:r w:rsidDel="00000000" w:rsidR="00000000" w:rsidRPr="00000000">
        <w:rPr>
          <w:rFonts w:ascii="Arial" w:cs="Arial" w:eastAsia="Arial" w:hAnsi="Arial"/>
          <w:sz w:val="24"/>
          <w:szCs w:val="24"/>
          <w:rtl w:val="0"/>
        </w:rPr>
        <w:t xml:space="preserve">Framework Contract</w:t>
      </w:r>
      <w:r w:rsidDel="00000000" w:rsidR="00000000" w:rsidRPr="00000000">
        <w:rPr>
          <w:rFonts w:ascii="Arial" w:cs="Arial" w:eastAsia="Arial" w:hAnsi="Arial"/>
          <w:color w:val="000000"/>
          <w:sz w:val="24"/>
          <w:szCs w:val="24"/>
          <w:rtl w:val="0"/>
        </w:rPr>
        <w:t xml:space="preserve">, but can be decreased during the Call-Off Procedure, as set out in Framework Schedule 7 (Call-Off Award Procedure) of the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to reflect the Buyer’s exact requirements and volumes.</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984.251968503937" w:hanging="1425"/>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color w:val="000000"/>
          <w:sz w:val="24"/>
          <w:szCs w:val="24"/>
          <w:rtl w:val="0"/>
        </w:rPr>
        <w:t xml:space="preserve">The maximum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prices shall be fixed for a two (2) year period from the commencement of the </w:t>
      </w:r>
      <w:r w:rsidDel="00000000" w:rsidR="00000000" w:rsidRPr="00000000">
        <w:rPr>
          <w:rFonts w:ascii="Arial" w:cs="Arial" w:eastAsia="Arial" w:hAnsi="Arial"/>
          <w:sz w:val="24"/>
          <w:szCs w:val="24"/>
          <w:rtl w:val="0"/>
        </w:rPr>
        <w:t xml:space="preserve">Framework Contract</w:t>
      </w:r>
      <w:r w:rsidDel="00000000" w:rsidR="00000000" w:rsidRPr="00000000">
        <w:rPr>
          <w:rFonts w:ascii="Arial" w:cs="Arial" w:eastAsia="Arial" w:hAnsi="Arial"/>
          <w:color w:val="000000"/>
          <w:sz w:val="24"/>
          <w:szCs w:val="24"/>
          <w:rtl w:val="0"/>
        </w:rPr>
        <w:t xml:space="preserve">. Suppliers may seek an adjustment of the maximum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prices following the second (2nd) anniversary of the framework award in accordance with Framework Schedule 3 (Framework Prices);</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color w:val="000000"/>
          <w:sz w:val="24"/>
          <w:szCs w:val="24"/>
          <w:rtl w:val="0"/>
        </w:rPr>
        <w:t xml:space="preserve">The Authority shall consider each request for a price increase, following the second (2nd) anniversary of the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Commencement Date in accordance with Fra</w:t>
      </w:r>
      <w:r w:rsidDel="00000000" w:rsidR="00000000" w:rsidRPr="00000000">
        <w:rPr>
          <w:rFonts w:ascii="Arial" w:cs="Arial" w:eastAsia="Arial" w:hAnsi="Arial"/>
          <w:sz w:val="24"/>
          <w:szCs w:val="24"/>
          <w:rtl w:val="0"/>
        </w:rPr>
        <w:t xml:space="preserve">mework Schedule 3 (Framework Prices)</w:t>
      </w:r>
      <w:r w:rsidDel="00000000" w:rsidR="00000000" w:rsidRPr="00000000">
        <w:rPr>
          <w:rFonts w:ascii="Arial" w:cs="Arial" w:eastAsia="Arial" w:hAnsi="Arial"/>
          <w:color w:val="000000"/>
          <w:sz w:val="24"/>
          <w:szCs w:val="24"/>
          <w:rtl w:val="0"/>
        </w:rPr>
        <w:t xml:space="preserve">. The Authority may grant approval to an increase at its sole discretion.</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color w:val="000000"/>
          <w:sz w:val="24"/>
          <w:szCs w:val="24"/>
          <w:rtl w:val="0"/>
        </w:rPr>
        <w:t xml:space="preserve">A Supplier may reduce their maximum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prices at any time during the lifetime of the </w:t>
      </w:r>
      <w:r w:rsidDel="00000000" w:rsidR="00000000" w:rsidRPr="00000000">
        <w:rPr>
          <w:rFonts w:ascii="Arial" w:cs="Arial" w:eastAsia="Arial" w:hAnsi="Arial"/>
          <w:sz w:val="24"/>
          <w:szCs w:val="24"/>
          <w:rtl w:val="0"/>
        </w:rPr>
        <w:t xml:space="preserve">Contract Period</w:t>
      </w:r>
      <w:r w:rsidDel="00000000" w:rsidR="00000000" w:rsidRPr="00000000">
        <w:rPr>
          <w:rFonts w:ascii="Arial" w:cs="Arial" w:eastAsia="Arial" w:hAnsi="Arial"/>
          <w:color w:val="000000"/>
          <w:sz w:val="24"/>
          <w:szCs w:val="24"/>
          <w:rtl w:val="0"/>
        </w:rPr>
        <w:t xml:space="preserve">.  Suppliers shall notify the Authority of any price decreases and request the appropriate price template for completion of the price decreases.</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numPr>
          <w:ilvl w:val="2"/>
          <w:numId w:val="1"/>
        </w:num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0" w:hanging="987.8740157480315"/>
        <w:jc w:val="both"/>
        <w:rPr/>
      </w:pPr>
      <w:r w:rsidDel="00000000" w:rsidR="00000000" w:rsidRPr="00000000">
        <w:rPr>
          <w:rFonts w:ascii="Arial" w:cs="Arial" w:eastAsia="Arial" w:hAnsi="Arial"/>
          <w:color w:val="000000"/>
          <w:sz w:val="24"/>
          <w:szCs w:val="24"/>
          <w:rtl w:val="0"/>
        </w:rPr>
        <w:t xml:space="preserve">The Call-Off prices may be varied in accordance with the Call-Off Award Procedure, as set out in Framework Schedule 7 (Call-Off Award Procedure) of the </w:t>
      </w:r>
      <w:r w:rsidDel="00000000" w:rsidR="00000000" w:rsidRPr="00000000">
        <w:rPr>
          <w:rFonts w:ascii="Arial" w:cs="Arial" w:eastAsia="Arial" w:hAnsi="Arial"/>
          <w:sz w:val="24"/>
          <w:szCs w:val="24"/>
          <w:rtl w:val="0"/>
        </w:rPr>
        <w:t xml:space="preserve">Framework Contract</w:t>
      </w:r>
      <w:r w:rsidDel="00000000" w:rsidR="00000000" w:rsidRPr="00000000">
        <w:rPr>
          <w:rFonts w:ascii="Arial" w:cs="Arial" w:eastAsia="Arial" w:hAnsi="Arial"/>
          <w:color w:val="000000"/>
          <w:sz w:val="24"/>
          <w:szCs w:val="24"/>
          <w:rtl w:val="0"/>
        </w:rPr>
        <w:t xml:space="preserve">, but at no time shall exceed the Suppliers stated maximum </w:t>
      </w:r>
      <w:r w:rsidDel="00000000" w:rsidR="00000000" w:rsidRPr="00000000">
        <w:rPr>
          <w:rFonts w:ascii="Arial" w:cs="Arial" w:eastAsia="Arial" w:hAnsi="Arial"/>
          <w:sz w:val="24"/>
          <w:szCs w:val="24"/>
          <w:rtl w:val="0"/>
        </w:rPr>
        <w:t xml:space="preserve">Framework Contract </w:t>
      </w:r>
      <w:r w:rsidDel="00000000" w:rsidR="00000000" w:rsidRPr="00000000">
        <w:rPr>
          <w:rFonts w:ascii="Arial" w:cs="Arial" w:eastAsia="Arial" w:hAnsi="Arial"/>
          <w:color w:val="000000"/>
          <w:sz w:val="24"/>
          <w:szCs w:val="24"/>
          <w:rtl w:val="0"/>
        </w:rPr>
        <w:t xml:space="preserve">prices. Suppliers will be required to agree specific price review periods with a Buyer(s) as part of the Call-Off Contract.</w:t>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80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pStyle w:val="Heading1"/>
        <w:numPr>
          <w:ilvl w:val="0"/>
          <w:numId w:val="1"/>
        </w:numPr>
        <w:tabs>
          <w:tab w:val="left" w:leader="none" w:pos="709"/>
          <w:tab w:val="left" w:leader="none" w:pos="284"/>
          <w:tab w:val="left" w:leader="none" w:pos="709"/>
          <w:tab w:val="left" w:leader="none" w:pos="284"/>
          <w:tab w:val="left" w:leader="none" w:pos="284"/>
          <w:tab w:val="left" w:leader="none" w:pos="420"/>
          <w:tab w:val="left" w:leader="none" w:pos="-285"/>
        </w:tabs>
        <w:spacing w:after="0" w:line="240" w:lineRule="auto"/>
        <w:ind w:left="360" w:hanging="283.46456692913375"/>
        <w:rPr/>
      </w:pPr>
      <w:bookmarkStart w:colFirst="0" w:colLast="0" w:name="_heading=h.4d34og8" w:id="8"/>
      <w:bookmarkEnd w:id="8"/>
      <w:r w:rsidDel="00000000" w:rsidR="00000000" w:rsidRPr="00000000">
        <w:rPr>
          <w:b w:val="1"/>
          <w:sz w:val="24"/>
          <w:szCs w:val="24"/>
          <w:rtl w:val="0"/>
        </w:rPr>
        <w:t xml:space="preserve">Open Book Cost Model</w:t>
      </w:r>
      <w:r w:rsidDel="00000000" w:rsidR="00000000" w:rsidRPr="00000000">
        <w:rPr>
          <w:rtl w:val="0"/>
        </w:rPr>
      </w:r>
    </w:p>
    <w:p w:rsidR="00000000" w:rsidDel="00000000" w:rsidP="00000000" w:rsidRDefault="00000000" w:rsidRPr="00000000" w14:paraId="00000056">
      <w:pPr>
        <w:tabs>
          <w:tab w:val="left" w:leader="none" w:pos="709"/>
          <w:tab w:val="left" w:leader="none" w:pos="284"/>
          <w:tab w:val="left" w:leader="none" w:pos="284"/>
          <w:tab w:val="left" w:leader="none" w:pos="420"/>
          <w:tab w:val="left" w:leader="none" w:pos="0"/>
          <w:tab w:val="left" w:leader="none" w:pos="709"/>
          <w:tab w:val="left" w:leader="none" w:pos="284"/>
          <w:tab w:val="left" w:leader="none" w:pos="284"/>
          <w:tab w:val="left" w:leader="none" w:pos="420"/>
          <w:tab w:val="left" w:leader="none" w:pos="0"/>
        </w:tabs>
        <w:spacing w:after="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Supplier shall acknowledge the importance to the Buyer of financial transparency and obtaining value for money in the relevant market.</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strike w:val="1"/>
          <w:color w:val="ff0000"/>
        </w:rPr>
      </w:pPr>
      <w:r w:rsidDel="00000000" w:rsidR="00000000" w:rsidRPr="00000000">
        <w:rPr>
          <w:rFonts w:ascii="Arial" w:cs="Arial" w:eastAsia="Arial" w:hAnsi="Arial"/>
          <w:strike w:val="1"/>
          <w:color w:val="ff0000"/>
          <w:sz w:val="24"/>
          <w:szCs w:val="24"/>
          <w:rtl w:val="0"/>
        </w:rPr>
        <w:t xml:space="preserve">The Supplier shall actively manage its costs so as to provide the Deliverables in the most cost effective manner and deliver value for money to the Buyer, in particular the Supplier shall demonstrate to the Buyer that the costs are within 15% of the best price available, adopting the following procedure each month:</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0" w:right="0" w:hanging="987.8740157480315"/>
        <w:jc w:val="both"/>
        <w:rPr>
          <w:strike w:val="1"/>
          <w:color w:val="ff0000"/>
        </w:rPr>
      </w:pPr>
      <w:r w:rsidDel="00000000" w:rsidR="00000000" w:rsidRPr="00000000">
        <w:rPr>
          <w:rFonts w:ascii="Arial" w:cs="Arial" w:eastAsia="Arial" w:hAnsi="Arial"/>
          <w:strike w:val="1"/>
          <w:color w:val="ff0000"/>
          <w:sz w:val="24"/>
          <w:szCs w:val="24"/>
          <w:rtl w:val="0"/>
        </w:rPr>
        <w:t xml:space="preserve">the Buyer shall within the first fourteen (14) days of each Month</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strike w:val="1"/>
          <w:color w:val="ff0000"/>
          <w:sz w:val="24"/>
          <w:szCs w:val="24"/>
          <w:rtl w:val="0"/>
        </w:rPr>
        <w:t xml:space="preserve">notify the Supplier in writing of its requirements in the following Month</w:t>
      </w:r>
      <w:r w:rsidDel="00000000" w:rsidR="00000000" w:rsidRPr="00000000">
        <w:rPr>
          <w:rtl w:val="0"/>
        </w:rPr>
      </w:r>
    </w:p>
    <w:p w:rsidR="00000000" w:rsidDel="00000000" w:rsidP="00000000" w:rsidRDefault="00000000" w:rsidRPr="00000000" w14:paraId="0000005B">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700" w:firstLine="0"/>
        <w:jc w:val="both"/>
        <w:rPr>
          <w:rFonts w:ascii="Arial" w:cs="Arial" w:eastAsia="Arial" w:hAnsi="Arial"/>
          <w:strike w:val="1"/>
          <w:color w:val="ff0000"/>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1418" w:right="0" w:hanging="1133"/>
        <w:jc w:val="both"/>
        <w:rPr>
          <w:strike w:val="1"/>
          <w:color w:val="ff0000"/>
        </w:rPr>
      </w:pPr>
      <w:r w:rsidDel="00000000" w:rsidR="00000000" w:rsidRPr="00000000">
        <w:rPr>
          <w:rFonts w:ascii="Arial" w:cs="Arial" w:eastAsia="Arial" w:hAnsi="Arial"/>
          <w:strike w:val="1"/>
          <w:color w:val="ff0000"/>
          <w:sz w:val="24"/>
          <w:szCs w:val="24"/>
          <w:rtl w:val="0"/>
        </w:rPr>
        <w:t xml:space="preserve">Within five (5) Working Days of receiving notification of the Buyer’s requirements:</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strike w:val="1"/>
          <w:color w:val="ff0000"/>
        </w:rPr>
      </w:pPr>
      <w:r w:rsidDel="00000000" w:rsidR="00000000" w:rsidRPr="00000000">
        <w:rPr>
          <w:rFonts w:ascii="Arial" w:cs="Arial" w:eastAsia="Arial" w:hAnsi="Arial"/>
          <w:strike w:val="1"/>
          <w:color w:val="ff0000"/>
          <w:sz w:val="24"/>
          <w:szCs w:val="24"/>
          <w:rtl w:val="0"/>
        </w:rPr>
        <w:t xml:space="preserve">the Buyer shall test the market and obtain confirmation of the Best Price Available and notify the same to the Supplier in writing;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trike w:val="1"/>
          <w:color w:val="ff0000"/>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strike w:val="1"/>
          <w:color w:val="ff0000"/>
        </w:rPr>
      </w:pPr>
      <w:r w:rsidDel="00000000" w:rsidR="00000000" w:rsidRPr="00000000">
        <w:rPr>
          <w:rFonts w:ascii="Arial" w:cs="Arial" w:eastAsia="Arial" w:hAnsi="Arial"/>
          <w:strike w:val="1"/>
          <w:color w:val="ff0000"/>
          <w:sz w:val="24"/>
          <w:szCs w:val="24"/>
          <w:rtl w:val="0"/>
        </w:rPr>
        <w:t xml:space="preserve">the Supplier shall, in advance of confirming the booking with the relevant Carrier, submit to the Buyer the open book data so as to meet the Buyer’s requirements for validation that the proposed costs are within 15% of the best price available and the Buyer’s express prior approval.</w:t>
      </w:r>
      <w:r w:rsidDel="00000000" w:rsidR="00000000" w:rsidRPr="00000000">
        <w:rPr>
          <w:rtl w:val="0"/>
        </w:rPr>
      </w:r>
    </w:p>
    <w:p w:rsidR="00000000" w:rsidDel="00000000" w:rsidP="00000000" w:rsidRDefault="00000000" w:rsidRPr="00000000" w14:paraId="00000060">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700" w:firstLine="0"/>
        <w:jc w:val="both"/>
        <w:rPr>
          <w:rFonts w:ascii="Arial" w:cs="Arial" w:eastAsia="Arial" w:hAnsi="Arial"/>
          <w:strike w:val="1"/>
          <w:color w:val="ff0000"/>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1418" w:right="0" w:hanging="1133"/>
        <w:jc w:val="both"/>
        <w:rPr>
          <w:strike w:val="1"/>
          <w:color w:val="ff0000"/>
        </w:rPr>
      </w:pPr>
      <w:r w:rsidDel="00000000" w:rsidR="00000000" w:rsidRPr="00000000">
        <w:rPr>
          <w:rFonts w:ascii="Arial" w:cs="Arial" w:eastAsia="Arial" w:hAnsi="Arial"/>
          <w:strike w:val="1"/>
          <w:color w:val="ff0000"/>
          <w:sz w:val="24"/>
          <w:szCs w:val="24"/>
          <w:rtl w:val="0"/>
        </w:rPr>
        <w:t xml:space="preserve">Within ten (10) days of receiving the Open Book Data, the Buyer shall either:</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strike w:val="1"/>
          <w:color w:val="ff0000"/>
        </w:rPr>
      </w:pPr>
      <w:r w:rsidDel="00000000" w:rsidR="00000000" w:rsidRPr="00000000">
        <w:rPr>
          <w:rFonts w:ascii="Arial" w:cs="Arial" w:eastAsia="Arial" w:hAnsi="Arial"/>
          <w:strike w:val="1"/>
          <w:color w:val="ff0000"/>
          <w:sz w:val="24"/>
          <w:szCs w:val="24"/>
          <w:rtl w:val="0"/>
        </w:rPr>
        <w:t xml:space="preserve">approve the expenditure of the proposed costs in the open book data, whereupon the Supplier shall proceed to book the required services and incur such costs, which will then form part of the Charges; or</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trike w:val="1"/>
          <w:color w:val="ff0000"/>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strike w:val="1"/>
          <w:color w:val="ff0000"/>
        </w:rPr>
      </w:pPr>
      <w:r w:rsidDel="00000000" w:rsidR="00000000" w:rsidRPr="00000000">
        <w:rPr>
          <w:rFonts w:ascii="Arial" w:cs="Arial" w:eastAsia="Arial" w:hAnsi="Arial"/>
          <w:strike w:val="1"/>
          <w:color w:val="ff0000"/>
          <w:sz w:val="24"/>
          <w:szCs w:val="24"/>
          <w:rtl w:val="0"/>
        </w:rPr>
        <w:t xml:space="preserve">confirm that the proposed costs in the open book data are more than 15% higher than the best price available, whereupon the Supplier shall either, engage the relevant carrier who gave the Buyer the best price available or at its own expense bear the difference between 15% of the best price available and the costs it actually incurs in meeting the Buyer’s requirements in the following Month and reduce the costs payable by the Buyer so as to charge the Buyer no more than 15% of the best price available for the costs so as to meet the Buyer’s requirements each Month.</w:t>
      </w:r>
      <w:r w:rsidDel="00000000" w:rsidR="00000000" w:rsidRPr="00000000">
        <w:rPr>
          <w:rtl w:val="0"/>
        </w:rPr>
      </w:r>
    </w:p>
    <w:p w:rsidR="00000000" w:rsidDel="00000000" w:rsidP="00000000" w:rsidRDefault="00000000" w:rsidRPr="00000000" w14:paraId="00000065">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700" w:firstLine="0"/>
        <w:jc w:val="both"/>
        <w:rPr>
          <w:rFonts w:ascii="Arial" w:cs="Arial" w:eastAsia="Arial" w:hAnsi="Arial"/>
          <w:strike w:val="1"/>
          <w:color w:val="ff0000"/>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1418" w:right="0" w:hanging="1133"/>
        <w:jc w:val="both"/>
        <w:rPr>
          <w:strike w:val="1"/>
          <w:color w:val="ff0000"/>
        </w:rPr>
      </w:pPr>
      <w:r w:rsidDel="00000000" w:rsidR="00000000" w:rsidRPr="00000000">
        <w:rPr>
          <w:rFonts w:ascii="Arial" w:cs="Arial" w:eastAsia="Arial" w:hAnsi="Arial"/>
          <w:strike w:val="1"/>
          <w:color w:val="ff0000"/>
          <w:sz w:val="24"/>
          <w:szCs w:val="24"/>
          <w:rtl w:val="0"/>
        </w:rPr>
        <w:t xml:space="preserve">In the event of a Dispute between the Parties in connection with the best price available, calculation of the proposed costs or the actual costs, or the operation of this Paragraph 4.5, the Parties shall each submit written justification of their position and attempt to reach agreement in the Operational Board Meeting held in the Month on which the Buyer notifies the Supplier of its requirements for the following Month. In the event that the Parties fail to reach agreement on the subject matter of any such Dispute, it shall be resolved in accordance with the provisions of Clause 34 of the Core Terms.</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trike w:val="1"/>
          <w:color w:val="ff0000"/>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1418" w:right="0" w:hanging="1133"/>
        <w:jc w:val="both"/>
        <w:rPr>
          <w:strike w:val="1"/>
          <w:color w:val="ff0000"/>
        </w:rPr>
      </w:pPr>
      <w:r w:rsidDel="00000000" w:rsidR="00000000" w:rsidRPr="00000000">
        <w:rPr>
          <w:rFonts w:ascii="Arial" w:cs="Arial" w:eastAsia="Arial" w:hAnsi="Arial"/>
          <w:strike w:val="1"/>
          <w:color w:val="ff0000"/>
          <w:sz w:val="24"/>
          <w:szCs w:val="24"/>
          <w:rtl w:val="0"/>
        </w:rPr>
        <w:t xml:space="preserve">In addition to the costs (following approval of those costs pursuant to the process set out in this Paragraph 4.6), the Supplier shall also be entitled to charge the Buyer the agreed management fee in respect of the services, subject to the terms of Call-Off Schedule 14 (Service Levels) (where applicable), and in particular the consequences arising from a failure to meet the required standard in the KPI relating to Financial Management.</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trike w:val="1"/>
          <w:color w:val="ff0000"/>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1418" w:right="0" w:hanging="1133"/>
        <w:jc w:val="both"/>
        <w:rPr>
          <w:strike w:val="1"/>
          <w:color w:val="ff0000"/>
        </w:rPr>
      </w:pPr>
      <w:r w:rsidDel="00000000" w:rsidR="00000000" w:rsidRPr="00000000">
        <w:rPr>
          <w:rFonts w:ascii="Arial" w:cs="Arial" w:eastAsia="Arial" w:hAnsi="Arial"/>
          <w:strike w:val="1"/>
          <w:color w:val="ff0000"/>
          <w:sz w:val="24"/>
          <w:szCs w:val="24"/>
          <w:rtl w:val="0"/>
        </w:rPr>
        <w:t xml:space="preserve">Throughout the Contract Period, and for a period of eighteen (18) Months following the End Date, the Supplier shall:</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strike w:val="1"/>
          <w:color w:val="ff0000"/>
        </w:rPr>
      </w:pPr>
      <w:r w:rsidDel="00000000" w:rsidR="00000000" w:rsidRPr="00000000">
        <w:rPr>
          <w:rFonts w:ascii="Arial" w:cs="Arial" w:eastAsia="Arial" w:hAnsi="Arial"/>
          <w:strike w:val="1"/>
          <w:color w:val="ff0000"/>
          <w:sz w:val="24"/>
          <w:szCs w:val="24"/>
          <w:rtl w:val="0"/>
        </w:rPr>
        <w:t xml:space="preserve">maintain and retain the open book data; and</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trike w:val="1"/>
          <w:color w:val="ff0000"/>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strike w:val="1"/>
          <w:color w:val="ff0000"/>
        </w:rPr>
      </w:pPr>
      <w:r w:rsidDel="00000000" w:rsidR="00000000" w:rsidRPr="00000000">
        <w:rPr>
          <w:rFonts w:ascii="Arial" w:cs="Arial" w:eastAsia="Arial" w:hAnsi="Arial"/>
          <w:strike w:val="1"/>
          <w:color w:val="ff0000"/>
          <w:sz w:val="24"/>
          <w:szCs w:val="24"/>
          <w:rtl w:val="0"/>
        </w:rPr>
        <w:t xml:space="preserve">disclose and allow the Buyer and/or its duly authorised agents or subcontractors access to the open book data.</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0" w:right="0" w:firstLine="0"/>
        <w:jc w:val="both"/>
        <w:rPr>
          <w:rFonts w:ascii="Arial" w:cs="Arial" w:eastAsia="Arial" w:hAnsi="Arial"/>
          <w:strike w:val="1"/>
          <w:color w:val="ff0000"/>
          <w:sz w:val="24"/>
          <w:szCs w:val="24"/>
        </w:rPr>
      </w:pPr>
      <w:r w:rsidDel="00000000" w:rsidR="00000000" w:rsidRPr="00000000">
        <w:rPr>
          <w:rtl w:val="0"/>
        </w:rPr>
      </w:r>
    </w:p>
    <w:p w:rsidR="00000000" w:rsidDel="00000000" w:rsidP="00000000" w:rsidRDefault="00000000" w:rsidRPr="00000000" w14:paraId="0000006F">
      <w:pPr>
        <w:widowControl w:val="0"/>
        <w:numPr>
          <w:ilvl w:val="1"/>
          <w:numId w:val="1"/>
        </w:numP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line="240" w:lineRule="auto"/>
        <w:ind w:left="992.1259842519685" w:hanging="707.1259842519685"/>
        <w:jc w:val="both"/>
        <w:rPr>
          <w:color w:val="ff0000"/>
        </w:rPr>
      </w:pPr>
      <w:r w:rsidDel="00000000" w:rsidR="00000000" w:rsidRPr="00000000">
        <w:rPr>
          <w:rFonts w:ascii="Arial" w:cs="Arial" w:eastAsia="Arial" w:hAnsi="Arial"/>
          <w:color w:val="ff0000"/>
          <w:sz w:val="24"/>
          <w:szCs w:val="24"/>
          <w:rtl w:val="0"/>
        </w:rPr>
        <w:t xml:space="preserve">The Supplier shall be aware that Buyers may choose to use an open book cost model approach for the pricing of their Call-Off and they may require Open Book Data as defined in Joint Schedule 1, Definitions. This will be defined by the Buyer during the Call-Off Procedure.</w:t>
      </w:r>
      <w:r w:rsidDel="00000000" w:rsidR="00000000" w:rsidRPr="00000000">
        <w:rPr>
          <w:rtl w:val="0"/>
        </w:rPr>
      </w:r>
    </w:p>
    <w:p w:rsidR="00000000" w:rsidDel="00000000" w:rsidP="00000000" w:rsidRDefault="00000000" w:rsidRPr="00000000" w14:paraId="00000070">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2268" w:hanging="708.0000000000001"/>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pStyle w:val="Heading1"/>
        <w:numPr>
          <w:ilvl w:val="0"/>
          <w:numId w:val="1"/>
        </w:numPr>
        <w:tabs>
          <w:tab w:val="left" w:leader="none" w:pos="709"/>
          <w:tab w:val="left" w:leader="none" w:pos="284"/>
          <w:tab w:val="left" w:leader="none" w:pos="-285"/>
        </w:tabs>
        <w:spacing w:after="0" w:line="240" w:lineRule="auto"/>
        <w:ind w:left="360" w:hanging="283.46456692913375"/>
        <w:rPr/>
      </w:pPr>
      <w:bookmarkStart w:colFirst="0" w:colLast="0" w:name="_heading=h.2s8eyo1" w:id="9"/>
      <w:bookmarkEnd w:id="9"/>
      <w:r w:rsidDel="00000000" w:rsidR="00000000" w:rsidRPr="00000000">
        <w:rPr>
          <w:b w:val="1"/>
          <w:sz w:val="24"/>
          <w:szCs w:val="24"/>
          <w:vertAlign w:val="baseline"/>
          <w:rtl w:val="0"/>
        </w:rPr>
        <w:t xml:space="preserve">Contracts with Suppliers from Russia or Belarus</w:t>
      </w:r>
      <w:r w:rsidDel="00000000" w:rsidR="00000000" w:rsidRPr="00000000">
        <w:rPr>
          <w:rtl w:val="0"/>
        </w:rPr>
      </w:r>
    </w:p>
    <w:p w:rsidR="00000000" w:rsidDel="00000000" w:rsidP="00000000" w:rsidRDefault="00000000" w:rsidRPr="00000000" w14:paraId="00000072">
      <w:pPr>
        <w:tabs>
          <w:tab w:val="left" w:leader="none" w:pos="709"/>
          <w:tab w:val="left" w:leader="none" w:pos="284"/>
          <w:tab w:val="left" w:leader="none" w:pos="284"/>
          <w:tab w:val="left" w:leader="none" w:pos="420"/>
          <w:tab w:val="left" w:leader="none" w:pos="0"/>
          <w:tab w:val="left" w:leader="none" w:pos="0"/>
        </w:tabs>
        <w:spacing w:after="0" w:line="240" w:lineRule="auto"/>
        <w:ind w:firstLine="36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In March 2022, the Government introduced its Public Procurement Note 01/22 ‘Contracts with Suppliers from Russia or Belarus’ (PPN 01/22) in response to the invasion of Ukraine by Russia, which was met with unprecedented global condemnation.</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UK Government introduced financial and investment sanctions aimed at encouraging Russia to cease actions which destabilised Ukraine.</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This PPN requires that Contracting Authorities, such as CCS, should consider how they can further cut ties with companies backed by the states of Russia and Belarus, including declining to consider tenders. </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link to the PPN is here: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4"/>
          <w:tab w:val="left" w:leader="none" w:pos="284"/>
          <w:tab w:val="left" w:leader="none" w:pos="420"/>
          <w:tab w:val="left" w:leader="none" w:pos="2265"/>
        </w:tabs>
        <w:spacing w:after="0" w:before="0" w:line="240" w:lineRule="auto"/>
        <w:ind w:left="2267.716535433071" w:right="0" w:firstLine="0"/>
        <w:jc w:val="both"/>
        <w:rPr>
          <w:rFonts w:ascii="Arial" w:cs="Arial" w:eastAsia="Arial" w:hAnsi="Arial"/>
          <w:sz w:val="24"/>
          <w:szCs w:val="24"/>
        </w:rPr>
      </w:pPr>
      <w:hyperlink r:id="rId7">
        <w:r w:rsidDel="00000000" w:rsidR="00000000" w:rsidRPr="00000000">
          <w:rPr>
            <w:rFonts w:ascii="Arial" w:cs="Arial" w:eastAsia="Arial" w:hAnsi="Arial"/>
            <w:color w:val="1155cc"/>
            <w:sz w:val="24"/>
            <w:szCs w:val="24"/>
            <w:u w:val="single"/>
            <w:rtl w:val="0"/>
          </w:rPr>
          <w:t xml:space="preserve">https://www.gov.uk/government/publications/procurement-policy-note-0122-contracts-with-suppliers-from-russia-and-belarus</w:t>
        </w:r>
      </w:hyperlink>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4"/>
          <w:tab w:val="left" w:leader="none" w:pos="284"/>
          <w:tab w:val="left" w:leader="none" w:pos="420"/>
          <w:tab w:val="left" w:leader="none" w:pos="2265"/>
        </w:tabs>
        <w:spacing w:after="0" w:before="0" w:line="240" w:lineRule="auto"/>
        <w:ind w:left="2267.716535433071"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Authority will therefore apply PPN 01/22 to all Suppliers (and any Key Subcontractors) named in a tender). Unless exceptions in the PPN apply, the Authority may: </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color w:val="000000"/>
          <w:sz w:val="24"/>
          <w:szCs w:val="24"/>
          <w:rtl w:val="0"/>
        </w:rPr>
        <w:t xml:space="preserve">Exclude from this competition any tenders that are deemed from Suppliers (or subcontractors) who are constituted or organised under the law of Russia or Belarus or whose ‘Persons of Significant Control’ information states Russia or Belarus of residency; or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color w:val="000000"/>
          <w:sz w:val="24"/>
          <w:szCs w:val="24"/>
          <w:rtl w:val="0"/>
        </w:rPr>
        <w:t xml:space="preserve">Request that a Supplier find a replacement subcontractor by a specified deadline before its tender can be included in this competition.</w:t>
      </w:r>
      <w:r w:rsidDel="00000000" w:rsidR="00000000" w:rsidRPr="00000000">
        <w:rPr>
          <w:rtl w:val="0"/>
        </w:rPr>
      </w:r>
    </w:p>
    <w:p w:rsidR="00000000" w:rsidDel="00000000" w:rsidP="00000000" w:rsidRDefault="00000000" w:rsidRPr="00000000" w14:paraId="00000080">
      <w:pPr>
        <w:tabs>
          <w:tab w:val="left" w:leader="none" w:pos="709"/>
          <w:tab w:val="left" w:leader="none" w:pos="284"/>
          <w:tab w:val="left" w:leader="none" w:pos="284"/>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pStyle w:val="Heading1"/>
        <w:numPr>
          <w:ilvl w:val="0"/>
          <w:numId w:val="1"/>
        </w:numPr>
        <w:tabs>
          <w:tab w:val="left" w:leader="none" w:pos="709"/>
          <w:tab w:val="left" w:leader="none" w:pos="284"/>
          <w:tab w:val="left" w:leader="none" w:pos="709"/>
          <w:tab w:val="left" w:leader="none" w:pos="284"/>
          <w:tab w:val="left" w:leader="none" w:pos="284"/>
          <w:tab w:val="left" w:leader="none" w:pos="420"/>
          <w:tab w:val="left" w:leader="none" w:pos="-285"/>
        </w:tabs>
        <w:spacing w:after="0" w:line="240" w:lineRule="auto"/>
        <w:ind w:left="360" w:hanging="283.46456692913375"/>
        <w:rPr/>
      </w:pPr>
      <w:bookmarkStart w:colFirst="0" w:colLast="0" w:name="_heading=h.17dp8vu" w:id="10"/>
      <w:bookmarkEnd w:id="10"/>
      <w:r w:rsidDel="00000000" w:rsidR="00000000" w:rsidRPr="00000000">
        <w:rPr>
          <w:b w:val="1"/>
          <w:sz w:val="24"/>
          <w:szCs w:val="24"/>
          <w:rtl w:val="0"/>
        </w:rPr>
        <w:t xml:space="preserve">Mandatory Requirements – Applicable to all Lots</w:t>
      </w:r>
      <w:r w:rsidDel="00000000" w:rsidR="00000000" w:rsidRPr="00000000">
        <w:rPr>
          <w:rtl w:val="0"/>
        </w:rPr>
      </w:r>
    </w:p>
    <w:p w:rsidR="00000000" w:rsidDel="00000000" w:rsidP="00000000" w:rsidRDefault="00000000" w:rsidRPr="00000000" w14:paraId="00000082">
      <w:pP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s>
        <w:spacing w:after="0" w:before="0" w:line="240" w:lineRule="auto"/>
        <w:ind w:left="1560"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0"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section provides details of the mandatory Deliverables that Suppliers will be expected to fulfil in their entirety, in order to meet the Deliverables of this Framework Contract.  These apply across ALL Lots.  It is important that Suppliers take time to fully understand these requirements, and in particular, the need for full compliance from the implementation of Call-Off Contracts with Buyers.</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pPr>
      <w:r w:rsidDel="00000000" w:rsidR="00000000" w:rsidRPr="00000000">
        <w:rPr>
          <w:rFonts w:ascii="Arial" w:cs="Arial" w:eastAsia="Arial" w:hAnsi="Arial"/>
          <w:b w:val="1"/>
          <w:sz w:val="24"/>
          <w:szCs w:val="24"/>
          <w:rtl w:val="0"/>
        </w:rPr>
        <w:t xml:space="preserve">Account Management</w:t>
      </w:r>
    </w:p>
    <w:p w:rsidR="00000000" w:rsidDel="00000000" w:rsidP="00000000" w:rsidRDefault="00000000" w:rsidRPr="00000000" w14:paraId="000000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within five (5) days of signing a Framework/Call Off Contract provide the Authority with a named Supplier Framework Manager, with the level of account management provided by the Supplier being proportionate to the size and requirements of the Buyers.</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nominated Supplier Framework Manager shall have a minimum of two (2) years relevant industry experience. The Supplier shall also ensure that a deputy supplier Framework manager has been appointed and their name and contact details (including email address and telephone number) are provided to the Authority prior to any period of the Supplier Framework Manager’s unavailability and absence. The Supplier shall ensure that the deputy supplier Framework/contract manager has the same powers, authority and discretion as the Supplier Framework/Contract Manager.</w:t>
      </w:r>
    </w:p>
    <w:p w:rsidR="00000000" w:rsidDel="00000000" w:rsidP="00000000" w:rsidRDefault="00000000" w:rsidRPr="00000000" w14:paraId="000000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If a change of Framework Management personnel is required the Supplier shall inform the Authority of the change at least one (1) month prior to the change taking effect. The Supplier shall ensure a suitable handover period is included in any change of personnel.</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support the Buyers in providing recommendations in relation to the Deliverables including improving value for money through the use of your internal systems. </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provide and maintain a dedicated customer service team which will act as the first point of contact and focal point for all enquiries from Buyers available within business hours, Monday to Friday from 8am until 6pm.</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Framework Manager shall hold Supplier Review Meetings with the Authority with agenda items and the frequency of meetings to be agreed by the Authority in accordance with Framework Schedule 4 – Framework Management.</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Supplier Staff Skills, Experience, Capacity, and Capability </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Supplier Staff and where appropriate Key Subcontractors possess the qualifications, experience and competence appropriate to the tasks for which they are employed or engaged.</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the appropriate number of resources with relevant experience and skills are allocated to each Call-Off Contract. This shall be reviewed and managed throughout the duration of the Call-Off Contract(s) in order to ensure the Buyer’s requirements and timescales are met.</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maintain the appropriate level of capability and capacity of resources throughout the lifetime of the Framework Contract to meet the Deliverables of Buyers effectively, whilst providing flexibility and scalability.</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take all reasonable measures to ensure continuity of Supplier Staff over the lifetime of the Call-Off Contract(s).</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in the event a member of Supplier Staff allocated to a Buyer(s) Call-Off Contract is unable to undertake the Deliverables, a suitable replacement member of Supplier Staff is provided.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any replacement member of Supplier Staff has the same level of relevant experience, qualification, capability and security clearance and is provided in a timely manner to ensure continuity in the provision of the required Deliverables.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any replacement members of Supplier Staff or, if applicable, Key Subcontractors, are agreed with the Buyer in advance.  Any additional costs that may be incurred as a result of such a change in Supplier Staff shall be met by the Supplier, unless mutually agreed with the Buyer in writing and in advance.</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provide the Buyer with a designated lead contact and shall specify the Supplier’s team that will be allocated to the management of the Deliverables.</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demonstrate the successful delivery of local and/or national projects of the same or similar nature and size either in the public or private sector, where required to do so by the Buyer.</w:t>
      </w: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Supplier Staff and where appropriate Key Subcontractors, adhere to and comply with Buyer’s Health, Safety, and Environmental requirements at all times. </w:t>
      </w:r>
      <w:r w:rsidDel="00000000" w:rsidR="00000000" w:rsidRPr="00000000">
        <w:rPr>
          <w:rtl w:val="0"/>
        </w:rPr>
      </w:r>
    </w:p>
    <w:p w:rsidR="00000000" w:rsidDel="00000000" w:rsidP="00000000" w:rsidRDefault="00000000" w:rsidRPr="00000000" w14:paraId="000000A5">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Supplier Staff Income Standards   </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Supplier Staff employed in the delivery of Services under this Framework Contract and any Call-Off Contract receive a wage and benefits that meet, as a minimum, the national legal standards in the country of employment.</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aware that Buyers’ may have a requirement for the Supplier to meet other voluntary wage requirements such as the London living wage. Any such requirements will be defined by the Buyer during the Call-Off Procedure.</w:t>
      </w:r>
      <w:r w:rsidDel="00000000" w:rsidR="00000000" w:rsidRPr="00000000">
        <w:rPr>
          <w:rtl w:val="0"/>
        </w:rPr>
      </w:r>
    </w:p>
    <w:p w:rsidR="00000000" w:rsidDel="00000000" w:rsidP="00000000" w:rsidRDefault="00000000" w:rsidRPr="00000000" w14:paraId="000000AA">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rPr/>
      </w:pPr>
      <w:r w:rsidDel="00000000" w:rsidR="00000000" w:rsidRPr="00000000">
        <w:rPr>
          <w:rFonts w:ascii="Arial" w:cs="Arial" w:eastAsia="Arial" w:hAnsi="Arial"/>
          <w:b w:val="1"/>
          <w:sz w:val="24"/>
          <w:szCs w:val="24"/>
          <w:rtl w:val="0"/>
        </w:rPr>
        <w:t xml:space="preserve">Fair, Inclusive and Ethical Employment Practices and Skills   Development </w:t>
      </w:r>
      <w:r w:rsidDel="00000000" w:rsidR="00000000" w:rsidRPr="00000000">
        <w:rPr>
          <w:rtl w:val="0"/>
        </w:rPr>
      </w:r>
    </w:p>
    <w:p w:rsidR="00000000" w:rsidDel="00000000" w:rsidP="00000000" w:rsidRDefault="00000000" w:rsidRPr="00000000" w14:paraId="000000A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Authority and the Buyer(s) consider the delivery of high quality public services to be critically dependent upon a workforce that is inclusive, well motivated, well-led and has appropriate opportunities for training and skills development.</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All organisations with 250 or more employees must publish and report specific figures about their gender pay gap. The Supplier shall progress towards equalising this. More information can be found at:</w:t>
      </w:r>
      <w:r w:rsidDel="00000000" w:rsidR="00000000" w:rsidRPr="00000000">
        <w:rPr>
          <w:rtl w:val="0"/>
        </w:rPr>
      </w:r>
    </w:p>
    <w:p w:rsidR="00000000" w:rsidDel="00000000" w:rsidP="00000000" w:rsidRDefault="00000000" w:rsidRPr="00000000" w14:paraId="000000AF">
      <w:pPr>
        <w:tabs>
          <w:tab w:val="left" w:leader="none" w:pos="709"/>
          <w:tab w:val="left" w:leader="none" w:pos="284"/>
          <w:tab w:val="left" w:leader="none" w:pos="284"/>
          <w:tab w:val="left" w:leader="none" w:pos="420"/>
          <w:tab w:val="left" w:leader="none" w:pos="0"/>
          <w:tab w:val="left" w:leader="none" w:pos="420"/>
          <w:tab w:val="left" w:leader="none" w:pos="2265"/>
          <w:tab w:val="left" w:leader="none" w:pos="1701"/>
        </w:tabs>
        <w:spacing w:after="0" w:before="0" w:line="240" w:lineRule="auto"/>
        <w:ind w:left="2267.716535433071" w:firstLine="0"/>
        <w:jc w:val="both"/>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https://www.gov.uk/guidance/gender-pay-gap-reporting-overview</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B0">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B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Customer Support </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make available to the Buyer(s) a single point of contact capable of recording and dealing with all enquiries from Buyer(s) in relation to the Deliverables being provided under the Call-Off Contract.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As a minimum, customer service and support hours will cover the minimum operating hours of 08.00 to 18.00 Monday to Friday, excluding bank holidays.</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Suppliers shall offer the flexibility to provide these services out of hours, weekends, bank holidays and at any other times as required by the Buyer. The exact requirements will be defined by the Buyer during the Call-Off Procedure.</w:t>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Incident Management</w:t>
      </w: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agree to an incident management process and procedure for the reporting and managing of all issues that arise during the performance of the Call-Off Contract which align to the Buyer’s requirements.</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agree with the Buyer an incident management log, incident classification regime, and resolution times in accordance with best industry practice while recognising the nature of the Deliverables to be delivered.</w:t>
      </w: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have an escalation process in place for managing incidents which will be agreed with the Buyer during the Call-Off Procedure</w:t>
      </w:r>
      <w:r w:rsidDel="00000000" w:rsidR="00000000" w:rsidRPr="00000000">
        <w:rPr>
          <w:rFonts w:ascii="Arial" w:cs="Arial" w:eastAsia="Arial" w:hAnsi="Arial"/>
          <w:color w:val="444746"/>
          <w:sz w:val="24"/>
          <w:szCs w:val="24"/>
          <w:rtl w:val="0"/>
        </w:rPr>
        <w:t xml:space="preserve">.</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highlight w:val="white"/>
          <w:rtl w:val="0"/>
        </w:rPr>
        <w:t xml:space="preserve">The Supplier shall implement a Rectification Plan in accordance with Joint Schedule 10 (Rectification Plan) in the event a Default occurs in the provision of the Deliverables.</w:t>
      </w:r>
      <w:r w:rsidDel="00000000" w:rsidR="00000000" w:rsidRPr="00000000">
        <w:rPr>
          <w:rtl w:val="0"/>
        </w:rPr>
      </w:r>
    </w:p>
    <w:p w:rsidR="00000000" w:rsidDel="00000000" w:rsidP="00000000" w:rsidRDefault="00000000" w:rsidRPr="00000000" w14:paraId="000000C0">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Key Subcontractors</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the primary point of contact for all Key Subcontractors and/or Subcontractors and shall therefore be responsible for managing, controlling and maintaining all relationships throughout the lifetime of each Call-Off Contract.</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where Key Subcontractors are used in the provision of the Deliverables, the Supplier must continue to manage, control and maintain Buyer facing activities, including but not limited to, all Call-Off Contract management activities, standards and invoicing to Buyers and the Authority.</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advise of the engagement and employment status of any Key Subcontractors staff where there is likely to be TUPE or redundancy liability that may impact the Buyer or any successor Supplier.  Any such liability should be advised to the Buyer before the Supplier resource model is implemented and is subject to written approval by the Buyer.</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Suppliers shall provide evidence and reporting of the employment and/or engagement status between the Supplier, their ‘Staff’, ‘Key Subcontractors’ and any Subcontractor’s Staff’. The reporting of employment/engagement status relationships may include but not be limited to relationships where there are direct employees, those with worker status, those defined as self-employed, sole traders, freelancers, contractors, and subcontractors.</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responsible for ensuring that all Key Subcontractors’ accreditations and insurance policies required by the Authority remain current and in force, with evidence being provided to the Authority upon renewal of such policies and accreditations.</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Where part of the Deliverables are subcontracted the provisions of Joint Schedule 12 (Supply Chain Visibility) shall apply.</w:t>
      </w:r>
      <w:r w:rsidDel="00000000" w:rsidR="00000000" w:rsidRPr="00000000">
        <w:rPr>
          <w:rtl w:val="0"/>
        </w:rPr>
      </w:r>
    </w:p>
    <w:p w:rsidR="00000000" w:rsidDel="00000000" w:rsidP="00000000" w:rsidRDefault="00000000" w:rsidRPr="00000000" w14:paraId="000000CD">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Delivering a Diverse Supply Chain</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they support the delivery of the Authority’s and the Buyer(s) aspirations to ensure a diverse mix of Suppliers and resilient supply chains.</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support the delivery of these priorities which are:</w:t>
      </w:r>
      <w:r w:rsidDel="00000000" w:rsidR="00000000" w:rsidRPr="00000000">
        <w:rPr>
          <w:rtl w:val="0"/>
        </w:rPr>
      </w:r>
    </w:p>
    <w:p w:rsidR="00000000" w:rsidDel="00000000" w:rsidP="00000000" w:rsidRDefault="00000000" w:rsidRPr="00000000" w14:paraId="000000D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2265"/>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Ensure growth and development through the provision of support to Small Medium Enterprises (SMEs) and Voluntary, Community or Social Enterprise organisation VCSEs) to develop resilient local supply chains;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2265"/>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Development of supply chains to include, and be reportable upon, the principles of employee welfare, social value provisions, ethical and employment practices as set out under sections 5.4 (Fair, Inclusive and Ethical Employment Practices and Skills Development) and 6 (Our Social Value Priorities) of this agreement. This shall include supply chains organised either through formal or informal arrangements. </w:t>
      </w:r>
      <w:r w:rsidDel="00000000" w:rsidR="00000000" w:rsidRPr="00000000">
        <w:rPr>
          <w:rtl w:val="0"/>
        </w:rPr>
      </w:r>
    </w:p>
    <w:p w:rsidR="00000000" w:rsidDel="00000000" w:rsidP="00000000" w:rsidRDefault="00000000" w:rsidRPr="00000000" w14:paraId="000000D4">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Prompt Payment</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compliance with Procurement Policy Note (PPN) 08/21.</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7.716535433071" w:right="0" w:hanging="283.4645669291339"/>
        <w:jc w:val="both"/>
        <w:rPr>
          <w:rFonts w:ascii="Arial" w:cs="Arial" w:eastAsia="Arial" w:hAnsi="Arial"/>
        </w:rPr>
      </w:pPr>
      <w:r w:rsidDel="00000000" w:rsidR="00000000" w:rsidRPr="00000000">
        <w:rPr>
          <w:rFonts w:ascii="Arial" w:cs="Arial" w:eastAsia="Arial" w:hAnsi="Arial"/>
          <w:sz w:val="24"/>
          <w:szCs w:val="24"/>
          <w:rtl w:val="0"/>
        </w:rPr>
        <w:t xml:space="preserve">This applies to Call-Off Contracts in excess of the £5m p.a. threshold.  As such all Lots under this Framework Contract (RM6329) may be in scope.</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80" w:firstLine="0"/>
        <w:rPr>
          <w:rFonts w:ascii="Arial" w:cs="Arial" w:eastAsia="Arial" w:hAnsi="Arial"/>
          <w:color w:val="000000"/>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https://www.gov.uk/government/publications/procurement-policy-note-0821</w:t>
        </w:r>
      </w:hyperlink>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A">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Authority and Buyers will use the published payment practice reports to monitor compliance. </w:t>
      </w: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80" w:firstLine="0"/>
        <w:rPr>
          <w:rFonts w:ascii="Arial" w:cs="Arial" w:eastAsia="Arial" w:hAnsi="Arial"/>
          <w:color w:val="000000"/>
          <w:sz w:val="24"/>
          <w:szCs w:val="24"/>
        </w:rPr>
      </w:pPr>
      <w:hyperlink r:id="rId10">
        <w:r w:rsidDel="00000000" w:rsidR="00000000" w:rsidRPr="00000000">
          <w:rPr>
            <w:rFonts w:ascii="Arial" w:cs="Arial" w:eastAsia="Arial" w:hAnsi="Arial"/>
            <w:color w:val="0563c1"/>
            <w:sz w:val="24"/>
            <w:szCs w:val="24"/>
            <w:u w:val="single"/>
            <w:rtl w:val="0"/>
          </w:rPr>
          <w:t xml:space="preserve">https://check-payment-practices.service.gov.uk/search</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C">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0" w:firstLine="0"/>
        <w:rPr>
          <w:rFonts w:ascii="Arial" w:cs="Arial" w:eastAsia="Arial" w:hAnsi="Arial"/>
          <w:sz w:val="24"/>
          <w:szCs w:val="24"/>
        </w:rPr>
      </w:pPr>
      <w:bookmarkStart w:colFirst="0" w:colLast="0" w:name="_heading=h.3rdcrjn" w:id="11"/>
      <w:bookmarkEnd w:id="11"/>
      <w:r w:rsidDel="00000000" w:rsidR="00000000" w:rsidRPr="00000000">
        <w:rPr>
          <w:rtl w:val="0"/>
        </w:rPr>
      </w:r>
    </w:p>
    <w:p w:rsidR="00000000" w:rsidDel="00000000" w:rsidP="00000000" w:rsidRDefault="00000000" w:rsidRPr="00000000" w14:paraId="000000DD">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Security Standards</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with the provisions of Call-Off Schedule 9 (Security) and the Cabinet Office Security Policy Framework (SPF) throughout the lifetime of each Call-Off Contract. The SPF may be amended from time to time. Full details of the Cabinet Office SPF can be viewed via the link below: </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1" w:firstLine="0"/>
        <w:rPr>
          <w:rFonts w:ascii="Arial" w:cs="Arial" w:eastAsia="Arial" w:hAnsi="Arial"/>
          <w:color w:val="000000"/>
          <w:sz w:val="24"/>
          <w:szCs w:val="24"/>
        </w:rPr>
      </w:pPr>
      <w:hyperlink r:id="rId11">
        <w:r w:rsidDel="00000000" w:rsidR="00000000" w:rsidRPr="00000000">
          <w:rPr>
            <w:rFonts w:ascii="Arial" w:cs="Arial" w:eastAsia="Arial" w:hAnsi="Arial"/>
            <w:color w:val="0563c1"/>
            <w:sz w:val="24"/>
            <w:szCs w:val="24"/>
            <w:u w:val="single"/>
            <w:rtl w:val="0"/>
          </w:rPr>
          <w:t xml:space="preserve">https://www.gov.uk/government/collections/government-security</w:t>
        </w:r>
      </w:hyperlink>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hanging="159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aware of the HMG personnel security controls standards set out in the link below. </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1" w:firstLine="0"/>
        <w:rPr>
          <w:rFonts w:ascii="Arial" w:cs="Arial" w:eastAsia="Arial" w:hAnsi="Arial"/>
          <w:color w:val="000000"/>
          <w:sz w:val="24"/>
          <w:szCs w:val="24"/>
        </w:rPr>
      </w:pPr>
      <w:hyperlink r:id="rId12">
        <w:r w:rsidDel="00000000" w:rsidR="00000000" w:rsidRPr="00000000">
          <w:rPr>
            <w:rFonts w:ascii="Arial" w:cs="Arial" w:eastAsia="Arial" w:hAnsi="Arial"/>
            <w:color w:val="0563c1"/>
            <w:sz w:val="24"/>
            <w:szCs w:val="24"/>
            <w:u w:val="single"/>
            <w:rtl w:val="0"/>
          </w:rPr>
          <w:t xml:space="preserve">https://www.gov.uk/government/publications/hmg-personnel-security-controls</w:t>
        </w:r>
      </w:hyperlink>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s>
        <w:spacing w:after="0" w:before="0" w:line="240" w:lineRule="auto"/>
        <w:ind w:left="1984.251968503937" w:hanging="159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aware that Buyers may have a requirement for Supplier Staff, Key Subcontractors/Subcontractors to have a higher level of security clearance, including but not limited to Security Check (SC) clearance or Enhanced Disclosure Barring Service checks. The requirement for any such level of clearance shall be defined by the Buyer during the Call-Off Procedure. </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be aware that Buyers may request additional security measures to comply with their own Security Policy. This may include, but is not limited to: </w:t>
      </w: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Highly secure premises, e.g. Facility Security Clearance (FSC) formerly known as 'List X';</w:t>
      </w: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Additional vehicle security features, e.g. Slam locks, reinforced cargo area, crew cab and/or cargo compartment camera monitoring and known Consignor Status.</w:t>
      </w:r>
      <w:r w:rsidDel="00000000" w:rsidR="00000000" w:rsidRPr="00000000">
        <w:rPr>
          <w:rtl w:val="0"/>
        </w:rPr>
      </w:r>
    </w:p>
    <w:p w:rsidR="00000000" w:rsidDel="00000000" w:rsidP="00000000" w:rsidRDefault="00000000" w:rsidRPr="00000000" w14:paraId="000000E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The requirement for any such security measures shall be defined by the Buyer during the Call-Off Procedure.</w:t>
      </w: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44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Supplier Staff and where appropriate Key Subcontractors used in the provision of the Deliverables under this Framework Contract shall comply with security controls, procedures and policies as specified by the Buyer during the Call-Off Procedure.</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w:t>
      </w:r>
      <w:r w:rsidDel="00000000" w:rsidR="00000000" w:rsidRPr="00000000">
        <w:rPr>
          <w:rFonts w:ascii="Arial" w:cs="Arial" w:eastAsia="Arial" w:hAnsi="Arial"/>
          <w:sz w:val="24"/>
          <w:szCs w:val="24"/>
          <w:rtl w:val="0"/>
        </w:rPr>
        <w:t xml:space="preserve"> shall have a process in place to </w:t>
      </w:r>
      <w:r w:rsidDel="00000000" w:rsidR="00000000" w:rsidRPr="00000000">
        <w:rPr>
          <w:rFonts w:ascii="Arial" w:cs="Arial" w:eastAsia="Arial" w:hAnsi="Arial"/>
          <w:sz w:val="24"/>
          <w:szCs w:val="24"/>
          <w:rtl w:val="0"/>
        </w:rPr>
        <w:t xml:space="preserve">ensure that no person who discloses that they have a relevant conviction, or who is found to have any relevant convictions, whether as a result of a police check or through the procedure of the Disclosure and Barring Service (DBS) or otherwise, is employed or engaged in any part of the provision of the Deliverables without prior written approval of the Buyer.</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fully with the provisions of Call-Off Schedule 9 (Security) as contained within Framework Schedule 6 (Order Form Template and Call-Off Schedules).</w:t>
      </w:r>
      <w:r w:rsidDel="00000000" w:rsidR="00000000" w:rsidRPr="00000000">
        <w:rPr>
          <w:rtl w:val="0"/>
        </w:rPr>
      </w:r>
    </w:p>
    <w:p w:rsidR="00000000" w:rsidDel="00000000" w:rsidP="00000000" w:rsidRDefault="00000000" w:rsidRPr="00000000" w14:paraId="000000F0">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0" w:firstLine="0"/>
        <w:rPr>
          <w:rFonts w:ascii="Arial" w:cs="Arial" w:eastAsia="Arial" w:hAnsi="Arial"/>
          <w:sz w:val="24"/>
          <w:szCs w:val="24"/>
        </w:rPr>
      </w:pPr>
      <w:bookmarkStart w:colFirst="0" w:colLast="0" w:name="_heading=h.26in1rg" w:id="12"/>
      <w:bookmarkEnd w:id="12"/>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Protection of Data and Confidentiality</w:t>
      </w:r>
      <w:r w:rsidDel="00000000" w:rsidR="00000000" w:rsidRPr="00000000">
        <w:rPr>
          <w:rtl w:val="0"/>
        </w:rPr>
      </w:r>
    </w:p>
    <w:p w:rsidR="00000000" w:rsidDel="00000000" w:rsidP="00000000" w:rsidRDefault="00000000" w:rsidRPr="00000000" w14:paraId="000000F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sign a Non-Disclosure Agreement (NDA)/confidentiality undertaking if requested by the Buyer prior to commencement of the Deliverables or at Call-Off Procedure stage.</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the intellectual property of data is retained by the Buyer and that confidentiality of the Buyer’s information and data is protected.</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data collected and proposals made as a result of providing the Deliverables remain the property of the Buyer.</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such data is shared only as strictly necessary for the performance of the Deliverables and sharing of any data shall be agreed with the Buyer in advance.</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all data collected as part of the Deliverables provision is held securely for the duration of the Call-Off Contract and returned to the Buyer at the end of the Call-Off Contract Period, unless otherwise specified by the Buyer.</w:t>
      </w:r>
      <w:r w:rsidDel="00000000" w:rsidR="00000000" w:rsidRPr="00000000">
        <w:rPr>
          <w:rtl w:val="0"/>
        </w:rPr>
      </w:r>
    </w:p>
    <w:p w:rsidR="00000000" w:rsidDel="00000000" w:rsidP="00000000" w:rsidRDefault="00000000" w:rsidRPr="00000000" w14:paraId="000000FB">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Processing Data</w:t>
      </w:r>
      <w:r w:rsidDel="00000000" w:rsidR="00000000" w:rsidRPr="00000000">
        <w:rPr>
          <w:rtl w:val="0"/>
        </w:rPr>
      </w:r>
    </w:p>
    <w:p w:rsidR="00000000" w:rsidDel="00000000" w:rsidP="00000000" w:rsidRDefault="00000000" w:rsidRPr="00000000" w14:paraId="000000F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fully with the obligation set out in Joint Schedule 11 (Processing Data).</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not transfer any Personal Data it may obtain whilst performing its obligations under the Framework Contract or any Call-Off Contract outside of the EU without prior written consent of the Authority or the Buyer as set out in Joint Schedule 11 (Processing Data).</w:t>
      </w:r>
      <w:r w:rsidDel="00000000" w:rsidR="00000000" w:rsidRPr="00000000">
        <w:rPr>
          <w:rtl w:val="0"/>
        </w:rPr>
      </w:r>
    </w:p>
    <w:p w:rsidR="00000000" w:rsidDel="00000000" w:rsidP="00000000" w:rsidRDefault="00000000" w:rsidRPr="00000000" w14:paraId="00000100">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Information Security Management</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they and any Key Subcontractor(s) engaged by the Supplier to deliver the Deliverables are compliant with Procurement Policy Note PPN 09/23: Updates to the Cyber Essentials Scheme. Full details of the Cyber Essentials Scheme are below</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2267.716535433071" w:right="0" w:firstLine="0"/>
        <w:jc w:val="both"/>
        <w:rPr>
          <w:rFonts w:ascii="Arial" w:cs="Arial" w:eastAsia="Arial" w:hAnsi="Arial"/>
          <w:color w:val="1155cc"/>
          <w:sz w:val="24"/>
          <w:szCs w:val="24"/>
          <w:u w:val="single"/>
        </w:rPr>
      </w:pPr>
      <w:hyperlink r:id="rId13">
        <w:r w:rsidDel="00000000" w:rsidR="00000000" w:rsidRPr="00000000">
          <w:rPr>
            <w:rFonts w:ascii="Arial" w:cs="Arial" w:eastAsia="Arial" w:hAnsi="Arial"/>
            <w:color w:val="1155cc"/>
            <w:sz w:val="24"/>
            <w:szCs w:val="24"/>
            <w:u w:val="single"/>
            <w:rtl w:val="0"/>
          </w:rPr>
          <w:t xml:space="preserve">https://www.gov.uk/government/publications/ppn-0923-updates-to-the-cyber-essentials-scheme</w:t>
        </w:r>
      </w:hyperlink>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Buyers’ information and data is secured in a manner that complies with the Government Security Classification Policy rating appropriate to the classification of the information and data. The Supplier shall ensure that the Government Security Classification Policy rating is also applied when information and data is transmitted across all applicable networks and/or in line with the Buyers’ requirements. </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2267.716535433071" w:right="0" w:firstLine="0"/>
        <w:jc w:val="both"/>
        <w:rPr>
          <w:rFonts w:ascii="Arial" w:cs="Arial" w:eastAsia="Arial" w:hAnsi="Arial"/>
          <w:color w:val="000000"/>
          <w:sz w:val="24"/>
          <w:szCs w:val="24"/>
        </w:rPr>
      </w:pPr>
      <w:hyperlink r:id="rId14">
        <w:r w:rsidDel="00000000" w:rsidR="00000000" w:rsidRPr="00000000">
          <w:rPr>
            <w:rFonts w:ascii="Arial" w:cs="Arial" w:eastAsia="Arial" w:hAnsi="Arial"/>
            <w:color w:val="1155cc"/>
            <w:sz w:val="24"/>
            <w:szCs w:val="24"/>
            <w:u w:val="single"/>
            <w:rtl w:val="0"/>
          </w:rPr>
          <w:t xml:space="preserve">https://www.gov.uk/government/publications/government-security-classifications</w:t>
        </w:r>
      </w:hyperlink>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where required, have the capability to employ encryption to information/data sent across a network or extracted by any means. The Supplier shall ensure that the level of encryption complies in full with the Government Security Classification Policy rating appropriate to the classification of the information and data and/or in line with the Buyers’ requirements.</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with the requirements of the Buyer and where relevant, their Security Policy and procedures, to ensure that they have in place and operate to the required level of physical and data security and are able to comply with relevant security systems and/or networks. Any such requirements will be defined by the Buyer during the Call-Off Procedure. </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not charge a Buyer for any specific standards and/or security compliance or accreditation/certification that the Buyer may specify during the Call-Off Procedure unless by agreement with the Buyer as part of the Call-Off Procedure.</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that any suspected or actual security breaches are reported to the Buyer’s representative immediately and depending on the impact of the breach, shall also be reported to the Authority. Instances may include where a potential breach affects the security and privacy of the Citizen, the reputation of the Buyer/Supplier, and Authority or may be reportable to the Information Commissioner's Office (ICO).</w:t>
      </w:r>
      <w:r w:rsidDel="00000000" w:rsidR="00000000" w:rsidRPr="00000000">
        <w:rPr>
          <w:rtl w:val="0"/>
        </w:rPr>
      </w:r>
    </w:p>
    <w:p w:rsidR="00000000" w:rsidDel="00000000" w:rsidP="00000000" w:rsidRDefault="00000000" w:rsidRPr="00000000" w14:paraId="0000010F">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Quality</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meet the range of Service Levels specified by the Buyer during the Call-Off Procedure that may include, but are not limited to:</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Collection on time;</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Processing time;</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Delivery on time.</w:t>
      </w:r>
      <w:r w:rsidDel="00000000" w:rsidR="00000000" w:rsidRPr="00000000">
        <w:rPr>
          <w:rtl w:val="0"/>
        </w:rPr>
      </w:r>
    </w:p>
    <w:p w:rsidR="00000000" w:rsidDel="00000000" w:rsidP="00000000" w:rsidRDefault="00000000" w:rsidRPr="00000000" w14:paraId="00000115">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highlight w:val="white"/>
          <w:rtl w:val="0"/>
        </w:rPr>
        <w:t xml:space="preserve">The Supplier shall ensure the Buyer's Service Levels or any other relevant service quality metric will be measured as agreed during the Call-Off Procedure.</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color w:val="444746"/>
          <w:sz w:val="24"/>
          <w:szCs w:val="24"/>
          <w:highlight w:val="whit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 The Supplier will be required to pay Service Credits to the Buyers for failure to achieve targets in accordance with Call-Off Schedule 14 (Service Levels) as set out during the Call-Off Procedure. </w:t>
      </w:r>
      <w:r w:rsidDel="00000000" w:rsidR="00000000" w:rsidRPr="00000000">
        <w:rPr>
          <w:rtl w:val="0"/>
        </w:rPr>
      </w:r>
    </w:p>
    <w:p w:rsidR="00000000" w:rsidDel="00000000" w:rsidP="00000000" w:rsidRDefault="00000000" w:rsidRPr="00000000" w14:paraId="00000119">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Value For Money</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support Buyers and the Authority by driving behaviour towards implementing best practice and applying their knowledge and expertise to the market for more efficient and effective ways of working to optimise commercial benefits and delivery of savings, innovation, process improvement, and efficiencies over the lifetime of the Framework Contract.and each Call-Off Contract.</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This may include regular reviews with the Relevant Authority of the Deliverables and the way it provides them, with a view to reducing the Relevant Authority's costs (including the Charges/Framework Prices) and/or improving the quality and efficiency of the Deliverables. The Supplier and the Relevant Authority must provide each other with any information relevant to meeting this objective.</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In addition to Paragraph 6.14.1, the Supplier may be requested by the Relevant Authority to produce at the start of each Contract (or where otherwise specified in the Order Form) a plan for improving the provision of the Deliverables and/or reducing the Charges/Framework Prices (without adversely affecting the performance of this Contract) (</w:t>
      </w:r>
      <w:r w:rsidDel="00000000" w:rsidR="00000000" w:rsidRPr="00000000">
        <w:rPr>
          <w:rFonts w:ascii="Arial" w:cs="Arial" w:eastAsia="Arial" w:hAnsi="Arial"/>
          <w:b w:val="1"/>
          <w:sz w:val="24"/>
          <w:szCs w:val="24"/>
          <w:rtl w:val="0"/>
        </w:rPr>
        <w:t xml:space="preserve">"Continuous Improvement Plan"</w:t>
      </w:r>
      <w:r w:rsidDel="00000000" w:rsidR="00000000" w:rsidRPr="00000000">
        <w:rPr>
          <w:rFonts w:ascii="Arial" w:cs="Arial" w:eastAsia="Arial" w:hAnsi="Arial"/>
          <w:sz w:val="24"/>
          <w:szCs w:val="24"/>
          <w:rtl w:val="0"/>
        </w:rPr>
        <w:t xml:space="preserve">) for the Relevant Authority's approval.  The continuous improvement plan must include, as a minimum, proposals:</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identifying the emergence of relevant new and evolving technologies;</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changes in business processes of the Supplier or the Relevant Authority and ways of working that would provide cost savings and/or enhanced benefits to the Relevant Authority (such as methods of interaction, supply chain efficiencies, reduction in energy consumption and methods of sale);</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new or potential improvements to the provision of the Deliverables including the quality, responsiveness, procedures, benchmarking methods, likely performance mechanisms and customer support services in relation to the Deliverables;</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measuring and reducing the sustainability impacts of the Supplier's operations and supply-chains relating to the Deliverables, and identifying opportunities to assist the Relevant Authority in meeting their sustainability objectives.</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1728"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initial continuous improvement plan may be requested by the Relevant Authority during the first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Contract Year and where applicable, shall be submitted by the Supplier to the Relevant Authority for approval within one hundred (100) Working Days of the first Order or six (6) Months following the Start Date, whichever is earlier. </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Relevant Authority reserves the right to request the initial Continuous Improvement Plan at any time during the Contract Period which may be after the first (1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rtl w:val="0"/>
        </w:rPr>
        <w:t xml:space="preserve">) Contract Year, where it is deemed to be beneficial.</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Relevant Authority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must provide sufficient information with each suggested improvement to enable a decision on whether to implement it. The Supplier shall provide any further information as requested.</w:t>
      </w: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If the Relevant Authority wishes to incorporate any improvement into this Contract, it must request a Variation in accordance with the Variation Procedure and the Supplier must implement such Variation at no additional cost to the Buyer or CCS.</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Once the first continuous improvement plan has been approved in accordance with Paragraph 6.14.6</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the Supplier shall use all reasonable endeavours to implement any agreed Deliverables in accordance with the continuous improvement plan; and</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the Parties agree to meet as soon as reasonably possible following the start of each quarter (or as otherwise agreed between the Parties) to review the Supplier's progress against the continuous improvement plan</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1728"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update the continuous improvement plan as and when required but at least once every Contract Year (after the first continuous improvement plan has been approved) in accordance with the procedure and timescales set out in Paragraph 6.14.4.</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Should the Supplier's costs in providing the Deliverables to the Relevant Authority be reduced as a result of any changes implemented, all of the cost savings shall be passed on to the Relevant Authority by way of a consequential and immediate reduction in the Charges for the Deliverables.</w:t>
      </w: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Benchmarking</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comply with the requirements and associated processes as they relate to Benchmarking as set out in the following paragraphs.</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Relevant Authority may, by written notice to the Supplier, require a Benchmark Review of any or all of the Deliverables.</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Relevant Authority shall not be entitled to request a Benchmark Review during the first six (6) Month period from the Start Date or at intervals of less than twelve (12) Months after any previous Benchmark Review.</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purpose of a Benchmark Review will be to establish whether the Benchmarked Deliverables are, individually and/or as a whole, Good Value.</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Deliverables that are to be the Benchmarked Deliverables will be identified by the Relevant Authority in writing.</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Upon its request for a Benchmark Review the Relevant Authority shall nominate a benchmarker. The Supplier must approve the nomination within ten (10) Working Days unless the Supplier provides a reasonable explanation for rejecting the appointment.   If the appointment is rejected then the Relevant Authority may propose an alternative benchmarker.  If the Parties cannot agree the appointment within twenty (20) days of the initial request for Benchmark review then a benchmarker shall be selected by the Chartered Institute of Financial Accountants.</w:t>
      </w: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cost of a benchmarker shall be borne by the Relevant Authority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Relevant Authority.</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benchmarker shall produce and send to the Relevant Authority, for Approval, a draft plan for the Benchmark Review which must include:</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 proposed cost and timetable for the Benchmark Review;</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 description of the benchmarking methodology to be used which must demonstrate that the methodology to be used is capable of fulfilling the benchmarking purpose; and</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 description of how the benchmarker will scope and identify the Comparison Group.</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1728"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benchmarker, acting reasonably, shall be entitled to use any model to determine the achievement of value for money and to carry out the benchmarking.</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Relevant Authority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15.15.10 shall apply to any amended draft plan.</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Once both Parties have approved the draft plan then they will notify the benchmarker.  No Party may unreasonably withhold or delay its Approval of the draft plan.</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right="0" w:hanging="159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Once it has received the Approval of the draft plan, the benchmarker shall:</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141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finalise the Comparison Group and collect data relating to Comparable Rates. The selection of the Comparable Rates (both in terms of number and identity) shall be a matter for the Supplier's professional judgement using:</w:t>
      </w:r>
      <w:r w:rsidDel="00000000" w:rsidR="00000000" w:rsidRPr="00000000">
        <w:rPr>
          <w:rtl w:val="0"/>
        </w:rPr>
      </w:r>
    </w:p>
    <w:p w:rsidR="00000000" w:rsidDel="00000000" w:rsidP="00000000" w:rsidRDefault="00000000" w:rsidRPr="00000000" w14:paraId="00000154">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market intelligence;</w:t>
      </w:r>
    </w:p>
    <w:p w:rsidR="00000000" w:rsidDel="00000000" w:rsidP="00000000" w:rsidRDefault="00000000" w:rsidRPr="00000000" w14:paraId="00000155">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the benchmarker’s own data and experience;</w:t>
      </w:r>
    </w:p>
    <w:p w:rsidR="00000000" w:rsidDel="00000000" w:rsidP="00000000" w:rsidRDefault="00000000" w:rsidRPr="00000000" w14:paraId="00000156">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relevant published information; and</w:t>
      </w:r>
    </w:p>
    <w:p w:rsidR="00000000" w:rsidDel="00000000" w:rsidP="00000000" w:rsidRDefault="00000000" w:rsidRPr="00000000" w14:paraId="00000157">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pursuant to Paragraph 3.2.6 below, information from other suppliers or purchasers on Comparable Rates;</w:t>
      </w:r>
    </w:p>
    <w:p w:rsidR="00000000" w:rsidDel="00000000" w:rsidP="00000000" w:rsidRDefault="00000000" w:rsidRPr="00000000" w14:paraId="00000158">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by applying the adjustment factors listed in Paragraph 3.2.7 and from an analysis of the Comparable Rates, derive the Equivalent Data;</w:t>
      </w:r>
    </w:p>
    <w:p w:rsidR="00000000" w:rsidDel="00000000" w:rsidP="00000000" w:rsidRDefault="00000000" w:rsidRPr="00000000" w14:paraId="00000159">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using the Equivalent Data, calculate the Upper Quartile;</w:t>
      </w:r>
    </w:p>
    <w:p w:rsidR="00000000" w:rsidDel="00000000" w:rsidP="00000000" w:rsidRDefault="00000000" w:rsidRPr="00000000" w14:paraId="0000015A">
      <w:pPr>
        <w:numPr>
          <w:ilvl w:val="4"/>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834.645669291339" w:hanging="283.4645669291342"/>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determine whether or not each Benchmarked Rate is, and/or the Benchmarked Rates as a whole are, Good Value.</w:t>
      </w:r>
    </w:p>
    <w:p w:rsidR="00000000" w:rsidDel="00000000" w:rsidP="00000000" w:rsidRDefault="00000000" w:rsidRPr="00000000" w14:paraId="0000015B">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3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r w:rsidDel="00000000" w:rsidR="00000000" w:rsidRPr="00000000">
        <w:rPr>
          <w:rtl w:val="0"/>
        </w:rPr>
      </w:r>
    </w:p>
    <w:p w:rsidR="00000000" w:rsidDel="00000000" w:rsidP="00000000" w:rsidRDefault="00000000" w:rsidRPr="00000000" w14:paraId="0000015D">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E">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In carrying out the benchmarking analysis the benchmarker may have regard to the following matters when performing a comparative assessment of the Benchmarked Rates and the Comparable Rates in order to derive Equivalent Data:</w:t>
      </w:r>
      <w:r w:rsidDel="00000000" w:rsidR="00000000" w:rsidRPr="00000000">
        <w:rPr>
          <w:rtl w:val="0"/>
        </w:rPr>
      </w:r>
    </w:p>
    <w:p w:rsidR="00000000" w:rsidDel="00000000" w:rsidP="00000000" w:rsidRDefault="00000000" w:rsidRPr="00000000" w14:paraId="0000015F">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the contractual terms and business environment under which the Comparable Rates are being provided (including the scale and geographical spread of the customers);</w:t>
      </w:r>
      <w:r w:rsidDel="00000000" w:rsidR="00000000" w:rsidRPr="00000000">
        <w:rPr>
          <w:rtl w:val="0"/>
        </w:rPr>
      </w:r>
    </w:p>
    <w:p w:rsidR="00000000" w:rsidDel="00000000" w:rsidP="00000000" w:rsidRDefault="00000000" w:rsidRPr="00000000" w14:paraId="00000160">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exchange rates;</w:t>
      </w:r>
      <w:r w:rsidDel="00000000" w:rsidR="00000000" w:rsidRPr="00000000">
        <w:rPr>
          <w:rtl w:val="0"/>
        </w:rPr>
      </w:r>
    </w:p>
    <w:p w:rsidR="00000000" w:rsidDel="00000000" w:rsidP="00000000" w:rsidRDefault="00000000" w:rsidRPr="00000000" w14:paraId="00000161">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any other factors reasonably identified by the Supplier, which, if not taken into consideration, could unfairly cause the Supplier's pricing to appear non-competitive.</w:t>
      </w:r>
      <w:r w:rsidDel="00000000" w:rsidR="00000000" w:rsidRPr="00000000">
        <w:rPr>
          <w:rtl w:val="0"/>
        </w:rPr>
      </w:r>
    </w:p>
    <w:p w:rsidR="00000000" w:rsidDel="00000000" w:rsidP="00000000" w:rsidRDefault="00000000" w:rsidRPr="00000000" w14:paraId="00000162">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3">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For the purposes of this Schedule </w:t>
      </w:r>
      <w:r w:rsidDel="00000000" w:rsidR="00000000" w:rsidRPr="00000000">
        <w:rPr>
          <w:rFonts w:ascii="Arial" w:cs="Arial" w:eastAsia="Arial" w:hAnsi="Arial"/>
          <w:b w:val="1"/>
          <w:sz w:val="24"/>
          <w:szCs w:val="24"/>
          <w:rtl w:val="0"/>
        </w:rPr>
        <w:t xml:space="preserve">"Benchmarking Report"</w:t>
      </w:r>
      <w:r w:rsidDel="00000000" w:rsidR="00000000" w:rsidRPr="00000000">
        <w:rPr>
          <w:rFonts w:ascii="Arial" w:cs="Arial" w:eastAsia="Arial" w:hAnsi="Arial"/>
          <w:sz w:val="24"/>
          <w:szCs w:val="24"/>
          <w:rtl w:val="0"/>
        </w:rPr>
        <w:t xml:space="preserve"> shall mean the report produced by the benchmarker following the Benchmark Review and as further described in this Schedule;</w:t>
      </w:r>
      <w:r w:rsidDel="00000000" w:rsidR="00000000" w:rsidRPr="00000000">
        <w:rPr>
          <w:rtl w:val="0"/>
        </w:rPr>
      </w:r>
    </w:p>
    <w:p w:rsidR="00000000" w:rsidDel="00000000" w:rsidP="00000000" w:rsidRDefault="00000000" w:rsidRPr="00000000" w14:paraId="00000164">
      <w:p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5">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benchmarker shall prepare a Benchmarking Report and deliver it to the Relevant Authority, at the time specified in the plan Approved pursuant to Paragraph 3.2.3, setting out its findings.  Those findings shall be required to:</w:t>
      </w:r>
      <w:r w:rsidDel="00000000" w:rsidR="00000000" w:rsidRPr="00000000">
        <w:rPr>
          <w:rtl w:val="0"/>
        </w:rPr>
      </w:r>
    </w:p>
    <w:p w:rsidR="00000000" w:rsidDel="00000000" w:rsidP="00000000" w:rsidRDefault="00000000" w:rsidRPr="00000000" w14:paraId="00000166">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include a finding as to whether or not a Benchmarked Service and/or whether the Benchmarked Deliverables as a whole are, Good Value;</w:t>
      </w:r>
      <w:r w:rsidDel="00000000" w:rsidR="00000000" w:rsidRPr="00000000">
        <w:rPr>
          <w:rtl w:val="0"/>
        </w:rPr>
      </w:r>
    </w:p>
    <w:p w:rsidR="00000000" w:rsidDel="00000000" w:rsidP="00000000" w:rsidRDefault="00000000" w:rsidRPr="00000000" w14:paraId="00000167">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if any of the Benchmarked Deliverables are, individually or as a whole, not Good Value, specify the changes that would be required to make that Benchmarked Service or the Benchmarked Deliverables as a whole Good Value;</w:t>
      </w:r>
      <w:r w:rsidDel="00000000" w:rsidR="00000000" w:rsidRPr="00000000">
        <w:rPr>
          <w:rtl w:val="0"/>
        </w:rPr>
      </w:r>
    </w:p>
    <w:p w:rsidR="00000000" w:rsidDel="00000000" w:rsidP="00000000" w:rsidRDefault="00000000" w:rsidRPr="00000000" w14:paraId="00000168">
      <w:pPr>
        <w:numPr>
          <w:ilvl w:val="3"/>
          <w:numId w:val="1"/>
        </w:num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include sufficient detail and transparency so that the Party requesting the Benchmarking can interpret and understand how the Supplier has calculated whether or not the Benchmarked Deliverables are, individually or as a whole, Good Value.</w:t>
      </w:r>
      <w:r w:rsidDel="00000000" w:rsidR="00000000" w:rsidRPr="00000000">
        <w:rPr>
          <w:rtl w:val="0"/>
        </w:rPr>
      </w:r>
    </w:p>
    <w:p w:rsidR="00000000" w:rsidDel="00000000" w:rsidP="00000000" w:rsidRDefault="00000000" w:rsidRPr="00000000" w14:paraId="00000169">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A">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Parties agree that any changes required to this Contract identified in the Benchmarking Report shall be implemented at the direction of the Relevant Authority in accordance with Clause 24 of the Core Terms (Changing the contract).</w:t>
      </w:r>
      <w:r w:rsidDel="00000000" w:rsidR="00000000" w:rsidRPr="00000000">
        <w:rPr>
          <w:rtl w:val="0"/>
        </w:rPr>
      </w:r>
    </w:p>
    <w:p w:rsidR="00000000" w:rsidDel="00000000" w:rsidP="00000000" w:rsidRDefault="00000000" w:rsidRPr="00000000" w14:paraId="0000016B">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984.251968503937" w:hanging="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ensure that where volumes are secured under this Framework Contract, they shall employ strategies to leverage the benefit of such volumes in their commercial offering to ensure best value for the Buyer. Such strategies may include working with the supply chain to maximise any efficiency and ensuring sustainability of supply.</w:t>
      </w:r>
      <w:r w:rsidDel="00000000" w:rsidR="00000000" w:rsidRPr="00000000">
        <w:rPr>
          <w:rtl w:val="0"/>
        </w:rPr>
      </w:r>
    </w:p>
    <w:p w:rsidR="00000000" w:rsidDel="00000000" w:rsidP="00000000" w:rsidRDefault="00000000" w:rsidRPr="00000000" w14:paraId="0000016D">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984.251968503937" w:hanging="24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be aware that Buyers may work in collaboration to cluster their requirements to drive value and efficiencies as set out in Call-Off Schedule 12 (Clustering). This approach shall be entirely permissible and the Supplier shall be expected to adjust their commercial proposition to reflect this collaborative approach in a way that benefits the Buyer(s).</w:t>
      </w:r>
      <w:r w:rsidDel="00000000" w:rsidR="00000000" w:rsidRPr="00000000">
        <w:rPr>
          <w:rtl w:val="0"/>
        </w:rPr>
      </w:r>
    </w:p>
    <w:p w:rsidR="00000000" w:rsidDel="00000000" w:rsidP="00000000" w:rsidRDefault="00000000" w:rsidRPr="00000000" w14:paraId="0000016F">
      <w:pP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1984.251968503937" w:hanging="240"/>
        <w:jc w:val="both"/>
        <w:rPr>
          <w:rFonts w:ascii="Arial" w:cs="Arial" w:eastAsia="Arial" w:hAnsi="Arial"/>
          <w:sz w:val="24"/>
          <w:szCs w:val="24"/>
        </w:rPr>
      </w:pPr>
      <w:r w:rsidDel="00000000" w:rsidR="00000000" w:rsidRPr="00000000">
        <w:rPr>
          <w:rFonts w:ascii="Arial" w:cs="Arial" w:eastAsia="Arial" w:hAnsi="Arial"/>
          <w:sz w:val="24"/>
          <w:szCs w:val="24"/>
          <w:rtl w:val="0"/>
        </w:rPr>
        <w:tab/>
      </w:r>
    </w:p>
    <w:p w:rsidR="00000000" w:rsidDel="00000000" w:rsidP="00000000" w:rsidRDefault="00000000" w:rsidRPr="00000000" w14:paraId="00000170">
      <w:pPr>
        <w:numPr>
          <w:ilvl w:val="2"/>
          <w:numId w:val="1"/>
        </w:numP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hanging="992.1259842519685"/>
        <w:jc w:val="both"/>
        <w:rPr/>
      </w:pPr>
      <w:r w:rsidDel="00000000" w:rsidR="00000000" w:rsidRPr="00000000">
        <w:rPr>
          <w:rFonts w:ascii="Arial" w:cs="Arial" w:eastAsia="Arial" w:hAnsi="Arial"/>
          <w:sz w:val="24"/>
          <w:szCs w:val="24"/>
          <w:rtl w:val="0"/>
        </w:rPr>
        <w:t xml:space="preserve">The Supplier shall be aware that Buyers may have requirements that fall within a small geographical area such as a limited region or postcode area. Where appropriate, the Supplier may leverage these localised Buyer needs in their commercial offering to ensure best value for the Buyer.</w:t>
      </w:r>
      <w:r w:rsidDel="00000000" w:rsidR="00000000" w:rsidRPr="00000000">
        <w:rPr>
          <w:rtl w:val="0"/>
        </w:rPr>
      </w:r>
    </w:p>
    <w:p w:rsidR="00000000" w:rsidDel="00000000" w:rsidP="00000000" w:rsidRDefault="00000000" w:rsidRPr="00000000" w14:paraId="00000171">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  Government buying standards </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Where applicable to the Deliverables and where requested by the Buyer, the Supplier shall fully comply with all aspects of the Government Buying Standards.</w:t>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1" w:firstLine="0"/>
        <w:rPr>
          <w:rFonts w:ascii="Arial" w:cs="Arial" w:eastAsia="Arial" w:hAnsi="Arial"/>
          <w:color w:val="000000"/>
          <w:sz w:val="24"/>
          <w:szCs w:val="24"/>
        </w:rPr>
      </w:pPr>
      <w:hyperlink r:id="rId15">
        <w:r w:rsidDel="00000000" w:rsidR="00000000" w:rsidRPr="00000000">
          <w:rPr>
            <w:rFonts w:ascii="Arial" w:cs="Arial" w:eastAsia="Arial" w:hAnsi="Arial"/>
            <w:color w:val="0563c1"/>
            <w:sz w:val="24"/>
            <w:szCs w:val="24"/>
            <w:u w:val="single"/>
            <w:rtl w:val="0"/>
          </w:rPr>
          <w:t xml:space="preserve">https://www.gov.uk/government/collections/sustainable-procurement-the-government-buying-standards-gbs</w:t>
        </w:r>
      </w:hyperlink>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All Central Government departments and their related organisations are required to meet the mandatory Government Buying Standards when buying Goods and Services in the relevant product groups covered on the above site when Deliverables are procured either directly or indirectly. </w:t>
      </w:r>
      <w:r w:rsidDel="00000000" w:rsidR="00000000" w:rsidRPr="00000000">
        <w:rPr>
          <w:rtl w:val="0"/>
        </w:rPr>
      </w:r>
    </w:p>
    <w:p w:rsidR="00000000" w:rsidDel="00000000" w:rsidP="00000000" w:rsidRDefault="00000000" w:rsidRPr="00000000" w14:paraId="00000177">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firstLine="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Application of the Playbooks</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Sourcing Playbook will apply to both the Framework Contract and any subsequent Call-Off Contracts under the Framework Contract. </w:t>
      </w:r>
      <w:r w:rsidDel="00000000" w:rsidR="00000000" w:rsidRPr="00000000">
        <w:rPr>
          <w:rtl w:val="0"/>
        </w:rPr>
      </w:r>
    </w:p>
    <w:p w:rsidR="00000000" w:rsidDel="00000000" w:rsidP="00000000" w:rsidRDefault="00000000" w:rsidRPr="00000000" w14:paraId="0000017A">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2267.71653543307" w:firstLine="0"/>
        <w:rPr>
          <w:rFonts w:ascii="Arial" w:cs="Arial" w:eastAsia="Arial" w:hAnsi="Arial"/>
          <w:color w:val="4472c4"/>
          <w:sz w:val="24"/>
          <w:szCs w:val="24"/>
          <w:u w:val="single"/>
        </w:rPr>
      </w:pPr>
      <w:hyperlink r:id="rId16">
        <w:r w:rsidDel="00000000" w:rsidR="00000000" w:rsidRPr="00000000">
          <w:rPr>
            <w:rFonts w:ascii="Arial" w:cs="Arial" w:eastAsia="Arial" w:hAnsi="Arial"/>
            <w:color w:val="4472c4"/>
            <w:sz w:val="24"/>
            <w:szCs w:val="24"/>
            <w:u w:val="single"/>
            <w:rtl w:val="0"/>
          </w:rPr>
          <w:t xml:space="preserve">https://www.gov.uk/government/publications/the-sourcing-and-consultancy-playbooks</w:t>
        </w:r>
      </w:hyperlink>
      <w:r w:rsidDel="00000000" w:rsidR="00000000" w:rsidRPr="00000000">
        <w:rPr>
          <w:rtl w:val="0"/>
        </w:rPr>
      </w:r>
    </w:p>
    <w:p w:rsidR="00000000" w:rsidDel="00000000" w:rsidP="00000000" w:rsidRDefault="00000000" w:rsidRPr="00000000" w14:paraId="0000017B">
      <w:pPr>
        <w:tabs>
          <w:tab w:val="left" w:leader="none" w:pos="709"/>
          <w:tab w:val="left" w:leader="none" w:pos="284"/>
          <w:tab w:val="left" w:leader="none" w:pos="284"/>
          <w:tab w:val="left" w:leader="none" w:pos="420"/>
          <w:tab w:val="left" w:leader="none" w:pos="0"/>
          <w:tab w:val="left" w:leader="none" w:pos="420"/>
          <w:tab w:val="left" w:leader="none" w:pos="0"/>
          <w:tab w:val="left" w:leader="none" w:pos="3544"/>
        </w:tabs>
        <w:spacing w:after="0" w:before="0" w:line="240" w:lineRule="auto"/>
        <w:ind w:left="1984.251968503937"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Consultancy Playbook will apply to the following Lots under this Framework Contract and any subsequent Call-Off Contract: </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Lot 3 (Logistics Consultancy, Supply Chain, and Design Solutions), and</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Lot 8 (Construction Logistics and Associated Solutions)</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However, it may also apply to other Lots, Buyers will determine if it would apply to their Call-Off contract.</w:t>
      </w:r>
      <w:r w:rsidDel="00000000" w:rsidR="00000000" w:rsidRPr="00000000">
        <w:rPr>
          <w:rtl w:val="0"/>
        </w:rPr>
      </w:r>
    </w:p>
    <w:p w:rsidR="00000000" w:rsidDel="00000000" w:rsidP="00000000" w:rsidRDefault="00000000" w:rsidRPr="00000000" w14:paraId="00000180">
      <w:pPr>
        <w:tabs>
          <w:tab w:val="left" w:leader="none" w:pos="709"/>
          <w:tab w:val="left" w:leader="none" w:pos="284"/>
          <w:tab w:val="left" w:leader="none" w:pos="284"/>
          <w:tab w:val="left" w:leader="none" w:pos="420"/>
          <w:tab w:val="left" w:leader="none" w:pos="0"/>
          <w:tab w:val="left" w:leader="none" w:pos="420"/>
          <w:tab w:val="left" w:leader="none" w:pos="1126"/>
        </w:tabs>
        <w:spacing w:after="0" w:before="0" w:line="240" w:lineRule="auto"/>
        <w:ind w:left="2267.716535433071" w:firstLine="0"/>
        <w:rPr>
          <w:rFonts w:ascii="Arial" w:cs="Arial" w:eastAsia="Arial" w:hAnsi="Arial"/>
          <w:color w:val="1155cc"/>
          <w:sz w:val="24"/>
          <w:szCs w:val="24"/>
          <w:u w:val="single"/>
        </w:rPr>
      </w:pPr>
      <w:hyperlink r:id="rId17">
        <w:r w:rsidDel="00000000" w:rsidR="00000000" w:rsidRPr="00000000">
          <w:rPr>
            <w:rFonts w:ascii="Arial" w:cs="Arial" w:eastAsia="Arial" w:hAnsi="Arial"/>
            <w:color w:val="1155cc"/>
            <w:sz w:val="24"/>
            <w:szCs w:val="24"/>
            <w:u w:val="single"/>
            <w:rtl w:val="0"/>
          </w:rPr>
          <w:t xml:space="preserve">https://www.gov.uk/government/publications/the-consultancy-playbook</w:t>
        </w:r>
      </w:hyperlink>
      <w:r w:rsidDel="00000000" w:rsidR="00000000" w:rsidRPr="00000000">
        <w:rPr>
          <w:rtl w:val="0"/>
        </w:rPr>
      </w:r>
    </w:p>
    <w:p w:rsidR="00000000" w:rsidDel="00000000" w:rsidP="00000000" w:rsidRDefault="00000000" w:rsidRPr="00000000" w14:paraId="00000181">
      <w:pPr>
        <w:tabs>
          <w:tab w:val="left" w:leader="none" w:pos="709"/>
          <w:tab w:val="left" w:leader="none" w:pos="284"/>
          <w:tab w:val="left" w:leader="none" w:pos="284"/>
          <w:tab w:val="left" w:leader="none" w:pos="420"/>
          <w:tab w:val="left" w:leader="none" w:pos="0"/>
          <w:tab w:val="left" w:leader="none" w:pos="420"/>
          <w:tab w:val="left" w:leader="none" w:pos="1126"/>
        </w:tabs>
        <w:spacing w:after="0" w:before="0" w:line="240" w:lineRule="auto"/>
        <w:ind w:left="2552" w:hanging="1134"/>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w:t>
      </w:r>
      <w:hyperlink r:id="rId18">
        <w:r w:rsidDel="00000000" w:rsidR="00000000" w:rsidRPr="00000000">
          <w:rPr>
            <w:rFonts w:ascii="Arial" w:cs="Arial" w:eastAsia="Arial" w:hAnsi="Arial"/>
            <w:sz w:val="24"/>
            <w:szCs w:val="24"/>
            <w:rtl w:val="0"/>
          </w:rPr>
          <w:t xml:space="preserve">Construction Playbook</w:t>
        </w:r>
      </w:hyperlink>
      <w:r w:rsidDel="00000000" w:rsidR="00000000" w:rsidRPr="00000000">
        <w:rPr>
          <w:rFonts w:ascii="Arial" w:cs="Arial" w:eastAsia="Arial" w:hAnsi="Arial"/>
          <w:sz w:val="24"/>
          <w:szCs w:val="24"/>
          <w:rtl w:val="0"/>
        </w:rPr>
        <w:t xml:space="preserve"> will not apply to the Framework Contract, however, Buyers will determine if it would apply to their Call-Off contract.</w:t>
      </w: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1" w:firstLine="0"/>
        <w:rPr>
          <w:rFonts w:ascii="Arial" w:cs="Arial" w:eastAsia="Arial" w:hAnsi="Arial"/>
          <w:color w:val="000000"/>
          <w:sz w:val="24"/>
          <w:szCs w:val="24"/>
        </w:rPr>
      </w:pPr>
      <w:hyperlink r:id="rId19">
        <w:r w:rsidDel="00000000" w:rsidR="00000000" w:rsidRPr="00000000">
          <w:rPr>
            <w:rFonts w:ascii="Arial" w:cs="Arial" w:eastAsia="Arial" w:hAnsi="Arial"/>
            <w:color w:val="1155cc"/>
            <w:sz w:val="24"/>
            <w:szCs w:val="24"/>
            <w:u w:val="single"/>
            <w:rtl w:val="0"/>
          </w:rPr>
          <w:t xml:space="preserve">https://www.gov.uk/government/publications/the-construction-playbook</w:t>
        </w:r>
      </w:hyperlink>
      <w:r w:rsidDel="00000000" w:rsidR="00000000" w:rsidRPr="00000000">
        <w:rPr>
          <w:rtl w:val="0"/>
        </w:rPr>
      </w:r>
    </w:p>
    <w:p w:rsidR="00000000" w:rsidDel="00000000" w:rsidP="00000000" w:rsidRDefault="00000000" w:rsidRPr="00000000" w14:paraId="00000184">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Modern Slavery</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Under section 54 of the Modern Slavery Act 2015, organisations that meet certain criteria are legally required to publish an annual modern slavery statement in a prominent place on their website. They are also encouraged to make statements from previous years available online.</w:t>
      </w: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1" w:firstLine="0"/>
        <w:rPr>
          <w:rFonts w:ascii="Arial" w:cs="Arial" w:eastAsia="Arial" w:hAnsi="Arial"/>
          <w:color w:val="000000"/>
          <w:sz w:val="24"/>
          <w:szCs w:val="24"/>
        </w:rPr>
      </w:pPr>
      <w:hyperlink r:id="rId20">
        <w:r w:rsidDel="00000000" w:rsidR="00000000" w:rsidRPr="00000000">
          <w:rPr>
            <w:rFonts w:ascii="Arial" w:cs="Arial" w:eastAsia="Arial" w:hAnsi="Arial"/>
            <w:color w:val="0563c1"/>
            <w:sz w:val="24"/>
            <w:szCs w:val="24"/>
            <w:u w:val="single"/>
            <w:rtl w:val="0"/>
          </w:rPr>
          <w:t xml:space="preserve">https://modern-slavery-statement-registry.service.gov.uk/</w:t>
        </w:r>
      </w:hyperlink>
      <w:r w:rsidDel="00000000" w:rsidR="00000000" w:rsidRPr="00000000">
        <w:rPr>
          <w:rtl w:val="0"/>
        </w:rPr>
      </w:r>
    </w:p>
    <w:p w:rsidR="00000000" w:rsidDel="00000000" w:rsidP="00000000" w:rsidRDefault="00000000" w:rsidRPr="00000000" w14:paraId="00000188">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984.251968503937" w:hanging="51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In addition, organisations are strongly encouraged to publish their statements on the Modern slavery statement registry, as this will be mandatory in the future.  Currently, the legislation applies to commercial organisations that:</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Are a body, corporate or a partnership (described as an ‘organisation’ in this service), wherever incorporated;</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Carry on a business, or part of a business, in the UK;</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Supply goods or services;</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Have an annual turnover of £36 million or more.</w:t>
      </w: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216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logistics and warehousing industry is defined as a High Risk industry and as such, the Authority requires all Suppliers to undertake a Modern Slavery Assessment using a toolkit provided by the Authority.  Such assessments will become due within six months of the Framework Award then annually thereafter on the anniversary date of the Framework Award.</w:t>
      </w:r>
      <w:r w:rsidDel="00000000" w:rsidR="00000000" w:rsidRPr="00000000">
        <w:rPr>
          <w:rtl w:val="0"/>
        </w:rPr>
      </w:r>
    </w:p>
    <w:p w:rsidR="00000000" w:rsidDel="00000000" w:rsidP="00000000" w:rsidRDefault="00000000" w:rsidRPr="00000000" w14:paraId="00000190">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b w:val="1"/>
          <w:sz w:val="24"/>
          <w:szCs w:val="24"/>
          <w:rtl w:val="0"/>
        </w:rPr>
        <w:t xml:space="preserve">Carbon Reduction Plans (PPN 06/21)</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This PPN applies to framework agreements where it is anticipated that the individual value of any contract to be awarded under the Framework Contract   is greater than £5 million per annum (excluding VAT). On the basis that all Lots of this framework have the potential to result in Call-Off Contracts in excess of £5m per annum (excluding VAT), all Suppliers are required to submit a Carbon Reduction Plan at framework selection question stage.</w:t>
      </w: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560"/>
          <w:tab w:val="left" w:leader="none" w:pos="1701"/>
        </w:tabs>
        <w:spacing w:after="0" w:before="0" w:line="240" w:lineRule="auto"/>
        <w:ind w:left="2267.71653543307" w:firstLine="0"/>
        <w:rPr>
          <w:rFonts w:ascii="Arial" w:cs="Arial" w:eastAsia="Arial" w:hAnsi="Arial"/>
          <w:color w:val="0563c1"/>
          <w:sz w:val="24"/>
          <w:szCs w:val="24"/>
          <w:u w:val="single"/>
        </w:rPr>
      </w:pPr>
      <w:hyperlink r:id="rId21">
        <w:r w:rsidDel="00000000" w:rsidR="00000000" w:rsidRPr="00000000">
          <w:rPr>
            <w:rFonts w:ascii="Arial" w:cs="Arial" w:eastAsia="Arial" w:hAnsi="Arial"/>
            <w:color w:val="0563c1"/>
            <w:sz w:val="24"/>
            <w:szCs w:val="24"/>
            <w:u w:val="single"/>
            <w:rtl w:val="0"/>
          </w:rPr>
          <w:t xml:space="preserve">https://assets.publishing.service.gov.uk/media/62066d5ae90e077f7dec749e/PPN-0621-Taking-account-of-Carbon-Reduction-Plans-Jan22__1_.pdf</w:t>
        </w:r>
      </w:hyperlink>
      <w:r w:rsidDel="00000000" w:rsidR="00000000" w:rsidRPr="00000000">
        <w:rPr>
          <w:rtl w:val="0"/>
        </w:rPr>
      </w:r>
    </w:p>
    <w:p w:rsidR="00000000" w:rsidDel="00000000" w:rsidP="00000000" w:rsidRDefault="00000000" w:rsidRPr="00000000" w14:paraId="00000194">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5">
      <w:pPr>
        <w:pStyle w:val="Heading1"/>
        <w:numPr>
          <w:ilvl w:val="0"/>
          <w:numId w:val="1"/>
        </w:numPr>
        <w:tabs>
          <w:tab w:val="left" w:leader="none" w:pos="709"/>
          <w:tab w:val="left" w:leader="none" w:pos="284"/>
          <w:tab w:val="left" w:leader="none" w:pos="709"/>
          <w:tab w:val="left" w:leader="none" w:pos="284"/>
          <w:tab w:val="left" w:leader="none" w:pos="284"/>
          <w:tab w:val="left" w:leader="none" w:pos="420"/>
          <w:tab w:val="left" w:leader="none" w:pos="-285"/>
        </w:tabs>
        <w:spacing w:after="0" w:line="240" w:lineRule="auto"/>
        <w:ind w:left="360" w:hanging="283.46456692913375"/>
        <w:rPr/>
      </w:pPr>
      <w:bookmarkStart w:colFirst="0" w:colLast="0" w:name="_heading=h.lnxbz9" w:id="13"/>
      <w:bookmarkEnd w:id="13"/>
      <w:r w:rsidDel="00000000" w:rsidR="00000000" w:rsidRPr="00000000">
        <w:rPr>
          <w:b w:val="1"/>
          <w:sz w:val="24"/>
          <w:szCs w:val="24"/>
          <w:rtl w:val="0"/>
        </w:rPr>
        <w:t xml:space="preserve">Our Social Value Priorities</w:t>
      </w: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The provisions of Procurement Policy Note (PPN) 6/20 - ‘Taking Account of Social Value in the Award of Central Government Contracts’ shall apply to ‘In Scope Organisations’, namely Central Government Departments, their Executive Agencies and Non-Departmental Public Bodies.</w:t>
      </w:r>
      <w:r w:rsidDel="00000000" w:rsidR="00000000" w:rsidRPr="00000000">
        <w:rPr>
          <w:rtl w:val="0"/>
        </w:rPr>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2.1259842519685" w:right="0" w:hanging="707.1259842519685"/>
        <w:jc w:val="both"/>
        <w:rPr/>
      </w:pPr>
      <w:r w:rsidDel="00000000" w:rsidR="00000000" w:rsidRPr="00000000">
        <w:rPr>
          <w:rFonts w:ascii="Arial" w:cs="Arial" w:eastAsia="Arial" w:hAnsi="Arial"/>
          <w:sz w:val="24"/>
          <w:szCs w:val="24"/>
          <w:rtl w:val="0"/>
        </w:rPr>
        <w:t xml:space="preserve">In-Scope Organisations should take action to apply this PPN when procuring goods and/or services and/or works with an anticipated contract value above the prevailing Public Contracts Regulations 2015 thresholds.</w:t>
      </w:r>
      <w:r w:rsidDel="00000000" w:rsidR="00000000" w:rsidRPr="00000000">
        <w:rPr>
          <w:rtl w:val="0"/>
        </w:rPr>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2267.716535433071" w:right="0" w:firstLine="0"/>
        <w:jc w:val="both"/>
        <w:rPr>
          <w:rFonts w:ascii="Arial" w:cs="Arial" w:eastAsia="Arial" w:hAnsi="Arial"/>
          <w:sz w:val="24"/>
          <w:szCs w:val="24"/>
        </w:rPr>
      </w:pPr>
      <w:hyperlink r:id="rId22">
        <w:r w:rsidDel="00000000" w:rsidR="00000000" w:rsidRPr="00000000">
          <w:rPr>
            <w:rFonts w:ascii="Arial" w:cs="Arial" w:eastAsia="Arial" w:hAnsi="Arial"/>
            <w:color w:val="1155cc"/>
            <w:sz w:val="24"/>
            <w:szCs w:val="24"/>
            <w:u w:val="single"/>
            <w:rtl w:val="0"/>
          </w:rPr>
          <w:t xml:space="preserve">https://www.gov.uk/government/publications/procurement-policy-note-0620-taking-account-of-social-value-in-the-award-of-central-government-contracts</w:t>
        </w:r>
      </w:hyperlink>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2267.716535433071"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sz w:val="24"/>
          <w:szCs w:val="24"/>
          <w:rtl w:val="0"/>
        </w:rPr>
        <w:t xml:space="preserve">This agreement is enabled for Buyers to apply any or all of the Social Value themes set out in PPN 6/20. These are:</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COVID-19 recovery</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tackling economic inequality</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fighting climate change</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equal opportunity</w:t>
      </w:r>
      <w:r w:rsidDel="00000000" w:rsidR="00000000" w:rsidRPr="00000000">
        <w:rPr>
          <w:rtl w:val="0"/>
        </w:rPr>
      </w:r>
    </w:p>
    <w:p w:rsidR="00000000" w:rsidDel="00000000" w:rsidP="00000000" w:rsidRDefault="00000000" w:rsidRPr="00000000" w14:paraId="000001A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wellbeing </w:t>
      </w: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108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sz w:val="24"/>
          <w:szCs w:val="24"/>
          <w:rtl w:val="0"/>
        </w:rPr>
        <w:t xml:space="preserve">For this Framework Contract the Authority has selected two (2) priority themes as set out in paragraphs 7.5 and 7.6 below.</w:t>
      </w: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792"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Social Value Priority 1 - Theme 2: Tackling Economic Inequality</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sub criteria under Theme 2 are:</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Create new businesses, new jobs and new skills;</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Promote social mobility;</w:t>
      </w: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Increase supply chain resilience and capacity</w:t>
      </w:r>
      <w:r w:rsidDel="00000000" w:rsidR="00000000" w:rsidRPr="00000000">
        <w:rPr>
          <w:rtl w:val="0"/>
        </w:rPr>
      </w:r>
    </w:p>
    <w:p w:rsidR="00000000" w:rsidDel="00000000" w:rsidP="00000000" w:rsidRDefault="00000000" w:rsidRPr="00000000" w14:paraId="000001A9">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Theme 2 has been selected as a priority as it has relevance to the logistics and warehousing industry in terms of the outcomes that can be achieved through the supply market focus. As such, Suppliers are required to provide an annual report on their progress in delivering increasing benefit to society in one or more of the sub criteria. This progress will also form part of the supplier relationship management model. </w:t>
      </w:r>
      <w:r w:rsidDel="00000000" w:rsidR="00000000" w:rsidRPr="00000000">
        <w:rPr>
          <w:rtl w:val="0"/>
        </w:rPr>
      </w:r>
    </w:p>
    <w:p w:rsidR="00000000" w:rsidDel="00000000" w:rsidP="00000000" w:rsidRDefault="00000000" w:rsidRPr="00000000" w14:paraId="000001AB">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696"/>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AC">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Social Value Priority 2 - Theme 3: Fighting Climate Change</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sub criteria under Theme 3 are:</w:t>
      </w: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Deliver additional environmental benefits including working towards net zero greenhouse gas emissions;</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Collaborative way of working with the supply chain to deliver additional environmental benefits;</w:t>
      </w: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Training and education to influence behaviour to reduce </w:t>
      </w: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waste and use resources more efficiently;</w:t>
      </w:r>
    </w:p>
    <w:p w:rsidR="00000000" w:rsidDel="00000000" w:rsidP="00000000" w:rsidRDefault="00000000" w:rsidRPr="00000000" w14:paraId="000001B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420"/>
          <w:tab w:val="left" w:leader="none" w:pos="0"/>
          <w:tab w:val="left" w:leader="none" w:pos="1701"/>
        </w:tabs>
        <w:spacing w:after="0" w:before="0" w:line="240" w:lineRule="auto"/>
        <w:ind w:left="2265" w:right="0" w:hanging="280.7480314960631"/>
        <w:jc w:val="both"/>
        <w:rPr>
          <w:rFonts w:ascii="Arial" w:cs="Arial" w:eastAsia="Arial" w:hAnsi="Arial"/>
        </w:rPr>
      </w:pPr>
      <w:r w:rsidDel="00000000" w:rsidR="00000000" w:rsidRPr="00000000">
        <w:rPr>
          <w:rFonts w:ascii="Arial" w:cs="Arial" w:eastAsia="Arial" w:hAnsi="Arial"/>
          <w:sz w:val="24"/>
          <w:szCs w:val="24"/>
          <w:rtl w:val="0"/>
        </w:rPr>
        <w:t xml:space="preserve">Collaborating with the community in support of environmental objectives</w:t>
      </w:r>
      <w:r w:rsidDel="00000000" w:rsidR="00000000" w:rsidRPr="00000000">
        <w:rPr>
          <w:rtl w:val="0"/>
        </w:rPr>
      </w:r>
    </w:p>
    <w:p w:rsidR="00000000" w:rsidDel="00000000" w:rsidP="00000000" w:rsidRDefault="00000000" w:rsidRPr="00000000" w14:paraId="000001B3">
      <w:pPr>
        <w:widowControl w:val="0"/>
        <w:tabs>
          <w:tab w:val="left" w:leader="none" w:pos="709"/>
          <w:tab w:val="left" w:leader="none" w:pos="284"/>
          <w:tab w:val="left" w:leader="none" w:pos="284"/>
          <w:tab w:val="left" w:leader="none" w:pos="420"/>
          <w:tab w:val="left" w:leader="none" w:pos="0"/>
        </w:tabs>
        <w:spacing w:after="0" w:before="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0" w:right="0" w:hanging="990"/>
        <w:jc w:val="both"/>
        <w:rPr/>
      </w:pPr>
      <w:r w:rsidDel="00000000" w:rsidR="00000000" w:rsidRPr="00000000">
        <w:rPr>
          <w:rFonts w:ascii="Arial" w:cs="Arial" w:eastAsia="Arial" w:hAnsi="Arial"/>
          <w:sz w:val="24"/>
          <w:szCs w:val="24"/>
          <w:rtl w:val="0"/>
        </w:rPr>
        <w:t xml:space="preserve">Theme 3 has been selected as a priority as it has relevance to the logistics and warehousing industry in terms of the outcomes that can be achieved through the supply market focus. As such Suppliers are required to provide an annual report on their progress in delivering increasing benefit to society in one or more of the sub criteria. This progress will also form part of the supplier relationship management model. </w:t>
      </w:r>
      <w:r w:rsidDel="00000000" w:rsidR="00000000" w:rsidRPr="00000000">
        <w:rPr>
          <w:rtl w:val="0"/>
        </w:rPr>
      </w:r>
    </w:p>
    <w:p w:rsidR="00000000" w:rsidDel="00000000" w:rsidP="00000000" w:rsidRDefault="00000000" w:rsidRPr="00000000" w14:paraId="000001B5">
      <w:pPr>
        <w:tabs>
          <w:tab w:val="left" w:leader="none" w:pos="709"/>
          <w:tab w:val="left" w:leader="none" w:pos="284"/>
          <w:tab w:val="left" w:leader="none" w:pos="284"/>
          <w:tab w:val="left" w:leader="none" w:pos="420"/>
          <w:tab w:val="left" w:leader="none" w:pos="0"/>
          <w:tab w:val="left" w:leader="none" w:pos="420"/>
          <w:tab w:val="left" w:leader="none" w:pos="0"/>
        </w:tabs>
        <w:spacing w:after="0" w:before="0" w:line="240" w:lineRule="auto"/>
        <w:ind w:left="720" w:firstLine="696"/>
        <w:rPr>
          <w:rFonts w:ascii="Arial" w:cs="Arial" w:eastAsia="Arial" w:hAnsi="Arial"/>
          <w:color w:val="ff0000"/>
          <w:sz w:val="24"/>
          <w:szCs w:val="24"/>
        </w:rPr>
      </w:pP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ffffff" w:val="clear"/>
        <w:tabs>
          <w:tab w:val="left" w:leader="none" w:pos="709"/>
          <w:tab w:val="left" w:leader="none" w:pos="284"/>
          <w:tab w:val="left" w:leader="none" w:pos="284"/>
          <w:tab w:val="left" w:leader="none" w:pos="420"/>
          <w:tab w:val="left" w:leader="none" w:pos="0"/>
          <w:tab w:val="left" w:leader="none" w:pos="709"/>
          <w:tab w:val="left" w:leader="none" w:pos="285"/>
          <w:tab w:val="left" w:leader="none" w:pos="285"/>
          <w:tab w:val="left" w:leader="none" w:pos="420"/>
        </w:tabs>
        <w:spacing w:after="0" w:before="0" w:line="240" w:lineRule="auto"/>
        <w:ind w:left="990" w:right="0" w:hanging="705"/>
        <w:jc w:val="both"/>
        <w:rPr/>
      </w:pPr>
      <w:r w:rsidDel="00000000" w:rsidR="00000000" w:rsidRPr="00000000">
        <w:rPr>
          <w:rFonts w:ascii="Arial" w:cs="Arial" w:eastAsia="Arial" w:hAnsi="Arial"/>
          <w:b w:val="1"/>
          <w:sz w:val="24"/>
          <w:szCs w:val="24"/>
          <w:rtl w:val="0"/>
        </w:rPr>
        <w:t xml:space="preserve">Social Value Reporting</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act with these priorities in mind, and the Authority will discuss these priorities as part of Supplier Review Meetings as detailed in Framework Schedule 4 (Framework Management).</w:t>
      </w:r>
      <w:r w:rsidDel="00000000" w:rsidR="00000000" w:rsidRPr="00000000">
        <w:rPr>
          <w:rtl w:val="0"/>
        </w:rPr>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 The Buyers’ Social Value requirements will be set out during the Call-Off procedure. The Supplier shall comply with and/or identify proposed Social Value initiatives, proportionate and relevant to each Call-Off Contract. </w:t>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deliver measurable benefits and impacts in respect of the Social Value priorities, as identified during Call-Off Procedure.</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0"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record and report performance against the Social Value requirements, when detailed during Call-Off Procedure.</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224" w:right="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 w:val="left" w:leader="none" w:pos="284"/>
          <w:tab w:val="left" w:leader="none" w:pos="284"/>
          <w:tab w:val="left" w:leader="none" w:pos="420"/>
          <w:tab w:val="left" w:leader="none" w:pos="0"/>
          <w:tab w:val="left" w:leader="none" w:pos="990"/>
          <w:tab w:val="left" w:leader="none" w:pos="0"/>
          <w:tab w:val="left" w:leader="none" w:pos="1701"/>
        </w:tabs>
        <w:spacing w:after="0" w:before="0" w:line="240" w:lineRule="auto"/>
        <w:ind w:left="1984.251968503937" w:right="0" w:hanging="992.1259842519685"/>
        <w:jc w:val="both"/>
        <w:rPr/>
      </w:pPr>
      <w:r w:rsidDel="00000000" w:rsidR="00000000" w:rsidRPr="00000000">
        <w:rPr>
          <w:rFonts w:ascii="Arial" w:cs="Arial" w:eastAsia="Arial" w:hAnsi="Arial"/>
          <w:sz w:val="24"/>
          <w:szCs w:val="24"/>
          <w:rtl w:val="0"/>
        </w:rPr>
        <w:t xml:space="preserve">The Supplier shall ensure all appointed sub-contracted and supply chain Staff comply with the agreed Social Value policies, initiatives and procedures. </w:t>
      </w:r>
      <w:r w:rsidDel="00000000" w:rsidR="00000000" w:rsidRPr="00000000">
        <w:rPr>
          <w:rtl w:val="0"/>
        </w:rPr>
      </w:r>
    </w:p>
    <w:p w:rsidR="00000000" w:rsidDel="00000000" w:rsidP="00000000" w:rsidRDefault="00000000" w:rsidRPr="00000000" w14:paraId="000001C0">
      <w:pPr>
        <w:tabs>
          <w:tab w:val="left" w:leader="none" w:pos="709"/>
          <w:tab w:val="left" w:leader="none" w:pos="284"/>
          <w:tab w:val="left" w:leader="none" w:pos="284"/>
          <w:tab w:val="left" w:leader="none" w:pos="420"/>
          <w:tab w:val="left" w:leader="none" w:pos="0"/>
        </w:tabs>
        <w:ind w:firstLine="360"/>
        <w:rPr/>
      </w:pPr>
      <w:r w:rsidDel="00000000" w:rsidR="00000000" w:rsidRPr="00000000">
        <w:rPr>
          <w:rtl w:val="0"/>
        </w:rPr>
      </w:r>
    </w:p>
    <w:sectPr>
      <w:headerReference r:id="rId23" w:type="default"/>
      <w:footerReference r:id="rId24"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4">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jc w:val="right"/>
      <w:rPr>
        <w:rFonts w:ascii="Arial" w:cs="Arial" w:eastAsia="Arial" w:hAnsi="Arial"/>
        <w:color w:val="000000"/>
      </w:rPr>
    </w:pPr>
    <w:r w:rsidDel="00000000" w:rsidR="00000000" w:rsidRPr="00000000">
      <w:rPr>
        <w:rFonts w:ascii="Arial" w:cs="Arial" w:eastAsia="Arial" w:hAnsi="Arial"/>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rPr>
        <w:rFonts w:ascii="Arial" w:cs="Arial" w:eastAsia="Arial" w:hAnsi="Arial"/>
        <w:color w:val="000000"/>
      </w:rPr>
    </w:pPr>
    <w:r w:rsidDel="00000000" w:rsidR="00000000" w:rsidRPr="00000000">
      <w:rPr>
        <w:rFonts w:ascii="Arial" w:cs="Arial" w:eastAsia="Arial" w:hAnsi="Arial"/>
        <w:color w:val="000000"/>
        <w:rtl w:val="0"/>
      </w:rPr>
      <w:t xml:space="preserve">Framework Ref: RM6329</w:t>
      <w:tab/>
      <w:t xml:space="preserve">                                           </w:t>
    </w:r>
  </w:p>
  <w:p w:rsidR="00000000" w:rsidDel="00000000" w:rsidP="00000000" w:rsidRDefault="00000000" w:rsidRPr="00000000" w14:paraId="000001C6">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rPr>
        <w:rFonts w:ascii="Arial" w:cs="Arial" w:eastAsia="Arial" w:hAnsi="Arial"/>
        <w:color w:val="000000"/>
      </w:rPr>
    </w:pPr>
    <w:r w:rsidDel="00000000" w:rsidR="00000000" w:rsidRPr="00000000">
      <w:rPr>
        <w:rFonts w:ascii="Arial" w:cs="Arial" w:eastAsia="Arial" w:hAnsi="Arial"/>
        <w:color w:val="000000"/>
        <w:rtl w:val="0"/>
      </w:rPr>
      <w:t xml:space="preserve">Project Version: v1.0</w:t>
      <w:tab/>
      <w:tab/>
    </w:r>
  </w:p>
  <w:p w:rsidR="00000000" w:rsidDel="00000000" w:rsidP="00000000" w:rsidRDefault="00000000" w:rsidRPr="00000000" w14:paraId="000001C7">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rPr>
        <w:color w:val="000000"/>
      </w:rPr>
    </w:pPr>
    <w:r w:rsidDel="00000000" w:rsidR="00000000" w:rsidRPr="00000000">
      <w:rPr>
        <w:rFonts w:ascii="Arial" w:cs="Arial" w:eastAsia="Arial" w:hAnsi="Arial"/>
        <w:color w:val="000000"/>
        <w:rtl w:val="0"/>
      </w:rPr>
      <w:t xml:space="preserve">Model Version: v3.2</w:t>
    </w: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1">
    <w:pPr>
      <w:tabs>
        <w:tab w:val="left" w:leader="none" w:pos="709"/>
        <w:tab w:val="left" w:leader="none" w:pos="284"/>
        <w:tab w:val="left" w:leader="none" w:pos="284"/>
        <w:tab w:val="left" w:leader="none" w:pos="420"/>
        <w:tab w:val="left" w:leader="none" w:pos="0"/>
      </w:tabs>
      <w:spacing w:after="0" w:line="240" w:lineRule="auto"/>
      <w:ind w:left="0" w:firstLine="0"/>
      <w:rPr>
        <w:rFonts w:ascii="Arial" w:cs="Arial" w:eastAsia="Arial" w:hAnsi="Arial"/>
      </w:rPr>
    </w:pPr>
    <w:r w:rsidDel="00000000" w:rsidR="00000000" w:rsidRPr="00000000">
      <w:rPr>
        <w:rFonts w:ascii="Arial" w:cs="Arial" w:eastAsia="Arial" w:hAnsi="Arial"/>
        <w:rtl w:val="0"/>
      </w:rPr>
      <w:t xml:space="preserve">Framework Schedule 1 Specification (Core Requirements) </w:t>
    </w:r>
  </w:p>
  <w:p w:rsidR="00000000" w:rsidDel="00000000" w:rsidP="00000000" w:rsidRDefault="00000000" w:rsidRPr="00000000" w14:paraId="000001C2">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rPr>
        <w:rFonts w:ascii="Arial" w:cs="Arial" w:eastAsia="Arial" w:hAnsi="Arial"/>
        <w:color w:val="000000"/>
      </w:rPr>
    </w:pPr>
    <w:r w:rsidDel="00000000" w:rsidR="00000000" w:rsidRPr="00000000">
      <w:rPr>
        <w:rFonts w:ascii="Arial" w:cs="Arial" w:eastAsia="Arial" w:hAnsi="Arial"/>
        <w:color w:val="000000"/>
        <w:rtl w:val="0"/>
      </w:rPr>
      <w:t xml:space="preserve">Crown Copyright 2023</w:t>
    </w:r>
  </w:p>
  <w:p w:rsidR="00000000" w:rsidDel="00000000" w:rsidP="00000000" w:rsidRDefault="00000000" w:rsidRPr="00000000" w14:paraId="000001C3">
    <w:pPr>
      <w:pBdr>
        <w:top w:space="0" w:sz="0" w:val="nil"/>
        <w:left w:space="0" w:sz="0" w:val="nil"/>
        <w:bottom w:space="0" w:sz="0" w:val="nil"/>
        <w:right w:space="0" w:sz="0" w:val="nil"/>
        <w:between w:space="0" w:sz="0" w:val="nil"/>
      </w:pBdr>
      <w:tabs>
        <w:tab w:val="left" w:leader="none" w:pos="709"/>
        <w:tab w:val="left" w:leader="none" w:pos="284"/>
        <w:tab w:val="left" w:leader="none" w:pos="284"/>
        <w:tab w:val="left" w:leader="none" w:pos="420"/>
        <w:tab w:val="left" w:leader="none" w:pos="0"/>
        <w:tab w:val="center" w:leader="none" w:pos="4513"/>
        <w:tab w:val="right" w:leader="none" w:pos="9026"/>
      </w:tabs>
      <w:spacing w:after="0" w:line="240" w:lineRule="auto"/>
      <w:ind w:firstLine="360"/>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360" w:hanging="643.4645669291338"/>
      </w:pPr>
      <w:rPr>
        <w:rFonts w:ascii="Arial" w:cs="Arial" w:eastAsia="Arial" w:hAnsi="Arial"/>
        <w:b w:val="1"/>
        <w:smallCaps w:val="0"/>
        <w:strike w:val="0"/>
        <w:color w:val="000000"/>
        <w:sz w:val="24"/>
        <w:szCs w:val="24"/>
        <w:u w:val="none"/>
        <w:vertAlign w:val="baseline"/>
      </w:rPr>
    </w:lvl>
    <w:lvl w:ilvl="1">
      <w:start w:val="1"/>
      <w:numFmt w:val="decimal"/>
      <w:lvlText w:val="%1.%2."/>
      <w:lvlJc w:val="right"/>
      <w:pPr>
        <w:ind w:left="792" w:hanging="507"/>
      </w:pPr>
      <w:rPr>
        <w:rFonts w:ascii="Arial" w:cs="Arial" w:eastAsia="Arial" w:hAnsi="Arial"/>
        <w:b w:val="1"/>
        <w:i w:val="0"/>
        <w:smallCaps w:val="0"/>
        <w:strike w:val="0"/>
        <w:color w:val="000000"/>
        <w:sz w:val="24"/>
        <w:szCs w:val="24"/>
        <w:u w:val="none"/>
        <w:vertAlign w:val="baseline"/>
      </w:rPr>
    </w:lvl>
    <w:lvl w:ilvl="2">
      <w:start w:val="1"/>
      <w:numFmt w:val="decimal"/>
      <w:lvlText w:val="%1.%2.%3."/>
      <w:lvlJc w:val="right"/>
      <w:pPr>
        <w:ind w:left="1224" w:hanging="231.8740157480314"/>
      </w:pPr>
      <w:rPr>
        <w:rFonts w:ascii="Arial" w:cs="Arial" w:eastAsia="Arial" w:hAnsi="Arial"/>
        <w:b w:val="0"/>
        <w:i w:val="0"/>
        <w:smallCaps w:val="0"/>
        <w:strike w:val="0"/>
        <w:color w:val="000000"/>
        <w:sz w:val="24"/>
        <w:szCs w:val="24"/>
        <w:u w:val="none"/>
        <w:vertAlign w:val="baseline"/>
      </w:rPr>
    </w:lvl>
    <w:lvl w:ilvl="3">
      <w:start w:val="1"/>
      <w:numFmt w:val="decimal"/>
      <w:lvlText w:val="%1.%2.%3.%4."/>
      <w:lvlJc w:val="right"/>
      <w:pPr>
        <w:ind w:left="2265" w:hanging="280.74803149606305"/>
      </w:pPr>
      <w:rPr>
        <w:b w:val="0"/>
        <w:i w:val="0"/>
        <w:smallCaps w:val="0"/>
        <w:strike w:val="0"/>
        <w:color w:val="000000"/>
        <w:sz w:val="24"/>
        <w:szCs w:val="24"/>
        <w:u w:val="none"/>
        <w:vertAlign w:val="baseline"/>
      </w:rPr>
    </w:lvl>
    <w:lvl w:ilvl="4">
      <w:start w:val="1"/>
      <w:numFmt w:val="decimal"/>
      <w:lvlText w:val="%1.%2.%3.%4.%5."/>
      <w:lvlJc w:val="right"/>
      <w:pPr>
        <w:ind w:left="2232" w:firstLine="319.18110236220446"/>
      </w:pPr>
      <w:rPr>
        <w:b w:val="0"/>
        <w:i w:val="0"/>
        <w:smallCaps w:val="0"/>
        <w:strike w:val="0"/>
        <w:color w:val="000000"/>
        <w:u w:val="none"/>
        <w:vertAlign w:val="baseline"/>
      </w:rPr>
    </w:lvl>
    <w:lvl w:ilvl="5">
      <w:start w:val="1"/>
      <w:numFmt w:val="decimal"/>
      <w:lvlText w:val="%1.%2.%3.%4.%5.%6."/>
      <w:lvlJc w:val="right"/>
      <w:pPr>
        <w:ind w:left="2736" w:hanging="934.9999999999995"/>
      </w:pPr>
      <w:rPr>
        <w:b w:val="0"/>
        <w:i w:val="0"/>
        <w:smallCaps w:val="0"/>
        <w:strike w:val="0"/>
        <w:color w:val="000000"/>
        <w:u w:val="none"/>
        <w:vertAlign w:val="baseline"/>
      </w:rPr>
    </w:lvl>
    <w:lvl w:ilvl="6">
      <w:start w:val="1"/>
      <w:numFmt w:val="decimal"/>
      <w:lvlText w:val="%1.%2.%3.%4.%5.%6.%7."/>
      <w:lvlJc w:val="right"/>
      <w:pPr>
        <w:ind w:left="3240" w:hanging="1080"/>
      </w:pPr>
      <w:rPr/>
    </w:lvl>
    <w:lvl w:ilvl="7">
      <w:start w:val="1"/>
      <w:numFmt w:val="decimal"/>
      <w:lvlText w:val="%1.%2.%3.%4.%5.%6.%7.%8."/>
      <w:lvlJc w:val="right"/>
      <w:pPr>
        <w:ind w:left="3744" w:hanging="1224.0000000000005"/>
      </w:pPr>
      <w:rPr/>
    </w:lvl>
    <w:lvl w:ilvl="8">
      <w:start w:val="1"/>
      <w:numFmt w:val="decimal"/>
      <w:lvlText w:val="%1.%2.%3.%4.%5.%6.%7.%8.%9."/>
      <w:lvlJc w:val="right"/>
      <w:pPr>
        <w:ind w:left="4320" w:hanging="1440"/>
      </w:pPr>
      <w:rPr/>
    </w:lvl>
  </w:abstractNum>
  <w:abstractNum w:abstractNumId="2">
    <w:lvl w:ilvl="0">
      <w:start w:val="0"/>
      <w:numFmt w:val="bullet"/>
      <w:lvlText w:val="●"/>
      <w:lvlJc w:val="left"/>
      <w:pPr>
        <w:ind w:left="1080" w:hanging="360"/>
      </w:pPr>
      <w:rPr>
        <w:u w:val="none"/>
      </w:rPr>
    </w:lvl>
    <w:lvl w:ilvl="1">
      <w:start w:val="0"/>
      <w:numFmt w:val="bullet"/>
      <w:lvlText w:val="○"/>
      <w:lvlJc w:val="left"/>
      <w:pPr>
        <w:ind w:left="1800" w:hanging="360"/>
      </w:pPr>
      <w:rPr>
        <w:u w:val="none"/>
      </w:rPr>
    </w:lvl>
    <w:lvl w:ilvl="2">
      <w:start w:val="0"/>
      <w:numFmt w:val="bullet"/>
      <w:lvlText w:val="■"/>
      <w:lvlJc w:val="left"/>
      <w:pPr>
        <w:ind w:left="2520" w:hanging="360"/>
      </w:pPr>
      <w:rPr>
        <w:u w:val="none"/>
      </w:rPr>
    </w:lvl>
    <w:lvl w:ilvl="3">
      <w:start w:val="0"/>
      <w:numFmt w:val="bullet"/>
      <w:lvlText w:val="●"/>
      <w:lvlJc w:val="left"/>
      <w:pPr>
        <w:ind w:left="3240" w:hanging="360"/>
      </w:pPr>
      <w:rPr>
        <w:u w:val="none"/>
      </w:rPr>
    </w:lvl>
    <w:lvl w:ilvl="4">
      <w:start w:val="0"/>
      <w:numFmt w:val="bullet"/>
      <w:lvlText w:val="○"/>
      <w:lvlJc w:val="left"/>
      <w:pPr>
        <w:ind w:left="3960" w:hanging="360"/>
      </w:pPr>
      <w:rPr>
        <w:u w:val="none"/>
      </w:rPr>
    </w:lvl>
    <w:lvl w:ilvl="5">
      <w:start w:val="0"/>
      <w:numFmt w:val="bullet"/>
      <w:lvlText w:val="■"/>
      <w:lvlJc w:val="left"/>
      <w:pPr>
        <w:ind w:left="4680" w:hanging="360"/>
      </w:pPr>
      <w:rPr>
        <w:u w:val="none"/>
      </w:rPr>
    </w:lvl>
    <w:lvl w:ilvl="6">
      <w:start w:val="0"/>
      <w:numFmt w:val="bullet"/>
      <w:lvlText w:val="●"/>
      <w:lvlJc w:val="left"/>
      <w:pPr>
        <w:ind w:left="5400" w:hanging="360"/>
      </w:pPr>
      <w:rPr>
        <w:u w:val="none"/>
      </w:rPr>
    </w:lvl>
    <w:lvl w:ilvl="7">
      <w:start w:val="0"/>
      <w:numFmt w:val="bullet"/>
      <w:lvlText w:val="○"/>
      <w:lvlJc w:val="left"/>
      <w:pPr>
        <w:ind w:left="6120" w:hanging="360"/>
      </w:pPr>
      <w:rPr>
        <w:u w:val="none"/>
      </w:rPr>
    </w:lvl>
    <w:lvl w:ilvl="8">
      <w:start w:val="0"/>
      <w:numFmt w:val="bullet"/>
      <w:lvlText w:val="■"/>
      <w:lvlJc w:val="left"/>
      <w:pPr>
        <w:ind w:left="684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tabs>
          <w:tab w:val="left" w:leader="none" w:pos="709"/>
          <w:tab w:val="left" w:leader="none" w:pos="284"/>
          <w:tab w:val="left" w:leader="none" w:pos="284"/>
          <w:tab w:val="left" w:leader="none" w:pos="420"/>
          <w:tab w:val="left" w:leader="none" w:pos="0"/>
        </w:tabs>
        <w:spacing w:after="200" w:line="276" w:lineRule="auto"/>
        <w:ind w:left="36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709"/>
        <w:tab w:val="left" w:leader="none" w:pos="284"/>
      </w:tabs>
      <w:spacing w:after="0" w:lineRule="auto"/>
    </w:pPr>
    <w:rPr>
      <w:rFonts w:ascii="Arial" w:cs="Arial" w:eastAsia="Arial" w:hAnsi="Arial"/>
      <w:sz w:val="32"/>
      <w:szCs w:val="32"/>
    </w:rPr>
  </w:style>
  <w:style w:type="paragraph" w:styleId="Heading2">
    <w:name w:val="heading 2"/>
    <w:basedOn w:val="Normal"/>
    <w:next w:val="Normal"/>
    <w:pPr>
      <w:keepNext w:val="1"/>
      <w:keepLines w:val="1"/>
      <w:spacing w:after="0" w:before="40" w:lineRule="auto"/>
    </w:pPr>
    <w:rPr>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modern-slavery-statement-registry.service.gov.uk/" TargetMode="External"/><Relationship Id="rId11" Type="http://schemas.openxmlformats.org/officeDocument/2006/relationships/hyperlink" Target="https://www.gov.uk/government/collections/government-security" TargetMode="External"/><Relationship Id="rId22" Type="http://schemas.openxmlformats.org/officeDocument/2006/relationships/hyperlink" Target="https://www.gov.uk/government/publications/procurement-policy-note-0620-taking-account-of-social-value-in-the-award-of-central-government-contracts" TargetMode="External"/><Relationship Id="rId10" Type="http://schemas.openxmlformats.org/officeDocument/2006/relationships/hyperlink" Target="https://check-payment-practices.service.gov.uk/search" TargetMode="External"/><Relationship Id="rId21" Type="http://schemas.openxmlformats.org/officeDocument/2006/relationships/hyperlink" Target="https://assets.publishing.service.gov.uk/media/62066d5ae90e077f7dec749e/PPN-0621-Taking-account-of-Carbon-Reduction-Plans-Jan22__1_.pdf" TargetMode="External"/><Relationship Id="rId13" Type="http://schemas.openxmlformats.org/officeDocument/2006/relationships/hyperlink" Target="https://www.gov.uk/government/publications/ppn-0923-updates-to-the-cyber-essentials-scheme" TargetMode="External"/><Relationship Id="rId24" Type="http://schemas.openxmlformats.org/officeDocument/2006/relationships/footer" Target="footer1.xml"/><Relationship Id="rId12" Type="http://schemas.openxmlformats.org/officeDocument/2006/relationships/hyperlink" Target="https://www.gov.uk/government/publications/hmg-personnel-security-controls" TargetMode="Externa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procurement-policy-note-0821" TargetMode="External"/><Relationship Id="rId15" Type="http://schemas.openxmlformats.org/officeDocument/2006/relationships/hyperlink" Target="https://www.gov.uk/government/collections/sustainable-procurement-the-government-buying-standards-gbs" TargetMode="External"/><Relationship Id="rId14" Type="http://schemas.openxmlformats.org/officeDocument/2006/relationships/hyperlink" Target="https://www.gov.uk/government/publications/government-security-classifications" TargetMode="External"/><Relationship Id="rId17" Type="http://schemas.openxmlformats.org/officeDocument/2006/relationships/hyperlink" Target="https://www.gov.uk/government/publications/the-consultancy-playbook" TargetMode="External"/><Relationship Id="rId16" Type="http://schemas.openxmlformats.org/officeDocument/2006/relationships/hyperlink" Target="https://www.gov.uk/government/publications/the-sourcing-and-consultancy-playbooks" TargetMode="External"/><Relationship Id="rId5" Type="http://schemas.openxmlformats.org/officeDocument/2006/relationships/styles" Target="styles.xml"/><Relationship Id="rId19" Type="http://schemas.openxmlformats.org/officeDocument/2006/relationships/hyperlink" Target="https://www.gov.uk/government/publications/the-construction-playbook" TargetMode="External"/><Relationship Id="rId6" Type="http://schemas.openxmlformats.org/officeDocument/2006/relationships/customXml" Target="../customXML/item1.xml"/><Relationship Id="rId18" Type="http://schemas.openxmlformats.org/officeDocument/2006/relationships/hyperlink" Target="https://assets.publishing.service.gov.uk/government/uploads/system/uploads/attachment_data/file/941536/The_Construction_Playbook.pdf" TargetMode="External"/><Relationship Id="rId7" Type="http://schemas.openxmlformats.org/officeDocument/2006/relationships/hyperlink" Target="https://www.gov.uk/government/publications/procurement-policy-note-0122-contracts-with-suppliers-from-russia-and-belarus" TargetMode="External"/><Relationship Id="rId8" Type="http://schemas.openxmlformats.org/officeDocument/2006/relationships/hyperlink" Target="https://www.gov.uk/guidance/gender-pay-gap-reporting-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aGivUyTa22dis95ocTrU89ISkA==">CgMxLjAyCGguZ2pkZ3hzMgloLjMwajB6bGwyCWguMWZvYjl0ZTIJaC4zem55c2g3MgloLjJldDkycDAyCGgudHlqY3d0MgloLjNkeTZ2a20yCWguMXQzaDVzZjIJaC40ZDM0b2c4MgloLjJzOGV5bzEyCWguMTdkcDh2dTIJaC4zcmRjcmpuMgloLjI2aW4xcmcyCGgubG54Yno5OAByITFJZm5PQk1KZ1JtTkJ0MWFwQzZ0ZFJhVmNRbkFEakMzSQ==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