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B5F" w:rsidRPr="00A94137" w:rsidRDefault="00C25B5F" w:rsidP="00A94137">
      <w:pPr>
        <w:spacing w:after="0"/>
        <w:jc w:val="center"/>
        <w:rPr>
          <w:b/>
          <w:sz w:val="32"/>
        </w:rPr>
      </w:pPr>
    </w:p>
    <w:p w:rsidR="00C25B5F" w:rsidRPr="00A94137" w:rsidRDefault="009A3461" w:rsidP="00A94137">
      <w:pPr>
        <w:spacing w:after="0"/>
        <w:jc w:val="center"/>
        <w:rPr>
          <w:b/>
          <w:sz w:val="32"/>
        </w:rPr>
      </w:pPr>
      <w:bookmarkStart w:id="0" w:name="_GoBack"/>
      <w:bookmarkEnd w:id="0"/>
      <w:r>
        <w:rPr>
          <w:b/>
          <w:sz w:val="32"/>
        </w:rPr>
        <w:t>Market Engagement Questionnaire – Medway Community Services</w:t>
      </w:r>
    </w:p>
    <w:p w:rsidR="00B34D64" w:rsidRPr="00B34D64" w:rsidRDefault="00B34D64" w:rsidP="00B34D64">
      <w:pPr>
        <w:pStyle w:val="Heading1"/>
        <w:rPr>
          <w:sz w:val="22"/>
          <w:szCs w:val="22"/>
        </w:rPr>
      </w:pPr>
      <w:r w:rsidRPr="00B34D64">
        <w:rPr>
          <w:sz w:val="22"/>
          <w:szCs w:val="22"/>
        </w:rPr>
        <w:t>Disclaimers</w:t>
      </w:r>
    </w:p>
    <w:p w:rsidR="00B34D64" w:rsidRPr="00B34D64" w:rsidRDefault="00B34D64" w:rsidP="00B34D64">
      <w:pPr>
        <w:spacing w:after="0" w:line="240" w:lineRule="auto"/>
        <w:rPr>
          <w:rFonts w:cs="Arial"/>
          <w:color w:val="000000"/>
        </w:rPr>
      </w:pPr>
      <w:r w:rsidRPr="00B34D64">
        <w:rPr>
          <w:rFonts w:cs="Arial"/>
          <w:color w:val="000000"/>
        </w:rPr>
        <w:t>Organisations considering whether to respond to this information request should note the following:</w:t>
      </w:r>
    </w:p>
    <w:p w:rsidR="00B34D64" w:rsidRPr="00B34D64" w:rsidRDefault="00B34D64" w:rsidP="00B34D64">
      <w:pPr>
        <w:spacing w:after="0" w:line="240" w:lineRule="auto"/>
      </w:pPr>
    </w:p>
    <w:p w:rsidR="00B34D64" w:rsidRPr="00B34D64" w:rsidRDefault="00B34D64" w:rsidP="00B34D64">
      <w:pPr>
        <w:pStyle w:val="ListParagraph"/>
        <w:numPr>
          <w:ilvl w:val="0"/>
          <w:numId w:val="14"/>
        </w:numPr>
      </w:pPr>
      <w:r w:rsidRPr="00B34D64">
        <w:t xml:space="preserve">NHS </w:t>
      </w:r>
      <w:r>
        <w:t>Medway</w:t>
      </w:r>
      <w:r w:rsidRPr="00B34D64">
        <w:t xml:space="preserve"> Clinical Commissioning Group (the Commissioner) is currently finalising its service specification and financial model for a new </w:t>
      </w:r>
      <w:r>
        <w:t>Community Services contract</w:t>
      </w:r>
      <w:r w:rsidRPr="00B34D64">
        <w:t>. The Commissioner is undertaking market engagement in order to seek the views and opinions of those organisations that may be interested in helping to deliver the service</w:t>
      </w:r>
      <w:r>
        <w:t>.</w:t>
      </w:r>
    </w:p>
    <w:p w:rsidR="00B34D64" w:rsidRPr="00B34D64" w:rsidRDefault="00B34D64" w:rsidP="00B34D64">
      <w:pPr>
        <w:pStyle w:val="ListParagraph"/>
        <w:numPr>
          <w:ilvl w:val="0"/>
          <w:numId w:val="14"/>
        </w:numPr>
      </w:pPr>
      <w:r w:rsidRPr="00B34D64">
        <w:t xml:space="preserve">This </w:t>
      </w:r>
      <w:r>
        <w:t>Market Engagement Questionnaire (MEQ</w:t>
      </w:r>
      <w:r w:rsidRPr="00B34D64">
        <w:t>), and any subsequent information provided in response to it, does not form an integral part of any potential future procurement exercise that may be undertaken by the Commissioner (for one or more of the services). It should be considered as an attempt by the Commissioner to engage early on with the potential market for delivering services;</w:t>
      </w:r>
    </w:p>
    <w:p w:rsidR="00B34D64" w:rsidRPr="00B34D64" w:rsidRDefault="00B34D64" w:rsidP="00B34D64">
      <w:pPr>
        <w:pStyle w:val="ListParagraph"/>
        <w:numPr>
          <w:ilvl w:val="0"/>
          <w:numId w:val="14"/>
        </w:numPr>
      </w:pPr>
      <w:r w:rsidRPr="00B34D64">
        <w:t xml:space="preserve">This </w:t>
      </w:r>
      <w:r w:rsidR="001449C6">
        <w:t>MEQ</w:t>
      </w:r>
      <w:r w:rsidRPr="00B34D64">
        <w:t xml:space="preserve">, the accompanying draft documentation and the responses received arising from it are in no way legally binding on any party; </w:t>
      </w:r>
    </w:p>
    <w:p w:rsidR="00B34D64" w:rsidRPr="00B34D64" w:rsidRDefault="00B34D64" w:rsidP="00B34D64">
      <w:pPr>
        <w:pStyle w:val="ListParagraph"/>
        <w:numPr>
          <w:ilvl w:val="0"/>
          <w:numId w:val="14"/>
        </w:numPr>
        <w:rPr>
          <w:b/>
        </w:rPr>
      </w:pPr>
      <w:r w:rsidRPr="00B34D64">
        <w:t>Participation in the engagement exercise is not a mandatory requirement for participating in any potential future procurement; however, responses received will assist to inform the Commissioner as to the level of interest from the market and will be</w:t>
      </w:r>
      <w:r>
        <w:t xml:space="preserve"> used to evidence a decision about a possible future</w:t>
      </w:r>
      <w:r w:rsidRPr="00B34D64">
        <w:t xml:space="preserve"> competitive procurement.  </w:t>
      </w:r>
      <w:r w:rsidRPr="00B34D64">
        <w:rPr>
          <w:b/>
        </w:rPr>
        <w:t>CONFIRMATION OF YOUR EXPRESSION OF INTEREST IS THEREFORE IMPORTANT.</w:t>
      </w:r>
    </w:p>
    <w:p w:rsidR="00B34D64" w:rsidRPr="00B34D64" w:rsidRDefault="00B34D64" w:rsidP="00B34D64">
      <w:pPr>
        <w:pStyle w:val="Heading1"/>
        <w:rPr>
          <w:sz w:val="22"/>
          <w:szCs w:val="22"/>
        </w:rPr>
      </w:pPr>
      <w:r w:rsidRPr="00B34D64">
        <w:rPr>
          <w:sz w:val="22"/>
          <w:szCs w:val="22"/>
        </w:rPr>
        <w:t xml:space="preserve">Instructions for Responding to this </w:t>
      </w:r>
      <w:r w:rsidR="001449C6">
        <w:rPr>
          <w:sz w:val="22"/>
          <w:szCs w:val="22"/>
        </w:rPr>
        <w:t>MEQ</w:t>
      </w:r>
    </w:p>
    <w:p w:rsidR="00B34D64" w:rsidRDefault="00B34D64" w:rsidP="00DC1EAC">
      <w:pPr>
        <w:spacing w:after="240" w:line="240" w:lineRule="auto"/>
        <w:rPr>
          <w:rFonts w:cs="Arial"/>
          <w:b/>
          <w:color w:val="000000"/>
        </w:rPr>
      </w:pPr>
      <w:r w:rsidRPr="00DC1EAC">
        <w:rPr>
          <w:rFonts w:cs="Arial"/>
          <w:color w:val="000000"/>
        </w:rPr>
        <w:t xml:space="preserve">Responses to this </w:t>
      </w:r>
      <w:r w:rsidR="001449C6">
        <w:rPr>
          <w:rFonts w:cs="Arial"/>
          <w:color w:val="000000"/>
        </w:rPr>
        <w:t>MEQ</w:t>
      </w:r>
      <w:r w:rsidRPr="00DC1EAC">
        <w:rPr>
          <w:rFonts w:cs="Arial"/>
          <w:color w:val="000000"/>
        </w:rPr>
        <w:t xml:space="preserve"> should be provided as a single document and be limited to a maximum of </w:t>
      </w:r>
      <w:r w:rsidR="009064DC">
        <w:rPr>
          <w:rFonts w:cs="Arial"/>
          <w:color w:val="000000"/>
        </w:rPr>
        <w:t>20</w:t>
      </w:r>
      <w:r w:rsidRPr="00DC1EAC">
        <w:rPr>
          <w:rFonts w:cs="Arial"/>
          <w:color w:val="000000"/>
        </w:rPr>
        <w:t xml:space="preserve"> sides of A4 paper. Please send your completed response to </w:t>
      </w:r>
      <w:hyperlink r:id="rId8" w:history="1">
        <w:proofErr w:type="spellStart"/>
        <w:r w:rsidRPr="00DC1EAC">
          <w:rPr>
            <w:rStyle w:val="Hyperlink"/>
            <w:rFonts w:cs="Arial"/>
          </w:rPr>
          <w:t>alice.donovan</w:t>
        </w:r>
        <w:proofErr w:type="spellEnd"/>
        <w:r w:rsidRPr="00DC1EAC">
          <w:rPr>
            <w:rStyle w:val="Hyperlink"/>
            <w:rFonts w:cs="Arial"/>
          </w:rPr>
          <w:t>-hart @nhs.net</w:t>
        </w:r>
      </w:hyperlink>
      <w:r w:rsidRPr="00DC1EAC">
        <w:rPr>
          <w:rFonts w:cs="Arial"/>
          <w:color w:val="000000"/>
        </w:rPr>
        <w:t xml:space="preserve"> by </w:t>
      </w:r>
      <w:r w:rsidRPr="00DC1EAC">
        <w:rPr>
          <w:rFonts w:cs="Arial"/>
          <w:b/>
          <w:color w:val="000000"/>
        </w:rPr>
        <w:t>4pm, Monday 19 November 2018.</w:t>
      </w:r>
    </w:p>
    <w:p w:rsidR="00DC1EAC" w:rsidRDefault="00DC1EAC" w:rsidP="00DC1EAC">
      <w:pPr>
        <w:spacing w:after="240" w:line="240" w:lineRule="auto"/>
        <w:rPr>
          <w:rFonts w:cs="Arial"/>
          <w:b/>
          <w:color w:val="000000"/>
        </w:rPr>
      </w:pPr>
      <w:r>
        <w:rPr>
          <w:rFonts w:cs="Arial"/>
          <w:b/>
          <w:color w:val="000000"/>
        </w:rPr>
        <w:t>For context, please ensure you have read the attached Case for Change document before completing your submission. Previous adverts relating to this service can also be found below.</w:t>
      </w:r>
    </w:p>
    <w:p w:rsidR="00DC1EAC" w:rsidRDefault="00DC1EAC" w:rsidP="00DC1EAC">
      <w:pPr>
        <w:spacing w:after="240" w:line="240" w:lineRule="auto"/>
        <w:rPr>
          <w:rFonts w:cs="Arial"/>
          <w:b/>
          <w:color w:val="000000"/>
        </w:rPr>
      </w:pPr>
      <w:r>
        <w:rPr>
          <w:rFonts w:cs="Arial"/>
          <w:b/>
          <w:color w:val="000000"/>
        </w:rPr>
        <w:t>Case for Change:</w:t>
      </w:r>
    </w:p>
    <w:bookmarkStart w:id="1" w:name="_MON_1602651580"/>
    <w:bookmarkEnd w:id="1"/>
    <w:p w:rsidR="00DC1EAC" w:rsidRDefault="00DC1EAC" w:rsidP="00DC1EAC">
      <w:pPr>
        <w:spacing w:after="240" w:line="240" w:lineRule="auto"/>
        <w:rPr>
          <w:rFonts w:cs="Arial"/>
          <w:color w:val="000000"/>
          <w:sz w:val="24"/>
          <w:szCs w:val="20"/>
        </w:rPr>
      </w:pPr>
      <w:r>
        <w:rPr>
          <w:rFonts w:cs="Arial"/>
          <w:color w:val="000000"/>
          <w:sz w:val="24"/>
          <w:szCs w:val="2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Word.Document.12" ShapeID="_x0000_i1025" DrawAspect="Icon" ObjectID="_1603093289" r:id="rId10">
            <o:FieldCodes>\s</o:FieldCodes>
          </o:OLEObject>
        </w:object>
      </w:r>
    </w:p>
    <w:p w:rsidR="00DC1EAC" w:rsidRPr="00DC1EAC" w:rsidRDefault="00DC1EAC" w:rsidP="00DC1EAC">
      <w:pPr>
        <w:spacing w:after="240" w:line="240" w:lineRule="auto"/>
        <w:rPr>
          <w:rFonts w:cs="Arial"/>
          <w:b/>
          <w:color w:val="000000"/>
          <w:szCs w:val="20"/>
        </w:rPr>
      </w:pPr>
      <w:r w:rsidRPr="00DC1EAC">
        <w:rPr>
          <w:rFonts w:cs="Arial"/>
          <w:b/>
          <w:color w:val="000000"/>
          <w:szCs w:val="20"/>
        </w:rPr>
        <w:t>Previous adverts:</w:t>
      </w:r>
    </w:p>
    <w:p w:rsidR="00E30AE0" w:rsidRPr="00E30AE0" w:rsidRDefault="00E30AE0" w:rsidP="00DC1EAC">
      <w:pPr>
        <w:spacing w:after="240" w:line="240" w:lineRule="auto"/>
        <w:rPr>
          <w:rFonts w:cs="Arial"/>
          <w:color w:val="000000"/>
          <w:szCs w:val="20"/>
        </w:rPr>
      </w:pPr>
      <w:r w:rsidRPr="00E30AE0">
        <w:rPr>
          <w:rFonts w:cs="Arial"/>
          <w:color w:val="000000"/>
          <w:szCs w:val="20"/>
        </w:rPr>
        <w:t>Service Specification Engagement Advert:</w:t>
      </w:r>
    </w:p>
    <w:p w:rsidR="00E30AE0" w:rsidRPr="00E30AE0" w:rsidRDefault="00800894" w:rsidP="00DC1EAC">
      <w:pPr>
        <w:spacing w:after="240" w:line="240" w:lineRule="auto"/>
        <w:rPr>
          <w:rFonts w:cs="Arial"/>
          <w:color w:val="000000"/>
        </w:rPr>
      </w:pPr>
      <w:hyperlink r:id="rId11" w:history="1">
        <w:r w:rsidR="00E30AE0" w:rsidRPr="00E30AE0">
          <w:rPr>
            <w:rStyle w:val="Hyperlink"/>
            <w:rFonts w:cs="Arial"/>
          </w:rPr>
          <w:t>https://www.contractsfinder.service.gov.uk/Notice/68eac588-8c5d-4b40-9f5b-997f07b2bbec</w:t>
        </w:r>
      </w:hyperlink>
    </w:p>
    <w:p w:rsidR="00E30AE0" w:rsidRPr="00E30AE0" w:rsidRDefault="00E30AE0" w:rsidP="00DC1EAC">
      <w:pPr>
        <w:spacing w:after="240" w:line="240" w:lineRule="auto"/>
        <w:rPr>
          <w:rFonts w:cs="Arial"/>
          <w:color w:val="000000"/>
        </w:rPr>
      </w:pPr>
      <w:r w:rsidRPr="00E30AE0">
        <w:rPr>
          <w:rFonts w:cs="Arial"/>
          <w:color w:val="000000"/>
        </w:rPr>
        <w:t>September 2018 Event Advert:</w:t>
      </w:r>
    </w:p>
    <w:p w:rsidR="00DC1EAC" w:rsidRPr="00E30AE0" w:rsidRDefault="00800894" w:rsidP="00DC1EAC">
      <w:pPr>
        <w:spacing w:after="240" w:line="240" w:lineRule="auto"/>
        <w:rPr>
          <w:rFonts w:cs="Arial"/>
          <w:color w:val="000000"/>
        </w:rPr>
      </w:pPr>
      <w:hyperlink r:id="rId12" w:history="1">
        <w:r w:rsidR="00DC1EAC" w:rsidRPr="00E30AE0">
          <w:rPr>
            <w:rStyle w:val="Hyperlink"/>
            <w:rFonts w:cs="Arial"/>
          </w:rPr>
          <w:t>https://www.contractsfinder.service.gov.uk/Notice/51ba1dbf-8b03-435f-a094-eb6bef475069</w:t>
        </w:r>
      </w:hyperlink>
    </w:p>
    <w:p w:rsidR="00B34D64" w:rsidRPr="00E30AE0" w:rsidRDefault="00E30AE0" w:rsidP="00E30AE0">
      <w:pPr>
        <w:spacing w:after="240" w:line="240" w:lineRule="auto"/>
        <w:rPr>
          <w:rFonts w:cs="Arial"/>
          <w:color w:val="000000"/>
        </w:rPr>
      </w:pPr>
      <w:r w:rsidRPr="00E30AE0">
        <w:rPr>
          <w:rFonts w:cs="Arial"/>
          <w:color w:val="000000"/>
        </w:rPr>
        <w:lastRenderedPageBreak/>
        <w:t>January 2018 Event Advert:</w:t>
      </w:r>
    </w:p>
    <w:p w:rsidR="00E30AE0" w:rsidRPr="00E30AE0" w:rsidRDefault="00800894" w:rsidP="00E30AE0">
      <w:pPr>
        <w:spacing w:after="240" w:line="240" w:lineRule="auto"/>
        <w:rPr>
          <w:rFonts w:cs="Arial"/>
          <w:color w:val="000000"/>
        </w:rPr>
      </w:pPr>
      <w:hyperlink r:id="rId13" w:history="1">
        <w:r w:rsidR="00E30AE0" w:rsidRPr="00E30AE0">
          <w:rPr>
            <w:rStyle w:val="Hyperlink"/>
            <w:rFonts w:cs="Arial"/>
          </w:rPr>
          <w:t>https://www.contractsfinder.service.gov.uk/Notice/ed7fe13c-6ab2-47b2-a395-778fef19d1e2</w:t>
        </w:r>
      </w:hyperlink>
    </w:p>
    <w:p w:rsidR="00E30AE0" w:rsidRPr="00E30AE0" w:rsidRDefault="00E30AE0" w:rsidP="00E30AE0">
      <w:pPr>
        <w:spacing w:after="240" w:line="240" w:lineRule="auto"/>
        <w:rPr>
          <w:rFonts w:cs="Arial"/>
          <w:color w:val="000000"/>
          <w:szCs w:val="20"/>
        </w:rPr>
      </w:pPr>
    </w:p>
    <w:p w:rsidR="00B92FA5" w:rsidRDefault="00B92FA5" w:rsidP="00B92FA5">
      <w:pPr>
        <w:spacing w:after="0"/>
        <w:rPr>
          <w:b/>
          <w:u w:val="single"/>
        </w:rPr>
      </w:pPr>
      <w:proofErr w:type="gramStart"/>
      <w:r>
        <w:rPr>
          <w:b/>
          <w:u w:val="single"/>
        </w:rPr>
        <w:t>Your</w:t>
      </w:r>
      <w:proofErr w:type="gramEnd"/>
      <w:r>
        <w:rPr>
          <w:b/>
          <w:u w:val="single"/>
        </w:rPr>
        <w:t xml:space="preserve"> Organisation Details</w:t>
      </w:r>
    </w:p>
    <w:tbl>
      <w:tblPr>
        <w:tblStyle w:val="TableGrid"/>
        <w:tblW w:w="9452" w:type="dxa"/>
        <w:tblLook w:val="04A0" w:firstRow="1" w:lastRow="0" w:firstColumn="1" w:lastColumn="0" w:noHBand="0" w:noVBand="1"/>
      </w:tblPr>
      <w:tblGrid>
        <w:gridCol w:w="2575"/>
        <w:gridCol w:w="6877"/>
      </w:tblGrid>
      <w:tr w:rsidR="00B92FA5" w:rsidTr="004E03C5">
        <w:trPr>
          <w:trHeight w:val="394"/>
        </w:trPr>
        <w:tc>
          <w:tcPr>
            <w:tcW w:w="2575" w:type="dxa"/>
            <w:shd w:val="clear" w:color="auto" w:fill="00B0F0"/>
          </w:tcPr>
          <w:p w:rsidR="00B92FA5" w:rsidRPr="00DC1EAC" w:rsidRDefault="00B92FA5" w:rsidP="00B92FA5">
            <w:pPr>
              <w:rPr>
                <w:b/>
                <w:color w:val="FFFFFF" w:themeColor="background1"/>
              </w:rPr>
            </w:pPr>
            <w:r w:rsidRPr="00DC1EAC">
              <w:rPr>
                <w:b/>
                <w:color w:val="FFFFFF" w:themeColor="background1"/>
              </w:rPr>
              <w:t>Organisation Name</w:t>
            </w:r>
          </w:p>
        </w:tc>
        <w:tc>
          <w:tcPr>
            <w:tcW w:w="6877" w:type="dxa"/>
            <w:shd w:val="clear" w:color="auto" w:fill="F2F2F2" w:themeFill="background1" w:themeFillShade="F2"/>
          </w:tcPr>
          <w:p w:rsidR="00B92FA5" w:rsidRDefault="00B92FA5" w:rsidP="00B92FA5">
            <w:pPr>
              <w:rPr>
                <w:b/>
                <w:u w:val="single"/>
              </w:rPr>
            </w:pPr>
          </w:p>
        </w:tc>
      </w:tr>
      <w:tr w:rsidR="00B92FA5" w:rsidTr="004E03C5">
        <w:trPr>
          <w:trHeight w:val="372"/>
        </w:trPr>
        <w:tc>
          <w:tcPr>
            <w:tcW w:w="2575" w:type="dxa"/>
            <w:shd w:val="clear" w:color="auto" w:fill="00B0F0"/>
          </w:tcPr>
          <w:p w:rsidR="00B92FA5" w:rsidRPr="00DC1EAC" w:rsidRDefault="00B92FA5" w:rsidP="00B92FA5">
            <w:pPr>
              <w:rPr>
                <w:b/>
                <w:color w:val="FFFFFF" w:themeColor="background1"/>
              </w:rPr>
            </w:pPr>
            <w:r w:rsidRPr="00DC1EAC">
              <w:rPr>
                <w:b/>
                <w:color w:val="FFFFFF" w:themeColor="background1"/>
              </w:rPr>
              <w:t>Website</w:t>
            </w:r>
          </w:p>
        </w:tc>
        <w:tc>
          <w:tcPr>
            <w:tcW w:w="6877" w:type="dxa"/>
            <w:shd w:val="clear" w:color="auto" w:fill="F2F2F2" w:themeFill="background1" w:themeFillShade="F2"/>
          </w:tcPr>
          <w:p w:rsidR="00B92FA5" w:rsidRDefault="00B92FA5" w:rsidP="00B92FA5">
            <w:pPr>
              <w:rPr>
                <w:b/>
                <w:u w:val="single"/>
              </w:rPr>
            </w:pPr>
          </w:p>
        </w:tc>
      </w:tr>
      <w:tr w:rsidR="00B92FA5" w:rsidTr="004E03C5">
        <w:trPr>
          <w:trHeight w:val="394"/>
        </w:trPr>
        <w:tc>
          <w:tcPr>
            <w:tcW w:w="9452" w:type="dxa"/>
            <w:gridSpan w:val="2"/>
            <w:shd w:val="clear" w:color="auto" w:fill="00B0F0"/>
          </w:tcPr>
          <w:p w:rsidR="00B92FA5" w:rsidRPr="00DC1EAC" w:rsidRDefault="00B92FA5" w:rsidP="00B92FA5">
            <w:pPr>
              <w:rPr>
                <w:b/>
                <w:u w:val="single"/>
              </w:rPr>
            </w:pPr>
            <w:r w:rsidRPr="00DC1EAC">
              <w:rPr>
                <w:b/>
                <w:color w:val="FFFFFF" w:themeColor="background1"/>
              </w:rPr>
              <w:t>Contact Person for the purposes of this exercise</w:t>
            </w:r>
          </w:p>
        </w:tc>
      </w:tr>
      <w:tr w:rsidR="00B92FA5" w:rsidTr="004E03C5">
        <w:trPr>
          <w:trHeight w:val="372"/>
        </w:trPr>
        <w:tc>
          <w:tcPr>
            <w:tcW w:w="2575" w:type="dxa"/>
            <w:shd w:val="clear" w:color="auto" w:fill="00B0F0"/>
          </w:tcPr>
          <w:p w:rsidR="00B92FA5" w:rsidRPr="00DC1EAC" w:rsidRDefault="00B92FA5" w:rsidP="00B92FA5">
            <w:pPr>
              <w:rPr>
                <w:b/>
                <w:color w:val="FFFFFF" w:themeColor="background1"/>
              </w:rPr>
            </w:pPr>
            <w:r w:rsidRPr="00DC1EAC">
              <w:rPr>
                <w:b/>
                <w:color w:val="FFFFFF" w:themeColor="background1"/>
              </w:rPr>
              <w:t>Name</w:t>
            </w:r>
          </w:p>
        </w:tc>
        <w:tc>
          <w:tcPr>
            <w:tcW w:w="6877" w:type="dxa"/>
            <w:shd w:val="clear" w:color="auto" w:fill="F2F2F2" w:themeFill="background1" w:themeFillShade="F2"/>
          </w:tcPr>
          <w:p w:rsidR="00B92FA5" w:rsidRDefault="00B92FA5" w:rsidP="00B92FA5">
            <w:pPr>
              <w:rPr>
                <w:b/>
                <w:u w:val="single"/>
              </w:rPr>
            </w:pPr>
          </w:p>
        </w:tc>
      </w:tr>
      <w:tr w:rsidR="00B92FA5" w:rsidTr="004E03C5">
        <w:trPr>
          <w:trHeight w:val="394"/>
        </w:trPr>
        <w:tc>
          <w:tcPr>
            <w:tcW w:w="2575" w:type="dxa"/>
            <w:shd w:val="clear" w:color="auto" w:fill="00B0F0"/>
          </w:tcPr>
          <w:p w:rsidR="00B92FA5" w:rsidRPr="00DC1EAC" w:rsidRDefault="00B92FA5" w:rsidP="00B92FA5">
            <w:pPr>
              <w:rPr>
                <w:b/>
                <w:color w:val="FFFFFF" w:themeColor="background1"/>
              </w:rPr>
            </w:pPr>
            <w:r w:rsidRPr="00DC1EAC">
              <w:rPr>
                <w:b/>
                <w:color w:val="FFFFFF" w:themeColor="background1"/>
              </w:rPr>
              <w:t>Job Title</w:t>
            </w:r>
          </w:p>
        </w:tc>
        <w:tc>
          <w:tcPr>
            <w:tcW w:w="6877" w:type="dxa"/>
            <w:shd w:val="clear" w:color="auto" w:fill="F2F2F2" w:themeFill="background1" w:themeFillShade="F2"/>
          </w:tcPr>
          <w:p w:rsidR="00B92FA5" w:rsidRDefault="00B92FA5" w:rsidP="00B92FA5">
            <w:pPr>
              <w:rPr>
                <w:b/>
                <w:u w:val="single"/>
              </w:rPr>
            </w:pPr>
          </w:p>
        </w:tc>
      </w:tr>
      <w:tr w:rsidR="00B92FA5" w:rsidTr="004E03C5">
        <w:trPr>
          <w:trHeight w:val="372"/>
        </w:trPr>
        <w:tc>
          <w:tcPr>
            <w:tcW w:w="2575" w:type="dxa"/>
            <w:shd w:val="clear" w:color="auto" w:fill="00B0F0"/>
          </w:tcPr>
          <w:p w:rsidR="00B92FA5" w:rsidRPr="00DC1EAC" w:rsidRDefault="00B92FA5" w:rsidP="00B92FA5">
            <w:pPr>
              <w:rPr>
                <w:b/>
                <w:color w:val="FFFFFF" w:themeColor="background1"/>
              </w:rPr>
            </w:pPr>
            <w:r w:rsidRPr="00DC1EAC">
              <w:rPr>
                <w:b/>
                <w:color w:val="FFFFFF" w:themeColor="background1"/>
              </w:rPr>
              <w:t>Contact Number</w:t>
            </w:r>
          </w:p>
        </w:tc>
        <w:tc>
          <w:tcPr>
            <w:tcW w:w="6877" w:type="dxa"/>
            <w:shd w:val="clear" w:color="auto" w:fill="F2F2F2" w:themeFill="background1" w:themeFillShade="F2"/>
          </w:tcPr>
          <w:p w:rsidR="00B92FA5" w:rsidRDefault="00B92FA5" w:rsidP="00B92FA5">
            <w:pPr>
              <w:rPr>
                <w:b/>
                <w:u w:val="single"/>
              </w:rPr>
            </w:pPr>
          </w:p>
        </w:tc>
      </w:tr>
      <w:tr w:rsidR="00B92FA5" w:rsidTr="004E03C5">
        <w:trPr>
          <w:trHeight w:val="416"/>
        </w:trPr>
        <w:tc>
          <w:tcPr>
            <w:tcW w:w="2575" w:type="dxa"/>
            <w:shd w:val="clear" w:color="auto" w:fill="00B0F0"/>
          </w:tcPr>
          <w:p w:rsidR="00B92FA5" w:rsidRPr="00DC1EAC" w:rsidRDefault="00B92FA5" w:rsidP="00B92FA5">
            <w:pPr>
              <w:rPr>
                <w:b/>
                <w:color w:val="FFFFFF" w:themeColor="background1"/>
              </w:rPr>
            </w:pPr>
            <w:r w:rsidRPr="00DC1EAC">
              <w:rPr>
                <w:b/>
                <w:color w:val="FFFFFF" w:themeColor="background1"/>
              </w:rPr>
              <w:t>Email address</w:t>
            </w:r>
          </w:p>
        </w:tc>
        <w:tc>
          <w:tcPr>
            <w:tcW w:w="6877" w:type="dxa"/>
            <w:shd w:val="clear" w:color="auto" w:fill="F2F2F2" w:themeFill="background1" w:themeFillShade="F2"/>
          </w:tcPr>
          <w:p w:rsidR="00B92FA5" w:rsidRDefault="00B92FA5" w:rsidP="00B92FA5">
            <w:pPr>
              <w:rPr>
                <w:b/>
                <w:u w:val="single"/>
              </w:rPr>
            </w:pPr>
          </w:p>
        </w:tc>
      </w:tr>
      <w:tr w:rsidR="00E5245C" w:rsidTr="004E03C5">
        <w:trPr>
          <w:trHeight w:val="416"/>
        </w:trPr>
        <w:tc>
          <w:tcPr>
            <w:tcW w:w="2575" w:type="dxa"/>
            <w:shd w:val="clear" w:color="auto" w:fill="00B0F0"/>
          </w:tcPr>
          <w:p w:rsidR="00E5245C" w:rsidRPr="00DC1EAC" w:rsidRDefault="00E5245C" w:rsidP="00B92FA5">
            <w:pPr>
              <w:rPr>
                <w:b/>
                <w:color w:val="FFFFFF" w:themeColor="background1"/>
              </w:rPr>
            </w:pPr>
            <w:r>
              <w:rPr>
                <w:b/>
                <w:color w:val="FFFFFF" w:themeColor="background1"/>
              </w:rPr>
              <w:t>Are you happy for the Commissioner to contact you directly to follow up on your response to this questionnaire? (Y/N)</w:t>
            </w:r>
          </w:p>
        </w:tc>
        <w:tc>
          <w:tcPr>
            <w:tcW w:w="6877" w:type="dxa"/>
            <w:shd w:val="clear" w:color="auto" w:fill="F2F2F2" w:themeFill="background1" w:themeFillShade="F2"/>
          </w:tcPr>
          <w:p w:rsidR="00E5245C" w:rsidRDefault="00E5245C" w:rsidP="00B92FA5">
            <w:pPr>
              <w:rPr>
                <w:b/>
                <w:u w:val="single"/>
              </w:rPr>
            </w:pPr>
          </w:p>
        </w:tc>
      </w:tr>
    </w:tbl>
    <w:p w:rsidR="00B92FA5" w:rsidRDefault="00B92FA5" w:rsidP="00B92FA5">
      <w:pPr>
        <w:spacing w:after="0"/>
        <w:rPr>
          <w:b/>
          <w:u w:val="single"/>
        </w:rPr>
      </w:pPr>
    </w:p>
    <w:p w:rsidR="00B92FA5" w:rsidRDefault="00B92FA5" w:rsidP="00B92FA5">
      <w:pPr>
        <w:spacing w:after="0"/>
        <w:rPr>
          <w:b/>
          <w:u w:val="single"/>
        </w:rPr>
      </w:pPr>
    </w:p>
    <w:p w:rsidR="00B34D64" w:rsidRDefault="00B34D64" w:rsidP="00B92FA5">
      <w:pPr>
        <w:spacing w:after="0"/>
        <w:rPr>
          <w:b/>
          <w:u w:val="single"/>
        </w:rPr>
      </w:pPr>
      <w:r>
        <w:rPr>
          <w:b/>
          <w:u w:val="single"/>
        </w:rPr>
        <w:t>Section 1 – Interest in Bidding</w:t>
      </w:r>
    </w:p>
    <w:p w:rsidR="00B34D64" w:rsidRDefault="00B34D64" w:rsidP="00B92FA5">
      <w:pPr>
        <w:spacing w:after="0"/>
        <w:rPr>
          <w:b/>
          <w:u w:val="single"/>
        </w:rPr>
      </w:pPr>
    </w:p>
    <w:p w:rsidR="00D2068D" w:rsidRDefault="00B34D64" w:rsidP="00D2068D">
      <w:pPr>
        <w:pStyle w:val="ListParagraph"/>
        <w:numPr>
          <w:ilvl w:val="1"/>
          <w:numId w:val="16"/>
        </w:numPr>
        <w:spacing w:after="0"/>
      </w:pPr>
      <w:r>
        <w:t xml:space="preserve">How </w:t>
      </w:r>
      <w:r w:rsidR="00D2068D">
        <w:t>would you rate your level of interest in bidding for the new contract – please confirm “X” in the appropriate box.</w:t>
      </w:r>
    </w:p>
    <w:tbl>
      <w:tblPr>
        <w:tblStyle w:val="TableGrid"/>
        <w:tblW w:w="0" w:type="auto"/>
        <w:tblLook w:val="04A0" w:firstRow="1" w:lastRow="0" w:firstColumn="1" w:lastColumn="0" w:noHBand="0" w:noVBand="1"/>
      </w:tblPr>
      <w:tblGrid>
        <w:gridCol w:w="3080"/>
        <w:gridCol w:w="3081"/>
        <w:gridCol w:w="3081"/>
      </w:tblGrid>
      <w:tr w:rsidR="00D2068D" w:rsidTr="00D2068D">
        <w:tc>
          <w:tcPr>
            <w:tcW w:w="3080" w:type="dxa"/>
            <w:shd w:val="clear" w:color="auto" w:fill="00B0F0"/>
          </w:tcPr>
          <w:p w:rsidR="00D2068D" w:rsidRPr="00162BDE" w:rsidRDefault="00D2068D" w:rsidP="00A95AF4">
            <w:pPr>
              <w:rPr>
                <w:b/>
                <w:color w:val="FFFFFF" w:themeColor="background1"/>
              </w:rPr>
            </w:pPr>
            <w:r w:rsidRPr="00162BDE">
              <w:rPr>
                <w:b/>
                <w:color w:val="FFFFFF" w:themeColor="background1"/>
              </w:rPr>
              <w:t>High Level of Interest</w:t>
            </w:r>
          </w:p>
        </w:tc>
        <w:tc>
          <w:tcPr>
            <w:tcW w:w="3081" w:type="dxa"/>
            <w:shd w:val="clear" w:color="auto" w:fill="00B0F0"/>
          </w:tcPr>
          <w:p w:rsidR="00D2068D" w:rsidRPr="00162BDE" w:rsidRDefault="00D2068D" w:rsidP="00A95AF4">
            <w:pPr>
              <w:rPr>
                <w:b/>
                <w:color w:val="FFFFFF" w:themeColor="background1"/>
              </w:rPr>
            </w:pPr>
            <w:r w:rsidRPr="00162BDE">
              <w:rPr>
                <w:b/>
                <w:color w:val="FFFFFF" w:themeColor="background1"/>
              </w:rPr>
              <w:t>Medium Level of Interest</w:t>
            </w:r>
          </w:p>
        </w:tc>
        <w:tc>
          <w:tcPr>
            <w:tcW w:w="3081" w:type="dxa"/>
            <w:shd w:val="clear" w:color="auto" w:fill="00B0F0"/>
          </w:tcPr>
          <w:p w:rsidR="00D2068D" w:rsidRPr="00162BDE" w:rsidRDefault="00D2068D" w:rsidP="00A95AF4">
            <w:pPr>
              <w:rPr>
                <w:b/>
                <w:color w:val="FFFFFF" w:themeColor="background1"/>
              </w:rPr>
            </w:pPr>
            <w:r w:rsidRPr="00162BDE">
              <w:rPr>
                <w:b/>
                <w:color w:val="FFFFFF" w:themeColor="background1"/>
              </w:rPr>
              <w:t>Low Level of Interest</w:t>
            </w:r>
          </w:p>
        </w:tc>
      </w:tr>
      <w:tr w:rsidR="00D2068D" w:rsidTr="00D2068D">
        <w:tc>
          <w:tcPr>
            <w:tcW w:w="3080" w:type="dxa"/>
            <w:shd w:val="clear" w:color="auto" w:fill="F2F2F2" w:themeFill="background1" w:themeFillShade="F2"/>
          </w:tcPr>
          <w:p w:rsidR="00D2068D" w:rsidRDefault="00D2068D" w:rsidP="00A95AF4"/>
        </w:tc>
        <w:tc>
          <w:tcPr>
            <w:tcW w:w="3081" w:type="dxa"/>
            <w:shd w:val="clear" w:color="auto" w:fill="F2F2F2" w:themeFill="background1" w:themeFillShade="F2"/>
          </w:tcPr>
          <w:p w:rsidR="00D2068D" w:rsidRDefault="00D2068D" w:rsidP="00A95AF4"/>
        </w:tc>
        <w:tc>
          <w:tcPr>
            <w:tcW w:w="3081" w:type="dxa"/>
            <w:shd w:val="clear" w:color="auto" w:fill="F2F2F2" w:themeFill="background1" w:themeFillShade="F2"/>
          </w:tcPr>
          <w:p w:rsidR="00D2068D" w:rsidRDefault="00D2068D" w:rsidP="00A95AF4"/>
        </w:tc>
      </w:tr>
    </w:tbl>
    <w:p w:rsidR="00D2068D" w:rsidRDefault="00D2068D" w:rsidP="00D2068D">
      <w:pPr>
        <w:pStyle w:val="ListParagraph"/>
        <w:spacing w:after="0"/>
        <w:ind w:left="360"/>
      </w:pPr>
    </w:p>
    <w:p w:rsidR="00D2068D" w:rsidRDefault="00D2068D" w:rsidP="00D2068D">
      <w:pPr>
        <w:pStyle w:val="ListParagraph"/>
        <w:numPr>
          <w:ilvl w:val="1"/>
          <w:numId w:val="16"/>
        </w:numPr>
        <w:spacing w:after="0"/>
      </w:pPr>
      <w:r>
        <w:t xml:space="preserve">Please explain the rationale for your level of interest and what, if </w:t>
      </w:r>
      <w:r w:rsidR="009064DC">
        <w:t>anything</w:t>
      </w:r>
      <w:r>
        <w:t xml:space="preserve"> may encourage or put you off bidding for this contract?</w:t>
      </w:r>
    </w:p>
    <w:tbl>
      <w:tblPr>
        <w:tblStyle w:val="TableGrid"/>
        <w:tblW w:w="0" w:type="auto"/>
        <w:tblLook w:val="04A0" w:firstRow="1" w:lastRow="0" w:firstColumn="1" w:lastColumn="0" w:noHBand="0" w:noVBand="1"/>
      </w:tblPr>
      <w:tblGrid>
        <w:gridCol w:w="9242"/>
      </w:tblGrid>
      <w:tr w:rsidR="00D2068D" w:rsidTr="00A95AF4">
        <w:tc>
          <w:tcPr>
            <w:tcW w:w="9242" w:type="dxa"/>
            <w:shd w:val="clear" w:color="auto" w:fill="F2F2F2" w:themeFill="background1" w:themeFillShade="F2"/>
          </w:tcPr>
          <w:p w:rsidR="00D2068D" w:rsidRDefault="00D2068D" w:rsidP="00A95AF4"/>
        </w:tc>
      </w:tr>
    </w:tbl>
    <w:p w:rsidR="00D2068D" w:rsidRDefault="00D2068D" w:rsidP="00D2068D">
      <w:pPr>
        <w:pStyle w:val="ListParagraph"/>
        <w:spacing w:after="0"/>
        <w:ind w:left="360"/>
      </w:pPr>
    </w:p>
    <w:p w:rsidR="00D2068D" w:rsidRDefault="00D2068D" w:rsidP="00D2068D">
      <w:pPr>
        <w:pStyle w:val="ListParagraph"/>
        <w:numPr>
          <w:ilvl w:val="1"/>
          <w:numId w:val="16"/>
        </w:numPr>
        <w:spacing w:after="0"/>
      </w:pPr>
      <w:r>
        <w:t>What sort of bidding model do you envisage you are most likely to be a part of?</w:t>
      </w:r>
    </w:p>
    <w:tbl>
      <w:tblPr>
        <w:tblStyle w:val="TableGrid"/>
        <w:tblW w:w="0" w:type="auto"/>
        <w:tblLook w:val="04A0" w:firstRow="1" w:lastRow="0" w:firstColumn="1" w:lastColumn="0" w:noHBand="0" w:noVBand="1"/>
      </w:tblPr>
      <w:tblGrid>
        <w:gridCol w:w="2313"/>
        <w:gridCol w:w="2371"/>
        <w:gridCol w:w="2441"/>
        <w:gridCol w:w="2117"/>
      </w:tblGrid>
      <w:tr w:rsidR="00D2068D" w:rsidTr="00D2068D">
        <w:tc>
          <w:tcPr>
            <w:tcW w:w="2313" w:type="dxa"/>
            <w:shd w:val="clear" w:color="auto" w:fill="00B0F0"/>
          </w:tcPr>
          <w:p w:rsidR="00D2068D" w:rsidRPr="00162BDE" w:rsidRDefault="00D2068D" w:rsidP="00A95AF4">
            <w:pPr>
              <w:rPr>
                <w:b/>
                <w:color w:val="FFFFFF" w:themeColor="background1"/>
              </w:rPr>
            </w:pPr>
            <w:r w:rsidRPr="00162BDE">
              <w:rPr>
                <w:b/>
                <w:color w:val="FFFFFF" w:themeColor="background1"/>
              </w:rPr>
              <w:t>Sole Bidder</w:t>
            </w:r>
          </w:p>
        </w:tc>
        <w:tc>
          <w:tcPr>
            <w:tcW w:w="2371" w:type="dxa"/>
            <w:shd w:val="clear" w:color="auto" w:fill="00B0F0"/>
          </w:tcPr>
          <w:p w:rsidR="00D2068D" w:rsidRPr="00162BDE" w:rsidRDefault="00D2068D" w:rsidP="00A95AF4">
            <w:pPr>
              <w:rPr>
                <w:b/>
                <w:color w:val="FFFFFF" w:themeColor="background1"/>
              </w:rPr>
            </w:pPr>
            <w:r w:rsidRPr="00162BDE">
              <w:rPr>
                <w:b/>
                <w:color w:val="FFFFFF" w:themeColor="background1"/>
              </w:rPr>
              <w:t>Lead Provider Model as the Lead Provider</w:t>
            </w:r>
          </w:p>
        </w:tc>
        <w:tc>
          <w:tcPr>
            <w:tcW w:w="2441" w:type="dxa"/>
            <w:shd w:val="clear" w:color="auto" w:fill="00B0F0"/>
          </w:tcPr>
          <w:p w:rsidR="00D2068D" w:rsidRPr="00162BDE" w:rsidRDefault="00D2068D" w:rsidP="00A95AF4">
            <w:pPr>
              <w:rPr>
                <w:b/>
                <w:color w:val="FFFFFF" w:themeColor="background1"/>
              </w:rPr>
            </w:pPr>
            <w:r w:rsidRPr="00162BDE">
              <w:rPr>
                <w:b/>
                <w:color w:val="FFFFFF" w:themeColor="background1"/>
              </w:rPr>
              <w:t>Lead Provider Model as a Sub- Contractor</w:t>
            </w:r>
          </w:p>
        </w:tc>
        <w:tc>
          <w:tcPr>
            <w:tcW w:w="2117" w:type="dxa"/>
            <w:shd w:val="clear" w:color="auto" w:fill="00B0F0"/>
          </w:tcPr>
          <w:p w:rsidR="00D2068D" w:rsidRPr="00162BDE" w:rsidRDefault="00D2068D" w:rsidP="00A95AF4">
            <w:pPr>
              <w:rPr>
                <w:b/>
                <w:color w:val="FFFFFF" w:themeColor="background1"/>
              </w:rPr>
            </w:pPr>
            <w:r w:rsidRPr="00162BDE">
              <w:rPr>
                <w:b/>
                <w:color w:val="FFFFFF" w:themeColor="background1"/>
              </w:rPr>
              <w:t>Other – please detail</w:t>
            </w:r>
          </w:p>
        </w:tc>
      </w:tr>
      <w:tr w:rsidR="00D2068D" w:rsidTr="00D2068D">
        <w:tc>
          <w:tcPr>
            <w:tcW w:w="2313" w:type="dxa"/>
            <w:shd w:val="clear" w:color="auto" w:fill="F2F2F2" w:themeFill="background1" w:themeFillShade="F2"/>
          </w:tcPr>
          <w:p w:rsidR="00D2068D" w:rsidRDefault="00D2068D" w:rsidP="00A95AF4"/>
        </w:tc>
        <w:tc>
          <w:tcPr>
            <w:tcW w:w="2371" w:type="dxa"/>
            <w:shd w:val="clear" w:color="auto" w:fill="F2F2F2" w:themeFill="background1" w:themeFillShade="F2"/>
          </w:tcPr>
          <w:p w:rsidR="00D2068D" w:rsidRDefault="00D2068D" w:rsidP="00A95AF4"/>
        </w:tc>
        <w:tc>
          <w:tcPr>
            <w:tcW w:w="2441" w:type="dxa"/>
            <w:shd w:val="clear" w:color="auto" w:fill="F2F2F2" w:themeFill="background1" w:themeFillShade="F2"/>
          </w:tcPr>
          <w:p w:rsidR="00D2068D" w:rsidRDefault="00D2068D" w:rsidP="00A95AF4"/>
        </w:tc>
        <w:tc>
          <w:tcPr>
            <w:tcW w:w="2117" w:type="dxa"/>
            <w:shd w:val="clear" w:color="auto" w:fill="F2F2F2" w:themeFill="background1" w:themeFillShade="F2"/>
          </w:tcPr>
          <w:p w:rsidR="00D2068D" w:rsidRDefault="00D2068D" w:rsidP="00A95AF4"/>
        </w:tc>
      </w:tr>
    </w:tbl>
    <w:p w:rsidR="00D2068D" w:rsidRPr="00B34D64" w:rsidRDefault="00D2068D" w:rsidP="00D2068D">
      <w:pPr>
        <w:pStyle w:val="ListParagraph"/>
        <w:spacing w:after="0"/>
        <w:ind w:left="360"/>
      </w:pPr>
    </w:p>
    <w:p w:rsidR="00B92FA5" w:rsidRDefault="00B34D64" w:rsidP="00B92FA5">
      <w:pPr>
        <w:spacing w:after="0"/>
        <w:rPr>
          <w:b/>
          <w:u w:val="single"/>
        </w:rPr>
      </w:pPr>
      <w:r>
        <w:rPr>
          <w:b/>
          <w:u w:val="single"/>
        </w:rPr>
        <w:t>Section 2 - The Financial Envelope and Contract Type</w:t>
      </w:r>
    </w:p>
    <w:p w:rsidR="00B92FA5" w:rsidRDefault="00B92FA5" w:rsidP="00B92FA5">
      <w:pPr>
        <w:spacing w:after="0"/>
        <w:rPr>
          <w:b/>
          <w:u w:val="single"/>
        </w:rPr>
      </w:pPr>
    </w:p>
    <w:p w:rsidR="00B34D64" w:rsidRDefault="00707C85" w:rsidP="00B92FA5">
      <w:pPr>
        <w:spacing w:after="0"/>
      </w:pPr>
      <w:r>
        <w:t xml:space="preserve">The Commissioner </w:t>
      </w:r>
      <w:r w:rsidR="00B34D64">
        <w:t>anticipates a contract value of approximately £21,500,000 per annum</w:t>
      </w:r>
      <w:r w:rsidR="00D535DE">
        <w:t xml:space="preserve"> for an intended contract period of 5 years</w:t>
      </w:r>
      <w:r w:rsidR="00B34D64">
        <w:t xml:space="preserve">. The proposed contract type will be for a block contract </w:t>
      </w:r>
      <w:r w:rsidR="00D2068D">
        <w:t>for all services and activity that it is in scope.</w:t>
      </w:r>
    </w:p>
    <w:p w:rsidR="00D2068D" w:rsidRPr="00B34D64" w:rsidRDefault="00D2068D" w:rsidP="00B92FA5">
      <w:pPr>
        <w:spacing w:after="0"/>
      </w:pPr>
    </w:p>
    <w:p w:rsidR="00D2068D" w:rsidRDefault="00B34D64" w:rsidP="00D2068D">
      <w:pPr>
        <w:pStyle w:val="ListParagraph"/>
        <w:numPr>
          <w:ilvl w:val="1"/>
          <w:numId w:val="18"/>
        </w:numPr>
      </w:pPr>
      <w:r>
        <w:t>Do</w:t>
      </w:r>
      <w:r w:rsidR="00D2068D">
        <w:t xml:space="preserve"> you consider the financial envelope to be feasible to deliver a high quality service? If not, please explain why.</w:t>
      </w:r>
    </w:p>
    <w:tbl>
      <w:tblPr>
        <w:tblStyle w:val="TableGrid"/>
        <w:tblW w:w="0" w:type="auto"/>
        <w:tblLook w:val="04A0" w:firstRow="1" w:lastRow="0" w:firstColumn="1" w:lastColumn="0" w:noHBand="0" w:noVBand="1"/>
      </w:tblPr>
      <w:tblGrid>
        <w:gridCol w:w="9242"/>
      </w:tblGrid>
      <w:tr w:rsidR="00B92FA5" w:rsidTr="00B92FA5">
        <w:tc>
          <w:tcPr>
            <w:tcW w:w="9242" w:type="dxa"/>
            <w:shd w:val="clear" w:color="auto" w:fill="F2F2F2" w:themeFill="background1" w:themeFillShade="F2"/>
          </w:tcPr>
          <w:p w:rsidR="00B92FA5" w:rsidRDefault="00B92FA5" w:rsidP="00B92FA5"/>
        </w:tc>
      </w:tr>
    </w:tbl>
    <w:p w:rsidR="00B92FA5" w:rsidRDefault="00B92FA5" w:rsidP="00B92FA5"/>
    <w:p w:rsidR="00D2068D" w:rsidRDefault="00D2068D" w:rsidP="00D2068D">
      <w:pPr>
        <w:pStyle w:val="ListParagraph"/>
        <w:numPr>
          <w:ilvl w:val="1"/>
          <w:numId w:val="18"/>
        </w:numPr>
      </w:pPr>
      <w:r>
        <w:t xml:space="preserve">Do you consider a block contract appropriate for this contract? Are there </w:t>
      </w:r>
      <w:r w:rsidR="00CC13FE">
        <w:t>any elements of the new service</w:t>
      </w:r>
      <w:r>
        <w:t xml:space="preserve"> that you think </w:t>
      </w:r>
      <w:r w:rsidR="00CC13FE">
        <w:t xml:space="preserve">should </w:t>
      </w:r>
      <w:r>
        <w:t>be contracted on a payment by activity basis – if so, please explain which services and why</w:t>
      </w:r>
      <w:r w:rsidR="00CC13FE">
        <w:t xml:space="preserve"> this would be more suitable</w:t>
      </w:r>
      <w:r>
        <w:t>.</w:t>
      </w:r>
    </w:p>
    <w:tbl>
      <w:tblPr>
        <w:tblStyle w:val="TableGrid"/>
        <w:tblW w:w="0" w:type="auto"/>
        <w:tblLook w:val="04A0" w:firstRow="1" w:lastRow="0" w:firstColumn="1" w:lastColumn="0" w:noHBand="0" w:noVBand="1"/>
      </w:tblPr>
      <w:tblGrid>
        <w:gridCol w:w="9242"/>
      </w:tblGrid>
      <w:tr w:rsidR="00D2068D" w:rsidTr="00A95AF4">
        <w:tc>
          <w:tcPr>
            <w:tcW w:w="9242" w:type="dxa"/>
            <w:shd w:val="clear" w:color="auto" w:fill="F2F2F2" w:themeFill="background1" w:themeFillShade="F2"/>
          </w:tcPr>
          <w:p w:rsidR="00D2068D" w:rsidRDefault="00D2068D" w:rsidP="00A95AF4"/>
        </w:tc>
      </w:tr>
    </w:tbl>
    <w:p w:rsidR="00CC13FE" w:rsidRDefault="00CC13FE" w:rsidP="00CC13FE"/>
    <w:p w:rsidR="00162BDE" w:rsidRDefault="00707C85" w:rsidP="00162BDE">
      <w:pPr>
        <w:spacing w:after="120"/>
        <w:jc w:val="both"/>
      </w:pPr>
      <w:r>
        <w:t>The Commissioner</w:t>
      </w:r>
      <w:r w:rsidR="00CC13FE">
        <w:t xml:space="preserve"> intends to base the financial evaluation of bids on the total price submitted by bidders. This will </w:t>
      </w:r>
      <w:r w:rsidR="00162BDE">
        <w:t>account for 30% of the total score available, with the additional 70% being awarded on the basis of a quality score. Based on this 70%/30% split, the C</w:t>
      </w:r>
      <w:r>
        <w:t>ommissioner</w:t>
      </w:r>
      <w:r w:rsidR="00162BDE">
        <w:t xml:space="preserve"> intends to use a </w:t>
      </w:r>
      <w:r w:rsidR="00160F1C">
        <w:t>‘</w:t>
      </w:r>
      <w:r w:rsidR="00162BDE">
        <w:t>cap and collar</w:t>
      </w:r>
      <w:r w:rsidR="00160F1C">
        <w:t>’</w:t>
      </w:r>
      <w:r w:rsidR="00162BDE">
        <w:t xml:space="preserve"> approach along the following lines (noting that the indicative envelope below is subject to final agreement)</w:t>
      </w:r>
      <w:r>
        <w:t xml:space="preserve"> in order to award the finance score</w:t>
      </w:r>
      <w:r w:rsidR="00162BDE">
        <w:t>:</w:t>
      </w:r>
    </w:p>
    <w:tbl>
      <w:tblPr>
        <w:tblW w:w="9242" w:type="dxa"/>
        <w:tblCellMar>
          <w:left w:w="0" w:type="dxa"/>
          <w:right w:w="0" w:type="dxa"/>
        </w:tblCellMar>
        <w:tblLook w:val="04A0" w:firstRow="1" w:lastRow="0" w:firstColumn="1" w:lastColumn="0" w:noHBand="0" w:noVBand="1"/>
      </w:tblPr>
      <w:tblGrid>
        <w:gridCol w:w="4077"/>
        <w:gridCol w:w="5165"/>
      </w:tblGrid>
      <w:tr w:rsidR="00160F1C" w:rsidTr="00160F1C">
        <w:tc>
          <w:tcPr>
            <w:tcW w:w="4077"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160F1C" w:rsidRDefault="00160F1C">
            <w:pPr>
              <w:spacing w:before="60" w:after="60"/>
              <w:jc w:val="both"/>
              <w:rPr>
                <w:rFonts w:ascii="Calibri" w:hAnsi="Calibri"/>
                <w:b/>
                <w:bCs/>
                <w:color w:val="FFFFFF"/>
              </w:rPr>
            </w:pPr>
            <w:r>
              <w:rPr>
                <w:b/>
                <w:bCs/>
                <w:color w:val="FFFFFF"/>
              </w:rPr>
              <w:t>Evaluation methodology</w:t>
            </w:r>
          </w:p>
        </w:tc>
        <w:tc>
          <w:tcPr>
            <w:tcW w:w="5165"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160F1C" w:rsidRDefault="00160F1C">
            <w:pPr>
              <w:spacing w:before="60" w:after="60"/>
              <w:jc w:val="center"/>
              <w:rPr>
                <w:rFonts w:ascii="Calibri" w:hAnsi="Calibri"/>
                <w:b/>
                <w:bCs/>
                <w:color w:val="FFFFFF"/>
              </w:rPr>
            </w:pPr>
            <w:r>
              <w:rPr>
                <w:b/>
                <w:bCs/>
                <w:color w:val="FFFFFF"/>
              </w:rPr>
              <w:t>Scoring</w:t>
            </w:r>
          </w:p>
        </w:tc>
      </w:tr>
      <w:tr w:rsidR="00160F1C" w:rsidTr="00160F1C">
        <w:trPr>
          <w:trHeight w:val="292"/>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60F1C" w:rsidRDefault="00160F1C">
            <w:pPr>
              <w:rPr>
                <w:rFonts w:ascii="Calibri" w:hAnsi="Calibri"/>
                <w:i/>
                <w:iCs/>
                <w:lang w:eastAsia="en-GB"/>
              </w:rPr>
            </w:pPr>
            <w:r>
              <w:rPr>
                <w:i/>
                <w:iCs/>
                <w:lang w:eastAsia="en-GB"/>
              </w:rPr>
              <w:t>Envelope value p.a.  (£)</w:t>
            </w:r>
          </w:p>
        </w:tc>
        <w:tc>
          <w:tcPr>
            <w:tcW w:w="5165" w:type="dxa"/>
            <w:tcBorders>
              <w:top w:val="nil"/>
              <w:left w:val="nil"/>
              <w:bottom w:val="single" w:sz="8" w:space="0" w:color="auto"/>
              <w:right w:val="single" w:sz="8" w:space="0" w:color="auto"/>
            </w:tcBorders>
            <w:noWrap/>
            <w:tcMar>
              <w:top w:w="0" w:type="dxa"/>
              <w:left w:w="108" w:type="dxa"/>
              <w:bottom w:w="0" w:type="dxa"/>
              <w:right w:w="108" w:type="dxa"/>
            </w:tcMar>
            <w:hideMark/>
          </w:tcPr>
          <w:p w:rsidR="00160F1C" w:rsidRDefault="00160F1C">
            <w:pPr>
              <w:jc w:val="center"/>
              <w:rPr>
                <w:rFonts w:ascii="Calibri" w:hAnsi="Calibri"/>
                <w:lang w:eastAsia="en-GB"/>
              </w:rPr>
            </w:pPr>
            <w:r>
              <w:rPr>
                <w:lang w:eastAsia="en-GB"/>
              </w:rPr>
              <w:t>£21,500,000</w:t>
            </w:r>
          </w:p>
        </w:tc>
      </w:tr>
      <w:tr w:rsidR="00160F1C" w:rsidTr="00160F1C">
        <w:trPr>
          <w:trHeight w:val="268"/>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60F1C" w:rsidRDefault="00160F1C">
            <w:pPr>
              <w:rPr>
                <w:rFonts w:ascii="Calibri" w:hAnsi="Calibri"/>
                <w:lang w:eastAsia="en-GB"/>
              </w:rPr>
            </w:pPr>
            <w:r>
              <w:rPr>
                <w:lang w:eastAsia="en-GB"/>
              </w:rPr>
              <w:t>Maximum affordability limit (£) (“Cap”)</w:t>
            </w:r>
          </w:p>
        </w:tc>
        <w:tc>
          <w:tcPr>
            <w:tcW w:w="5165" w:type="dxa"/>
            <w:tcBorders>
              <w:top w:val="nil"/>
              <w:left w:val="nil"/>
              <w:bottom w:val="single" w:sz="8" w:space="0" w:color="auto"/>
              <w:right w:val="single" w:sz="8" w:space="0" w:color="auto"/>
            </w:tcBorders>
            <w:noWrap/>
            <w:tcMar>
              <w:top w:w="0" w:type="dxa"/>
              <w:left w:w="108" w:type="dxa"/>
              <w:bottom w:w="0" w:type="dxa"/>
              <w:right w:w="108" w:type="dxa"/>
            </w:tcMar>
            <w:hideMark/>
          </w:tcPr>
          <w:p w:rsidR="00160F1C" w:rsidRDefault="00160F1C">
            <w:pPr>
              <w:jc w:val="center"/>
              <w:rPr>
                <w:rFonts w:ascii="Calibri" w:hAnsi="Calibri"/>
                <w:lang w:eastAsia="en-GB"/>
              </w:rPr>
            </w:pPr>
            <w:r>
              <w:rPr>
                <w:lang w:eastAsia="en-GB"/>
              </w:rPr>
              <w:t>£22,500,000</w:t>
            </w:r>
          </w:p>
        </w:tc>
      </w:tr>
      <w:tr w:rsidR="00160F1C" w:rsidTr="00160F1C">
        <w:trPr>
          <w:trHeight w:val="272"/>
        </w:trPr>
        <w:tc>
          <w:tcPr>
            <w:tcW w:w="40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0F1C" w:rsidRDefault="00160F1C">
            <w:pPr>
              <w:rPr>
                <w:rFonts w:ascii="Calibri" w:hAnsi="Calibri"/>
                <w:i/>
                <w:iCs/>
                <w:lang w:eastAsia="en-GB"/>
              </w:rPr>
            </w:pPr>
            <w:r>
              <w:rPr>
                <w:i/>
                <w:iCs/>
                <w:lang w:eastAsia="en-GB"/>
              </w:rPr>
              <w:t>Lower Affordability  (£) (“Collar”)</w:t>
            </w:r>
          </w:p>
        </w:tc>
        <w:tc>
          <w:tcPr>
            <w:tcW w:w="5165" w:type="dxa"/>
            <w:tcBorders>
              <w:top w:val="nil"/>
              <w:left w:val="nil"/>
              <w:bottom w:val="single" w:sz="8" w:space="0" w:color="auto"/>
              <w:right w:val="single" w:sz="8" w:space="0" w:color="auto"/>
            </w:tcBorders>
            <w:noWrap/>
            <w:tcMar>
              <w:top w:w="0" w:type="dxa"/>
              <w:left w:w="108" w:type="dxa"/>
              <w:bottom w:w="0" w:type="dxa"/>
              <w:right w:w="108" w:type="dxa"/>
            </w:tcMar>
            <w:hideMark/>
          </w:tcPr>
          <w:p w:rsidR="00160F1C" w:rsidRDefault="00160F1C">
            <w:pPr>
              <w:jc w:val="center"/>
              <w:rPr>
                <w:rFonts w:ascii="Calibri" w:hAnsi="Calibri"/>
                <w:lang w:eastAsia="en-GB"/>
              </w:rPr>
            </w:pPr>
            <w:r>
              <w:rPr>
                <w:lang w:eastAsia="en-GB"/>
              </w:rPr>
              <w:t>£20,500,000</w:t>
            </w:r>
          </w:p>
        </w:tc>
      </w:tr>
      <w:tr w:rsidR="00160F1C" w:rsidTr="00160F1C">
        <w:trPr>
          <w:trHeight w:val="276"/>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60F1C" w:rsidRDefault="00160F1C">
            <w:pPr>
              <w:rPr>
                <w:rFonts w:ascii="Calibri" w:hAnsi="Calibri"/>
                <w:color w:val="000000"/>
                <w:lang w:eastAsia="en-GB"/>
              </w:rPr>
            </w:pPr>
            <w:r>
              <w:rPr>
                <w:color w:val="000000"/>
                <w:lang w:eastAsia="en-GB"/>
              </w:rPr>
              <w:t>Quality Weighting</w:t>
            </w:r>
            <w:proofErr w:type="gramStart"/>
            <w:r>
              <w:rPr>
                <w:color w:val="000000"/>
                <w:lang w:eastAsia="en-GB"/>
              </w:rPr>
              <w:t>  (</w:t>
            </w:r>
            <w:proofErr w:type="gramEnd"/>
            <w:r>
              <w:rPr>
                <w:color w:val="000000"/>
                <w:lang w:eastAsia="en-GB"/>
              </w:rPr>
              <w:t>%)</w:t>
            </w:r>
          </w:p>
        </w:tc>
        <w:tc>
          <w:tcPr>
            <w:tcW w:w="5165" w:type="dxa"/>
            <w:tcBorders>
              <w:top w:val="nil"/>
              <w:left w:val="nil"/>
              <w:bottom w:val="single" w:sz="8" w:space="0" w:color="auto"/>
              <w:right w:val="single" w:sz="8" w:space="0" w:color="auto"/>
            </w:tcBorders>
            <w:noWrap/>
            <w:tcMar>
              <w:top w:w="0" w:type="dxa"/>
              <w:left w:w="108" w:type="dxa"/>
              <w:bottom w:w="0" w:type="dxa"/>
              <w:right w:w="108" w:type="dxa"/>
            </w:tcMar>
            <w:hideMark/>
          </w:tcPr>
          <w:p w:rsidR="00160F1C" w:rsidRDefault="00160F1C">
            <w:pPr>
              <w:jc w:val="center"/>
              <w:rPr>
                <w:rFonts w:ascii="Calibri" w:hAnsi="Calibri"/>
                <w:lang w:eastAsia="en-GB"/>
              </w:rPr>
            </w:pPr>
            <w:r>
              <w:rPr>
                <w:lang w:eastAsia="en-GB"/>
              </w:rPr>
              <w:t>70</w:t>
            </w:r>
          </w:p>
        </w:tc>
      </w:tr>
      <w:tr w:rsidR="00160F1C" w:rsidTr="00160F1C">
        <w:trPr>
          <w:trHeight w:val="266"/>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60F1C" w:rsidRDefault="00160F1C">
            <w:pPr>
              <w:rPr>
                <w:rFonts w:ascii="Calibri" w:hAnsi="Calibri"/>
                <w:color w:val="000000"/>
                <w:lang w:eastAsia="en-GB"/>
              </w:rPr>
            </w:pPr>
            <w:r>
              <w:rPr>
                <w:color w:val="000000"/>
                <w:lang w:eastAsia="en-GB"/>
              </w:rPr>
              <w:t xml:space="preserve">Finance (Price) </w:t>
            </w:r>
            <w:proofErr w:type="gramStart"/>
            <w:r>
              <w:rPr>
                <w:color w:val="000000"/>
                <w:lang w:eastAsia="en-GB"/>
              </w:rPr>
              <w:t xml:space="preserve">Weighting </w:t>
            </w:r>
            <w:r>
              <w:rPr>
                <w:i/>
                <w:iCs/>
                <w:color w:val="000000"/>
                <w:lang w:eastAsia="en-GB"/>
              </w:rPr>
              <w:t> (</w:t>
            </w:r>
            <w:proofErr w:type="gramEnd"/>
            <w:r>
              <w:rPr>
                <w:i/>
                <w:iCs/>
                <w:color w:val="000000"/>
                <w:lang w:eastAsia="en-GB"/>
              </w:rPr>
              <w:t>%)</w:t>
            </w:r>
          </w:p>
        </w:tc>
        <w:tc>
          <w:tcPr>
            <w:tcW w:w="5165" w:type="dxa"/>
            <w:tcBorders>
              <w:top w:val="nil"/>
              <w:left w:val="nil"/>
              <w:bottom w:val="single" w:sz="8" w:space="0" w:color="auto"/>
              <w:right w:val="single" w:sz="8" w:space="0" w:color="auto"/>
            </w:tcBorders>
            <w:noWrap/>
            <w:tcMar>
              <w:top w:w="0" w:type="dxa"/>
              <w:left w:w="108" w:type="dxa"/>
              <w:bottom w:w="0" w:type="dxa"/>
              <w:right w:w="108" w:type="dxa"/>
            </w:tcMar>
            <w:hideMark/>
          </w:tcPr>
          <w:p w:rsidR="00160F1C" w:rsidRDefault="00160F1C">
            <w:pPr>
              <w:jc w:val="center"/>
              <w:rPr>
                <w:rFonts w:ascii="Calibri" w:hAnsi="Calibri"/>
                <w:lang w:eastAsia="en-GB"/>
              </w:rPr>
            </w:pPr>
            <w:r>
              <w:rPr>
                <w:lang w:eastAsia="en-GB"/>
              </w:rPr>
              <w:t>30</w:t>
            </w:r>
          </w:p>
        </w:tc>
      </w:tr>
      <w:tr w:rsidR="00160F1C" w:rsidTr="00160F1C">
        <w:trPr>
          <w:trHeight w:val="284"/>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60F1C" w:rsidRDefault="00160F1C">
            <w:pPr>
              <w:rPr>
                <w:rFonts w:ascii="Calibri" w:hAnsi="Calibri"/>
                <w:color w:val="000000"/>
                <w:lang w:eastAsia="en-GB"/>
              </w:rPr>
            </w:pPr>
            <w:r>
              <w:rPr>
                <w:color w:val="000000"/>
                <w:lang w:eastAsia="en-GB"/>
              </w:rPr>
              <w:t>Lose points above envelope. 1 point every</w:t>
            </w:r>
          </w:p>
        </w:tc>
        <w:tc>
          <w:tcPr>
            <w:tcW w:w="5165" w:type="dxa"/>
            <w:tcBorders>
              <w:top w:val="nil"/>
              <w:left w:val="nil"/>
              <w:bottom w:val="single" w:sz="8" w:space="0" w:color="auto"/>
              <w:right w:val="single" w:sz="8" w:space="0" w:color="auto"/>
            </w:tcBorders>
            <w:noWrap/>
            <w:tcMar>
              <w:top w:w="0" w:type="dxa"/>
              <w:left w:w="108" w:type="dxa"/>
              <w:bottom w:w="0" w:type="dxa"/>
              <w:right w:w="108" w:type="dxa"/>
            </w:tcMar>
            <w:hideMark/>
          </w:tcPr>
          <w:p w:rsidR="00160F1C" w:rsidRDefault="00160F1C">
            <w:pPr>
              <w:jc w:val="center"/>
              <w:rPr>
                <w:rFonts w:ascii="Calibri" w:hAnsi="Calibri"/>
                <w:lang w:eastAsia="en-GB"/>
              </w:rPr>
            </w:pPr>
            <w:r>
              <w:rPr>
                <w:lang w:eastAsia="en-GB"/>
              </w:rPr>
              <w:t>£50,000</w:t>
            </w:r>
          </w:p>
        </w:tc>
      </w:tr>
      <w:tr w:rsidR="00160F1C" w:rsidTr="00160F1C">
        <w:trPr>
          <w:trHeight w:val="260"/>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60F1C" w:rsidRDefault="00160F1C">
            <w:pPr>
              <w:rPr>
                <w:rFonts w:ascii="Calibri" w:hAnsi="Calibri"/>
                <w:color w:val="000000"/>
                <w:lang w:eastAsia="en-GB"/>
              </w:rPr>
            </w:pPr>
            <w:r>
              <w:rPr>
                <w:color w:val="000000"/>
                <w:lang w:eastAsia="en-GB"/>
              </w:rPr>
              <w:t>Gain points below envelope. 1 point every</w:t>
            </w:r>
          </w:p>
        </w:tc>
        <w:tc>
          <w:tcPr>
            <w:tcW w:w="5165" w:type="dxa"/>
            <w:tcBorders>
              <w:top w:val="nil"/>
              <w:left w:val="nil"/>
              <w:bottom w:val="single" w:sz="8" w:space="0" w:color="auto"/>
              <w:right w:val="single" w:sz="8" w:space="0" w:color="auto"/>
            </w:tcBorders>
            <w:noWrap/>
            <w:tcMar>
              <w:top w:w="0" w:type="dxa"/>
              <w:left w:w="108" w:type="dxa"/>
              <w:bottom w:w="0" w:type="dxa"/>
              <w:right w:w="108" w:type="dxa"/>
            </w:tcMar>
            <w:hideMark/>
          </w:tcPr>
          <w:p w:rsidR="00160F1C" w:rsidRDefault="00160F1C">
            <w:pPr>
              <w:jc w:val="center"/>
              <w:rPr>
                <w:rFonts w:ascii="Calibri" w:hAnsi="Calibri"/>
                <w:lang w:eastAsia="en-GB"/>
              </w:rPr>
            </w:pPr>
            <w:r>
              <w:rPr>
                <w:lang w:eastAsia="en-GB"/>
              </w:rPr>
              <w:t>£100,000</w:t>
            </w:r>
          </w:p>
        </w:tc>
      </w:tr>
      <w:tr w:rsidR="00160F1C" w:rsidTr="00160F1C">
        <w:trPr>
          <w:trHeight w:val="264"/>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60F1C" w:rsidRDefault="00160F1C">
            <w:pPr>
              <w:rPr>
                <w:rFonts w:ascii="Calibri" w:hAnsi="Calibri"/>
                <w:color w:val="000000"/>
                <w:lang w:eastAsia="en-GB"/>
              </w:rPr>
            </w:pPr>
            <w:r>
              <w:rPr>
                <w:color w:val="000000"/>
                <w:lang w:eastAsia="en-GB"/>
              </w:rPr>
              <w:t>Score for Envelope</w:t>
            </w:r>
          </w:p>
        </w:tc>
        <w:tc>
          <w:tcPr>
            <w:tcW w:w="5165" w:type="dxa"/>
            <w:tcBorders>
              <w:top w:val="nil"/>
              <w:left w:val="nil"/>
              <w:bottom w:val="single" w:sz="8" w:space="0" w:color="auto"/>
              <w:right w:val="single" w:sz="8" w:space="0" w:color="auto"/>
            </w:tcBorders>
            <w:noWrap/>
            <w:tcMar>
              <w:top w:w="0" w:type="dxa"/>
              <w:left w:w="108" w:type="dxa"/>
              <w:bottom w:w="0" w:type="dxa"/>
              <w:right w:w="108" w:type="dxa"/>
            </w:tcMar>
            <w:hideMark/>
          </w:tcPr>
          <w:p w:rsidR="00160F1C" w:rsidRDefault="00160F1C">
            <w:pPr>
              <w:jc w:val="center"/>
              <w:rPr>
                <w:rFonts w:ascii="Calibri" w:hAnsi="Calibri"/>
                <w:lang w:eastAsia="en-GB"/>
              </w:rPr>
            </w:pPr>
            <w:r>
              <w:rPr>
                <w:lang w:eastAsia="en-GB"/>
              </w:rPr>
              <w:t>20</w:t>
            </w:r>
          </w:p>
        </w:tc>
      </w:tr>
    </w:tbl>
    <w:p w:rsidR="00F35C55" w:rsidRDefault="00F35C55" w:rsidP="00F35C55">
      <w:pPr>
        <w:spacing w:after="120"/>
        <w:jc w:val="both"/>
      </w:pPr>
    </w:p>
    <w:p w:rsidR="00160F1C" w:rsidRDefault="00160F1C" w:rsidP="00F35C55">
      <w:pPr>
        <w:spacing w:after="120"/>
        <w:jc w:val="both"/>
      </w:pPr>
      <w:r>
        <w:t>This would mean that:</w:t>
      </w:r>
    </w:p>
    <w:p w:rsidR="00160F1C" w:rsidRDefault="00160F1C" w:rsidP="00160F1C">
      <w:pPr>
        <w:pStyle w:val="ListParagraph"/>
        <w:numPr>
          <w:ilvl w:val="0"/>
          <w:numId w:val="28"/>
        </w:numPr>
        <w:spacing w:after="0" w:line="240" w:lineRule="auto"/>
        <w:contextualSpacing w:val="0"/>
      </w:pPr>
      <w:r>
        <w:t>20 points awarded to bids priced at the envelope of £21.5m</w:t>
      </w:r>
    </w:p>
    <w:p w:rsidR="00160F1C" w:rsidRDefault="00160F1C" w:rsidP="00160F1C">
      <w:pPr>
        <w:pStyle w:val="ListParagraph"/>
        <w:numPr>
          <w:ilvl w:val="0"/>
          <w:numId w:val="28"/>
        </w:numPr>
        <w:spacing w:after="0" w:line="240" w:lineRule="auto"/>
        <w:contextualSpacing w:val="0"/>
      </w:pPr>
      <w:r>
        <w:t>Increasing points awarded based on cost below the envelope up to 30 points awarded at the Collar (with no further points for going below £20.5m)</w:t>
      </w:r>
    </w:p>
    <w:p w:rsidR="00160F1C" w:rsidRDefault="00160F1C" w:rsidP="00160F1C">
      <w:pPr>
        <w:pStyle w:val="ListParagraph"/>
        <w:numPr>
          <w:ilvl w:val="0"/>
          <w:numId w:val="28"/>
        </w:numPr>
        <w:spacing w:after="0" w:line="240" w:lineRule="auto"/>
        <w:contextualSpacing w:val="0"/>
      </w:pPr>
      <w:r>
        <w:t xml:space="preserve">Points deducted down to 0 points for bids priced at or above the Cap </w:t>
      </w:r>
    </w:p>
    <w:p w:rsidR="00160F1C" w:rsidRPr="00160F1C" w:rsidRDefault="00160F1C" w:rsidP="00160F1C">
      <w:pPr>
        <w:pStyle w:val="ListParagraph"/>
        <w:numPr>
          <w:ilvl w:val="0"/>
          <w:numId w:val="28"/>
        </w:numPr>
        <w:spacing w:after="0" w:line="240" w:lineRule="auto"/>
        <w:contextualSpacing w:val="0"/>
        <w:rPr>
          <w:i/>
        </w:rPr>
      </w:pPr>
      <w:r w:rsidRPr="00160F1C">
        <w:rPr>
          <w:i/>
        </w:rPr>
        <w:t>Any</w:t>
      </w:r>
      <w:r w:rsidRPr="00160F1C">
        <w:rPr>
          <w:i/>
          <w:iCs/>
        </w:rPr>
        <w:t xml:space="preserve"> submission whereby the bidder scores a finance score of nil will result in the total submission being rejected as a non- compliant bid</w:t>
      </w:r>
      <w:r w:rsidRPr="00160F1C">
        <w:rPr>
          <w:i/>
        </w:rPr>
        <w:t>.</w:t>
      </w:r>
    </w:p>
    <w:p w:rsidR="00160F1C" w:rsidRDefault="00160F1C" w:rsidP="00F35C55">
      <w:pPr>
        <w:spacing w:after="120"/>
        <w:jc w:val="both"/>
      </w:pPr>
    </w:p>
    <w:p w:rsidR="00D2068D" w:rsidRDefault="00CC13FE" w:rsidP="00D2068D">
      <w:pPr>
        <w:pStyle w:val="ListParagraph"/>
        <w:numPr>
          <w:ilvl w:val="1"/>
          <w:numId w:val="18"/>
        </w:numPr>
      </w:pPr>
      <w:r>
        <w:t>Do you understand the methodology and can you foresee an issue with it being used in order for t</w:t>
      </w:r>
      <w:r w:rsidR="00707C85">
        <w:t xml:space="preserve">he Commissioner </w:t>
      </w:r>
      <w:r>
        <w:t>to establish the best value for money bid? Please explain your rationale.</w:t>
      </w:r>
    </w:p>
    <w:tbl>
      <w:tblPr>
        <w:tblStyle w:val="TableGrid"/>
        <w:tblW w:w="0" w:type="auto"/>
        <w:tblLook w:val="04A0" w:firstRow="1" w:lastRow="0" w:firstColumn="1" w:lastColumn="0" w:noHBand="0" w:noVBand="1"/>
      </w:tblPr>
      <w:tblGrid>
        <w:gridCol w:w="9242"/>
      </w:tblGrid>
      <w:tr w:rsidR="00DC1EAC" w:rsidTr="00A95AF4">
        <w:tc>
          <w:tcPr>
            <w:tcW w:w="9242" w:type="dxa"/>
            <w:shd w:val="clear" w:color="auto" w:fill="F2F2F2" w:themeFill="background1" w:themeFillShade="F2"/>
          </w:tcPr>
          <w:p w:rsidR="00DC1EAC" w:rsidRDefault="00DC1EAC" w:rsidP="00A95AF4"/>
        </w:tc>
      </w:tr>
    </w:tbl>
    <w:p w:rsidR="00DC1EAC" w:rsidRDefault="00DC1EAC" w:rsidP="00DC1EAC">
      <w:pPr>
        <w:pStyle w:val="ListParagraph"/>
        <w:ind w:left="360"/>
      </w:pPr>
    </w:p>
    <w:p w:rsidR="00B92FA5" w:rsidRPr="00840CC0" w:rsidRDefault="00DC1EAC" w:rsidP="00B92FA5">
      <w:pPr>
        <w:spacing w:after="0"/>
        <w:rPr>
          <w:b/>
          <w:u w:val="single"/>
        </w:rPr>
      </w:pPr>
      <w:r>
        <w:rPr>
          <w:b/>
          <w:u w:val="single"/>
        </w:rPr>
        <w:t>Section 3</w:t>
      </w:r>
      <w:r w:rsidR="00B92FA5">
        <w:rPr>
          <w:b/>
          <w:u w:val="single"/>
        </w:rPr>
        <w:t xml:space="preserve"> </w:t>
      </w:r>
      <w:r w:rsidR="00CC13FE">
        <w:rPr>
          <w:b/>
          <w:u w:val="single"/>
        </w:rPr>
        <w:t>–</w:t>
      </w:r>
      <w:r w:rsidR="00B92FA5">
        <w:rPr>
          <w:b/>
          <w:u w:val="single"/>
        </w:rPr>
        <w:t xml:space="preserve"> </w:t>
      </w:r>
      <w:r w:rsidR="00CC13FE">
        <w:rPr>
          <w:b/>
          <w:u w:val="single"/>
        </w:rPr>
        <w:t>Mandated Infrastructure</w:t>
      </w:r>
    </w:p>
    <w:p w:rsidR="00B92FA5" w:rsidRDefault="00B92FA5" w:rsidP="00B92FA5">
      <w:pPr>
        <w:spacing w:after="0"/>
      </w:pPr>
    </w:p>
    <w:p w:rsidR="00D16E25" w:rsidRPr="00D16E25" w:rsidRDefault="00D16E25" w:rsidP="005170EF">
      <w:pPr>
        <w:jc w:val="both"/>
        <w:rPr>
          <w:b/>
        </w:rPr>
      </w:pPr>
      <w:r w:rsidRPr="00D16E25">
        <w:rPr>
          <w:b/>
        </w:rPr>
        <w:t>Estates</w:t>
      </w:r>
    </w:p>
    <w:p w:rsidR="005170EF" w:rsidRDefault="005170EF" w:rsidP="005170EF">
      <w:pPr>
        <w:jc w:val="both"/>
      </w:pPr>
      <w:r>
        <w:t xml:space="preserve">In line with the Medway Model and the ambition to deliver services to the six defined localities (Gillingham, </w:t>
      </w:r>
      <w:proofErr w:type="spellStart"/>
      <w:r>
        <w:t>Rainham</w:t>
      </w:r>
      <w:proofErr w:type="spellEnd"/>
      <w:r>
        <w:t xml:space="preserve">, Chatham, </w:t>
      </w:r>
      <w:proofErr w:type="spellStart"/>
      <w:r>
        <w:t>Lordswood</w:t>
      </w:r>
      <w:proofErr w:type="spellEnd"/>
      <w:r>
        <w:t xml:space="preserve">, Rochester and </w:t>
      </w:r>
      <w:proofErr w:type="spellStart"/>
      <w:r>
        <w:t>Strood</w:t>
      </w:r>
      <w:proofErr w:type="spellEnd"/>
      <w:r>
        <w:t xml:space="preserve"> (including the Peninsula)), the Commissioner intends to mandate that the Provider will deliver patient-facing activity (excluding home visits for housebound patients and bed-based care) from the four existing Health Living Centres (HLCs) in Gillingham, </w:t>
      </w:r>
      <w:proofErr w:type="spellStart"/>
      <w:r>
        <w:t>Rainham</w:t>
      </w:r>
      <w:proofErr w:type="spellEnd"/>
      <w:r>
        <w:t xml:space="preserve">, </w:t>
      </w:r>
      <w:proofErr w:type="spellStart"/>
      <w:r>
        <w:t>Lordswood</w:t>
      </w:r>
      <w:proofErr w:type="spellEnd"/>
      <w:r>
        <w:t xml:space="preserve"> and Rochester. Whilst two new HLCs are planned for the Chatham and </w:t>
      </w:r>
      <w:proofErr w:type="spellStart"/>
      <w:r>
        <w:t>Strood</w:t>
      </w:r>
      <w:proofErr w:type="spellEnd"/>
      <w:r>
        <w:t xml:space="preserve"> localities, these will not be ready for occupation at the commencement of the contract. Until these are ready, the Commissioner intends to mandate that either existing HLCs</w:t>
      </w:r>
      <w:r w:rsidR="00D16E25">
        <w:t xml:space="preserve"> are used on an expanded scale </w:t>
      </w:r>
      <w:r>
        <w:t xml:space="preserve">or alternative locations for these populations </w:t>
      </w:r>
      <w:r w:rsidR="00D16E25">
        <w:t xml:space="preserve">may be found </w:t>
      </w:r>
      <w:r>
        <w:t>as an interim measure.</w:t>
      </w:r>
    </w:p>
    <w:p w:rsidR="005170EF" w:rsidRDefault="005170EF" w:rsidP="005170EF">
      <w:proofErr w:type="spellStart"/>
      <w:r>
        <w:t>Rainham</w:t>
      </w:r>
      <w:proofErr w:type="spellEnd"/>
      <w:r>
        <w:t xml:space="preserve"> locality – </w:t>
      </w:r>
      <w:proofErr w:type="spellStart"/>
      <w:r>
        <w:t>Rainham</w:t>
      </w:r>
      <w:proofErr w:type="spellEnd"/>
      <w:r>
        <w:t xml:space="preserve"> Healthy Living Centre, 103-107 High Street, </w:t>
      </w:r>
      <w:proofErr w:type="spellStart"/>
      <w:r>
        <w:t>Rainham</w:t>
      </w:r>
      <w:proofErr w:type="spellEnd"/>
      <w:r>
        <w:t>, ME8 8AA</w:t>
      </w:r>
    </w:p>
    <w:p w:rsidR="005170EF" w:rsidRDefault="005170EF" w:rsidP="005170EF">
      <w:pPr>
        <w:jc w:val="both"/>
      </w:pPr>
      <w:r>
        <w:t xml:space="preserve">Gillingham locality – Gillingham Healthy Living Centre, </w:t>
      </w:r>
      <w:proofErr w:type="spellStart"/>
      <w:r>
        <w:t>Balmoral</w:t>
      </w:r>
      <w:proofErr w:type="spellEnd"/>
      <w:r>
        <w:t xml:space="preserve"> Gardens, Gillingham, ME7 4PN</w:t>
      </w:r>
    </w:p>
    <w:p w:rsidR="005170EF" w:rsidRDefault="005170EF" w:rsidP="005170EF">
      <w:pPr>
        <w:jc w:val="both"/>
      </w:pPr>
      <w:proofErr w:type="spellStart"/>
      <w:r>
        <w:t>Lordswood</w:t>
      </w:r>
      <w:proofErr w:type="spellEnd"/>
      <w:r>
        <w:t xml:space="preserve"> locality – </w:t>
      </w:r>
      <w:proofErr w:type="spellStart"/>
      <w:r>
        <w:t>Lordswood</w:t>
      </w:r>
      <w:proofErr w:type="spellEnd"/>
      <w:r>
        <w:t xml:space="preserve"> Healthy Living Centre, Sultan Road, Chatham, ME5 8TJ</w:t>
      </w:r>
    </w:p>
    <w:p w:rsidR="005170EF" w:rsidRDefault="005170EF" w:rsidP="005170EF">
      <w:pPr>
        <w:jc w:val="both"/>
      </w:pPr>
      <w:r>
        <w:t xml:space="preserve">Rochester locality – Rochester Healthy Living Centre, </w:t>
      </w:r>
      <w:proofErr w:type="spellStart"/>
      <w:r>
        <w:t>Delce</w:t>
      </w:r>
      <w:proofErr w:type="spellEnd"/>
      <w:r>
        <w:t xml:space="preserve"> Road, Rochester, ME1 2EL</w:t>
      </w:r>
    </w:p>
    <w:p w:rsidR="005170EF" w:rsidRDefault="005170EF" w:rsidP="005170EF">
      <w:pPr>
        <w:jc w:val="both"/>
      </w:pPr>
      <w:r>
        <w:t xml:space="preserve">Chatham locality – Rochester HLC, Gillingham HLC, </w:t>
      </w:r>
      <w:proofErr w:type="spellStart"/>
      <w:r>
        <w:t>Lordswood</w:t>
      </w:r>
      <w:proofErr w:type="spellEnd"/>
      <w:r>
        <w:t xml:space="preserve"> HLC</w:t>
      </w:r>
    </w:p>
    <w:p w:rsidR="005170EF" w:rsidRDefault="005170EF" w:rsidP="005170EF">
      <w:pPr>
        <w:jc w:val="both"/>
      </w:pPr>
      <w:proofErr w:type="spellStart"/>
      <w:r>
        <w:t>Strood</w:t>
      </w:r>
      <w:proofErr w:type="spellEnd"/>
      <w:r>
        <w:t xml:space="preserve"> locality – Rochester HLC plus existing NHS Property Services premises in the locality (TBC)</w:t>
      </w:r>
    </w:p>
    <w:p w:rsidR="00CC13FE" w:rsidRPr="00D16E25" w:rsidRDefault="005170EF" w:rsidP="00D16E25">
      <w:pPr>
        <w:jc w:val="both"/>
      </w:pPr>
      <w:r>
        <w:t>In addition, the Wisdo</w:t>
      </w:r>
      <w:r w:rsidR="00D16E25">
        <w:t xml:space="preserve">m Hospice and </w:t>
      </w:r>
      <w:proofErr w:type="spellStart"/>
      <w:r w:rsidR="00D16E25">
        <w:t>Goodyer</w:t>
      </w:r>
      <w:proofErr w:type="spellEnd"/>
      <w:r w:rsidR="00D16E25">
        <w:t xml:space="preserve"> House are expected to</w:t>
      </w:r>
      <w:r>
        <w:t xml:space="preserve"> be </w:t>
      </w:r>
      <w:r w:rsidR="00D16E25">
        <w:t>mandated for use</w:t>
      </w:r>
      <w:r>
        <w:t xml:space="preserve"> as the base for specialist palliative care services and functions.</w:t>
      </w:r>
      <w:r w:rsidR="00D16E25">
        <w:t xml:space="preserve"> </w:t>
      </w:r>
      <w:r>
        <w:t xml:space="preserve">The Commissioner </w:t>
      </w:r>
      <w:r w:rsidR="00D16E25">
        <w:t>intends to</w:t>
      </w:r>
      <w:r>
        <w:t xml:space="preserve"> work with Community Health Partnerships and NHS Property Services to ensure that the mandated space is available for patient-facing activity. The Commissioner is not mandating the location of non-clinical space.</w:t>
      </w:r>
    </w:p>
    <w:p w:rsidR="00CC13FE" w:rsidRDefault="00B92FA5" w:rsidP="00DC1EAC">
      <w:pPr>
        <w:pStyle w:val="ListParagraph"/>
        <w:numPr>
          <w:ilvl w:val="1"/>
          <w:numId w:val="19"/>
        </w:numPr>
        <w:spacing w:after="0"/>
      </w:pPr>
      <w:r>
        <w:t xml:space="preserve">Do you have any concerns about </w:t>
      </w:r>
      <w:r w:rsidR="00CC13FE">
        <w:t>the use of the Healthy Living Centres as a mandated element of the estates requirement? Please explain what these are.</w:t>
      </w:r>
    </w:p>
    <w:tbl>
      <w:tblPr>
        <w:tblStyle w:val="TableGrid"/>
        <w:tblW w:w="0" w:type="auto"/>
        <w:tblLook w:val="04A0" w:firstRow="1" w:lastRow="0" w:firstColumn="1" w:lastColumn="0" w:noHBand="0" w:noVBand="1"/>
      </w:tblPr>
      <w:tblGrid>
        <w:gridCol w:w="9242"/>
      </w:tblGrid>
      <w:tr w:rsidR="00B92FA5" w:rsidTr="00B92FA5">
        <w:tc>
          <w:tcPr>
            <w:tcW w:w="9242" w:type="dxa"/>
            <w:shd w:val="clear" w:color="auto" w:fill="F2F2F2" w:themeFill="background1" w:themeFillShade="F2"/>
          </w:tcPr>
          <w:p w:rsidR="00B92FA5" w:rsidRDefault="00B92FA5" w:rsidP="00B92FA5"/>
        </w:tc>
      </w:tr>
    </w:tbl>
    <w:p w:rsidR="00DC1EAC" w:rsidRDefault="00DC1EAC" w:rsidP="00B92FA5">
      <w:pPr>
        <w:spacing w:after="0"/>
      </w:pPr>
    </w:p>
    <w:p w:rsidR="00B92FA5" w:rsidRDefault="00B92FA5" w:rsidP="00DC1EAC">
      <w:pPr>
        <w:pStyle w:val="ListParagraph"/>
        <w:numPr>
          <w:ilvl w:val="1"/>
          <w:numId w:val="19"/>
        </w:numPr>
        <w:spacing w:after="0"/>
      </w:pPr>
      <w:r>
        <w:t xml:space="preserve">Are there are any </w:t>
      </w:r>
      <w:r w:rsidR="00162BDE">
        <w:t>flexibilities on service locations that you would seek from the Commissioner? Please specify what these would be and why.</w:t>
      </w:r>
    </w:p>
    <w:tbl>
      <w:tblPr>
        <w:tblStyle w:val="TableGrid"/>
        <w:tblW w:w="0" w:type="auto"/>
        <w:tblLook w:val="04A0" w:firstRow="1" w:lastRow="0" w:firstColumn="1" w:lastColumn="0" w:noHBand="0" w:noVBand="1"/>
      </w:tblPr>
      <w:tblGrid>
        <w:gridCol w:w="9242"/>
      </w:tblGrid>
      <w:tr w:rsidR="00B92FA5" w:rsidTr="00B92FA5">
        <w:tc>
          <w:tcPr>
            <w:tcW w:w="9242" w:type="dxa"/>
            <w:shd w:val="clear" w:color="auto" w:fill="F2F2F2" w:themeFill="background1" w:themeFillShade="F2"/>
          </w:tcPr>
          <w:p w:rsidR="00B92FA5" w:rsidRDefault="00B92FA5" w:rsidP="00B92FA5"/>
        </w:tc>
      </w:tr>
    </w:tbl>
    <w:p w:rsidR="00B92FA5" w:rsidRDefault="00B92FA5" w:rsidP="00B92FA5"/>
    <w:p w:rsidR="00B92FA5" w:rsidRDefault="00B92FA5" w:rsidP="00DC1EAC">
      <w:pPr>
        <w:pStyle w:val="ListParagraph"/>
        <w:numPr>
          <w:ilvl w:val="1"/>
          <w:numId w:val="19"/>
        </w:numPr>
        <w:spacing w:after="0"/>
      </w:pPr>
      <w:r>
        <w:t xml:space="preserve">Can you see the benefits of the </w:t>
      </w:r>
      <w:r w:rsidR="00DC1EAC">
        <w:t>use of</w:t>
      </w:r>
      <w:r w:rsidR="005170EF">
        <w:t xml:space="preserve"> the Healthy Living Centres</w:t>
      </w:r>
      <w:r w:rsidR="00DC1EAC">
        <w:t xml:space="preserve"> </w:t>
      </w:r>
      <w:r w:rsidR="005170EF">
        <w:t>to ensure the delivery of services at a local level and to encourage whole-system integration and collaboration</w:t>
      </w:r>
      <w:r w:rsidR="00DC1EAC">
        <w:t>?</w:t>
      </w:r>
      <w:r w:rsidR="005170EF">
        <w:t xml:space="preserve"> Please explain what you consider these benefits to be.</w:t>
      </w:r>
    </w:p>
    <w:tbl>
      <w:tblPr>
        <w:tblStyle w:val="TableGrid"/>
        <w:tblW w:w="0" w:type="auto"/>
        <w:tblLook w:val="04A0" w:firstRow="1" w:lastRow="0" w:firstColumn="1" w:lastColumn="0" w:noHBand="0" w:noVBand="1"/>
      </w:tblPr>
      <w:tblGrid>
        <w:gridCol w:w="9242"/>
      </w:tblGrid>
      <w:tr w:rsidR="00B92FA5" w:rsidTr="00B92FA5">
        <w:tc>
          <w:tcPr>
            <w:tcW w:w="9242" w:type="dxa"/>
            <w:shd w:val="clear" w:color="auto" w:fill="F2F2F2" w:themeFill="background1" w:themeFillShade="F2"/>
          </w:tcPr>
          <w:p w:rsidR="00B92FA5" w:rsidRDefault="00B92FA5" w:rsidP="00B92FA5"/>
        </w:tc>
      </w:tr>
    </w:tbl>
    <w:p w:rsidR="00B92FA5" w:rsidRDefault="00B92FA5" w:rsidP="00B92FA5"/>
    <w:p w:rsidR="005170EF" w:rsidRDefault="005170EF" w:rsidP="005170EF">
      <w:pPr>
        <w:pStyle w:val="ListParagraph"/>
        <w:numPr>
          <w:ilvl w:val="1"/>
          <w:numId w:val="19"/>
        </w:numPr>
      </w:pPr>
      <w:r>
        <w:t>Please describe any concerns that you may have on accommodating non-clinical workforce and functions</w:t>
      </w:r>
    </w:p>
    <w:tbl>
      <w:tblPr>
        <w:tblStyle w:val="TableGrid"/>
        <w:tblW w:w="0" w:type="auto"/>
        <w:tblLook w:val="04A0" w:firstRow="1" w:lastRow="0" w:firstColumn="1" w:lastColumn="0" w:noHBand="0" w:noVBand="1"/>
      </w:tblPr>
      <w:tblGrid>
        <w:gridCol w:w="9242"/>
      </w:tblGrid>
      <w:tr w:rsidR="005170EF" w:rsidTr="004C151D">
        <w:tc>
          <w:tcPr>
            <w:tcW w:w="9242" w:type="dxa"/>
            <w:shd w:val="clear" w:color="auto" w:fill="F2F2F2" w:themeFill="background1" w:themeFillShade="F2"/>
          </w:tcPr>
          <w:p w:rsidR="005170EF" w:rsidRDefault="005170EF" w:rsidP="004C151D"/>
        </w:tc>
      </w:tr>
    </w:tbl>
    <w:p w:rsidR="005170EF" w:rsidRDefault="005170EF" w:rsidP="005170EF">
      <w:pPr>
        <w:pStyle w:val="ListParagraph"/>
        <w:ind w:left="360"/>
      </w:pPr>
    </w:p>
    <w:p w:rsidR="005170EF" w:rsidRDefault="00D16E25" w:rsidP="00B92FA5">
      <w:pPr>
        <w:rPr>
          <w:b/>
        </w:rPr>
      </w:pPr>
      <w:r w:rsidRPr="00D16E25">
        <w:rPr>
          <w:b/>
        </w:rPr>
        <w:t>IT</w:t>
      </w:r>
    </w:p>
    <w:p w:rsidR="00D16E25" w:rsidRPr="00D16E25" w:rsidRDefault="00D16E25" w:rsidP="00B92FA5">
      <w:r w:rsidRPr="00D16E25">
        <w:t>The Commissioner intends to mandate the following in relation to IT requirements:</w:t>
      </w:r>
    </w:p>
    <w:p w:rsidR="00D16E25" w:rsidRPr="00D16E25" w:rsidRDefault="00D16E25" w:rsidP="00D16E25">
      <w:pPr>
        <w:pStyle w:val="ListParagraph"/>
        <w:numPr>
          <w:ilvl w:val="0"/>
          <w:numId w:val="26"/>
        </w:numPr>
        <w:spacing w:after="0"/>
      </w:pPr>
      <w:r w:rsidRPr="00D16E25">
        <w:t>Electronic Health Record system to be novated from the incumbent provider</w:t>
      </w:r>
    </w:p>
    <w:p w:rsidR="00D16E25" w:rsidRPr="00D16E25" w:rsidRDefault="00D16E25" w:rsidP="00D16E25">
      <w:pPr>
        <w:pStyle w:val="ListParagraph"/>
        <w:numPr>
          <w:ilvl w:val="0"/>
          <w:numId w:val="26"/>
        </w:numPr>
        <w:spacing w:after="0"/>
      </w:pPr>
      <w:r w:rsidRPr="00D16E25">
        <w:t>Raw HSCN to be the wide area network</w:t>
      </w:r>
    </w:p>
    <w:p w:rsidR="00D16E25" w:rsidRPr="00D16E25" w:rsidRDefault="00D16E25" w:rsidP="00D16E25">
      <w:pPr>
        <w:pStyle w:val="ListParagraph"/>
        <w:numPr>
          <w:ilvl w:val="0"/>
          <w:numId w:val="26"/>
        </w:numPr>
        <w:spacing w:after="0"/>
      </w:pPr>
      <w:r w:rsidRPr="00D16E25">
        <w:t xml:space="preserve">The Provider will be expected to </w:t>
      </w:r>
      <w:r>
        <w:t>cover within their bid price the</w:t>
      </w:r>
      <w:r w:rsidRPr="00D16E25">
        <w:t xml:space="preserve"> full HSCN and other networking costs for sites where they are the sole tenant</w:t>
      </w:r>
    </w:p>
    <w:p w:rsidR="00D16E25" w:rsidRDefault="00D16E25" w:rsidP="00D16E25">
      <w:pPr>
        <w:pStyle w:val="ListParagraph"/>
        <w:numPr>
          <w:ilvl w:val="0"/>
          <w:numId w:val="26"/>
        </w:numPr>
        <w:spacing w:after="0"/>
      </w:pPr>
      <w:r w:rsidRPr="00D16E25">
        <w:t xml:space="preserve">The Provider will be expected to </w:t>
      </w:r>
      <w:r>
        <w:t xml:space="preserve">cover within their bid price </w:t>
      </w:r>
      <w:r w:rsidRPr="00D16E25">
        <w:t>their share of  other networking costs for sites where they are not the sole tenant</w:t>
      </w:r>
    </w:p>
    <w:p w:rsidR="00D16E25" w:rsidRPr="00D16E25" w:rsidRDefault="00D16E25" w:rsidP="00D16E25">
      <w:pPr>
        <w:spacing w:after="0"/>
      </w:pPr>
    </w:p>
    <w:p w:rsidR="00C47BA8" w:rsidRDefault="00C47BA8" w:rsidP="00C47BA8">
      <w:pPr>
        <w:pStyle w:val="ListParagraph"/>
        <w:numPr>
          <w:ilvl w:val="1"/>
          <w:numId w:val="19"/>
        </w:numPr>
        <w:spacing w:after="0"/>
      </w:pPr>
      <w:r>
        <w:t>Do you have any concerns about the specific IT requirements as intended to be mandated by the Commissioner? Please specify what these are.</w:t>
      </w:r>
    </w:p>
    <w:tbl>
      <w:tblPr>
        <w:tblStyle w:val="TableGrid"/>
        <w:tblW w:w="0" w:type="auto"/>
        <w:tblLook w:val="04A0" w:firstRow="1" w:lastRow="0" w:firstColumn="1" w:lastColumn="0" w:noHBand="0" w:noVBand="1"/>
      </w:tblPr>
      <w:tblGrid>
        <w:gridCol w:w="9242"/>
      </w:tblGrid>
      <w:tr w:rsidR="00C47BA8" w:rsidTr="004C151D">
        <w:tc>
          <w:tcPr>
            <w:tcW w:w="9242" w:type="dxa"/>
            <w:shd w:val="clear" w:color="auto" w:fill="F2F2F2" w:themeFill="background1" w:themeFillShade="F2"/>
          </w:tcPr>
          <w:p w:rsidR="00C47BA8" w:rsidRDefault="00C47BA8" w:rsidP="004C151D"/>
        </w:tc>
      </w:tr>
    </w:tbl>
    <w:p w:rsidR="00C47BA8" w:rsidRDefault="00C47BA8" w:rsidP="00C47BA8">
      <w:pPr>
        <w:spacing w:after="0"/>
      </w:pPr>
    </w:p>
    <w:p w:rsidR="00C47BA8" w:rsidRDefault="00C47BA8" w:rsidP="00E22022">
      <w:pPr>
        <w:spacing w:after="0"/>
        <w:rPr>
          <w:b/>
          <w:u w:val="single"/>
        </w:rPr>
      </w:pPr>
    </w:p>
    <w:p w:rsidR="00B92FA5" w:rsidRDefault="00E30AE0" w:rsidP="00E22022">
      <w:pPr>
        <w:spacing w:after="0"/>
        <w:rPr>
          <w:b/>
          <w:u w:val="single"/>
        </w:rPr>
      </w:pPr>
      <w:r>
        <w:rPr>
          <w:b/>
          <w:u w:val="single"/>
        </w:rPr>
        <w:t>Section 4</w:t>
      </w:r>
      <w:r w:rsidR="00B92FA5">
        <w:rPr>
          <w:b/>
          <w:u w:val="single"/>
        </w:rPr>
        <w:t xml:space="preserve"> – </w:t>
      </w:r>
      <w:r>
        <w:rPr>
          <w:b/>
          <w:u w:val="single"/>
        </w:rPr>
        <w:t>Inclusion of Swale CCG Services</w:t>
      </w:r>
    </w:p>
    <w:p w:rsidR="00E30AE0" w:rsidRDefault="00E30AE0" w:rsidP="00E22022">
      <w:pPr>
        <w:spacing w:after="0"/>
        <w:rPr>
          <w:b/>
          <w:u w:val="single"/>
        </w:rPr>
      </w:pPr>
    </w:p>
    <w:p w:rsidR="00E30AE0" w:rsidRDefault="00E30AE0" w:rsidP="00E22022">
      <w:pPr>
        <w:spacing w:after="0"/>
      </w:pPr>
      <w:r>
        <w:t>The scope of the services included within this potential future contract may now be extended to also include the follow</w:t>
      </w:r>
      <w:r w:rsidR="00C47BA8">
        <w:t>ing service areas for Swale CCG. It is anticipated that there would be an estimated additional £1.1m added to the proposed financial envelope in order to allow for their inclusion.</w:t>
      </w:r>
    </w:p>
    <w:p w:rsidR="00E30AE0" w:rsidRDefault="00E30AE0" w:rsidP="00E22022">
      <w:pPr>
        <w:spacing w:after="0"/>
      </w:pPr>
    </w:p>
    <w:p w:rsidR="00C47BA8" w:rsidRDefault="00C47BA8" w:rsidP="00E22022">
      <w:pPr>
        <w:spacing w:after="0"/>
      </w:pPr>
      <w:r>
        <w:t xml:space="preserve">Services currently provided to Swale CCG that </w:t>
      </w:r>
      <w:proofErr w:type="gramStart"/>
      <w:r>
        <w:t>are</w:t>
      </w:r>
      <w:proofErr w:type="gramEnd"/>
      <w:r>
        <w:t xml:space="preserve"> proposed for inclusion:</w:t>
      </w:r>
    </w:p>
    <w:p w:rsidR="00C47BA8" w:rsidRPr="00C47BA8" w:rsidRDefault="00C47BA8" w:rsidP="00C47BA8">
      <w:pPr>
        <w:pStyle w:val="ListParagraph"/>
        <w:numPr>
          <w:ilvl w:val="1"/>
          <w:numId w:val="27"/>
        </w:numPr>
        <w:spacing w:after="0" w:line="240" w:lineRule="auto"/>
        <w:contextualSpacing w:val="0"/>
      </w:pPr>
      <w:r w:rsidRPr="00C47BA8">
        <w:t>Clinical Assessment Service including MSK triage</w:t>
      </w:r>
    </w:p>
    <w:p w:rsidR="00C47BA8" w:rsidRPr="00C47BA8" w:rsidRDefault="00C47BA8" w:rsidP="00C47BA8">
      <w:pPr>
        <w:pStyle w:val="ListParagraph"/>
        <w:numPr>
          <w:ilvl w:val="1"/>
          <w:numId w:val="27"/>
        </w:numPr>
        <w:spacing w:after="0" w:line="240" w:lineRule="auto"/>
        <w:contextualSpacing w:val="0"/>
      </w:pPr>
      <w:r w:rsidRPr="00C47BA8">
        <w:t>Nutrition and Dietetics</w:t>
      </w:r>
    </w:p>
    <w:p w:rsidR="00C47BA8" w:rsidRPr="00C47BA8" w:rsidRDefault="00C47BA8" w:rsidP="00C47BA8">
      <w:pPr>
        <w:pStyle w:val="ListParagraph"/>
        <w:numPr>
          <w:ilvl w:val="1"/>
          <w:numId w:val="27"/>
        </w:numPr>
        <w:spacing w:after="0" w:line="240" w:lineRule="auto"/>
        <w:contextualSpacing w:val="0"/>
      </w:pPr>
      <w:r w:rsidRPr="00C47BA8">
        <w:t>Hand Therapy</w:t>
      </w:r>
    </w:p>
    <w:p w:rsidR="00C47BA8" w:rsidRPr="00C47BA8" w:rsidRDefault="00C47BA8" w:rsidP="00C47BA8">
      <w:pPr>
        <w:pStyle w:val="ListParagraph"/>
        <w:numPr>
          <w:ilvl w:val="1"/>
          <w:numId w:val="27"/>
        </w:numPr>
        <w:spacing w:after="0" w:line="240" w:lineRule="auto"/>
        <w:contextualSpacing w:val="0"/>
      </w:pPr>
      <w:r w:rsidRPr="00C47BA8">
        <w:t>Specialist Palliative Care including Wisdom Hospice</w:t>
      </w:r>
    </w:p>
    <w:p w:rsidR="00C47BA8" w:rsidRDefault="00C47BA8" w:rsidP="00E22022">
      <w:pPr>
        <w:spacing w:after="0"/>
      </w:pPr>
    </w:p>
    <w:p w:rsidR="00E30AE0" w:rsidRDefault="00E30AE0" w:rsidP="00E22022">
      <w:pPr>
        <w:spacing w:after="0"/>
      </w:pPr>
      <w:r>
        <w:t>4.1 Can you see the benefits to patients and the Commissioners to the inclusion of these services? Please specify what you think these benefits could be.</w:t>
      </w:r>
    </w:p>
    <w:tbl>
      <w:tblPr>
        <w:tblStyle w:val="TableGrid"/>
        <w:tblW w:w="0" w:type="auto"/>
        <w:tblLook w:val="04A0" w:firstRow="1" w:lastRow="0" w:firstColumn="1" w:lastColumn="0" w:noHBand="0" w:noVBand="1"/>
      </w:tblPr>
      <w:tblGrid>
        <w:gridCol w:w="9242"/>
      </w:tblGrid>
      <w:tr w:rsidR="00E30AE0" w:rsidTr="00A95AF4">
        <w:tc>
          <w:tcPr>
            <w:tcW w:w="9242" w:type="dxa"/>
            <w:shd w:val="clear" w:color="auto" w:fill="F2F2F2" w:themeFill="background1" w:themeFillShade="F2"/>
          </w:tcPr>
          <w:p w:rsidR="00E30AE0" w:rsidRDefault="00E30AE0" w:rsidP="00A95AF4"/>
        </w:tc>
      </w:tr>
    </w:tbl>
    <w:p w:rsidR="00E30AE0" w:rsidRDefault="00E30AE0" w:rsidP="00E22022">
      <w:pPr>
        <w:spacing w:after="0"/>
      </w:pPr>
    </w:p>
    <w:p w:rsidR="00E30AE0" w:rsidRDefault="00E30AE0" w:rsidP="009064DC">
      <w:pPr>
        <w:spacing w:after="0"/>
      </w:pPr>
      <w:r>
        <w:t>4.2 Do you think the inclusion could present any additional challenges in terms of service model development or delivery? Please specify what you think these may be.</w:t>
      </w:r>
    </w:p>
    <w:tbl>
      <w:tblPr>
        <w:tblStyle w:val="TableGrid"/>
        <w:tblW w:w="0" w:type="auto"/>
        <w:tblLook w:val="04A0" w:firstRow="1" w:lastRow="0" w:firstColumn="1" w:lastColumn="0" w:noHBand="0" w:noVBand="1"/>
      </w:tblPr>
      <w:tblGrid>
        <w:gridCol w:w="9242"/>
      </w:tblGrid>
      <w:tr w:rsidR="00E30AE0" w:rsidTr="00A95AF4">
        <w:tc>
          <w:tcPr>
            <w:tcW w:w="9242" w:type="dxa"/>
            <w:shd w:val="clear" w:color="auto" w:fill="F2F2F2" w:themeFill="background1" w:themeFillShade="F2"/>
          </w:tcPr>
          <w:p w:rsidR="00E30AE0" w:rsidRDefault="00E30AE0" w:rsidP="00A95AF4"/>
        </w:tc>
      </w:tr>
    </w:tbl>
    <w:p w:rsidR="00E30AE0" w:rsidRPr="00E30AE0" w:rsidRDefault="00E30AE0" w:rsidP="00E22022">
      <w:pPr>
        <w:spacing w:after="0"/>
      </w:pPr>
    </w:p>
    <w:p w:rsidR="00E30AE0" w:rsidRDefault="00E30AE0" w:rsidP="00E22022">
      <w:pPr>
        <w:spacing w:after="0"/>
        <w:rPr>
          <w:b/>
          <w:u w:val="single"/>
        </w:rPr>
      </w:pPr>
    </w:p>
    <w:p w:rsidR="00E30AE0" w:rsidRDefault="00E30AE0" w:rsidP="00E30AE0">
      <w:pPr>
        <w:spacing w:after="0"/>
        <w:rPr>
          <w:b/>
          <w:u w:val="single"/>
        </w:rPr>
      </w:pPr>
      <w:r>
        <w:rPr>
          <w:b/>
          <w:u w:val="single"/>
        </w:rPr>
        <w:t>Section 5 – The Service Specifications</w:t>
      </w:r>
    </w:p>
    <w:p w:rsidR="00DC1EAC" w:rsidRDefault="00DC1EAC" w:rsidP="00E22022">
      <w:pPr>
        <w:spacing w:after="0"/>
        <w:rPr>
          <w:b/>
          <w:u w:val="single"/>
        </w:rPr>
      </w:pPr>
    </w:p>
    <w:p w:rsidR="00DC1EAC" w:rsidRPr="00DC1EAC" w:rsidRDefault="00DC1EAC" w:rsidP="00E22022">
      <w:pPr>
        <w:spacing w:after="0"/>
        <w:rPr>
          <w:b/>
          <w:color w:val="FF0000"/>
        </w:rPr>
      </w:pPr>
      <w:r w:rsidRPr="00DC1EAC">
        <w:rPr>
          <w:b/>
          <w:color w:val="FF0000"/>
        </w:rPr>
        <w:t>***</w:t>
      </w:r>
      <w:r w:rsidR="00E5245C">
        <w:rPr>
          <w:b/>
          <w:color w:val="FF0000"/>
        </w:rPr>
        <w:t>Please note: t</w:t>
      </w:r>
      <w:r w:rsidRPr="00DC1EAC">
        <w:rPr>
          <w:b/>
          <w:color w:val="FF0000"/>
        </w:rPr>
        <w:t>he</w:t>
      </w:r>
      <w:r w:rsidR="00DA3659" w:rsidRPr="00DA3659">
        <w:rPr>
          <w:b/>
          <w:color w:val="FF0000"/>
        </w:rPr>
        <w:t xml:space="preserve"> </w:t>
      </w:r>
      <w:r w:rsidR="00DA3659">
        <w:rPr>
          <w:b/>
          <w:color w:val="FF0000"/>
        </w:rPr>
        <w:t>Contracts Finder advert</w:t>
      </w:r>
      <w:r w:rsidR="00DA3659">
        <w:rPr>
          <w:b/>
          <w:color w:val="FF0000"/>
        </w:rPr>
        <w:t xml:space="preserve"> will be</w:t>
      </w:r>
      <w:r w:rsidRPr="00DC1EAC">
        <w:rPr>
          <w:b/>
          <w:color w:val="FF0000"/>
        </w:rPr>
        <w:t xml:space="preserve"> updated </w:t>
      </w:r>
      <w:r w:rsidR="00DA3659">
        <w:rPr>
          <w:b/>
          <w:color w:val="FF0000"/>
        </w:rPr>
        <w:t xml:space="preserve">to include the </w:t>
      </w:r>
      <w:r w:rsidRPr="00DC1EAC">
        <w:rPr>
          <w:b/>
          <w:color w:val="FF0000"/>
        </w:rPr>
        <w:t xml:space="preserve">draft specifications </w:t>
      </w:r>
      <w:r w:rsidR="00DA3659">
        <w:rPr>
          <w:b/>
          <w:color w:val="FF0000"/>
        </w:rPr>
        <w:t xml:space="preserve">available for download </w:t>
      </w:r>
      <w:r w:rsidRPr="00DC1EAC">
        <w:rPr>
          <w:b/>
          <w:color w:val="FF0000"/>
        </w:rPr>
        <w:t>on Tuesday 13</w:t>
      </w:r>
      <w:r w:rsidRPr="00DC1EAC">
        <w:rPr>
          <w:b/>
          <w:color w:val="FF0000"/>
          <w:vertAlign w:val="superscript"/>
        </w:rPr>
        <w:t>th</w:t>
      </w:r>
      <w:r w:rsidRPr="00DC1EAC">
        <w:rPr>
          <w:b/>
          <w:color w:val="FF0000"/>
        </w:rPr>
        <w:t xml:space="preserve"> </w:t>
      </w:r>
      <w:r w:rsidR="00DA3659" w:rsidRPr="00DC1EAC">
        <w:rPr>
          <w:b/>
          <w:color w:val="FF0000"/>
        </w:rPr>
        <w:t xml:space="preserve">November </w:t>
      </w:r>
      <w:r w:rsidR="00DA3659">
        <w:rPr>
          <w:b/>
          <w:color w:val="FF0000"/>
        </w:rPr>
        <w:t>2018</w:t>
      </w:r>
      <w:r w:rsidRPr="00DC1EAC">
        <w:rPr>
          <w:b/>
          <w:color w:val="FF0000"/>
        </w:rPr>
        <w:t>***</w:t>
      </w:r>
    </w:p>
    <w:p w:rsidR="00E30AE0" w:rsidRDefault="00E30AE0" w:rsidP="00DC1EAC">
      <w:pPr>
        <w:spacing w:after="0"/>
        <w:rPr>
          <w:b/>
          <w:u w:val="single"/>
        </w:rPr>
      </w:pPr>
    </w:p>
    <w:p w:rsidR="00B92FA5" w:rsidRDefault="00E30AE0" w:rsidP="00E30AE0">
      <w:pPr>
        <w:spacing w:after="0"/>
        <w:ind w:left="426" w:hanging="426"/>
      </w:pPr>
      <w:r>
        <w:t xml:space="preserve">5.1 </w:t>
      </w:r>
      <w:r w:rsidR="00DC1EAC">
        <w:t xml:space="preserve">Do the service specifications adequately cover the Commissioner requirements such that you </w:t>
      </w:r>
      <w:r>
        <w:t xml:space="preserve">           </w:t>
      </w:r>
      <w:r w:rsidR="00DC1EAC">
        <w:t>would feel able to develop a service model that meets these requirements?</w:t>
      </w:r>
    </w:p>
    <w:tbl>
      <w:tblPr>
        <w:tblStyle w:val="TableGrid"/>
        <w:tblW w:w="0" w:type="auto"/>
        <w:tblLook w:val="04A0" w:firstRow="1" w:lastRow="0" w:firstColumn="1" w:lastColumn="0" w:noHBand="0" w:noVBand="1"/>
      </w:tblPr>
      <w:tblGrid>
        <w:gridCol w:w="9242"/>
      </w:tblGrid>
      <w:tr w:rsidR="00B92FA5" w:rsidTr="00B92FA5">
        <w:tc>
          <w:tcPr>
            <w:tcW w:w="9242" w:type="dxa"/>
            <w:shd w:val="clear" w:color="auto" w:fill="F2F2F2" w:themeFill="background1" w:themeFillShade="F2"/>
          </w:tcPr>
          <w:p w:rsidR="00B92FA5" w:rsidRDefault="00B92FA5" w:rsidP="00B92FA5"/>
        </w:tc>
      </w:tr>
    </w:tbl>
    <w:p w:rsidR="00B92FA5" w:rsidRDefault="00B92FA5" w:rsidP="00B92FA5">
      <w:pPr>
        <w:spacing w:after="0"/>
      </w:pPr>
    </w:p>
    <w:p w:rsidR="00B92FA5" w:rsidRDefault="00B92FA5" w:rsidP="00B92FA5">
      <w:pPr>
        <w:pStyle w:val="ListParagraph"/>
        <w:spacing w:after="0"/>
        <w:ind w:left="360"/>
      </w:pPr>
    </w:p>
    <w:p w:rsidR="00B92FA5" w:rsidRDefault="00DC1EAC" w:rsidP="00E30AE0">
      <w:pPr>
        <w:pStyle w:val="ListParagraph"/>
        <w:numPr>
          <w:ilvl w:val="1"/>
          <w:numId w:val="23"/>
        </w:numPr>
        <w:spacing w:after="0"/>
      </w:pPr>
      <w:r>
        <w:t xml:space="preserve">Do you think there are </w:t>
      </w:r>
      <w:r w:rsidR="00E22022">
        <w:t>any gaps or is any further information required for clarification purposes? Please specify.</w:t>
      </w:r>
    </w:p>
    <w:tbl>
      <w:tblPr>
        <w:tblStyle w:val="TableGrid"/>
        <w:tblW w:w="0" w:type="auto"/>
        <w:tblInd w:w="-34" w:type="dxa"/>
        <w:tblLook w:val="04A0" w:firstRow="1" w:lastRow="0" w:firstColumn="1" w:lastColumn="0" w:noHBand="0" w:noVBand="1"/>
      </w:tblPr>
      <w:tblGrid>
        <w:gridCol w:w="9276"/>
      </w:tblGrid>
      <w:tr w:rsidR="00B92FA5" w:rsidTr="004E03C5">
        <w:tc>
          <w:tcPr>
            <w:tcW w:w="9276" w:type="dxa"/>
            <w:shd w:val="clear" w:color="auto" w:fill="F2F2F2" w:themeFill="background1" w:themeFillShade="F2"/>
          </w:tcPr>
          <w:p w:rsidR="00B92FA5" w:rsidRDefault="00B92FA5" w:rsidP="00B92FA5">
            <w:pPr>
              <w:pStyle w:val="ListParagraph"/>
              <w:ind w:left="0"/>
            </w:pPr>
          </w:p>
        </w:tc>
      </w:tr>
    </w:tbl>
    <w:p w:rsidR="00B92FA5" w:rsidRDefault="00B92FA5" w:rsidP="00B92FA5">
      <w:pPr>
        <w:pStyle w:val="ListParagraph"/>
        <w:spacing w:after="0"/>
        <w:ind w:left="360"/>
      </w:pPr>
    </w:p>
    <w:p w:rsidR="00B92FA5" w:rsidRDefault="00B92FA5" w:rsidP="00B92FA5">
      <w:pPr>
        <w:pStyle w:val="ListParagraph"/>
      </w:pPr>
    </w:p>
    <w:p w:rsidR="00E22022" w:rsidRDefault="00E22022" w:rsidP="00E30AE0">
      <w:pPr>
        <w:pStyle w:val="ListParagraph"/>
        <w:numPr>
          <w:ilvl w:val="1"/>
          <w:numId w:val="23"/>
        </w:numPr>
        <w:spacing w:after="0"/>
      </w:pPr>
      <w:r>
        <w:t>Do you have any concerns about the Provider requirements within the specifications? Please specify.</w:t>
      </w:r>
    </w:p>
    <w:tbl>
      <w:tblPr>
        <w:tblStyle w:val="TableGrid"/>
        <w:tblW w:w="0" w:type="auto"/>
        <w:tblInd w:w="-34" w:type="dxa"/>
        <w:tblLook w:val="04A0" w:firstRow="1" w:lastRow="0" w:firstColumn="1" w:lastColumn="0" w:noHBand="0" w:noVBand="1"/>
      </w:tblPr>
      <w:tblGrid>
        <w:gridCol w:w="9276"/>
      </w:tblGrid>
      <w:tr w:rsidR="00B92FA5" w:rsidTr="004E03C5">
        <w:tc>
          <w:tcPr>
            <w:tcW w:w="9276" w:type="dxa"/>
            <w:shd w:val="clear" w:color="auto" w:fill="F2F2F2" w:themeFill="background1" w:themeFillShade="F2"/>
          </w:tcPr>
          <w:p w:rsidR="00B92FA5" w:rsidRDefault="00B92FA5" w:rsidP="00B92FA5">
            <w:pPr>
              <w:pStyle w:val="ListParagraph"/>
              <w:ind w:left="0"/>
            </w:pPr>
          </w:p>
        </w:tc>
      </w:tr>
    </w:tbl>
    <w:p w:rsidR="00B92FA5" w:rsidRDefault="00B92FA5" w:rsidP="00B92FA5">
      <w:pPr>
        <w:pStyle w:val="ListParagraph"/>
        <w:spacing w:after="0"/>
        <w:ind w:left="375"/>
      </w:pPr>
    </w:p>
    <w:p w:rsidR="00E22022" w:rsidRPr="007851EA" w:rsidRDefault="00E22022" w:rsidP="00E22022">
      <w:pPr>
        <w:spacing w:after="0"/>
      </w:pPr>
    </w:p>
    <w:p w:rsidR="00603C77" w:rsidRDefault="00603C77"/>
    <w:sectPr w:rsidR="00603C77">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894" w:rsidRDefault="00800894" w:rsidP="00A94137">
      <w:pPr>
        <w:spacing w:after="0" w:line="240" w:lineRule="auto"/>
      </w:pPr>
      <w:r>
        <w:separator/>
      </w:r>
    </w:p>
  </w:endnote>
  <w:endnote w:type="continuationSeparator" w:id="0">
    <w:p w:rsidR="00800894" w:rsidRDefault="00800894" w:rsidP="00A9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894" w:rsidRDefault="00800894" w:rsidP="00A94137">
      <w:pPr>
        <w:spacing w:after="0" w:line="240" w:lineRule="auto"/>
      </w:pPr>
      <w:r>
        <w:separator/>
      </w:r>
    </w:p>
  </w:footnote>
  <w:footnote w:type="continuationSeparator" w:id="0">
    <w:p w:rsidR="00800894" w:rsidRDefault="00800894" w:rsidP="00A94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137" w:rsidRDefault="00A94137">
    <w:pPr>
      <w:pStyle w:val="Header"/>
    </w:pPr>
    <w:r>
      <w:rPr>
        <w:noProof/>
        <w:lang w:eastAsia="en-GB"/>
      </w:rPr>
      <w:drawing>
        <wp:anchor distT="0" distB="0" distL="114300" distR="114300" simplePos="0" relativeHeight="251659264" behindDoc="1" locked="0" layoutInCell="1" allowOverlap="1" wp14:anchorId="6128BC9E" wp14:editId="72D8D9D4">
          <wp:simplePos x="0" y="0"/>
          <wp:positionH relativeFrom="column">
            <wp:posOffset>4438015</wp:posOffset>
          </wp:positionH>
          <wp:positionV relativeFrom="paragraph">
            <wp:posOffset>-168910</wp:posOffset>
          </wp:positionV>
          <wp:extent cx="1885950" cy="847725"/>
          <wp:effectExtent l="0" t="0" r="0" b="9525"/>
          <wp:wrapNone/>
          <wp:docPr id="16" name="Picture 16" descr="Medway CCG ÔÇô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way CCG ÔÇô RGB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137" w:rsidRDefault="00A941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0553"/>
    <w:multiLevelType w:val="hybridMultilevel"/>
    <w:tmpl w:val="CF72C7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0381141B"/>
    <w:multiLevelType w:val="multilevel"/>
    <w:tmpl w:val="465CAD1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DCE3F8F"/>
    <w:multiLevelType w:val="hybridMultilevel"/>
    <w:tmpl w:val="3FFE8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27956C2"/>
    <w:multiLevelType w:val="hybridMultilevel"/>
    <w:tmpl w:val="0BE81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BC76BC"/>
    <w:multiLevelType w:val="hybridMultilevel"/>
    <w:tmpl w:val="24286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583D3C"/>
    <w:multiLevelType w:val="hybridMultilevel"/>
    <w:tmpl w:val="BAEC75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208422E4"/>
    <w:multiLevelType w:val="multilevel"/>
    <w:tmpl w:val="9C5263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A610EB1"/>
    <w:multiLevelType w:val="hybridMultilevel"/>
    <w:tmpl w:val="1D024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B729B4"/>
    <w:multiLevelType w:val="multilevel"/>
    <w:tmpl w:val="1DB29B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803001E"/>
    <w:multiLevelType w:val="multilevel"/>
    <w:tmpl w:val="465CAD1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85C6B65"/>
    <w:multiLevelType w:val="multilevel"/>
    <w:tmpl w:val="465CAD1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AF5094F"/>
    <w:multiLevelType w:val="hybridMultilevel"/>
    <w:tmpl w:val="78F8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083DED"/>
    <w:multiLevelType w:val="hybridMultilevel"/>
    <w:tmpl w:val="F362A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7A6623"/>
    <w:multiLevelType w:val="multilevel"/>
    <w:tmpl w:val="2BBE91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F1F628E"/>
    <w:multiLevelType w:val="multilevel"/>
    <w:tmpl w:val="39A837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0F73CAF"/>
    <w:multiLevelType w:val="hybridMultilevel"/>
    <w:tmpl w:val="8AA8B43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Times New Roman"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Times New Roman"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Times New Roman" w:hint="default"/>
      </w:rPr>
    </w:lvl>
    <w:lvl w:ilvl="8" w:tplc="08090005">
      <w:start w:val="1"/>
      <w:numFmt w:val="bullet"/>
      <w:lvlText w:val=""/>
      <w:lvlJc w:val="left"/>
      <w:pPr>
        <w:ind w:left="6525" w:hanging="360"/>
      </w:pPr>
      <w:rPr>
        <w:rFonts w:ascii="Wingdings" w:hAnsi="Wingdings" w:hint="default"/>
      </w:rPr>
    </w:lvl>
  </w:abstractNum>
  <w:abstractNum w:abstractNumId="16">
    <w:nsid w:val="64CF318F"/>
    <w:multiLevelType w:val="hybridMultilevel"/>
    <w:tmpl w:val="0CA8CB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668E17AB"/>
    <w:multiLevelType w:val="hybridMultilevel"/>
    <w:tmpl w:val="89A29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E75B6D"/>
    <w:multiLevelType w:val="hybridMultilevel"/>
    <w:tmpl w:val="3C3A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AB61B1"/>
    <w:multiLevelType w:val="multilevel"/>
    <w:tmpl w:val="3B42D0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717F61A1"/>
    <w:multiLevelType w:val="hybridMultilevel"/>
    <w:tmpl w:val="4B94C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3705F4A"/>
    <w:multiLevelType w:val="hybridMultilevel"/>
    <w:tmpl w:val="8DBCDF2A"/>
    <w:lvl w:ilvl="0" w:tplc="47AABFC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1F4A25"/>
    <w:multiLevelType w:val="hybridMultilevel"/>
    <w:tmpl w:val="1C6C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B6362D8"/>
    <w:multiLevelType w:val="multilevel"/>
    <w:tmpl w:val="A9DC0D2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D3D5CF2"/>
    <w:multiLevelType w:val="hybridMultilevel"/>
    <w:tmpl w:val="1320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912DD9"/>
    <w:multiLevelType w:val="multilevel"/>
    <w:tmpl w:val="44586C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FDB545E"/>
    <w:multiLevelType w:val="multilevel"/>
    <w:tmpl w:val="A97A54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7"/>
  </w:num>
  <w:num w:numId="3">
    <w:abstractNumId w:val="22"/>
  </w:num>
  <w:num w:numId="4">
    <w:abstractNumId w:val="12"/>
  </w:num>
  <w:num w:numId="5">
    <w:abstractNumId w:val="17"/>
  </w:num>
  <w:num w:numId="6">
    <w:abstractNumId w:val="18"/>
  </w:num>
  <w:num w:numId="7">
    <w:abstractNumId w:val="4"/>
  </w:num>
  <w:num w:numId="8">
    <w:abstractNumId w:val="5"/>
  </w:num>
  <w:num w:numId="9">
    <w:abstractNumId w:val="16"/>
  </w:num>
  <w:num w:numId="10">
    <w:abstractNumId w:val="23"/>
  </w:num>
  <w:num w:numId="11">
    <w:abstractNumId w:val="26"/>
  </w:num>
  <w:num w:numId="12">
    <w:abstractNumId w:val="8"/>
  </w:num>
  <w:num w:numId="13">
    <w:abstractNumId w:val="13"/>
  </w:num>
  <w:num w:numId="14">
    <w:abstractNumId w:val="24"/>
  </w:num>
  <w:num w:numId="15">
    <w:abstractNumId w:val="21"/>
  </w:num>
  <w:num w:numId="16">
    <w:abstractNumId w:val="14"/>
  </w:num>
  <w:num w:numId="17">
    <w:abstractNumId w:val="25"/>
  </w:num>
  <w:num w:numId="18">
    <w:abstractNumId w:val="6"/>
  </w:num>
  <w:num w:numId="19">
    <w:abstractNumId w:val="19"/>
  </w:num>
  <w:num w:numId="20">
    <w:abstractNumId w:val="0"/>
  </w:num>
  <w:num w:numId="21">
    <w:abstractNumId w:val="9"/>
  </w:num>
  <w:num w:numId="22">
    <w:abstractNumId w:val="1"/>
  </w:num>
  <w:num w:numId="23">
    <w:abstractNumId w:val="10"/>
  </w:num>
  <w:num w:numId="24">
    <w:abstractNumId w:val="11"/>
  </w:num>
  <w:num w:numId="25">
    <w:abstractNumId w:val="2"/>
  </w:num>
  <w:num w:numId="26">
    <w:abstractNumId w:val="0"/>
  </w:num>
  <w:num w:numId="27">
    <w:abstractNumId w:val="1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22"/>
    <w:rsid w:val="001449C6"/>
    <w:rsid w:val="00160F1C"/>
    <w:rsid w:val="00162BDE"/>
    <w:rsid w:val="001A4C3D"/>
    <w:rsid w:val="002860D8"/>
    <w:rsid w:val="004C385E"/>
    <w:rsid w:val="004E03C5"/>
    <w:rsid w:val="00511D3E"/>
    <w:rsid w:val="005170EF"/>
    <w:rsid w:val="005C7B99"/>
    <w:rsid w:val="00603C77"/>
    <w:rsid w:val="00612F60"/>
    <w:rsid w:val="00617FC3"/>
    <w:rsid w:val="0068009F"/>
    <w:rsid w:val="00707C85"/>
    <w:rsid w:val="00762B48"/>
    <w:rsid w:val="007E56AB"/>
    <w:rsid w:val="00800894"/>
    <w:rsid w:val="00802509"/>
    <w:rsid w:val="00805864"/>
    <w:rsid w:val="0080675C"/>
    <w:rsid w:val="0083606F"/>
    <w:rsid w:val="00874D84"/>
    <w:rsid w:val="008E7FAD"/>
    <w:rsid w:val="00903326"/>
    <w:rsid w:val="009064DC"/>
    <w:rsid w:val="00917CC0"/>
    <w:rsid w:val="009A3461"/>
    <w:rsid w:val="00A0373B"/>
    <w:rsid w:val="00A319F9"/>
    <w:rsid w:val="00A94137"/>
    <w:rsid w:val="00AB504D"/>
    <w:rsid w:val="00AC4322"/>
    <w:rsid w:val="00B26ECD"/>
    <w:rsid w:val="00B34D64"/>
    <w:rsid w:val="00B92FA5"/>
    <w:rsid w:val="00C14D50"/>
    <w:rsid w:val="00C25B5F"/>
    <w:rsid w:val="00C47BA8"/>
    <w:rsid w:val="00CC13FE"/>
    <w:rsid w:val="00D16E25"/>
    <w:rsid w:val="00D2068D"/>
    <w:rsid w:val="00D535DE"/>
    <w:rsid w:val="00DA3659"/>
    <w:rsid w:val="00DC1EAC"/>
    <w:rsid w:val="00DC7182"/>
    <w:rsid w:val="00DE2E0D"/>
    <w:rsid w:val="00E22022"/>
    <w:rsid w:val="00E30AE0"/>
    <w:rsid w:val="00E33E3A"/>
    <w:rsid w:val="00E5245C"/>
    <w:rsid w:val="00F35C55"/>
    <w:rsid w:val="00F41F73"/>
    <w:rsid w:val="00F504D6"/>
    <w:rsid w:val="00FC0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022"/>
  </w:style>
  <w:style w:type="paragraph" w:styleId="Heading1">
    <w:name w:val="heading 1"/>
    <w:basedOn w:val="Normal"/>
    <w:next w:val="Normal"/>
    <w:link w:val="Heading1Char"/>
    <w:uiPriority w:val="9"/>
    <w:qFormat/>
    <w:rsid w:val="00B34D64"/>
    <w:pPr>
      <w:keepNext/>
      <w:keepLines/>
      <w:spacing w:before="240" w:after="240"/>
      <w:outlineLvl w:val="0"/>
    </w:pPr>
    <w:rPr>
      <w:rFonts w:eastAsiaTheme="majorEastAsia" w:cstheme="minorHAnsi"/>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022"/>
    <w:pPr>
      <w:ind w:left="720"/>
      <w:contextualSpacing/>
    </w:pPr>
  </w:style>
  <w:style w:type="paragraph" w:styleId="Header">
    <w:name w:val="header"/>
    <w:basedOn w:val="Normal"/>
    <w:link w:val="HeaderChar"/>
    <w:uiPriority w:val="99"/>
    <w:unhideWhenUsed/>
    <w:rsid w:val="00A941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137"/>
  </w:style>
  <w:style w:type="paragraph" w:styleId="Footer">
    <w:name w:val="footer"/>
    <w:basedOn w:val="Normal"/>
    <w:link w:val="FooterChar"/>
    <w:uiPriority w:val="99"/>
    <w:unhideWhenUsed/>
    <w:rsid w:val="00A941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137"/>
  </w:style>
  <w:style w:type="paragraph" w:styleId="BalloonText">
    <w:name w:val="Balloon Text"/>
    <w:basedOn w:val="Normal"/>
    <w:link w:val="BalloonTextChar"/>
    <w:uiPriority w:val="99"/>
    <w:semiHidden/>
    <w:unhideWhenUsed/>
    <w:rsid w:val="00A94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137"/>
    <w:rPr>
      <w:rFonts w:ascii="Tahoma" w:hAnsi="Tahoma" w:cs="Tahoma"/>
      <w:sz w:val="16"/>
      <w:szCs w:val="16"/>
    </w:rPr>
  </w:style>
  <w:style w:type="table" w:styleId="TableGrid">
    <w:name w:val="Table Grid"/>
    <w:basedOn w:val="TableNormal"/>
    <w:uiPriority w:val="59"/>
    <w:rsid w:val="00B9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4D64"/>
    <w:rPr>
      <w:rFonts w:eastAsiaTheme="majorEastAsia" w:cstheme="minorHAnsi"/>
      <w:b/>
      <w:bCs/>
      <w:sz w:val="28"/>
      <w:szCs w:val="28"/>
      <w:u w:val="single"/>
    </w:rPr>
  </w:style>
  <w:style w:type="character" w:styleId="Hyperlink">
    <w:name w:val="Hyperlink"/>
    <w:basedOn w:val="DefaultParagraphFont"/>
    <w:uiPriority w:val="99"/>
    <w:unhideWhenUsed/>
    <w:rsid w:val="00B34D64"/>
    <w:rPr>
      <w:color w:val="0000FF" w:themeColor="hyperlink"/>
      <w:u w:val="single"/>
    </w:rPr>
  </w:style>
  <w:style w:type="character" w:styleId="CommentReference">
    <w:name w:val="annotation reference"/>
    <w:basedOn w:val="DefaultParagraphFont"/>
    <w:uiPriority w:val="99"/>
    <w:semiHidden/>
    <w:unhideWhenUsed/>
    <w:rsid w:val="0083606F"/>
    <w:rPr>
      <w:sz w:val="16"/>
      <w:szCs w:val="16"/>
    </w:rPr>
  </w:style>
  <w:style w:type="paragraph" w:styleId="CommentText">
    <w:name w:val="annotation text"/>
    <w:basedOn w:val="Normal"/>
    <w:link w:val="CommentTextChar"/>
    <w:uiPriority w:val="99"/>
    <w:semiHidden/>
    <w:unhideWhenUsed/>
    <w:rsid w:val="0083606F"/>
    <w:pPr>
      <w:spacing w:line="240" w:lineRule="auto"/>
    </w:pPr>
    <w:rPr>
      <w:sz w:val="20"/>
      <w:szCs w:val="20"/>
    </w:rPr>
  </w:style>
  <w:style w:type="character" w:customStyle="1" w:styleId="CommentTextChar">
    <w:name w:val="Comment Text Char"/>
    <w:basedOn w:val="DefaultParagraphFont"/>
    <w:link w:val="CommentText"/>
    <w:uiPriority w:val="99"/>
    <w:semiHidden/>
    <w:rsid w:val="0083606F"/>
    <w:rPr>
      <w:sz w:val="20"/>
      <w:szCs w:val="20"/>
    </w:rPr>
  </w:style>
  <w:style w:type="paragraph" w:styleId="CommentSubject">
    <w:name w:val="annotation subject"/>
    <w:basedOn w:val="CommentText"/>
    <w:next w:val="CommentText"/>
    <w:link w:val="CommentSubjectChar"/>
    <w:uiPriority w:val="99"/>
    <w:semiHidden/>
    <w:unhideWhenUsed/>
    <w:rsid w:val="0083606F"/>
    <w:rPr>
      <w:b/>
      <w:bCs/>
    </w:rPr>
  </w:style>
  <w:style w:type="character" w:customStyle="1" w:styleId="CommentSubjectChar">
    <w:name w:val="Comment Subject Char"/>
    <w:basedOn w:val="CommentTextChar"/>
    <w:link w:val="CommentSubject"/>
    <w:uiPriority w:val="99"/>
    <w:semiHidden/>
    <w:rsid w:val="0083606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022"/>
  </w:style>
  <w:style w:type="paragraph" w:styleId="Heading1">
    <w:name w:val="heading 1"/>
    <w:basedOn w:val="Normal"/>
    <w:next w:val="Normal"/>
    <w:link w:val="Heading1Char"/>
    <w:uiPriority w:val="9"/>
    <w:qFormat/>
    <w:rsid w:val="00B34D64"/>
    <w:pPr>
      <w:keepNext/>
      <w:keepLines/>
      <w:spacing w:before="240" w:after="240"/>
      <w:outlineLvl w:val="0"/>
    </w:pPr>
    <w:rPr>
      <w:rFonts w:eastAsiaTheme="majorEastAsia" w:cstheme="minorHAnsi"/>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022"/>
    <w:pPr>
      <w:ind w:left="720"/>
      <w:contextualSpacing/>
    </w:pPr>
  </w:style>
  <w:style w:type="paragraph" w:styleId="Header">
    <w:name w:val="header"/>
    <w:basedOn w:val="Normal"/>
    <w:link w:val="HeaderChar"/>
    <w:uiPriority w:val="99"/>
    <w:unhideWhenUsed/>
    <w:rsid w:val="00A941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137"/>
  </w:style>
  <w:style w:type="paragraph" w:styleId="Footer">
    <w:name w:val="footer"/>
    <w:basedOn w:val="Normal"/>
    <w:link w:val="FooterChar"/>
    <w:uiPriority w:val="99"/>
    <w:unhideWhenUsed/>
    <w:rsid w:val="00A941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137"/>
  </w:style>
  <w:style w:type="paragraph" w:styleId="BalloonText">
    <w:name w:val="Balloon Text"/>
    <w:basedOn w:val="Normal"/>
    <w:link w:val="BalloonTextChar"/>
    <w:uiPriority w:val="99"/>
    <w:semiHidden/>
    <w:unhideWhenUsed/>
    <w:rsid w:val="00A94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137"/>
    <w:rPr>
      <w:rFonts w:ascii="Tahoma" w:hAnsi="Tahoma" w:cs="Tahoma"/>
      <w:sz w:val="16"/>
      <w:szCs w:val="16"/>
    </w:rPr>
  </w:style>
  <w:style w:type="table" w:styleId="TableGrid">
    <w:name w:val="Table Grid"/>
    <w:basedOn w:val="TableNormal"/>
    <w:uiPriority w:val="59"/>
    <w:rsid w:val="00B9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4D64"/>
    <w:rPr>
      <w:rFonts w:eastAsiaTheme="majorEastAsia" w:cstheme="minorHAnsi"/>
      <w:b/>
      <w:bCs/>
      <w:sz w:val="28"/>
      <w:szCs w:val="28"/>
      <w:u w:val="single"/>
    </w:rPr>
  </w:style>
  <w:style w:type="character" w:styleId="Hyperlink">
    <w:name w:val="Hyperlink"/>
    <w:basedOn w:val="DefaultParagraphFont"/>
    <w:uiPriority w:val="99"/>
    <w:unhideWhenUsed/>
    <w:rsid w:val="00B34D64"/>
    <w:rPr>
      <w:color w:val="0000FF" w:themeColor="hyperlink"/>
      <w:u w:val="single"/>
    </w:rPr>
  </w:style>
  <w:style w:type="character" w:styleId="CommentReference">
    <w:name w:val="annotation reference"/>
    <w:basedOn w:val="DefaultParagraphFont"/>
    <w:uiPriority w:val="99"/>
    <w:semiHidden/>
    <w:unhideWhenUsed/>
    <w:rsid w:val="0083606F"/>
    <w:rPr>
      <w:sz w:val="16"/>
      <w:szCs w:val="16"/>
    </w:rPr>
  </w:style>
  <w:style w:type="paragraph" w:styleId="CommentText">
    <w:name w:val="annotation text"/>
    <w:basedOn w:val="Normal"/>
    <w:link w:val="CommentTextChar"/>
    <w:uiPriority w:val="99"/>
    <w:semiHidden/>
    <w:unhideWhenUsed/>
    <w:rsid w:val="0083606F"/>
    <w:pPr>
      <w:spacing w:line="240" w:lineRule="auto"/>
    </w:pPr>
    <w:rPr>
      <w:sz w:val="20"/>
      <w:szCs w:val="20"/>
    </w:rPr>
  </w:style>
  <w:style w:type="character" w:customStyle="1" w:styleId="CommentTextChar">
    <w:name w:val="Comment Text Char"/>
    <w:basedOn w:val="DefaultParagraphFont"/>
    <w:link w:val="CommentText"/>
    <w:uiPriority w:val="99"/>
    <w:semiHidden/>
    <w:rsid w:val="0083606F"/>
    <w:rPr>
      <w:sz w:val="20"/>
      <w:szCs w:val="20"/>
    </w:rPr>
  </w:style>
  <w:style w:type="paragraph" w:styleId="CommentSubject">
    <w:name w:val="annotation subject"/>
    <w:basedOn w:val="CommentText"/>
    <w:next w:val="CommentText"/>
    <w:link w:val="CommentSubjectChar"/>
    <w:uiPriority w:val="99"/>
    <w:semiHidden/>
    <w:unhideWhenUsed/>
    <w:rsid w:val="0083606F"/>
    <w:rPr>
      <w:b/>
      <w:bCs/>
    </w:rPr>
  </w:style>
  <w:style w:type="character" w:customStyle="1" w:styleId="CommentSubjectChar">
    <w:name w:val="Comment Subject Char"/>
    <w:basedOn w:val="CommentTextChar"/>
    <w:link w:val="CommentSubject"/>
    <w:uiPriority w:val="99"/>
    <w:semiHidden/>
    <w:rsid w:val="008360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54971">
      <w:bodyDiv w:val="1"/>
      <w:marLeft w:val="0"/>
      <w:marRight w:val="0"/>
      <w:marTop w:val="0"/>
      <w:marBottom w:val="0"/>
      <w:divBdr>
        <w:top w:val="none" w:sz="0" w:space="0" w:color="auto"/>
        <w:left w:val="none" w:sz="0" w:space="0" w:color="auto"/>
        <w:bottom w:val="none" w:sz="0" w:space="0" w:color="auto"/>
        <w:right w:val="none" w:sz="0" w:space="0" w:color="auto"/>
      </w:divBdr>
    </w:div>
    <w:div w:id="305429588">
      <w:bodyDiv w:val="1"/>
      <w:marLeft w:val="0"/>
      <w:marRight w:val="0"/>
      <w:marTop w:val="0"/>
      <w:marBottom w:val="0"/>
      <w:divBdr>
        <w:top w:val="none" w:sz="0" w:space="0" w:color="auto"/>
        <w:left w:val="none" w:sz="0" w:space="0" w:color="auto"/>
        <w:bottom w:val="none" w:sz="0" w:space="0" w:color="auto"/>
        <w:right w:val="none" w:sz="0" w:space="0" w:color="auto"/>
      </w:divBdr>
    </w:div>
    <w:div w:id="741761604">
      <w:bodyDiv w:val="1"/>
      <w:marLeft w:val="0"/>
      <w:marRight w:val="0"/>
      <w:marTop w:val="0"/>
      <w:marBottom w:val="0"/>
      <w:divBdr>
        <w:top w:val="none" w:sz="0" w:space="0" w:color="auto"/>
        <w:left w:val="none" w:sz="0" w:space="0" w:color="auto"/>
        <w:bottom w:val="none" w:sz="0" w:space="0" w:color="auto"/>
        <w:right w:val="none" w:sz="0" w:space="0" w:color="auto"/>
      </w:divBdr>
    </w:div>
    <w:div w:id="964311437">
      <w:bodyDiv w:val="1"/>
      <w:marLeft w:val="0"/>
      <w:marRight w:val="0"/>
      <w:marTop w:val="0"/>
      <w:marBottom w:val="0"/>
      <w:divBdr>
        <w:top w:val="none" w:sz="0" w:space="0" w:color="auto"/>
        <w:left w:val="none" w:sz="0" w:space="0" w:color="auto"/>
        <w:bottom w:val="none" w:sz="0" w:space="0" w:color="auto"/>
        <w:right w:val="none" w:sz="0" w:space="0" w:color="auto"/>
      </w:divBdr>
    </w:div>
    <w:div w:id="1072775754">
      <w:bodyDiv w:val="1"/>
      <w:marLeft w:val="0"/>
      <w:marRight w:val="0"/>
      <w:marTop w:val="0"/>
      <w:marBottom w:val="0"/>
      <w:divBdr>
        <w:top w:val="none" w:sz="0" w:space="0" w:color="auto"/>
        <w:left w:val="none" w:sz="0" w:space="0" w:color="auto"/>
        <w:bottom w:val="none" w:sz="0" w:space="0" w:color="auto"/>
        <w:right w:val="none" w:sz="0" w:space="0" w:color="auto"/>
      </w:divBdr>
    </w:div>
    <w:div w:id="1099109162">
      <w:bodyDiv w:val="1"/>
      <w:marLeft w:val="0"/>
      <w:marRight w:val="0"/>
      <w:marTop w:val="0"/>
      <w:marBottom w:val="0"/>
      <w:divBdr>
        <w:top w:val="none" w:sz="0" w:space="0" w:color="auto"/>
        <w:left w:val="none" w:sz="0" w:space="0" w:color="auto"/>
        <w:bottom w:val="none" w:sz="0" w:space="0" w:color="auto"/>
        <w:right w:val="none" w:sz="0" w:space="0" w:color="auto"/>
      </w:divBdr>
    </w:div>
    <w:div w:id="180939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ce_donovan1@nhs.net" TargetMode="External"/><Relationship Id="rId13" Type="http://schemas.openxmlformats.org/officeDocument/2006/relationships/hyperlink" Target="https://www.contractsfinder.service.gov.uk/Notice/ed7fe13c-6ab2-47b2-a395-778fef19d1e2"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contractsfinder.service.gov.uk/Notice/51ba1dbf-8b03-435f-a094-eb6bef4750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tractsfinder.service.gov.uk/Notice/68eac588-8c5d-4b40-9f5b-997f07b2bbe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1507</Words>
  <Characters>8595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10082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Bishop</dc:creator>
  <cp:lastModifiedBy>Alice Donovan</cp:lastModifiedBy>
  <cp:revision>9</cp:revision>
  <dcterms:created xsi:type="dcterms:W3CDTF">2018-11-07T09:27:00Z</dcterms:created>
  <dcterms:modified xsi:type="dcterms:W3CDTF">2018-11-07T10:55:00Z</dcterms:modified>
</cp:coreProperties>
</file>