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18" w:rsidRPr="00C92BAF" w:rsidRDefault="00016366">
      <w:pPr>
        <w:rPr>
          <w:rFonts w:asciiTheme="minorHAnsi" w:hAnsiTheme="minorHAnsi"/>
          <w:b/>
          <w:u w:val="single"/>
        </w:rPr>
      </w:pPr>
      <w:r w:rsidRPr="00C92BAF">
        <w:rPr>
          <w:rFonts w:asciiTheme="minorHAnsi" w:hAnsiTheme="minorHAnsi"/>
          <w:b/>
          <w:u w:val="single"/>
        </w:rPr>
        <w:t>Ophthalmology</w:t>
      </w:r>
      <w:r w:rsidR="00C71592" w:rsidRPr="00C92BAF">
        <w:rPr>
          <w:rFonts w:asciiTheme="minorHAnsi" w:hAnsiTheme="minorHAnsi"/>
          <w:b/>
          <w:u w:val="single"/>
        </w:rPr>
        <w:t xml:space="preserve"> </w:t>
      </w:r>
      <w:proofErr w:type="gramStart"/>
      <w:r w:rsidR="00C71592" w:rsidRPr="00C92BAF">
        <w:rPr>
          <w:rFonts w:asciiTheme="minorHAnsi" w:hAnsiTheme="minorHAnsi"/>
          <w:b/>
          <w:u w:val="single"/>
        </w:rPr>
        <w:t>Directorate  Procurement</w:t>
      </w:r>
      <w:proofErr w:type="gramEnd"/>
      <w:r w:rsidR="00C71592" w:rsidRPr="00C92BAF">
        <w:rPr>
          <w:rFonts w:asciiTheme="minorHAnsi" w:hAnsiTheme="minorHAnsi"/>
          <w:b/>
          <w:u w:val="single"/>
        </w:rPr>
        <w:t xml:space="preserve"> Information Notice   </w:t>
      </w:r>
    </w:p>
    <w:p w:rsidR="00C71592" w:rsidRPr="00C92BAF" w:rsidRDefault="00C71592">
      <w:pPr>
        <w:rPr>
          <w:rFonts w:asciiTheme="minorHAnsi" w:hAnsiTheme="minorHAnsi"/>
          <w:u w:val="single"/>
        </w:rPr>
      </w:pPr>
    </w:p>
    <w:p w:rsidR="00CA4D14" w:rsidRPr="00C92BAF" w:rsidRDefault="00CA4D14" w:rsidP="00CA4D14">
      <w:pPr>
        <w:rPr>
          <w:rFonts w:asciiTheme="minorHAnsi" w:hAnsiTheme="minorHAnsi"/>
        </w:rPr>
      </w:pPr>
    </w:p>
    <w:p w:rsidR="00CA4D14" w:rsidRPr="00C92BAF" w:rsidRDefault="00CA4D14" w:rsidP="00CA4D14">
      <w:pPr>
        <w:shd w:val="clear" w:color="auto" w:fill="FFFFFF"/>
        <w:spacing w:after="150"/>
        <w:rPr>
          <w:rFonts w:asciiTheme="minorHAnsi" w:hAnsiTheme="minorHAnsi" w:cs="Lucida Sans Unicode"/>
          <w:color w:val="444444"/>
          <w:lang w:val="en" w:eastAsia="en-GB"/>
        </w:rPr>
      </w:pPr>
      <w:r w:rsidRPr="00C92BAF">
        <w:rPr>
          <w:rFonts w:asciiTheme="minorHAnsi" w:hAnsiTheme="minorHAnsi" w:cs="Lucida Sans Unicode"/>
          <w:b/>
          <w:bCs/>
          <w:color w:val="000000"/>
          <w:lang w:val="en" w:eastAsia="en-GB"/>
        </w:rPr>
        <w:t>Description</w:t>
      </w:r>
    </w:p>
    <w:p w:rsidR="00CA4D14" w:rsidRPr="00C92BAF" w:rsidRDefault="00CA4D14" w:rsidP="00CA4D14">
      <w:pPr>
        <w:shd w:val="clear" w:color="auto" w:fill="FFFFFF"/>
        <w:spacing w:after="150"/>
        <w:rPr>
          <w:rFonts w:asciiTheme="minorHAnsi" w:hAnsiTheme="minorHAnsi"/>
          <w:b/>
          <w:bCs/>
          <w:color w:val="000000"/>
          <w:lang w:val="en" w:eastAsia="en-GB"/>
        </w:rPr>
      </w:pPr>
      <w:r w:rsidRPr="00C92BAF">
        <w:rPr>
          <w:rFonts w:asciiTheme="minorHAnsi" w:hAnsiTheme="minorHAnsi"/>
          <w:b/>
          <w:bCs/>
          <w:color w:val="000000"/>
          <w:lang w:val="en" w:eastAsia="en-GB"/>
        </w:rPr>
        <w:t>Title:</w:t>
      </w:r>
      <w:r w:rsidR="00C92BAF" w:rsidRPr="00C92BAF">
        <w:rPr>
          <w:rFonts w:asciiTheme="minorHAnsi" w:hAnsiTheme="minorHAnsi"/>
          <w:b/>
          <w:bCs/>
          <w:color w:val="000000"/>
          <w:lang w:val="en" w:eastAsia="en-GB"/>
        </w:rPr>
        <w:t xml:space="preserve"> Ophthalmology monitoring and assessment service </w:t>
      </w:r>
    </w:p>
    <w:p w:rsidR="00C92BAF" w:rsidRPr="00C92BAF" w:rsidRDefault="00C92BAF" w:rsidP="00CA4D14">
      <w:pPr>
        <w:shd w:val="clear" w:color="auto" w:fill="FFFFFF"/>
        <w:spacing w:after="150"/>
        <w:rPr>
          <w:rFonts w:asciiTheme="minorHAnsi" w:hAnsiTheme="minorHAnsi"/>
          <w:color w:val="444444"/>
          <w:lang w:val="en" w:eastAsia="en-GB"/>
        </w:rPr>
      </w:pP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444444"/>
          <w:lang w:val="en" w:eastAsia="en-GB"/>
        </w:rPr>
      </w:pPr>
      <w:r w:rsidRPr="00C92BAF">
        <w:rPr>
          <w:rFonts w:asciiTheme="minorHAnsi" w:hAnsiTheme="minorHAnsi"/>
          <w:b/>
          <w:bCs/>
          <w:color w:val="000000"/>
          <w:lang w:val="en" w:eastAsia="en-GB"/>
        </w:rPr>
        <w:t>Place of performance</w:t>
      </w: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bookmarkStart w:id="0" w:name="_GoBack"/>
      <w:bookmarkEnd w:id="0"/>
      <w:r w:rsidRPr="00C92BAF">
        <w:rPr>
          <w:rFonts w:asciiTheme="minorHAnsi" w:hAnsiTheme="minorHAnsi"/>
          <w:color w:val="000000"/>
          <w:lang w:val="en" w:eastAsia="en-GB"/>
        </w:rPr>
        <w:t xml:space="preserve">Main site or place of performance: </w:t>
      </w:r>
    </w:p>
    <w:p w:rsidR="00CA4D14" w:rsidRPr="00C92BAF" w:rsidRDefault="00BF7174" w:rsidP="00CA4D14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>York</w:t>
      </w: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b/>
          <w:bCs/>
          <w:color w:val="000000"/>
          <w:lang w:val="en" w:eastAsia="en-GB"/>
        </w:rPr>
      </w:pPr>
      <w:r w:rsidRPr="00C92BAF">
        <w:rPr>
          <w:rFonts w:asciiTheme="minorHAnsi" w:hAnsiTheme="minorHAnsi"/>
          <w:b/>
          <w:bCs/>
          <w:color w:val="000000"/>
          <w:lang w:val="en" w:eastAsia="en-GB"/>
        </w:rPr>
        <w:t>Description of the procurement:</w:t>
      </w:r>
    </w:p>
    <w:p w:rsidR="00E61BA7" w:rsidRPr="00C92BAF" w:rsidRDefault="00E61BA7" w:rsidP="00CA4D14">
      <w:pPr>
        <w:shd w:val="clear" w:color="auto" w:fill="FFFFFF"/>
        <w:rPr>
          <w:rFonts w:asciiTheme="minorHAnsi" w:hAnsiTheme="minorHAnsi"/>
          <w:color w:val="444444"/>
          <w:lang w:val="en" w:eastAsia="en-GB"/>
        </w:rPr>
      </w:pPr>
    </w:p>
    <w:p w:rsidR="00743084" w:rsidRPr="00C92BAF" w:rsidRDefault="0074308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>York Teaching Hospital NHS Foundation Trust (YTHT) provides a comprehensive range of acute hospital and specialist healthcare services for approximately 800,000 people living in and around York, North Yorkshire, North East Yorkshire and Ryedale - an area covering 3,400 square miles</w:t>
      </w:r>
      <w:r w:rsidR="00BF7174" w:rsidRPr="00C92BAF">
        <w:rPr>
          <w:rFonts w:asciiTheme="minorHAnsi" w:hAnsiTheme="minorHAnsi"/>
          <w:color w:val="000000"/>
          <w:lang w:val="en" w:eastAsia="en-GB"/>
        </w:rPr>
        <w:t>.</w:t>
      </w:r>
      <w:r w:rsidRPr="00C92BAF">
        <w:rPr>
          <w:rFonts w:asciiTheme="minorHAnsi" w:hAnsiTheme="minorHAnsi"/>
          <w:color w:val="000000"/>
          <w:lang w:val="en" w:eastAsia="en-GB"/>
        </w:rPr>
        <w:t xml:space="preserve">  Typically, patients </w:t>
      </w:r>
      <w:r w:rsidR="00C92BAF" w:rsidRPr="00C92BAF">
        <w:rPr>
          <w:rFonts w:asciiTheme="minorHAnsi" w:hAnsiTheme="minorHAnsi"/>
          <w:color w:val="000000"/>
          <w:lang w:val="en" w:eastAsia="en-GB"/>
        </w:rPr>
        <w:t xml:space="preserve">who are seen </w:t>
      </w:r>
      <w:r w:rsidRPr="00C92BAF">
        <w:rPr>
          <w:rFonts w:asciiTheme="minorHAnsi" w:hAnsiTheme="minorHAnsi"/>
          <w:color w:val="000000"/>
          <w:lang w:val="en" w:eastAsia="en-GB"/>
        </w:rPr>
        <w:t>with long term eye conditions are older people.</w:t>
      </w:r>
      <w:r w:rsidR="00BD046B" w:rsidRPr="00C92BAF">
        <w:rPr>
          <w:rFonts w:asciiTheme="minorHAnsi" w:hAnsiTheme="minorHAnsi"/>
          <w:color w:val="000000"/>
          <w:lang w:val="en" w:eastAsia="en-GB"/>
        </w:rPr>
        <w:t xml:space="preserve">  YTHT has Ophthalmology services running at York, </w:t>
      </w:r>
      <w:proofErr w:type="spellStart"/>
      <w:r w:rsidR="00BD046B" w:rsidRPr="00C92BAF">
        <w:rPr>
          <w:rFonts w:asciiTheme="minorHAnsi" w:hAnsiTheme="minorHAnsi"/>
          <w:color w:val="000000"/>
          <w:lang w:val="en" w:eastAsia="en-GB"/>
        </w:rPr>
        <w:t>Bridlington</w:t>
      </w:r>
      <w:proofErr w:type="spellEnd"/>
      <w:r w:rsidR="00BD046B" w:rsidRPr="00C92BAF">
        <w:rPr>
          <w:rFonts w:asciiTheme="minorHAnsi" w:hAnsiTheme="minorHAnsi"/>
          <w:color w:val="000000"/>
          <w:lang w:val="en" w:eastAsia="en-GB"/>
        </w:rPr>
        <w:t xml:space="preserve"> and Scarborough.  Additional community locations (without Ophthalmology services) include Malton and Selby.</w:t>
      </w:r>
    </w:p>
    <w:p w:rsidR="00743084" w:rsidRPr="00C92BAF" w:rsidRDefault="0074308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</w:p>
    <w:p w:rsidR="00E61BA7" w:rsidRPr="00C92BAF" w:rsidRDefault="002B197C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 xml:space="preserve">YTHT </w:t>
      </w:r>
      <w:r w:rsidR="00E61BA7" w:rsidRPr="00C92BAF">
        <w:rPr>
          <w:rFonts w:asciiTheme="minorHAnsi" w:hAnsiTheme="minorHAnsi"/>
          <w:color w:val="000000"/>
          <w:lang w:val="en" w:eastAsia="en-GB"/>
        </w:rPr>
        <w:t xml:space="preserve">wishes to commission a service for condition monitoring for long term long term conditions e.g. Glaucoma and Macula and for patients requiring assessment including </w:t>
      </w:r>
      <w:r w:rsidR="00C92BAF" w:rsidRPr="00C92BAF">
        <w:rPr>
          <w:rFonts w:asciiTheme="minorHAnsi" w:hAnsiTheme="minorHAnsi"/>
          <w:color w:val="000000"/>
          <w:lang w:val="en" w:eastAsia="en-GB"/>
        </w:rPr>
        <w:t xml:space="preserve">pre and </w:t>
      </w:r>
      <w:r w:rsidR="00E61BA7" w:rsidRPr="00C92BAF">
        <w:rPr>
          <w:rFonts w:asciiTheme="minorHAnsi" w:hAnsiTheme="minorHAnsi"/>
          <w:color w:val="000000"/>
          <w:lang w:val="en" w:eastAsia="en-GB"/>
        </w:rPr>
        <w:t xml:space="preserve">post-operative follow up.  </w:t>
      </w:r>
      <w:r w:rsidRPr="00C92BAF">
        <w:rPr>
          <w:rFonts w:asciiTheme="minorHAnsi" w:hAnsiTheme="minorHAnsi"/>
          <w:color w:val="000000"/>
          <w:lang w:val="en" w:eastAsia="en-GB"/>
        </w:rPr>
        <w:t xml:space="preserve">The clinical decision making will remain the responsibility of YTHT. </w:t>
      </w:r>
    </w:p>
    <w:p w:rsidR="00BF7174" w:rsidRPr="00C92BAF" w:rsidRDefault="00BF717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</w:p>
    <w:p w:rsidR="00BF7174" w:rsidRPr="00C92BAF" w:rsidRDefault="00BF7174" w:rsidP="00BF7174">
      <w:pPr>
        <w:pStyle w:val="CommentText"/>
        <w:rPr>
          <w:rFonts w:asciiTheme="minorHAnsi" w:hAnsiTheme="minorHAnsi"/>
          <w:sz w:val="24"/>
          <w:szCs w:val="24"/>
        </w:rPr>
      </w:pPr>
      <w:r w:rsidRPr="00C92BAF">
        <w:rPr>
          <w:rFonts w:asciiTheme="minorHAnsi" w:hAnsiTheme="minorHAnsi"/>
          <w:color w:val="000000"/>
          <w:sz w:val="24"/>
          <w:szCs w:val="24"/>
          <w:lang w:val="en" w:eastAsia="en-GB"/>
        </w:rPr>
        <w:t xml:space="preserve">YTHT wishes to conduct </w:t>
      </w:r>
      <w:r w:rsidRPr="00C92BAF">
        <w:rPr>
          <w:rFonts w:asciiTheme="minorHAnsi" w:hAnsiTheme="minorHAnsi"/>
          <w:sz w:val="24"/>
          <w:szCs w:val="24"/>
        </w:rPr>
        <w:t xml:space="preserve">pre market engagement to meet with potential suppliers to understand </w:t>
      </w:r>
      <w:r w:rsidR="00C92BAF" w:rsidRPr="00C92BAF">
        <w:rPr>
          <w:rFonts w:asciiTheme="minorHAnsi" w:hAnsiTheme="minorHAnsi"/>
          <w:sz w:val="24"/>
          <w:szCs w:val="24"/>
        </w:rPr>
        <w:t>market capability.</w:t>
      </w:r>
    </w:p>
    <w:p w:rsidR="00BF7174" w:rsidRPr="00C92BAF" w:rsidRDefault="00BF7174" w:rsidP="00BF7174">
      <w:pPr>
        <w:pStyle w:val="CommentText"/>
        <w:rPr>
          <w:rFonts w:asciiTheme="minorHAnsi" w:hAnsiTheme="minorHAnsi"/>
          <w:sz w:val="24"/>
          <w:szCs w:val="24"/>
        </w:rPr>
      </w:pPr>
    </w:p>
    <w:p w:rsidR="00BF7174" w:rsidRPr="00C92BAF" w:rsidRDefault="00BF717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>The scale of the potential service is as follows</w:t>
      </w:r>
    </w:p>
    <w:p w:rsidR="00BF7174" w:rsidRPr="00C92BAF" w:rsidRDefault="00BF717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</w:p>
    <w:p w:rsidR="00BF7174" w:rsidRPr="00C92BAF" w:rsidRDefault="00BF717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977"/>
      </w:tblGrid>
      <w:tr w:rsidR="002B197C" w:rsidRPr="00C92BAF" w:rsidTr="002B197C">
        <w:tc>
          <w:tcPr>
            <w:tcW w:w="6345" w:type="dxa"/>
            <w:gridSpan w:val="2"/>
            <w:shd w:val="clear" w:color="auto" w:fill="auto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  <w:b/>
              </w:rPr>
            </w:pPr>
            <w:r w:rsidRPr="00C92BAF">
              <w:rPr>
                <w:rFonts w:asciiTheme="minorHAnsi" w:hAnsiTheme="minorHAnsi"/>
                <w:b/>
              </w:rPr>
              <w:t>Community Eye service</w:t>
            </w:r>
          </w:p>
        </w:tc>
        <w:tc>
          <w:tcPr>
            <w:tcW w:w="2977" w:type="dxa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B197C" w:rsidRPr="00C92BAF" w:rsidTr="002B197C">
        <w:tc>
          <w:tcPr>
            <w:tcW w:w="3085" w:type="dxa"/>
            <w:shd w:val="clear" w:color="auto" w:fill="auto"/>
          </w:tcPr>
          <w:p w:rsidR="002B197C" w:rsidRPr="00C92BAF" w:rsidRDefault="002B197C" w:rsidP="002B197C">
            <w:pPr>
              <w:rPr>
                <w:rFonts w:asciiTheme="minorHAnsi" w:hAnsiTheme="minorHAnsi"/>
                <w:b/>
              </w:rPr>
            </w:pPr>
            <w:r w:rsidRPr="00C92BAF">
              <w:rPr>
                <w:rFonts w:asciiTheme="minorHAnsi" w:hAnsiTheme="minorHAnsi"/>
                <w:b/>
              </w:rPr>
              <w:t>Service provided</w:t>
            </w:r>
          </w:p>
        </w:tc>
        <w:tc>
          <w:tcPr>
            <w:tcW w:w="3260" w:type="dxa"/>
            <w:shd w:val="clear" w:color="auto" w:fill="auto"/>
          </w:tcPr>
          <w:p w:rsidR="002B197C" w:rsidRPr="00C92BAF" w:rsidRDefault="002B197C" w:rsidP="002B197C">
            <w:pPr>
              <w:rPr>
                <w:rFonts w:asciiTheme="minorHAnsi" w:hAnsiTheme="minorHAnsi"/>
                <w:b/>
              </w:rPr>
            </w:pPr>
            <w:r w:rsidRPr="00C92BAF">
              <w:rPr>
                <w:rFonts w:asciiTheme="minorHAnsi" w:hAnsiTheme="minorHAnsi"/>
                <w:b/>
              </w:rPr>
              <w:t>York site</w:t>
            </w:r>
          </w:p>
          <w:p w:rsidR="002B197C" w:rsidRPr="00C92BAF" w:rsidRDefault="002B197C" w:rsidP="002B197C">
            <w:pPr>
              <w:rPr>
                <w:rFonts w:asciiTheme="minorHAnsi" w:hAnsiTheme="minorHAnsi"/>
                <w:b/>
              </w:rPr>
            </w:pPr>
            <w:r w:rsidRPr="00C92BAF">
              <w:rPr>
                <w:rFonts w:asciiTheme="minorHAnsi" w:hAnsiTheme="minorHAnsi"/>
                <w:b/>
              </w:rPr>
              <w:t xml:space="preserve">Estimated Number of patients </w:t>
            </w:r>
          </w:p>
        </w:tc>
        <w:tc>
          <w:tcPr>
            <w:tcW w:w="2977" w:type="dxa"/>
          </w:tcPr>
          <w:p w:rsidR="002B197C" w:rsidRPr="00C92BAF" w:rsidRDefault="002B197C" w:rsidP="002B197C">
            <w:pPr>
              <w:rPr>
                <w:rFonts w:asciiTheme="minorHAnsi" w:hAnsiTheme="minorHAnsi"/>
                <w:b/>
              </w:rPr>
            </w:pPr>
            <w:r w:rsidRPr="00C92BAF">
              <w:rPr>
                <w:rFonts w:asciiTheme="minorHAnsi" w:hAnsiTheme="minorHAnsi"/>
                <w:b/>
              </w:rPr>
              <w:t>East coast Estimated Number of patients</w:t>
            </w:r>
          </w:p>
        </w:tc>
      </w:tr>
      <w:tr w:rsidR="002B197C" w:rsidRPr="00C92BAF" w:rsidTr="002B197C">
        <w:tc>
          <w:tcPr>
            <w:tcW w:w="3085" w:type="dxa"/>
            <w:shd w:val="clear" w:color="auto" w:fill="auto"/>
          </w:tcPr>
          <w:p w:rsidR="002B197C" w:rsidRPr="00C92BAF" w:rsidRDefault="002B197C" w:rsidP="002B197C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Glaucoma monitoring (9 months and above)</w:t>
            </w:r>
          </w:p>
        </w:tc>
        <w:tc>
          <w:tcPr>
            <w:tcW w:w="3260" w:type="dxa"/>
            <w:shd w:val="clear" w:color="auto" w:fill="auto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1000 - 1400</w:t>
            </w:r>
          </w:p>
        </w:tc>
        <w:tc>
          <w:tcPr>
            <w:tcW w:w="2977" w:type="dxa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500 - 700</w:t>
            </w:r>
          </w:p>
        </w:tc>
      </w:tr>
      <w:tr w:rsidR="002B197C" w:rsidRPr="00C92BAF" w:rsidTr="002B197C">
        <w:tc>
          <w:tcPr>
            <w:tcW w:w="3085" w:type="dxa"/>
            <w:shd w:val="clear" w:color="auto" w:fill="auto"/>
          </w:tcPr>
          <w:p w:rsidR="002B197C" w:rsidRPr="00C92BAF" w:rsidRDefault="002B197C" w:rsidP="002B197C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Dry AMD monitoring</w:t>
            </w:r>
          </w:p>
        </w:tc>
        <w:tc>
          <w:tcPr>
            <w:tcW w:w="3260" w:type="dxa"/>
            <w:shd w:val="clear" w:color="auto" w:fill="auto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300 - 400</w:t>
            </w:r>
          </w:p>
        </w:tc>
        <w:tc>
          <w:tcPr>
            <w:tcW w:w="2977" w:type="dxa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150 - 200</w:t>
            </w:r>
          </w:p>
        </w:tc>
      </w:tr>
      <w:tr w:rsidR="002B197C" w:rsidRPr="00C92BAF" w:rsidTr="002B197C">
        <w:tc>
          <w:tcPr>
            <w:tcW w:w="3085" w:type="dxa"/>
            <w:shd w:val="clear" w:color="auto" w:fill="auto"/>
          </w:tcPr>
          <w:p w:rsidR="002B197C" w:rsidRPr="00C92BAF" w:rsidRDefault="002B197C" w:rsidP="002B197C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New patient cataract appointment (consultant led)</w:t>
            </w:r>
          </w:p>
        </w:tc>
        <w:tc>
          <w:tcPr>
            <w:tcW w:w="3260" w:type="dxa"/>
            <w:shd w:val="clear" w:color="auto" w:fill="auto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1700 - 2000</w:t>
            </w:r>
          </w:p>
        </w:tc>
        <w:tc>
          <w:tcPr>
            <w:tcW w:w="2977" w:type="dxa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850 - 1000</w:t>
            </w:r>
          </w:p>
        </w:tc>
      </w:tr>
      <w:tr w:rsidR="002B197C" w:rsidRPr="00C92BAF" w:rsidTr="002B197C">
        <w:tc>
          <w:tcPr>
            <w:tcW w:w="3085" w:type="dxa"/>
            <w:shd w:val="clear" w:color="auto" w:fill="auto"/>
          </w:tcPr>
          <w:p w:rsidR="002B197C" w:rsidRPr="00C92BAF" w:rsidRDefault="002B197C" w:rsidP="002B197C">
            <w:pPr>
              <w:rPr>
                <w:rFonts w:asciiTheme="minorHAnsi" w:hAnsiTheme="minorHAnsi"/>
              </w:rPr>
            </w:pPr>
            <w:proofErr w:type="spellStart"/>
            <w:r w:rsidRPr="00C92BAF">
              <w:rPr>
                <w:rFonts w:asciiTheme="minorHAnsi" w:hAnsiTheme="minorHAnsi"/>
              </w:rPr>
              <w:t>Post operative</w:t>
            </w:r>
            <w:proofErr w:type="spellEnd"/>
            <w:r w:rsidRPr="00C92BAF">
              <w:rPr>
                <w:rFonts w:asciiTheme="minorHAnsi" w:hAnsiTheme="minorHAnsi"/>
              </w:rPr>
              <w:t xml:space="preserve"> cataract appointment</w:t>
            </w:r>
          </w:p>
        </w:tc>
        <w:tc>
          <w:tcPr>
            <w:tcW w:w="3260" w:type="dxa"/>
            <w:shd w:val="clear" w:color="auto" w:fill="auto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600 - 1400</w:t>
            </w:r>
          </w:p>
        </w:tc>
        <w:tc>
          <w:tcPr>
            <w:tcW w:w="2977" w:type="dxa"/>
          </w:tcPr>
          <w:p w:rsidR="002B197C" w:rsidRPr="00C92BAF" w:rsidRDefault="002B197C" w:rsidP="002B197C">
            <w:pPr>
              <w:jc w:val="center"/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300 - 700</w:t>
            </w:r>
          </w:p>
        </w:tc>
      </w:tr>
    </w:tbl>
    <w:p w:rsidR="002B197C" w:rsidRPr="00C92BAF" w:rsidRDefault="002B197C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</w:p>
    <w:p w:rsidR="00C92BAF" w:rsidRPr="00C92BAF" w:rsidRDefault="00C92BAF">
      <w:pPr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br w:type="page"/>
      </w:r>
    </w:p>
    <w:p w:rsidR="00743084" w:rsidRPr="00C92BAF" w:rsidRDefault="0074308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lastRenderedPageBreak/>
        <w:t>The tests required are</w:t>
      </w:r>
      <w:r w:rsidR="00C92BAF" w:rsidRPr="00C92BAF">
        <w:rPr>
          <w:rFonts w:asciiTheme="minorHAnsi" w:hAnsiTheme="minorHAnsi"/>
          <w:color w:val="000000"/>
          <w:lang w:val="en" w:eastAsia="en-GB"/>
        </w:rPr>
        <w:t xml:space="preserve"> for the disease areas are:</w:t>
      </w:r>
    </w:p>
    <w:p w:rsidR="00743084" w:rsidRPr="00C92BAF" w:rsidRDefault="0074308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444"/>
      </w:tblGrid>
      <w:tr w:rsidR="00743084" w:rsidRPr="00C92BAF" w:rsidTr="00743084">
        <w:tc>
          <w:tcPr>
            <w:tcW w:w="3085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Disease process</w:t>
            </w:r>
          </w:p>
        </w:tc>
        <w:tc>
          <w:tcPr>
            <w:tcW w:w="5444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Procedures required</w:t>
            </w:r>
          </w:p>
        </w:tc>
      </w:tr>
      <w:tr w:rsidR="00743084" w:rsidRPr="00C92BAF" w:rsidTr="00743084">
        <w:tc>
          <w:tcPr>
            <w:tcW w:w="3085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Glaucoma monitoring</w:t>
            </w:r>
          </w:p>
        </w:tc>
        <w:tc>
          <w:tcPr>
            <w:tcW w:w="5444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Intra ocular eye pressure, Visual fields, optical disc photograph, OCT</w:t>
            </w:r>
          </w:p>
        </w:tc>
      </w:tr>
      <w:tr w:rsidR="00743084" w:rsidRPr="00C92BAF" w:rsidTr="00743084">
        <w:tc>
          <w:tcPr>
            <w:tcW w:w="3085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Macula monitoring</w:t>
            </w:r>
          </w:p>
        </w:tc>
        <w:tc>
          <w:tcPr>
            <w:tcW w:w="5444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OCT, visual acuity, colour photograph</w:t>
            </w:r>
          </w:p>
        </w:tc>
      </w:tr>
      <w:tr w:rsidR="00743084" w:rsidRPr="00C92BAF" w:rsidTr="00743084">
        <w:tc>
          <w:tcPr>
            <w:tcW w:w="3085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 xml:space="preserve">Cataract assessment </w:t>
            </w:r>
          </w:p>
        </w:tc>
        <w:tc>
          <w:tcPr>
            <w:tcW w:w="5444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Visual acuity, Intra ocular eye pressure, refraction, OCT and eye examination</w:t>
            </w:r>
          </w:p>
        </w:tc>
      </w:tr>
      <w:tr w:rsidR="00743084" w:rsidRPr="00C92BAF" w:rsidTr="00743084">
        <w:tc>
          <w:tcPr>
            <w:tcW w:w="3085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Post-operative cataract assessment</w:t>
            </w:r>
          </w:p>
        </w:tc>
        <w:tc>
          <w:tcPr>
            <w:tcW w:w="5444" w:type="dxa"/>
          </w:tcPr>
          <w:p w:rsidR="00743084" w:rsidRPr="00C92BAF" w:rsidRDefault="00743084" w:rsidP="00743084">
            <w:pPr>
              <w:rPr>
                <w:rFonts w:asciiTheme="minorHAnsi" w:hAnsiTheme="minorHAnsi"/>
              </w:rPr>
            </w:pPr>
            <w:r w:rsidRPr="00C92BAF">
              <w:rPr>
                <w:rFonts w:asciiTheme="minorHAnsi" w:hAnsiTheme="minorHAnsi"/>
              </w:rPr>
              <w:t>Visual acuity, Intra ocular eye pressure, refraction, OCT and eye examination</w:t>
            </w:r>
          </w:p>
        </w:tc>
      </w:tr>
    </w:tbl>
    <w:p w:rsidR="00BD046B" w:rsidRPr="00C92BAF" w:rsidRDefault="00BD046B" w:rsidP="00BF7174">
      <w:pPr>
        <w:rPr>
          <w:rFonts w:asciiTheme="minorHAnsi" w:hAnsiTheme="minorHAnsi"/>
          <w:b/>
        </w:rPr>
      </w:pPr>
    </w:p>
    <w:p w:rsidR="00743084" w:rsidRPr="00C92BAF" w:rsidRDefault="00743084" w:rsidP="00743084">
      <w:pPr>
        <w:pStyle w:val="ListParagraph"/>
        <w:ind w:left="900"/>
        <w:rPr>
          <w:rFonts w:asciiTheme="minorHAnsi" w:hAnsiTheme="minorHAnsi"/>
        </w:rPr>
      </w:pPr>
    </w:p>
    <w:p w:rsidR="00743084" w:rsidRPr="00C92BAF" w:rsidRDefault="00743084" w:rsidP="00743084">
      <w:pPr>
        <w:pStyle w:val="ListParagraph"/>
        <w:rPr>
          <w:rFonts w:asciiTheme="minorHAnsi" w:hAnsiTheme="minorHAnsi"/>
          <w:u w:val="single"/>
        </w:rPr>
      </w:pPr>
    </w:p>
    <w:p w:rsidR="00743084" w:rsidRPr="00C92BAF" w:rsidRDefault="00743084" w:rsidP="00BF7174">
      <w:pPr>
        <w:rPr>
          <w:rFonts w:asciiTheme="minorHAnsi" w:hAnsiTheme="minorHAnsi"/>
          <w:b/>
        </w:rPr>
      </w:pPr>
      <w:r w:rsidRPr="00C92BAF">
        <w:rPr>
          <w:rFonts w:asciiTheme="minorHAnsi" w:hAnsiTheme="minorHAnsi"/>
          <w:b/>
        </w:rPr>
        <w:t xml:space="preserve">Patient management Process </w:t>
      </w:r>
    </w:p>
    <w:p w:rsidR="00743084" w:rsidRPr="00C92BAF" w:rsidRDefault="00743084" w:rsidP="00743084">
      <w:pPr>
        <w:rPr>
          <w:rFonts w:asciiTheme="minorHAnsi" w:hAnsiTheme="minorHAnsi"/>
        </w:rPr>
      </w:pPr>
    </w:p>
    <w:p w:rsidR="00743084" w:rsidRPr="00C92BAF" w:rsidRDefault="00743084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C92BAF">
        <w:rPr>
          <w:rFonts w:asciiTheme="minorHAnsi" w:hAnsiTheme="minorHAnsi"/>
        </w:rPr>
        <w:t xml:space="preserve">The Ophthalmology Directorate will identify suitable patients for monitoring.  </w:t>
      </w:r>
    </w:p>
    <w:p w:rsidR="00743084" w:rsidRPr="00C92BAF" w:rsidRDefault="00C92BAF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Demographic and clinical </w:t>
      </w:r>
      <w:r w:rsidR="00743084" w:rsidRPr="00C92BAF">
        <w:rPr>
          <w:rFonts w:asciiTheme="minorHAnsi" w:hAnsiTheme="minorHAnsi"/>
        </w:rPr>
        <w:t xml:space="preserve">information </w:t>
      </w:r>
      <w:r>
        <w:rPr>
          <w:rFonts w:asciiTheme="minorHAnsi" w:hAnsiTheme="minorHAnsi"/>
        </w:rPr>
        <w:t xml:space="preserve">about the </w:t>
      </w:r>
      <w:r w:rsidRPr="00C92BAF">
        <w:rPr>
          <w:rFonts w:asciiTheme="minorHAnsi" w:hAnsiTheme="minorHAnsi"/>
        </w:rPr>
        <w:t xml:space="preserve">patient </w:t>
      </w:r>
      <w:r w:rsidR="00743084" w:rsidRPr="00C92BAF">
        <w:rPr>
          <w:rFonts w:asciiTheme="minorHAnsi" w:hAnsiTheme="minorHAnsi"/>
        </w:rPr>
        <w:t>will be made available to the provider</w:t>
      </w:r>
    </w:p>
    <w:p w:rsidR="00743084" w:rsidRPr="00C92BAF" w:rsidRDefault="00743084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C92BAF">
        <w:rPr>
          <w:rFonts w:asciiTheme="minorHAnsi" w:hAnsiTheme="minorHAnsi"/>
        </w:rPr>
        <w:t>The provider will be responsible for booking the patient</w:t>
      </w:r>
    </w:p>
    <w:p w:rsidR="00743084" w:rsidRPr="00C92BAF" w:rsidRDefault="00743084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C92BAF">
        <w:rPr>
          <w:rFonts w:asciiTheme="minorHAnsi" w:hAnsiTheme="minorHAnsi"/>
        </w:rPr>
        <w:t>An agreed date for appointment will be made with the patient no less than 3 weeks in advance of the appointment</w:t>
      </w:r>
    </w:p>
    <w:p w:rsidR="00743084" w:rsidRPr="001B0623" w:rsidRDefault="00743084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1B0623">
        <w:rPr>
          <w:rFonts w:asciiTheme="minorHAnsi" w:hAnsiTheme="minorHAnsi"/>
        </w:rPr>
        <w:t>The clinical decision making will be the responsibility of YTHT</w:t>
      </w:r>
    </w:p>
    <w:p w:rsidR="00743084" w:rsidRPr="00C92BAF" w:rsidRDefault="00743084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C92BAF">
        <w:rPr>
          <w:rFonts w:asciiTheme="minorHAnsi" w:hAnsiTheme="minorHAnsi"/>
        </w:rPr>
        <w:t>The provider will supply clinical and information to YTHT according to be informed of the clinical decision and the ne</w:t>
      </w:r>
      <w:r w:rsidR="00C92BAF">
        <w:rPr>
          <w:rFonts w:asciiTheme="minorHAnsi" w:hAnsiTheme="minorHAnsi"/>
        </w:rPr>
        <w:t>xt steps of the patient pathway in an agreed timeframe</w:t>
      </w:r>
    </w:p>
    <w:p w:rsidR="00743084" w:rsidRPr="00C92BAF" w:rsidRDefault="00743084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C92BAF">
        <w:rPr>
          <w:rFonts w:asciiTheme="minorHAnsi" w:hAnsiTheme="minorHAnsi"/>
        </w:rPr>
        <w:t xml:space="preserve">The provider will supply a weekly updated spread sheet of activity to include (an indicative list): Patients name, NHS No, Date of Birth, condition, appointment date, procedures. </w:t>
      </w:r>
    </w:p>
    <w:p w:rsidR="00743084" w:rsidRPr="00C92BAF" w:rsidRDefault="00743084" w:rsidP="00C92BAF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C92BAF">
        <w:rPr>
          <w:rFonts w:asciiTheme="minorHAnsi" w:hAnsiTheme="minorHAnsi"/>
        </w:rPr>
        <w:t>The provider will be able to audit data for safety investigations, patient complaints, service monitoring, patient outcomes.</w:t>
      </w:r>
    </w:p>
    <w:p w:rsidR="00743084" w:rsidRPr="00C92BAF" w:rsidRDefault="00743084" w:rsidP="00743084">
      <w:pPr>
        <w:rPr>
          <w:rFonts w:asciiTheme="minorHAnsi" w:hAnsiTheme="minorHAnsi"/>
        </w:rPr>
      </w:pPr>
    </w:p>
    <w:p w:rsidR="00743084" w:rsidRPr="00C92BAF" w:rsidRDefault="00743084" w:rsidP="00E61BA7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444444"/>
          <w:lang w:val="en" w:eastAsia="en-GB"/>
        </w:rPr>
      </w:pPr>
      <w:r w:rsidRPr="00C92BAF">
        <w:rPr>
          <w:rFonts w:asciiTheme="minorHAnsi" w:hAnsiTheme="minorHAnsi"/>
          <w:b/>
          <w:bCs/>
          <w:color w:val="000000"/>
          <w:lang w:val="en" w:eastAsia="en-GB"/>
        </w:rPr>
        <w:t>Estimated value</w:t>
      </w: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 xml:space="preserve">Value excluding VAT: </w:t>
      </w:r>
      <w:r w:rsidR="00BF7174" w:rsidRPr="00C92BAF">
        <w:rPr>
          <w:rFonts w:asciiTheme="minorHAnsi" w:hAnsiTheme="minorHAnsi"/>
          <w:color w:val="000000"/>
          <w:lang w:val="en" w:eastAsia="en-GB"/>
        </w:rPr>
        <w:t>£2,</w:t>
      </w:r>
      <w:r w:rsidR="001B0623">
        <w:rPr>
          <w:rFonts w:asciiTheme="minorHAnsi" w:hAnsiTheme="minorHAnsi"/>
          <w:color w:val="000000"/>
          <w:lang w:val="en" w:eastAsia="en-GB"/>
        </w:rPr>
        <w:t>500,000</w:t>
      </w: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444444"/>
          <w:lang w:val="en" w:eastAsia="en-GB"/>
        </w:rPr>
      </w:pPr>
      <w:r w:rsidRPr="00C92BAF">
        <w:rPr>
          <w:rFonts w:asciiTheme="minorHAnsi" w:hAnsiTheme="minorHAnsi"/>
          <w:b/>
          <w:bCs/>
          <w:color w:val="000000"/>
          <w:lang w:val="en" w:eastAsia="en-GB"/>
        </w:rPr>
        <w:t>Duration of the contract, framework agreement or dynamic purchasing system</w:t>
      </w: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>Start: 01/</w:t>
      </w:r>
      <w:r w:rsidR="00E61BA7" w:rsidRPr="00C92BAF">
        <w:rPr>
          <w:rFonts w:asciiTheme="minorHAnsi" w:hAnsiTheme="minorHAnsi"/>
          <w:color w:val="000000"/>
          <w:lang w:val="en" w:eastAsia="en-GB"/>
        </w:rPr>
        <w:t>04</w:t>
      </w:r>
      <w:r w:rsidRPr="00C92BAF">
        <w:rPr>
          <w:rFonts w:asciiTheme="minorHAnsi" w:hAnsiTheme="minorHAnsi"/>
          <w:color w:val="000000"/>
          <w:lang w:val="en" w:eastAsia="en-GB"/>
        </w:rPr>
        <w:t>/201</w:t>
      </w:r>
      <w:r w:rsidR="00E61BA7" w:rsidRPr="00C92BAF">
        <w:rPr>
          <w:rFonts w:asciiTheme="minorHAnsi" w:hAnsiTheme="minorHAnsi"/>
          <w:color w:val="000000"/>
          <w:lang w:val="en" w:eastAsia="en-GB"/>
        </w:rPr>
        <w:t>8</w:t>
      </w: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 xml:space="preserve">End: </w:t>
      </w:r>
      <w:r w:rsidR="00E61BA7" w:rsidRPr="00C92BAF">
        <w:rPr>
          <w:rFonts w:asciiTheme="minorHAnsi" w:hAnsiTheme="minorHAnsi"/>
          <w:color w:val="000000"/>
          <w:lang w:val="en" w:eastAsia="en-GB"/>
        </w:rPr>
        <w:t>31</w:t>
      </w:r>
      <w:r w:rsidRPr="00C92BAF">
        <w:rPr>
          <w:rFonts w:asciiTheme="minorHAnsi" w:hAnsiTheme="minorHAnsi"/>
          <w:color w:val="000000"/>
          <w:lang w:val="en" w:eastAsia="en-GB"/>
        </w:rPr>
        <w:t>/0</w:t>
      </w:r>
      <w:r w:rsidR="00E61BA7" w:rsidRPr="00C92BAF">
        <w:rPr>
          <w:rFonts w:asciiTheme="minorHAnsi" w:hAnsiTheme="minorHAnsi"/>
          <w:color w:val="000000"/>
          <w:lang w:val="en" w:eastAsia="en-GB"/>
        </w:rPr>
        <w:t>3</w:t>
      </w:r>
      <w:r w:rsidRPr="00C92BAF">
        <w:rPr>
          <w:rFonts w:asciiTheme="minorHAnsi" w:hAnsiTheme="minorHAnsi"/>
          <w:color w:val="000000"/>
          <w:lang w:val="en" w:eastAsia="en-GB"/>
        </w:rPr>
        <w:t>/20</w:t>
      </w:r>
      <w:r w:rsidR="00E61BA7" w:rsidRPr="00C92BAF">
        <w:rPr>
          <w:rFonts w:asciiTheme="minorHAnsi" w:hAnsiTheme="minorHAnsi"/>
          <w:color w:val="000000"/>
          <w:lang w:val="en" w:eastAsia="en-GB"/>
        </w:rPr>
        <w:t>23</w:t>
      </w:r>
    </w:p>
    <w:p w:rsidR="00CA4D14" w:rsidRPr="00C92BAF" w:rsidRDefault="00CA4D14" w:rsidP="00CA4D14">
      <w:pPr>
        <w:shd w:val="clear" w:color="auto" w:fill="FFFFFF"/>
        <w:rPr>
          <w:rFonts w:asciiTheme="minorHAnsi" w:hAnsiTheme="minorHAnsi"/>
          <w:color w:val="000000"/>
          <w:lang w:val="en" w:eastAsia="en-GB"/>
        </w:rPr>
      </w:pPr>
      <w:r w:rsidRPr="00C92BAF">
        <w:rPr>
          <w:rFonts w:asciiTheme="minorHAnsi" w:hAnsiTheme="minorHAnsi"/>
          <w:color w:val="000000"/>
          <w:lang w:val="en" w:eastAsia="en-GB"/>
        </w:rPr>
        <w:t>This contract is subject to renewal: no</w:t>
      </w:r>
    </w:p>
    <w:sectPr w:rsidR="00CA4D14" w:rsidRPr="00C92BAF" w:rsidSect="00C71592">
      <w:headerReference w:type="default" r:id="rId9"/>
      <w:pgSz w:w="11907" w:h="16839" w:code="9"/>
      <w:pgMar w:top="1440" w:right="1797" w:bottom="1440" w:left="1797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38" w:rsidRDefault="00FB7D38" w:rsidP="0071164A">
      <w:r>
        <w:separator/>
      </w:r>
    </w:p>
  </w:endnote>
  <w:endnote w:type="continuationSeparator" w:id="0">
    <w:p w:rsidR="00FB7D38" w:rsidRDefault="00FB7D38" w:rsidP="0071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38" w:rsidRDefault="00FB7D38" w:rsidP="0071164A">
      <w:r>
        <w:separator/>
      </w:r>
    </w:p>
  </w:footnote>
  <w:footnote w:type="continuationSeparator" w:id="0">
    <w:p w:rsidR="00FB7D38" w:rsidRDefault="00FB7D38" w:rsidP="00711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708449"/>
      <w:docPartObj>
        <w:docPartGallery w:val="Watermarks"/>
        <w:docPartUnique/>
      </w:docPartObj>
    </w:sdtPr>
    <w:sdtEndPr/>
    <w:sdtContent>
      <w:p w:rsidR="00BF7174" w:rsidRDefault="00FB7D38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014E"/>
    <w:multiLevelType w:val="hybridMultilevel"/>
    <w:tmpl w:val="7AF8DD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6B1601"/>
    <w:multiLevelType w:val="multilevel"/>
    <w:tmpl w:val="91F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485DCE"/>
    <w:multiLevelType w:val="multilevel"/>
    <w:tmpl w:val="F3FA6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1AA2343"/>
    <w:multiLevelType w:val="hybridMultilevel"/>
    <w:tmpl w:val="F93C2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05A1E"/>
    <w:multiLevelType w:val="hybridMultilevel"/>
    <w:tmpl w:val="1D3E4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A0A7B"/>
    <w:multiLevelType w:val="hybridMultilevel"/>
    <w:tmpl w:val="6594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A3925"/>
    <w:multiLevelType w:val="multilevel"/>
    <w:tmpl w:val="91F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B377A8A"/>
    <w:multiLevelType w:val="hybridMultilevel"/>
    <w:tmpl w:val="B6649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949A0"/>
    <w:multiLevelType w:val="hybridMultilevel"/>
    <w:tmpl w:val="8AC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42F28"/>
    <w:multiLevelType w:val="multilevel"/>
    <w:tmpl w:val="91F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73C63D9"/>
    <w:multiLevelType w:val="hybridMultilevel"/>
    <w:tmpl w:val="A5C29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E06F00"/>
    <w:multiLevelType w:val="multilevel"/>
    <w:tmpl w:val="4C1E8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10C65D6"/>
    <w:multiLevelType w:val="multilevel"/>
    <w:tmpl w:val="91F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12933A6"/>
    <w:multiLevelType w:val="hybridMultilevel"/>
    <w:tmpl w:val="2C32D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A769D"/>
    <w:multiLevelType w:val="multilevel"/>
    <w:tmpl w:val="91F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DA356A7"/>
    <w:multiLevelType w:val="hybridMultilevel"/>
    <w:tmpl w:val="D714AAA6"/>
    <w:lvl w:ilvl="0" w:tplc="4AECB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C5A80"/>
    <w:multiLevelType w:val="hybridMultilevel"/>
    <w:tmpl w:val="2EC21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05B41"/>
    <w:multiLevelType w:val="multilevel"/>
    <w:tmpl w:val="91F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6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0"/>
  </w:num>
  <w:num w:numId="12">
    <w:abstractNumId w:val="13"/>
  </w:num>
  <w:num w:numId="13">
    <w:abstractNumId w:val="5"/>
  </w:num>
  <w:num w:numId="14">
    <w:abstractNumId w:val="1"/>
  </w:num>
  <w:num w:numId="15">
    <w:abstractNumId w:val="8"/>
  </w:num>
  <w:num w:numId="16">
    <w:abstractNumId w:val="9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92"/>
    <w:rsid w:val="00016366"/>
    <w:rsid w:val="001217FE"/>
    <w:rsid w:val="00146750"/>
    <w:rsid w:val="001A2988"/>
    <w:rsid w:val="001B0623"/>
    <w:rsid w:val="00251338"/>
    <w:rsid w:val="002A1A3F"/>
    <w:rsid w:val="002B197C"/>
    <w:rsid w:val="002D5F91"/>
    <w:rsid w:val="0034330B"/>
    <w:rsid w:val="00365B98"/>
    <w:rsid w:val="00401EBC"/>
    <w:rsid w:val="00457518"/>
    <w:rsid w:val="00503CE7"/>
    <w:rsid w:val="00506662"/>
    <w:rsid w:val="0051494F"/>
    <w:rsid w:val="00515F64"/>
    <w:rsid w:val="005D3FBF"/>
    <w:rsid w:val="005E223F"/>
    <w:rsid w:val="00656B29"/>
    <w:rsid w:val="00695383"/>
    <w:rsid w:val="006F7981"/>
    <w:rsid w:val="0071011A"/>
    <w:rsid w:val="0071164A"/>
    <w:rsid w:val="00712A06"/>
    <w:rsid w:val="00743084"/>
    <w:rsid w:val="007D5C75"/>
    <w:rsid w:val="007E05F6"/>
    <w:rsid w:val="007F1E70"/>
    <w:rsid w:val="007F7EFD"/>
    <w:rsid w:val="009345A7"/>
    <w:rsid w:val="00994D32"/>
    <w:rsid w:val="009962F3"/>
    <w:rsid w:val="009C3086"/>
    <w:rsid w:val="009D4BC0"/>
    <w:rsid w:val="009E1BF5"/>
    <w:rsid w:val="009E55DB"/>
    <w:rsid w:val="00A43504"/>
    <w:rsid w:val="00A4440F"/>
    <w:rsid w:val="00A52DDB"/>
    <w:rsid w:val="00B401EC"/>
    <w:rsid w:val="00B739DD"/>
    <w:rsid w:val="00BD046B"/>
    <w:rsid w:val="00BF7174"/>
    <w:rsid w:val="00C07E7F"/>
    <w:rsid w:val="00C27189"/>
    <w:rsid w:val="00C71592"/>
    <w:rsid w:val="00C92BAF"/>
    <w:rsid w:val="00CA4D14"/>
    <w:rsid w:val="00CB3C38"/>
    <w:rsid w:val="00E05F76"/>
    <w:rsid w:val="00E3533B"/>
    <w:rsid w:val="00E367B8"/>
    <w:rsid w:val="00E61BA7"/>
    <w:rsid w:val="00E809EE"/>
    <w:rsid w:val="00E844A0"/>
    <w:rsid w:val="00EA311E"/>
    <w:rsid w:val="00F315A5"/>
    <w:rsid w:val="00F82C46"/>
    <w:rsid w:val="00FB66CD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592"/>
    <w:pPr>
      <w:ind w:left="720"/>
      <w:contextualSpacing/>
    </w:pPr>
  </w:style>
  <w:style w:type="paragraph" w:styleId="Header">
    <w:name w:val="header"/>
    <w:basedOn w:val="Normal"/>
    <w:link w:val="HeaderChar"/>
    <w:rsid w:val="00711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164A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116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64A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93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6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66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6F7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98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981"/>
    <w:rPr>
      <w:rFonts w:ascii="Arial" w:hAnsi="Arial" w:cs="Arial"/>
      <w:b/>
      <w:bCs/>
      <w:lang w:eastAsia="en-US"/>
    </w:rPr>
  </w:style>
  <w:style w:type="character" w:customStyle="1" w:styleId="highlight1">
    <w:name w:val="highlight1"/>
    <w:basedOn w:val="DefaultParagraphFont"/>
    <w:rsid w:val="00CA4D14"/>
    <w:rPr>
      <w:shd w:val="clear" w:color="auto" w:fill="FFFF00"/>
    </w:rPr>
  </w:style>
  <w:style w:type="character" w:customStyle="1" w:styleId="timark5">
    <w:name w:val="timark5"/>
    <w:basedOn w:val="DefaultParagraphFont"/>
    <w:rsid w:val="00CA4D14"/>
    <w:rPr>
      <w:b/>
      <w:bCs/>
      <w:vanish w:val="0"/>
      <w:webHidden w:val="0"/>
      <w:specVanish w:val="0"/>
    </w:rPr>
  </w:style>
  <w:style w:type="character" w:customStyle="1" w:styleId="nomark5">
    <w:name w:val="nomark5"/>
    <w:basedOn w:val="DefaultParagraphFont"/>
    <w:rsid w:val="00CA4D14"/>
    <w:rPr>
      <w:vanish w:val="0"/>
      <w:webHidden w:val="0"/>
      <w:specVanish w:val="0"/>
    </w:rPr>
  </w:style>
  <w:style w:type="character" w:customStyle="1" w:styleId="cpvcode3">
    <w:name w:val="cpvcode3"/>
    <w:basedOn w:val="DefaultParagraphFont"/>
    <w:rsid w:val="00CA4D14"/>
    <w:rPr>
      <w:color w:val="FF0000"/>
    </w:rPr>
  </w:style>
  <w:style w:type="character" w:customStyle="1" w:styleId="nutscode">
    <w:name w:val="nutscode"/>
    <w:basedOn w:val="DefaultParagraphFont"/>
    <w:rsid w:val="00CA4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592"/>
    <w:pPr>
      <w:ind w:left="720"/>
      <w:contextualSpacing/>
    </w:pPr>
  </w:style>
  <w:style w:type="paragraph" w:styleId="Header">
    <w:name w:val="header"/>
    <w:basedOn w:val="Normal"/>
    <w:link w:val="HeaderChar"/>
    <w:rsid w:val="00711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164A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116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64A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93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6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66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6F7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98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981"/>
    <w:rPr>
      <w:rFonts w:ascii="Arial" w:hAnsi="Arial" w:cs="Arial"/>
      <w:b/>
      <w:bCs/>
      <w:lang w:eastAsia="en-US"/>
    </w:rPr>
  </w:style>
  <w:style w:type="character" w:customStyle="1" w:styleId="highlight1">
    <w:name w:val="highlight1"/>
    <w:basedOn w:val="DefaultParagraphFont"/>
    <w:rsid w:val="00CA4D14"/>
    <w:rPr>
      <w:shd w:val="clear" w:color="auto" w:fill="FFFF00"/>
    </w:rPr>
  </w:style>
  <w:style w:type="character" w:customStyle="1" w:styleId="timark5">
    <w:name w:val="timark5"/>
    <w:basedOn w:val="DefaultParagraphFont"/>
    <w:rsid w:val="00CA4D14"/>
    <w:rPr>
      <w:b/>
      <w:bCs/>
      <w:vanish w:val="0"/>
      <w:webHidden w:val="0"/>
      <w:specVanish w:val="0"/>
    </w:rPr>
  </w:style>
  <w:style w:type="character" w:customStyle="1" w:styleId="nomark5">
    <w:name w:val="nomark5"/>
    <w:basedOn w:val="DefaultParagraphFont"/>
    <w:rsid w:val="00CA4D14"/>
    <w:rPr>
      <w:vanish w:val="0"/>
      <w:webHidden w:val="0"/>
      <w:specVanish w:val="0"/>
    </w:rPr>
  </w:style>
  <w:style w:type="character" w:customStyle="1" w:styleId="cpvcode3">
    <w:name w:val="cpvcode3"/>
    <w:basedOn w:val="DefaultParagraphFont"/>
    <w:rsid w:val="00CA4D14"/>
    <w:rPr>
      <w:color w:val="FF0000"/>
    </w:rPr>
  </w:style>
  <w:style w:type="character" w:customStyle="1" w:styleId="nutscode">
    <w:name w:val="nutscode"/>
    <w:basedOn w:val="DefaultParagraphFont"/>
    <w:rsid w:val="00CA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2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07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36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81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3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07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0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03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188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0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10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199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39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400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708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371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535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904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850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708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09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763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856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989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9380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007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00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441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7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116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90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30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56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14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2903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EA17-DDBC-437F-B493-0F5389A5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206F314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Mayor, Paul</dc:creator>
  <cp:lastModifiedBy>Stephenson, Sarah</cp:lastModifiedBy>
  <cp:revision>4</cp:revision>
  <cp:lastPrinted>2017-05-05T08:00:00Z</cp:lastPrinted>
  <dcterms:created xsi:type="dcterms:W3CDTF">2017-07-12T08:59:00Z</dcterms:created>
  <dcterms:modified xsi:type="dcterms:W3CDTF">2017-07-12T09:00:00Z</dcterms:modified>
</cp:coreProperties>
</file>