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AEB59" w14:textId="77777777" w:rsidR="00C669B4" w:rsidRDefault="00344915">
      <w:pPr>
        <w:rPr>
          <w:b/>
        </w:rPr>
      </w:pPr>
      <w:r>
        <w:rPr>
          <w:noProof/>
        </w:rPr>
        <w:drawing>
          <wp:anchor distT="0" distB="0" distL="114300" distR="114300" simplePos="0" relativeHeight="251657728" behindDoc="1" locked="0" layoutInCell="1" allowOverlap="1" wp14:anchorId="76095A72" wp14:editId="5FDFB076">
            <wp:simplePos x="0" y="0"/>
            <wp:positionH relativeFrom="column">
              <wp:posOffset>4874260</wp:posOffset>
            </wp:positionH>
            <wp:positionV relativeFrom="paragraph">
              <wp:posOffset>33655</wp:posOffset>
            </wp:positionV>
            <wp:extent cx="1377315" cy="809625"/>
            <wp:effectExtent l="0" t="0" r="0" b="0"/>
            <wp:wrapTight wrapText="bothSides">
              <wp:wrapPolygon edited="0">
                <wp:start x="0" y="0"/>
                <wp:lineTo x="0" y="21346"/>
                <wp:lineTo x="21212" y="21346"/>
                <wp:lineTo x="21212" y="0"/>
                <wp:lineTo x="0" y="0"/>
              </wp:wrapPolygon>
            </wp:wrapTight>
            <wp:docPr id="7" name="Picture 21" descr="http://portal/handbook/communications/Documents/logos/DfE%20standard%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ortal/handbook/communications/Documents/logos/DfE%20standard%20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438953" w14:textId="77777777" w:rsidR="00C669B4" w:rsidRDefault="002F2E57">
      <w:pPr>
        <w:rPr>
          <w:b/>
          <w:sz w:val="32"/>
          <w:szCs w:val="32"/>
        </w:rPr>
      </w:pPr>
      <w:r w:rsidRPr="00C669B4">
        <w:rPr>
          <w:b/>
          <w:sz w:val="32"/>
          <w:szCs w:val="32"/>
        </w:rPr>
        <w:t>INVITATION TO TENDER</w:t>
      </w:r>
    </w:p>
    <w:p w14:paraId="48F826BE" w14:textId="77777777" w:rsidR="00C669B4" w:rsidRDefault="00C669B4">
      <w:pPr>
        <w:rPr>
          <w:b/>
          <w:sz w:val="32"/>
          <w:szCs w:val="32"/>
        </w:rPr>
      </w:pPr>
      <w:r>
        <w:rPr>
          <w:b/>
          <w:sz w:val="32"/>
          <w:szCs w:val="32"/>
        </w:rPr>
        <w:t>DOCUMENT 1</w:t>
      </w:r>
    </w:p>
    <w:p w14:paraId="72F32EF2" w14:textId="77777777" w:rsidR="00CA1712" w:rsidRPr="00C669B4" w:rsidRDefault="00C669B4">
      <w:pPr>
        <w:rPr>
          <w:b/>
          <w:sz w:val="32"/>
          <w:szCs w:val="32"/>
        </w:rPr>
      </w:pPr>
      <w:r>
        <w:rPr>
          <w:b/>
          <w:sz w:val="32"/>
          <w:szCs w:val="32"/>
        </w:rPr>
        <w:t>Peer support for children and young people’s mental health</w:t>
      </w:r>
      <w:r w:rsidR="00914E2B" w:rsidRPr="00C669B4">
        <w:rPr>
          <w:b/>
          <w:sz w:val="32"/>
          <w:szCs w:val="32"/>
        </w:rPr>
        <w:tab/>
      </w:r>
      <w:r>
        <w:rPr>
          <w:b/>
          <w:sz w:val="32"/>
          <w:szCs w:val="32"/>
        </w:rPr>
        <w:t>pilot</w:t>
      </w:r>
      <w:r w:rsidR="00914E2B">
        <w:rPr>
          <w:b/>
        </w:rPr>
        <w:tab/>
      </w:r>
      <w:r w:rsidR="00914E2B">
        <w:rPr>
          <w:b/>
        </w:rPr>
        <w:tab/>
      </w:r>
      <w:r w:rsidR="00914E2B">
        <w:rPr>
          <w:b/>
        </w:rPr>
        <w:tab/>
      </w:r>
    </w:p>
    <w:p w14:paraId="765CF7A4" w14:textId="77777777" w:rsidR="00CA1712" w:rsidRDefault="00CA1712"/>
    <w:p w14:paraId="679546FC" w14:textId="77777777" w:rsidR="00CA1712" w:rsidRDefault="00CA1712"/>
    <w:p w14:paraId="64D12DDA" w14:textId="77777777" w:rsidR="00CA1712" w:rsidRPr="00C669B4" w:rsidRDefault="00CA1712">
      <w:pPr>
        <w:pStyle w:val="Numbered"/>
        <w:widowControl/>
        <w:rPr>
          <w:sz w:val="28"/>
          <w:szCs w:val="28"/>
        </w:rPr>
      </w:pPr>
      <w:bookmarkStart w:id="0" w:name="Address"/>
      <w:bookmarkStart w:id="1" w:name="Sal"/>
      <w:bookmarkEnd w:id="0"/>
      <w:bookmarkEnd w:id="1"/>
      <w:r w:rsidRPr="00C669B4">
        <w:rPr>
          <w:b/>
          <w:sz w:val="28"/>
          <w:szCs w:val="28"/>
        </w:rPr>
        <w:t>INSTRUCTIONS AND INFORMATION ON TENDERING PROCEDURES</w:t>
      </w:r>
    </w:p>
    <w:p w14:paraId="47D8EB26" w14:textId="2EE7A1F8" w:rsidR="00CA1712" w:rsidRDefault="00CA1712">
      <w:pPr>
        <w:pStyle w:val="Numbered"/>
        <w:widowControl/>
        <w:ind w:left="720" w:hanging="720"/>
      </w:pPr>
      <w:r>
        <w:t>1</w:t>
      </w:r>
      <w:r>
        <w:tab/>
        <w:t xml:space="preserve">These instructions are designed to ensure that all tenders are given equal and fair consideration.  It is important therefore that you provide all the information asked for in the format and order specified.  Please contact </w:t>
      </w:r>
      <w:hyperlink r:id="rId12" w:history="1">
        <w:r w:rsidR="0051771C" w:rsidRPr="004164A4">
          <w:rPr>
            <w:rStyle w:val="Hyperlink"/>
          </w:rPr>
          <w:t>MentalHealth.TEAM@education.gov.uk</w:t>
        </w:r>
      </w:hyperlink>
      <w:r w:rsidR="00935CEC">
        <w:t xml:space="preserve"> </w:t>
      </w:r>
      <w:r w:rsidR="0051771C">
        <w:t xml:space="preserve">or </w:t>
      </w:r>
      <w:hyperlink r:id="rId13" w:history="1">
        <w:r w:rsidR="0051771C" w:rsidRPr="004164A4">
          <w:rPr>
            <w:rStyle w:val="Hyperlink"/>
          </w:rPr>
          <w:t>Sarah.Carter@education.gov.uk</w:t>
        </w:r>
      </w:hyperlink>
      <w:r w:rsidR="0051771C">
        <w:t xml:space="preserve"> </w:t>
      </w:r>
      <w:r w:rsidR="00935CEC">
        <w:t>i</w:t>
      </w:r>
      <w:r>
        <w:t xml:space="preserve">f you have any doubts as to what is required or you have difficulty in providing the information requested.  Pre-tender negotiations are </w:t>
      </w:r>
      <w:r>
        <w:rPr>
          <w:b/>
        </w:rPr>
        <w:t xml:space="preserve">not </w:t>
      </w:r>
      <w:r>
        <w:t>allowed.</w:t>
      </w:r>
    </w:p>
    <w:p w14:paraId="67C1DA4F" w14:textId="77777777" w:rsidR="00CA1712" w:rsidRDefault="00CA1712" w:rsidP="005431C3">
      <w:pPr>
        <w:ind w:left="720" w:hanging="720"/>
      </w:pPr>
      <w:r>
        <w:t>2</w:t>
      </w:r>
      <w:r>
        <w:tab/>
        <w:t xml:space="preserve">Please note that references to the 'Department' throughout these documents mean The Secretary of State for </w:t>
      </w:r>
      <w:r w:rsidR="000D00D0">
        <w:t>Education</w:t>
      </w:r>
      <w:r w:rsidR="00045040">
        <w:t xml:space="preserve"> </w:t>
      </w:r>
      <w:r w:rsidR="00165D84">
        <w:t>acting through her</w:t>
      </w:r>
      <w:r>
        <w:t xml:space="preserve"> representatives in the Department for </w:t>
      </w:r>
      <w:r w:rsidR="000D00D0">
        <w:t>Education</w:t>
      </w:r>
      <w:r>
        <w:t>.</w:t>
      </w:r>
    </w:p>
    <w:p w14:paraId="12E0E9CF" w14:textId="77777777" w:rsidR="005431C3" w:rsidRDefault="005431C3" w:rsidP="005431C3"/>
    <w:p w14:paraId="59766D42" w14:textId="77777777" w:rsidR="00CA1712" w:rsidRDefault="00CA1712">
      <w:pPr>
        <w:pStyle w:val="Numbered"/>
        <w:widowControl/>
        <w:rPr>
          <w:b/>
        </w:rPr>
      </w:pPr>
      <w:r>
        <w:rPr>
          <w:b/>
        </w:rPr>
        <w:t>Contract Period</w:t>
      </w:r>
    </w:p>
    <w:p w14:paraId="2F4A6C9F" w14:textId="77777777" w:rsidR="00CA1712" w:rsidRPr="001620A5" w:rsidRDefault="00CA1712">
      <w:pPr>
        <w:pStyle w:val="Numbered"/>
        <w:widowControl/>
        <w:ind w:left="720" w:hanging="720"/>
        <w:rPr>
          <w:color w:val="000000"/>
        </w:rPr>
      </w:pPr>
      <w:r>
        <w:t>3</w:t>
      </w:r>
      <w:r>
        <w:tab/>
        <w:t xml:space="preserve">The contract is to be for a period of </w:t>
      </w:r>
      <w:r w:rsidR="00111BC4">
        <w:t>approximately twenty t</w:t>
      </w:r>
      <w:r w:rsidR="009A5881">
        <w:t xml:space="preserve">wo months from </w:t>
      </w:r>
      <w:r w:rsidR="009A5881" w:rsidRPr="001620A5">
        <w:rPr>
          <w:color w:val="000000"/>
        </w:rPr>
        <w:t xml:space="preserve">June 2017 to </w:t>
      </w:r>
      <w:r w:rsidR="00111BC4" w:rsidRPr="001620A5">
        <w:rPr>
          <w:color w:val="000000"/>
        </w:rPr>
        <w:t xml:space="preserve">March </w:t>
      </w:r>
      <w:r w:rsidR="00BE1EDF" w:rsidRPr="001620A5">
        <w:rPr>
          <w:color w:val="000000"/>
        </w:rPr>
        <w:t>2019</w:t>
      </w:r>
      <w:r w:rsidR="005018E9" w:rsidRPr="001620A5">
        <w:rPr>
          <w:color w:val="000000"/>
        </w:rPr>
        <w:t>.</w:t>
      </w:r>
    </w:p>
    <w:p w14:paraId="5535DBF6" w14:textId="77777777" w:rsidR="00111BC4" w:rsidRPr="00111BC4" w:rsidRDefault="00111BC4" w:rsidP="00111BC4">
      <w:pPr>
        <w:pStyle w:val="Numbered"/>
        <w:spacing w:after="0"/>
        <w:rPr>
          <w:b/>
        </w:rPr>
      </w:pPr>
      <w:r>
        <w:rPr>
          <w:b/>
        </w:rPr>
        <w:t>Timetable</w:t>
      </w:r>
    </w:p>
    <w:p w14:paraId="0E446228" w14:textId="77777777" w:rsidR="00111BC4" w:rsidRDefault="00111BC4" w:rsidP="00111BC4">
      <w:pPr>
        <w:pStyle w:val="Numbered"/>
        <w:widowControl/>
        <w:spacing w:after="0"/>
      </w:pPr>
    </w:p>
    <w:p w14:paraId="707660AF" w14:textId="77777777" w:rsidR="00111BC4" w:rsidRDefault="00294583" w:rsidP="00294583">
      <w:pPr>
        <w:pStyle w:val="Numbered"/>
        <w:widowControl/>
        <w:spacing w:after="0"/>
        <w:ind w:left="720" w:hanging="720"/>
      </w:pPr>
      <w:r>
        <w:t>4</w:t>
      </w:r>
      <w:r>
        <w:tab/>
      </w:r>
      <w:r w:rsidR="00111BC4" w:rsidRPr="00111BC4">
        <w:t>A high level expected timeline for the procu</w:t>
      </w:r>
      <w:r w:rsidR="00111BC4">
        <w:t xml:space="preserve">rement process is set out below. </w:t>
      </w:r>
      <w:r w:rsidR="00111BC4" w:rsidRPr="00111BC4">
        <w:t>This is a guide and, subject to the quantity and quality of the proposals the Department receives, it may be subject to change.</w:t>
      </w:r>
    </w:p>
    <w:p w14:paraId="086816B5" w14:textId="77777777" w:rsidR="00111BC4" w:rsidRDefault="00111BC4" w:rsidP="00111BC4">
      <w:pPr>
        <w:rPr>
          <w:color w:val="000000"/>
        </w:rPr>
      </w:pPr>
    </w:p>
    <w:tbl>
      <w:tblPr>
        <w:tblW w:w="0" w:type="auto"/>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2"/>
        <w:gridCol w:w="2118"/>
      </w:tblGrid>
      <w:tr w:rsidR="00111BC4" w:rsidRPr="00E66067" w14:paraId="3CB22FF5" w14:textId="77777777" w:rsidTr="00F32A9D">
        <w:tc>
          <w:tcPr>
            <w:tcW w:w="6209" w:type="dxa"/>
            <w:shd w:val="clear" w:color="auto" w:fill="BDD6EE"/>
          </w:tcPr>
          <w:p w14:paraId="1C3BDE6B" w14:textId="77777777" w:rsidR="00111BC4" w:rsidRPr="00E66067" w:rsidRDefault="00AC06D1" w:rsidP="00376E8A">
            <w:pPr>
              <w:rPr>
                <w:b/>
                <w:color w:val="000000"/>
              </w:rPr>
            </w:pPr>
            <w:r>
              <w:rPr>
                <w:b/>
                <w:color w:val="000000"/>
              </w:rPr>
              <w:t xml:space="preserve">Procurement </w:t>
            </w:r>
            <w:r w:rsidR="00111BC4" w:rsidRPr="00E66067">
              <w:rPr>
                <w:b/>
                <w:color w:val="000000"/>
              </w:rPr>
              <w:t xml:space="preserve">Activity </w:t>
            </w:r>
          </w:p>
        </w:tc>
        <w:tc>
          <w:tcPr>
            <w:tcW w:w="2121" w:type="dxa"/>
            <w:shd w:val="clear" w:color="auto" w:fill="BDD6EE"/>
          </w:tcPr>
          <w:p w14:paraId="3FD07F58" w14:textId="77777777" w:rsidR="00111BC4" w:rsidRPr="00E66067" w:rsidRDefault="00A418E2" w:rsidP="00376E8A">
            <w:pPr>
              <w:rPr>
                <w:b/>
                <w:color w:val="000000"/>
              </w:rPr>
            </w:pPr>
            <w:r>
              <w:rPr>
                <w:b/>
                <w:color w:val="000000"/>
              </w:rPr>
              <w:t>Date</w:t>
            </w:r>
          </w:p>
        </w:tc>
      </w:tr>
      <w:tr w:rsidR="00111BC4" w:rsidRPr="00E66067" w14:paraId="65CBFC28" w14:textId="77777777" w:rsidTr="00AC06D1">
        <w:tc>
          <w:tcPr>
            <w:tcW w:w="6209" w:type="dxa"/>
            <w:shd w:val="clear" w:color="auto" w:fill="auto"/>
          </w:tcPr>
          <w:p w14:paraId="1AE68D71" w14:textId="77777777" w:rsidR="00111BC4" w:rsidRPr="00E66067" w:rsidRDefault="00111BC4" w:rsidP="00376E8A">
            <w:pPr>
              <w:rPr>
                <w:color w:val="000000"/>
              </w:rPr>
            </w:pPr>
            <w:r>
              <w:rPr>
                <w:color w:val="000000"/>
              </w:rPr>
              <w:t>Invitation to Tender launched</w:t>
            </w:r>
          </w:p>
        </w:tc>
        <w:tc>
          <w:tcPr>
            <w:tcW w:w="2121" w:type="dxa"/>
            <w:shd w:val="clear" w:color="auto" w:fill="auto"/>
          </w:tcPr>
          <w:p w14:paraId="19CCEDD0" w14:textId="5BECD6F8" w:rsidR="00111BC4" w:rsidRPr="00FC7DC5" w:rsidRDefault="00FC7DC5" w:rsidP="00FC7DC5">
            <w:pPr>
              <w:rPr>
                <w:color w:val="000000" w:themeColor="text1"/>
              </w:rPr>
            </w:pPr>
            <w:r w:rsidRPr="00FC7DC5">
              <w:rPr>
                <w:color w:val="000000" w:themeColor="text1"/>
              </w:rPr>
              <w:t xml:space="preserve">Tuesday </w:t>
            </w:r>
            <w:r w:rsidR="00192326" w:rsidRPr="00FC7DC5">
              <w:rPr>
                <w:color w:val="000000" w:themeColor="text1"/>
              </w:rPr>
              <w:t>2</w:t>
            </w:r>
            <w:r w:rsidRPr="00FC7DC5">
              <w:rPr>
                <w:color w:val="000000" w:themeColor="text1"/>
              </w:rPr>
              <w:t>8</w:t>
            </w:r>
            <w:r w:rsidR="00111BC4" w:rsidRPr="00FC7DC5">
              <w:rPr>
                <w:color w:val="000000" w:themeColor="text1"/>
              </w:rPr>
              <w:t xml:space="preserve"> March</w:t>
            </w:r>
          </w:p>
        </w:tc>
      </w:tr>
      <w:tr w:rsidR="00AC06D1" w:rsidRPr="00E66067" w14:paraId="4A941EF3" w14:textId="77777777" w:rsidTr="00AC06D1">
        <w:tc>
          <w:tcPr>
            <w:tcW w:w="6209" w:type="dxa"/>
            <w:shd w:val="clear" w:color="auto" w:fill="auto"/>
          </w:tcPr>
          <w:p w14:paraId="5D958231" w14:textId="77777777" w:rsidR="00AC06D1" w:rsidRDefault="00AC06D1" w:rsidP="00AC06D1">
            <w:pPr>
              <w:rPr>
                <w:color w:val="000000"/>
              </w:rPr>
            </w:pPr>
            <w:r w:rsidRPr="00AC06D1">
              <w:rPr>
                <w:color w:val="000000"/>
              </w:rPr>
              <w:t xml:space="preserve">Deadline for email </w:t>
            </w:r>
            <w:r>
              <w:rPr>
                <w:color w:val="000000"/>
              </w:rPr>
              <w:t xml:space="preserve">of </w:t>
            </w:r>
            <w:r w:rsidRPr="00AC06D1">
              <w:rPr>
                <w:color w:val="000000"/>
              </w:rPr>
              <w:t xml:space="preserve">questions about the application process </w:t>
            </w:r>
          </w:p>
        </w:tc>
        <w:tc>
          <w:tcPr>
            <w:tcW w:w="2121" w:type="dxa"/>
            <w:shd w:val="clear" w:color="auto" w:fill="auto"/>
          </w:tcPr>
          <w:p w14:paraId="4BB06EB6" w14:textId="77777777" w:rsidR="00AC06D1" w:rsidRPr="00FC7DC5" w:rsidRDefault="002846AA" w:rsidP="00376E8A">
            <w:pPr>
              <w:rPr>
                <w:color w:val="000000" w:themeColor="text1"/>
              </w:rPr>
            </w:pPr>
            <w:r w:rsidRPr="00FC7DC5">
              <w:rPr>
                <w:color w:val="000000" w:themeColor="text1"/>
              </w:rPr>
              <w:t>Thursday 13</w:t>
            </w:r>
            <w:r w:rsidR="00AC06D1" w:rsidRPr="00FC7DC5">
              <w:rPr>
                <w:color w:val="000000" w:themeColor="text1"/>
              </w:rPr>
              <w:t xml:space="preserve"> April</w:t>
            </w:r>
          </w:p>
        </w:tc>
      </w:tr>
      <w:tr w:rsidR="00AC06D1" w:rsidRPr="00E66067" w14:paraId="1CEDA9B8" w14:textId="77777777" w:rsidTr="00AC06D1">
        <w:tc>
          <w:tcPr>
            <w:tcW w:w="6209" w:type="dxa"/>
            <w:shd w:val="clear" w:color="auto" w:fill="auto"/>
          </w:tcPr>
          <w:p w14:paraId="2F741A28" w14:textId="77777777" w:rsidR="00AC06D1" w:rsidRPr="00AC06D1" w:rsidRDefault="00AC06D1" w:rsidP="00AC06D1">
            <w:pPr>
              <w:rPr>
                <w:color w:val="000000"/>
              </w:rPr>
            </w:pPr>
            <w:r>
              <w:rPr>
                <w:color w:val="000000"/>
              </w:rPr>
              <w:t xml:space="preserve">Responses to all questions published on </w:t>
            </w:r>
            <w:r w:rsidRPr="00AC06D1">
              <w:rPr>
                <w:color w:val="000000"/>
              </w:rPr>
              <w:t xml:space="preserve">ContractFinder </w:t>
            </w:r>
          </w:p>
        </w:tc>
        <w:tc>
          <w:tcPr>
            <w:tcW w:w="2121" w:type="dxa"/>
            <w:shd w:val="clear" w:color="auto" w:fill="auto"/>
          </w:tcPr>
          <w:p w14:paraId="141C4E1F" w14:textId="77777777" w:rsidR="00AC06D1" w:rsidRPr="00FC7DC5" w:rsidRDefault="002846AA" w:rsidP="00376E8A">
            <w:pPr>
              <w:rPr>
                <w:color w:val="000000" w:themeColor="text1"/>
              </w:rPr>
            </w:pPr>
            <w:r w:rsidRPr="00FC7DC5">
              <w:rPr>
                <w:color w:val="000000" w:themeColor="text1"/>
              </w:rPr>
              <w:t>Friday 21</w:t>
            </w:r>
            <w:r w:rsidR="00AC06D1" w:rsidRPr="00FC7DC5">
              <w:rPr>
                <w:color w:val="000000" w:themeColor="text1"/>
              </w:rPr>
              <w:t xml:space="preserve"> April</w:t>
            </w:r>
          </w:p>
        </w:tc>
      </w:tr>
      <w:tr w:rsidR="00111BC4" w:rsidRPr="00E66067" w14:paraId="1C234FB5" w14:textId="77777777" w:rsidTr="00AC06D1">
        <w:tc>
          <w:tcPr>
            <w:tcW w:w="6209" w:type="dxa"/>
            <w:tcBorders>
              <w:top w:val="single" w:sz="4" w:space="0" w:color="auto"/>
              <w:left w:val="single" w:sz="4" w:space="0" w:color="auto"/>
              <w:bottom w:val="single" w:sz="4" w:space="0" w:color="auto"/>
              <w:right w:val="single" w:sz="4" w:space="0" w:color="auto"/>
            </w:tcBorders>
            <w:shd w:val="clear" w:color="auto" w:fill="auto"/>
          </w:tcPr>
          <w:p w14:paraId="6494C2FF" w14:textId="510BEB7E" w:rsidR="00111BC4" w:rsidRPr="00E66067" w:rsidRDefault="00111BC4" w:rsidP="00376E8A">
            <w:pPr>
              <w:rPr>
                <w:color w:val="000000"/>
              </w:rPr>
            </w:pPr>
            <w:r>
              <w:rPr>
                <w:color w:val="000000"/>
              </w:rPr>
              <w:t>Invitation to Tender closed</w:t>
            </w:r>
            <w:r w:rsidRPr="00E66067">
              <w:rPr>
                <w:color w:val="000000"/>
              </w:rPr>
              <w:t xml:space="preserve"> </w:t>
            </w:r>
            <w:hyperlink r:id="rId14" w:history="1">
              <w:r w:rsidR="0051771C" w:rsidRPr="004164A4">
                <w:rPr>
                  <w:rStyle w:val="Hyperlink"/>
                </w:rPr>
                <w:t>peer.support@education.gov.uk</w:t>
              </w:r>
            </w:hyperlink>
            <w:r w:rsidR="0051771C">
              <w:rPr>
                <w:color w:val="000000"/>
              </w:rPr>
              <w:t xml:space="preserve"> </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3A099198" w14:textId="2683F2B1" w:rsidR="00111BC4" w:rsidRPr="00FC7DC5" w:rsidRDefault="00FC7DC5" w:rsidP="00376E8A">
            <w:pPr>
              <w:rPr>
                <w:color w:val="000000" w:themeColor="text1"/>
              </w:rPr>
            </w:pPr>
            <w:r w:rsidRPr="00FC7DC5">
              <w:rPr>
                <w:color w:val="000000" w:themeColor="text1"/>
              </w:rPr>
              <w:t xml:space="preserve">5pm, </w:t>
            </w:r>
            <w:r w:rsidR="002846AA" w:rsidRPr="00FC7DC5">
              <w:rPr>
                <w:color w:val="000000" w:themeColor="text1"/>
              </w:rPr>
              <w:t>Friday 5</w:t>
            </w:r>
            <w:r w:rsidR="00111BC4" w:rsidRPr="00FC7DC5">
              <w:rPr>
                <w:color w:val="000000" w:themeColor="text1"/>
              </w:rPr>
              <w:t xml:space="preserve"> May</w:t>
            </w:r>
          </w:p>
        </w:tc>
      </w:tr>
      <w:tr w:rsidR="00111BC4" w:rsidRPr="00E66067" w14:paraId="4AC55E5B" w14:textId="77777777" w:rsidTr="00AC06D1">
        <w:tc>
          <w:tcPr>
            <w:tcW w:w="6209" w:type="dxa"/>
            <w:tcBorders>
              <w:top w:val="single" w:sz="4" w:space="0" w:color="auto"/>
              <w:left w:val="single" w:sz="4" w:space="0" w:color="auto"/>
              <w:bottom w:val="single" w:sz="4" w:space="0" w:color="auto"/>
              <w:right w:val="single" w:sz="4" w:space="0" w:color="auto"/>
            </w:tcBorders>
            <w:shd w:val="clear" w:color="auto" w:fill="auto"/>
          </w:tcPr>
          <w:p w14:paraId="11B5A447" w14:textId="77777777" w:rsidR="00111BC4" w:rsidRPr="00E66067" w:rsidRDefault="00111BC4" w:rsidP="00111BC4">
            <w:pPr>
              <w:rPr>
                <w:color w:val="000000"/>
              </w:rPr>
            </w:pPr>
            <w:r>
              <w:rPr>
                <w:color w:val="000000"/>
              </w:rPr>
              <w:t>Letters issued to un</w:t>
            </w:r>
            <w:r w:rsidRPr="00E66067">
              <w:rPr>
                <w:color w:val="000000"/>
              </w:rPr>
              <w:t xml:space="preserve">uccessful </w:t>
            </w:r>
            <w:r>
              <w:rPr>
                <w:color w:val="000000"/>
              </w:rPr>
              <w:t xml:space="preserve">and successful </w:t>
            </w:r>
            <w:r w:rsidRPr="00E66067">
              <w:rPr>
                <w:color w:val="000000"/>
              </w:rPr>
              <w:t>organisation</w:t>
            </w:r>
            <w:r>
              <w:rPr>
                <w:color w:val="000000"/>
              </w:rPr>
              <w:t>s</w:t>
            </w:r>
            <w:r w:rsidRPr="00E66067">
              <w:rPr>
                <w:color w:val="000000"/>
              </w:rPr>
              <w:t xml:space="preserve">  </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006C0340" w14:textId="77777777" w:rsidR="00111BC4" w:rsidRPr="00FC7DC5" w:rsidRDefault="002846AA" w:rsidP="00376E8A">
            <w:pPr>
              <w:rPr>
                <w:color w:val="000000" w:themeColor="text1"/>
              </w:rPr>
            </w:pPr>
            <w:r w:rsidRPr="00FC7DC5">
              <w:rPr>
                <w:color w:val="000000" w:themeColor="text1"/>
              </w:rPr>
              <w:t>Monday 22</w:t>
            </w:r>
            <w:r w:rsidR="00111BC4" w:rsidRPr="00FC7DC5">
              <w:rPr>
                <w:color w:val="000000" w:themeColor="text1"/>
              </w:rPr>
              <w:t xml:space="preserve"> May</w:t>
            </w:r>
          </w:p>
        </w:tc>
      </w:tr>
      <w:tr w:rsidR="00111BC4" w:rsidRPr="00E66067" w14:paraId="31FD2753" w14:textId="77777777" w:rsidTr="00AC06D1">
        <w:tc>
          <w:tcPr>
            <w:tcW w:w="6209" w:type="dxa"/>
            <w:tcBorders>
              <w:top w:val="single" w:sz="4" w:space="0" w:color="auto"/>
              <w:left w:val="single" w:sz="4" w:space="0" w:color="auto"/>
              <w:bottom w:val="single" w:sz="4" w:space="0" w:color="auto"/>
              <w:right w:val="single" w:sz="4" w:space="0" w:color="auto"/>
            </w:tcBorders>
            <w:shd w:val="clear" w:color="auto" w:fill="auto"/>
          </w:tcPr>
          <w:p w14:paraId="10C19411" w14:textId="77777777" w:rsidR="00111BC4" w:rsidRPr="00E66067" w:rsidRDefault="00111BC4" w:rsidP="00376E8A">
            <w:pPr>
              <w:rPr>
                <w:color w:val="000000"/>
              </w:rPr>
            </w:pPr>
            <w:r w:rsidRPr="00E66067">
              <w:rPr>
                <w:color w:val="000000"/>
              </w:rPr>
              <w:t>Contract agreed and issued</w:t>
            </w:r>
          </w:p>
        </w:tc>
        <w:tc>
          <w:tcPr>
            <w:tcW w:w="2121" w:type="dxa"/>
            <w:tcBorders>
              <w:top w:val="single" w:sz="4" w:space="0" w:color="auto"/>
              <w:left w:val="single" w:sz="4" w:space="0" w:color="auto"/>
              <w:bottom w:val="single" w:sz="4" w:space="0" w:color="auto"/>
              <w:right w:val="single" w:sz="4" w:space="0" w:color="auto"/>
            </w:tcBorders>
            <w:shd w:val="clear" w:color="auto" w:fill="auto"/>
          </w:tcPr>
          <w:p w14:paraId="6D5A084B" w14:textId="77777777" w:rsidR="00111BC4" w:rsidRPr="00FC7DC5" w:rsidRDefault="002846AA" w:rsidP="002846AA">
            <w:pPr>
              <w:rPr>
                <w:color w:val="000000" w:themeColor="text1"/>
              </w:rPr>
            </w:pPr>
            <w:r w:rsidRPr="00FC7DC5">
              <w:rPr>
                <w:color w:val="000000" w:themeColor="text1"/>
              </w:rPr>
              <w:t xml:space="preserve">Friday 2 </w:t>
            </w:r>
            <w:r w:rsidR="00111BC4" w:rsidRPr="00FC7DC5">
              <w:rPr>
                <w:color w:val="000000" w:themeColor="text1"/>
              </w:rPr>
              <w:t>June</w:t>
            </w:r>
          </w:p>
        </w:tc>
      </w:tr>
    </w:tbl>
    <w:p w14:paraId="57DA5B37" w14:textId="77777777" w:rsidR="00111BC4" w:rsidRDefault="00111BC4" w:rsidP="00111BC4">
      <w:pPr>
        <w:pStyle w:val="Numbered"/>
        <w:widowControl/>
        <w:spacing w:after="0"/>
        <w:ind w:left="720"/>
      </w:pPr>
    </w:p>
    <w:p w14:paraId="6EEA326E" w14:textId="77777777" w:rsidR="00111BC4" w:rsidRPr="00111BC4" w:rsidRDefault="00111BC4" w:rsidP="00111BC4">
      <w:pPr>
        <w:pStyle w:val="Numbered"/>
        <w:widowControl/>
        <w:spacing w:after="0"/>
      </w:pPr>
    </w:p>
    <w:p w14:paraId="299DA3EB" w14:textId="77777777" w:rsidR="00CA1712" w:rsidRDefault="00CA1712">
      <w:pPr>
        <w:pStyle w:val="Numbered"/>
        <w:widowControl/>
        <w:rPr>
          <w:b/>
        </w:rPr>
      </w:pPr>
      <w:r>
        <w:rPr>
          <w:b/>
        </w:rPr>
        <w:t>Incomplete Tender</w:t>
      </w:r>
    </w:p>
    <w:p w14:paraId="1FA62EE3" w14:textId="77777777" w:rsidR="00CA1712" w:rsidRDefault="00A15683">
      <w:pPr>
        <w:pStyle w:val="Numbered"/>
        <w:widowControl/>
        <w:ind w:left="720" w:hanging="720"/>
      </w:pPr>
      <w:r>
        <w:t>5</w:t>
      </w:r>
      <w:r w:rsidR="00EF47A8">
        <w:tab/>
        <w:t>Tenders will</w:t>
      </w:r>
      <w:r w:rsidR="00CA1712">
        <w:t xml:space="preserve"> be rejected if </w:t>
      </w:r>
      <w:r w:rsidR="00FF0AEF">
        <w:t xml:space="preserve">all </w:t>
      </w:r>
      <w:r w:rsidR="00CA1712">
        <w:t>the information asked for in</w:t>
      </w:r>
      <w:r w:rsidR="00EF47A8">
        <w:t xml:space="preserve"> paragraph 49 </w:t>
      </w:r>
      <w:r w:rsidR="00CA1712">
        <w:t xml:space="preserve">is not </w:t>
      </w:r>
      <w:r w:rsidR="00EF47A8">
        <w:t xml:space="preserve">submitted by the ITT closing date. </w:t>
      </w:r>
    </w:p>
    <w:p w14:paraId="45617D00" w14:textId="77777777" w:rsidR="00CA1712" w:rsidRDefault="00CA1712">
      <w:pPr>
        <w:pStyle w:val="Numbered"/>
        <w:widowControl/>
        <w:ind w:left="720" w:hanging="720"/>
      </w:pPr>
      <w:r>
        <w:rPr>
          <w:b/>
        </w:rPr>
        <w:t>Returning Tenders</w:t>
      </w:r>
    </w:p>
    <w:p w14:paraId="48054E3A" w14:textId="553093AC" w:rsidR="00C669B4" w:rsidRPr="0051771C" w:rsidRDefault="00A15683">
      <w:pPr>
        <w:pStyle w:val="Numbered"/>
        <w:widowControl/>
        <w:ind w:left="720" w:hanging="720"/>
        <w:rPr>
          <w:i/>
          <w:u w:val="single"/>
        </w:rPr>
      </w:pPr>
      <w:r>
        <w:t>6</w:t>
      </w:r>
      <w:r w:rsidR="00045040">
        <w:tab/>
      </w:r>
      <w:r w:rsidR="00966F20">
        <w:t xml:space="preserve">Responses to this Invitation to Tender must be received electronically to the mailbox: </w:t>
      </w:r>
      <w:hyperlink r:id="rId15" w:history="1">
        <w:r w:rsidR="0051771C" w:rsidRPr="004164A4">
          <w:rPr>
            <w:rStyle w:val="Hyperlink"/>
          </w:rPr>
          <w:t>peer.support@education.gov.uk</w:t>
        </w:r>
      </w:hyperlink>
      <w:r w:rsidR="00966F20" w:rsidRPr="00966F20">
        <w:t xml:space="preserve"> by </w:t>
      </w:r>
      <w:r w:rsidR="00966F20" w:rsidRPr="00DE2DA6">
        <w:rPr>
          <w:color w:val="000000"/>
        </w:rPr>
        <w:t>5pm on</w:t>
      </w:r>
      <w:r w:rsidR="00966F20" w:rsidRPr="00C669B4">
        <w:rPr>
          <w:color w:val="FF0000"/>
        </w:rPr>
        <w:t xml:space="preserve"> </w:t>
      </w:r>
      <w:r w:rsidR="00C669B4" w:rsidRPr="00FC7DC5">
        <w:rPr>
          <w:color w:val="000000" w:themeColor="text1"/>
        </w:rPr>
        <w:t>Friday 5 May 2017</w:t>
      </w:r>
      <w:r w:rsidR="0051771C">
        <w:rPr>
          <w:color w:val="000000" w:themeColor="text1"/>
        </w:rPr>
        <w:t xml:space="preserve"> </w:t>
      </w:r>
      <w:r w:rsidR="0051771C" w:rsidRPr="0051771C">
        <w:rPr>
          <w:i/>
          <w:color w:val="000000" w:themeColor="text1"/>
          <w:u w:val="single"/>
        </w:rPr>
        <w:t xml:space="preserve">(Please note this is a separate </w:t>
      </w:r>
      <w:r w:rsidR="0051771C">
        <w:rPr>
          <w:i/>
          <w:color w:val="000000" w:themeColor="text1"/>
          <w:u w:val="single"/>
        </w:rPr>
        <w:t>mailbox than the one</w:t>
      </w:r>
      <w:r w:rsidR="0051771C" w:rsidRPr="0051771C">
        <w:rPr>
          <w:i/>
          <w:color w:val="000000" w:themeColor="text1"/>
          <w:u w:val="single"/>
        </w:rPr>
        <w:t xml:space="preserve"> used for enquires)</w:t>
      </w:r>
      <w:r w:rsidR="0051771C">
        <w:rPr>
          <w:i/>
          <w:color w:val="000000" w:themeColor="text1"/>
          <w:u w:val="single"/>
        </w:rPr>
        <w:t>.</w:t>
      </w:r>
    </w:p>
    <w:p w14:paraId="0E96F020" w14:textId="77777777" w:rsidR="00D26C57" w:rsidRDefault="00D26C57">
      <w:pPr>
        <w:pStyle w:val="Numbered"/>
        <w:widowControl/>
        <w:ind w:left="720" w:hanging="720"/>
        <w:rPr>
          <w:b/>
        </w:rPr>
      </w:pPr>
    </w:p>
    <w:p w14:paraId="4F86A210" w14:textId="77777777" w:rsidR="00D26C57" w:rsidRDefault="00D26C57">
      <w:pPr>
        <w:pStyle w:val="Numbered"/>
        <w:widowControl/>
        <w:ind w:left="720" w:hanging="720"/>
        <w:rPr>
          <w:b/>
        </w:rPr>
      </w:pPr>
    </w:p>
    <w:p w14:paraId="7B04209E" w14:textId="77777777" w:rsidR="00CA1712" w:rsidRDefault="00CA1712">
      <w:pPr>
        <w:pStyle w:val="Numbered"/>
        <w:widowControl/>
        <w:ind w:left="720" w:hanging="720"/>
        <w:rPr>
          <w:b/>
        </w:rPr>
      </w:pPr>
      <w:r>
        <w:rPr>
          <w:b/>
        </w:rPr>
        <w:lastRenderedPageBreak/>
        <w:t>Receipt of Tenders</w:t>
      </w:r>
    </w:p>
    <w:p w14:paraId="6864414F" w14:textId="77777777" w:rsidR="00CA1712" w:rsidRDefault="00A15683" w:rsidP="00111BC4">
      <w:pPr>
        <w:pStyle w:val="Numbered"/>
        <w:widowControl/>
        <w:ind w:left="720" w:hanging="720"/>
      </w:pPr>
      <w:r>
        <w:t>7</w:t>
      </w:r>
      <w:r w:rsidR="00CA1712">
        <w:tab/>
        <w:t>Tenders will be received up to the time and date stated.  Those received before the due date will be retained unopened until then.  It is the responsibility of the tenderer to ensure that their tender is delivered not later than the appointed time.</w:t>
      </w:r>
    </w:p>
    <w:p w14:paraId="692A73E6" w14:textId="77777777" w:rsidR="00CA1712" w:rsidRDefault="00CA1712">
      <w:pPr>
        <w:pStyle w:val="Numbered"/>
        <w:widowControl/>
        <w:ind w:left="720" w:hanging="720"/>
      </w:pPr>
      <w:r>
        <w:rPr>
          <w:b/>
        </w:rPr>
        <w:t>Acceptance of Tenders</w:t>
      </w:r>
    </w:p>
    <w:p w14:paraId="1CAD3698" w14:textId="77777777" w:rsidR="00CA1712" w:rsidRDefault="00A15683">
      <w:pPr>
        <w:pStyle w:val="Numbered"/>
        <w:widowControl/>
        <w:ind w:left="720" w:hanging="720"/>
      </w:pPr>
      <w:r>
        <w:t>8</w:t>
      </w:r>
      <w:r w:rsidR="00CA1712">
        <w:tab/>
        <w:t>By issuing this invitation the Department is not bound in any way and does not have to accept the lowest or any tender, and reserves the right to accept a portion of any tender, unless the tenderer expressly stipulates otherwise in their tender.</w:t>
      </w:r>
    </w:p>
    <w:p w14:paraId="3C14183F" w14:textId="77777777" w:rsidR="000F555F" w:rsidRDefault="00A15683">
      <w:pPr>
        <w:pStyle w:val="Numbered"/>
        <w:widowControl/>
        <w:ind w:left="720" w:hanging="720"/>
        <w:rPr>
          <w:b/>
        </w:rPr>
      </w:pPr>
      <w:r>
        <w:rPr>
          <w:b/>
        </w:rPr>
        <w:t>Queries</w:t>
      </w:r>
    </w:p>
    <w:p w14:paraId="69F2F71C" w14:textId="1CFD8CF6" w:rsidR="00914E2B" w:rsidRPr="00914E2B" w:rsidRDefault="00A15683" w:rsidP="00A15683">
      <w:pPr>
        <w:pStyle w:val="Numbered"/>
        <w:widowControl/>
        <w:spacing w:after="0"/>
        <w:ind w:left="720" w:hanging="720"/>
      </w:pPr>
      <w:r>
        <w:t>9</w:t>
      </w:r>
      <w:r>
        <w:tab/>
      </w:r>
      <w:r w:rsidR="00914E2B" w:rsidRPr="00914E2B">
        <w:t>If you have any questions you would like to ask about</w:t>
      </w:r>
      <w:r w:rsidR="00914E2B">
        <w:t xml:space="preserve"> the application process which </w:t>
      </w:r>
      <w:r w:rsidR="00914E2B" w:rsidRPr="00914E2B">
        <w:t>are n</w:t>
      </w:r>
      <w:r w:rsidR="00914E2B">
        <w:t xml:space="preserve">ot already covered in this form </w:t>
      </w:r>
      <w:r w:rsidR="00914E2B" w:rsidRPr="00914E2B">
        <w:t xml:space="preserve">you can email </w:t>
      </w:r>
      <w:r w:rsidR="00914E2B">
        <w:t xml:space="preserve">equiries to </w:t>
      </w:r>
      <w:r>
        <w:t xml:space="preserve"> </w:t>
      </w:r>
      <w:hyperlink r:id="rId16" w:history="1">
        <w:r w:rsidR="00935CEC" w:rsidRPr="00935CEC">
          <w:rPr>
            <w:rStyle w:val="Hyperlink"/>
          </w:rPr>
          <w:t>MentalHealth.TEAM@education.gov.uk</w:t>
        </w:r>
      </w:hyperlink>
      <w:r w:rsidR="00935CEC" w:rsidRPr="00935CEC">
        <w:t xml:space="preserve"> </w:t>
      </w:r>
      <w:r>
        <w:t xml:space="preserve">by </w:t>
      </w:r>
      <w:r w:rsidR="00914E2B" w:rsidRPr="00914E2B">
        <w:t>noon</w:t>
      </w:r>
      <w:r w:rsidR="00914E2B" w:rsidRPr="00FC7DC5">
        <w:rPr>
          <w:color w:val="000000" w:themeColor="text1"/>
        </w:rPr>
        <w:t xml:space="preserve"> </w:t>
      </w:r>
      <w:r w:rsidR="00C669B4" w:rsidRPr="00FC7DC5">
        <w:rPr>
          <w:color w:val="000000" w:themeColor="text1"/>
        </w:rPr>
        <w:t>Thursday 13 A</w:t>
      </w:r>
      <w:r w:rsidRPr="00FC7DC5">
        <w:rPr>
          <w:color w:val="000000" w:themeColor="text1"/>
        </w:rPr>
        <w:t>pril. A</w:t>
      </w:r>
      <w:r w:rsidR="00914E2B" w:rsidRPr="00FC7DC5">
        <w:rPr>
          <w:color w:val="000000" w:themeColor="text1"/>
        </w:rPr>
        <w:t xml:space="preserve">ll responses will be </w:t>
      </w:r>
      <w:r w:rsidRPr="00FC7DC5">
        <w:rPr>
          <w:color w:val="000000" w:themeColor="text1"/>
        </w:rPr>
        <w:t>published on Contract Finder</w:t>
      </w:r>
      <w:r w:rsidR="00914E2B" w:rsidRPr="00FC7DC5">
        <w:rPr>
          <w:color w:val="000000" w:themeColor="text1"/>
        </w:rPr>
        <w:t xml:space="preserve"> by </w:t>
      </w:r>
      <w:r w:rsidR="00FC7DC5" w:rsidRPr="00FC7DC5">
        <w:rPr>
          <w:color w:val="000000" w:themeColor="text1"/>
        </w:rPr>
        <w:t xml:space="preserve">5pm </w:t>
      </w:r>
      <w:r w:rsidR="00C669B4" w:rsidRPr="00FC7DC5">
        <w:rPr>
          <w:color w:val="000000" w:themeColor="text1"/>
        </w:rPr>
        <w:t xml:space="preserve">Friday 21 </w:t>
      </w:r>
      <w:r w:rsidRPr="00FC7DC5">
        <w:rPr>
          <w:color w:val="000000" w:themeColor="text1"/>
        </w:rPr>
        <w:t>April</w:t>
      </w:r>
      <w:r w:rsidR="00C669B4" w:rsidRPr="00FC7DC5">
        <w:rPr>
          <w:color w:val="000000" w:themeColor="text1"/>
        </w:rPr>
        <w:t>.</w:t>
      </w:r>
    </w:p>
    <w:p w14:paraId="28FEDF4A" w14:textId="77777777" w:rsidR="00914E2B" w:rsidRPr="00914E2B" w:rsidRDefault="00914E2B" w:rsidP="00914E2B">
      <w:pPr>
        <w:pStyle w:val="Numbered"/>
        <w:widowControl/>
        <w:spacing w:after="0"/>
        <w:ind w:left="720"/>
      </w:pPr>
    </w:p>
    <w:p w14:paraId="54C8E5DC" w14:textId="77777777" w:rsidR="00914E2B" w:rsidRPr="00914E2B" w:rsidRDefault="00914E2B" w:rsidP="00914E2B">
      <w:pPr>
        <w:pStyle w:val="Numbered"/>
        <w:widowControl/>
        <w:spacing w:after="0"/>
        <w:ind w:left="720"/>
      </w:pPr>
      <w:r w:rsidRPr="00914E2B">
        <w:t>We are not able to respond to individual enquiries directly as we need to ensure, as far as possible, that all applicants are able to access information at the same time. We are also not able to answer questions about the specifics of what you would</w:t>
      </w:r>
      <w:r w:rsidR="00A15683">
        <w:t xml:space="preserve"> like to include in your bid</w:t>
      </w:r>
      <w:r w:rsidRPr="00914E2B">
        <w:t xml:space="preserve"> as again this may give an applicant an unfair advantage over other applicants.</w:t>
      </w:r>
    </w:p>
    <w:p w14:paraId="3A2709CE" w14:textId="77777777" w:rsidR="00060611" w:rsidRDefault="00060611" w:rsidP="00060611">
      <w:pPr>
        <w:pStyle w:val="Numbered"/>
        <w:widowControl/>
        <w:spacing w:after="0"/>
        <w:ind w:left="720" w:hanging="720"/>
        <w:rPr>
          <w:b/>
        </w:rPr>
      </w:pPr>
    </w:p>
    <w:p w14:paraId="06AFF85C" w14:textId="77777777" w:rsidR="00CA1712" w:rsidRDefault="00CA1712">
      <w:pPr>
        <w:pStyle w:val="Numbered"/>
        <w:widowControl/>
        <w:ind w:left="720" w:hanging="720"/>
        <w:rPr>
          <w:b/>
        </w:rPr>
      </w:pPr>
      <w:r>
        <w:rPr>
          <w:b/>
        </w:rPr>
        <w:t>Inducements</w:t>
      </w:r>
    </w:p>
    <w:p w14:paraId="27D790B4" w14:textId="77777777" w:rsidR="00CA1712" w:rsidRDefault="005B2F70">
      <w:pPr>
        <w:pStyle w:val="Numbered"/>
        <w:widowControl/>
        <w:ind w:left="720" w:hanging="720"/>
      </w:pPr>
      <w:r>
        <w:t>10</w:t>
      </w:r>
      <w:r w:rsidR="00CA1712">
        <w:tab/>
        <w:t>Offering an inducement of any kind in relation to obtaining this or any other contract with the Department will disqualify your tender from being considered and may constitute a criminal offence.</w:t>
      </w:r>
    </w:p>
    <w:p w14:paraId="13D71479" w14:textId="77777777" w:rsidR="00CA1712" w:rsidRDefault="00CA1712">
      <w:pPr>
        <w:pStyle w:val="Numbered"/>
        <w:widowControl/>
      </w:pPr>
      <w:r>
        <w:rPr>
          <w:b/>
        </w:rPr>
        <w:t>Confidentiality of Tenders</w:t>
      </w:r>
    </w:p>
    <w:p w14:paraId="3D391995" w14:textId="77777777" w:rsidR="00CA1712" w:rsidRDefault="005B2F70" w:rsidP="00741C84">
      <w:pPr>
        <w:pStyle w:val="Numbered"/>
        <w:widowControl/>
        <w:spacing w:after="0"/>
      </w:pPr>
      <w:r>
        <w:t>11</w:t>
      </w:r>
      <w:r w:rsidR="00CA1712">
        <w:tab/>
        <w:t>Please note the following requirements, you must not:</w:t>
      </w:r>
    </w:p>
    <w:p w14:paraId="529748BD" w14:textId="77777777" w:rsidR="00CA1712" w:rsidRDefault="00CA1712" w:rsidP="00B45259">
      <w:pPr>
        <w:pStyle w:val="Numbered"/>
        <w:widowControl/>
        <w:numPr>
          <w:ilvl w:val="0"/>
          <w:numId w:val="38"/>
        </w:numPr>
        <w:spacing w:after="0"/>
      </w:pPr>
      <w:r>
        <w:t>Tell anyone else what your tender price is or will be, before the time limit for delivery of tenders.</w:t>
      </w:r>
    </w:p>
    <w:p w14:paraId="10CE4BD0" w14:textId="77777777" w:rsidR="00CA1712" w:rsidRDefault="00CA1712" w:rsidP="00B45259">
      <w:pPr>
        <w:pStyle w:val="Numbered"/>
        <w:widowControl/>
        <w:numPr>
          <w:ilvl w:val="0"/>
          <w:numId w:val="38"/>
        </w:numPr>
        <w:spacing w:after="0"/>
      </w:pPr>
      <w:r>
        <w:t>Try to obtain any information about anyone else's tender or proposed tender before the time limit for delivery of tenders.</w:t>
      </w:r>
    </w:p>
    <w:p w14:paraId="553F132C" w14:textId="77777777" w:rsidR="00CA1712" w:rsidRDefault="00CA1712" w:rsidP="00B45259">
      <w:pPr>
        <w:pStyle w:val="Numbered"/>
        <w:widowControl/>
        <w:numPr>
          <w:ilvl w:val="0"/>
          <w:numId w:val="38"/>
        </w:numPr>
        <w:spacing w:after="0"/>
      </w:pPr>
      <w:r>
        <w:t>Make any arrangements with another organisation about whether or not they should tender, or about their or your tender price.</w:t>
      </w:r>
    </w:p>
    <w:p w14:paraId="6FCF6A0E" w14:textId="77777777" w:rsidR="00CA1712" w:rsidRDefault="00CA1712">
      <w:pPr>
        <w:pStyle w:val="Numbered"/>
        <w:widowControl/>
        <w:ind w:left="720"/>
      </w:pPr>
      <w:r>
        <w:t>Failure to comply with these conditions may disqualify your tender.</w:t>
      </w:r>
    </w:p>
    <w:p w14:paraId="03248A95" w14:textId="77777777" w:rsidR="00CA1712" w:rsidRDefault="00CA1712">
      <w:pPr>
        <w:pStyle w:val="Numbered"/>
        <w:widowControl/>
        <w:rPr>
          <w:b/>
        </w:rPr>
      </w:pPr>
      <w:r>
        <w:rPr>
          <w:b/>
        </w:rPr>
        <w:t>Costs and Expenses</w:t>
      </w:r>
    </w:p>
    <w:p w14:paraId="2BE53465" w14:textId="77777777" w:rsidR="00CA1712" w:rsidRDefault="004F1D3A">
      <w:pPr>
        <w:pStyle w:val="Numbered"/>
        <w:widowControl/>
        <w:ind w:left="720" w:hanging="720"/>
      </w:pPr>
      <w:r>
        <w:t>12</w:t>
      </w:r>
      <w:r w:rsidR="00CA1712">
        <w:tab/>
        <w:t>You will not be entitled to claim from the Department any costs or expenses which you may incur in preparing your tender whether or not your tender is successful.</w:t>
      </w:r>
    </w:p>
    <w:p w14:paraId="1317DE5D" w14:textId="77777777" w:rsidR="00CA1712" w:rsidRDefault="00CA1712">
      <w:pPr>
        <w:pStyle w:val="Numbered"/>
        <w:widowControl/>
        <w:rPr>
          <w:b/>
        </w:rPr>
      </w:pPr>
      <w:r>
        <w:rPr>
          <w:b/>
        </w:rPr>
        <w:t>Debriefing</w:t>
      </w:r>
    </w:p>
    <w:p w14:paraId="15BA4DD6" w14:textId="77777777" w:rsidR="00CA1712" w:rsidRDefault="004F1D3A">
      <w:pPr>
        <w:pStyle w:val="Numbered"/>
        <w:widowControl/>
        <w:ind w:left="720" w:hanging="720"/>
      </w:pPr>
      <w:r>
        <w:t>13</w:t>
      </w:r>
      <w:r w:rsidR="00CA1712">
        <w:tab/>
        <w:t>Following the award of contract, debriefing will be available to unsuccessful tenderers on request.</w:t>
      </w:r>
    </w:p>
    <w:p w14:paraId="2748B920" w14:textId="77777777" w:rsidR="00CA1712" w:rsidRDefault="005D78EE">
      <w:pPr>
        <w:pStyle w:val="Numbered"/>
        <w:widowControl/>
        <w:rPr>
          <w:b/>
        </w:rPr>
      </w:pPr>
      <w:r>
        <w:rPr>
          <w:b/>
        </w:rPr>
        <w:t>Tender process</w:t>
      </w:r>
    </w:p>
    <w:p w14:paraId="2BF2C4D0" w14:textId="77777777" w:rsidR="005D78EE" w:rsidRDefault="00560BEF" w:rsidP="005D78EE">
      <w:pPr>
        <w:pStyle w:val="Numbered"/>
        <w:ind w:left="720" w:hanging="720"/>
      </w:pPr>
      <w:r>
        <w:t>14</w:t>
      </w:r>
      <w:r>
        <w:tab/>
      </w:r>
      <w:r w:rsidR="005D78EE">
        <w:t>The tender process will be conducted in a manner that ensures tenders are evaluated fairly to ascertain the economically most advantageous tender.</w:t>
      </w:r>
    </w:p>
    <w:p w14:paraId="1B751E48" w14:textId="77777777" w:rsidR="007F430A" w:rsidRDefault="007F430A" w:rsidP="005D78EE">
      <w:pPr>
        <w:pStyle w:val="Numbered"/>
        <w:ind w:left="720" w:hanging="720"/>
      </w:pPr>
      <w:r>
        <w:lastRenderedPageBreak/>
        <w:t>1</w:t>
      </w:r>
      <w:r w:rsidR="005D78EE">
        <w:t>5</w:t>
      </w:r>
      <w:r w:rsidR="005D78EE">
        <w:tab/>
        <w:t xml:space="preserve">Your eligibility to perform the contract will be evaluated using the criteria set out in </w:t>
      </w:r>
      <w:r w:rsidR="005D78EE" w:rsidRPr="007F430A">
        <w:rPr>
          <w:b/>
        </w:rPr>
        <w:t>Document 3</w:t>
      </w:r>
      <w:r w:rsidR="005D78EE" w:rsidRPr="007F430A">
        <w:t>,</w:t>
      </w:r>
      <w:r w:rsidR="005D78EE">
        <w:t xml:space="preserve"> the </w:t>
      </w:r>
      <w:r w:rsidR="005D78EE" w:rsidRPr="007F430A">
        <w:t>Standard Supplier information and self-declarations.</w:t>
      </w:r>
      <w:r w:rsidR="005D78EE">
        <w:t xml:space="preserve"> </w:t>
      </w:r>
    </w:p>
    <w:p w14:paraId="771764E7" w14:textId="77777777" w:rsidR="00B45259" w:rsidRPr="00B45259" w:rsidRDefault="007F430A" w:rsidP="007F430A">
      <w:pPr>
        <w:pStyle w:val="Numbered"/>
        <w:ind w:left="720" w:hanging="720"/>
      </w:pPr>
      <w:r>
        <w:t>16</w:t>
      </w:r>
      <w:r>
        <w:tab/>
      </w:r>
      <w:r w:rsidR="005D78EE">
        <w:t>Your response to the</w:t>
      </w:r>
      <w:r w:rsidR="005D78EE" w:rsidRPr="007F430A">
        <w:t xml:space="preserve"> tender</w:t>
      </w:r>
      <w:r w:rsidRPr="007F430A">
        <w:t xml:space="preserve"> </w:t>
      </w:r>
      <w:r w:rsidR="005D78EE" w:rsidRPr="007F430A">
        <w:t>specification,</w:t>
      </w:r>
      <w:r w:rsidR="005D78EE">
        <w:t xml:space="preserve"> </w:t>
      </w:r>
      <w:r w:rsidR="005D78EE" w:rsidRPr="007F430A">
        <w:rPr>
          <w:b/>
        </w:rPr>
        <w:t>Document 2</w:t>
      </w:r>
      <w:r w:rsidR="005D78EE" w:rsidRPr="007F430A">
        <w:t xml:space="preserve">, </w:t>
      </w:r>
      <w:r w:rsidR="005D78EE">
        <w:t xml:space="preserve">will be evaluated using the criteria set out in </w:t>
      </w:r>
      <w:r w:rsidR="005D78EE" w:rsidRPr="007F430A">
        <w:rPr>
          <w:b/>
        </w:rPr>
        <w:t>Document 4</w:t>
      </w:r>
      <w:r w:rsidR="005D78EE">
        <w:t xml:space="preserve">. </w:t>
      </w:r>
      <w:r w:rsidR="00B45259" w:rsidRPr="00B45259">
        <w:t>The bid process will be conducted in a manner that ensures bids are evaluated fairly to ascertain the most economically advantageous bid.  Your capability to perform the contract will be evaluated using the criteria</w:t>
      </w:r>
      <w:r>
        <w:t>.</w:t>
      </w:r>
    </w:p>
    <w:p w14:paraId="5786ED53" w14:textId="77777777" w:rsidR="00B45259" w:rsidRPr="00B45259" w:rsidRDefault="007F430A" w:rsidP="00560BEF">
      <w:pPr>
        <w:pStyle w:val="Numbered"/>
        <w:ind w:left="720" w:hanging="720"/>
      </w:pPr>
      <w:r>
        <w:t>17</w:t>
      </w:r>
      <w:r w:rsidR="00560BEF">
        <w:t xml:space="preserve"> </w:t>
      </w:r>
      <w:r w:rsidR="00560BEF">
        <w:tab/>
      </w:r>
      <w:r w:rsidR="00B45259">
        <w:t xml:space="preserve">The </w:t>
      </w:r>
      <w:r w:rsidR="00B45259" w:rsidRPr="00B45259">
        <w:t xml:space="preserve">responses to the ITT will be scored using the scoring scale against the </w:t>
      </w:r>
      <w:r w:rsidR="00B45259">
        <w:t xml:space="preserve">evaluation </w:t>
      </w:r>
      <w:r w:rsidR="00B45259" w:rsidRPr="00B45259">
        <w:t xml:space="preserve">criteria and weightings. The scoring table, criteria and weightings are set out in the tables below. Scores are available on a scale of 0 – 5 and, with weightings, a maximum score </w:t>
      </w:r>
      <w:r w:rsidR="001620A5">
        <w:rPr>
          <w:color w:val="000000"/>
        </w:rPr>
        <w:t>of 10</w:t>
      </w:r>
      <w:r w:rsidR="00B45259" w:rsidRPr="007E1684">
        <w:rPr>
          <w:color w:val="000000"/>
        </w:rPr>
        <w:t>0</w:t>
      </w:r>
      <w:r w:rsidR="00B45259" w:rsidRPr="00B45259">
        <w:rPr>
          <w:color w:val="FF0000"/>
        </w:rPr>
        <w:t xml:space="preserve"> </w:t>
      </w:r>
      <w:r w:rsidR="00B45259" w:rsidRPr="00B45259">
        <w:t>is available</w:t>
      </w:r>
      <w:r w:rsidR="00B45259">
        <w:t>.</w:t>
      </w:r>
      <w:r w:rsidR="00B45259" w:rsidRPr="00B45259">
        <w:t xml:space="preserve">  </w:t>
      </w:r>
    </w:p>
    <w:p w14:paraId="6E4B6948" w14:textId="77777777" w:rsidR="00B45259" w:rsidRPr="00B45259" w:rsidRDefault="007F430A" w:rsidP="00B45259">
      <w:pPr>
        <w:pStyle w:val="Numbered"/>
        <w:rPr>
          <w:b/>
        </w:rPr>
      </w:pPr>
      <w:r>
        <w:t>18</w:t>
      </w:r>
      <w:r w:rsidR="00B9277B" w:rsidRPr="00B9277B">
        <w:t xml:space="preserve"> </w:t>
      </w:r>
      <w:r w:rsidR="00B9277B">
        <w:tab/>
      </w:r>
      <w:r w:rsidR="00B45259" w:rsidRPr="00B9277B">
        <w:t>Scoring Scale</w:t>
      </w:r>
      <w:r w:rsidR="00B9277B">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CellMar>
          <w:left w:w="0" w:type="dxa"/>
          <w:right w:w="0" w:type="dxa"/>
        </w:tblCellMar>
        <w:tblLook w:val="04A0" w:firstRow="1" w:lastRow="0" w:firstColumn="1" w:lastColumn="0" w:noHBand="0" w:noVBand="1"/>
      </w:tblPr>
      <w:tblGrid>
        <w:gridCol w:w="1568"/>
        <w:gridCol w:w="842"/>
        <w:gridCol w:w="7088"/>
      </w:tblGrid>
      <w:tr w:rsidR="00B45259" w:rsidRPr="00B45259" w14:paraId="38C7D0D8" w14:textId="77777777" w:rsidTr="005965F3">
        <w:trPr>
          <w:trHeight w:val="510"/>
        </w:trPr>
        <w:tc>
          <w:tcPr>
            <w:tcW w:w="1568" w:type="dxa"/>
            <w:shd w:val="clear" w:color="auto" w:fill="BDD6EE"/>
            <w:tcMar>
              <w:top w:w="0" w:type="dxa"/>
              <w:left w:w="108" w:type="dxa"/>
              <w:bottom w:w="0" w:type="dxa"/>
              <w:right w:w="108" w:type="dxa"/>
            </w:tcMar>
            <w:hideMark/>
          </w:tcPr>
          <w:p w14:paraId="5E12F115" w14:textId="77777777" w:rsidR="00B45259" w:rsidRPr="00B45259" w:rsidRDefault="00B45259" w:rsidP="00B45259">
            <w:pPr>
              <w:pStyle w:val="Numbered"/>
              <w:rPr>
                <w:b/>
                <w:bCs/>
                <w:iCs/>
              </w:rPr>
            </w:pPr>
            <w:r w:rsidRPr="00B45259">
              <w:rPr>
                <w:b/>
                <w:bCs/>
                <w:iCs/>
              </w:rPr>
              <w:t>Evaluation</w:t>
            </w:r>
          </w:p>
        </w:tc>
        <w:tc>
          <w:tcPr>
            <w:tcW w:w="842" w:type="dxa"/>
            <w:shd w:val="clear" w:color="auto" w:fill="BDD6EE"/>
            <w:tcMar>
              <w:top w:w="0" w:type="dxa"/>
              <w:left w:w="108" w:type="dxa"/>
              <w:bottom w:w="0" w:type="dxa"/>
              <w:right w:w="108" w:type="dxa"/>
            </w:tcMar>
            <w:hideMark/>
          </w:tcPr>
          <w:p w14:paraId="17B78B46" w14:textId="77777777" w:rsidR="00B45259" w:rsidRPr="00B45259" w:rsidRDefault="00B45259" w:rsidP="00B45259">
            <w:pPr>
              <w:pStyle w:val="Numbered"/>
              <w:rPr>
                <w:b/>
                <w:bCs/>
                <w:iCs/>
              </w:rPr>
            </w:pPr>
            <w:r w:rsidRPr="00B45259">
              <w:rPr>
                <w:b/>
                <w:bCs/>
                <w:iCs/>
              </w:rPr>
              <w:t>Score</w:t>
            </w:r>
          </w:p>
        </w:tc>
        <w:tc>
          <w:tcPr>
            <w:tcW w:w="7088" w:type="dxa"/>
            <w:shd w:val="clear" w:color="auto" w:fill="BDD6EE"/>
            <w:tcMar>
              <w:top w:w="0" w:type="dxa"/>
              <w:left w:w="108" w:type="dxa"/>
              <w:bottom w:w="0" w:type="dxa"/>
              <w:right w:w="108" w:type="dxa"/>
            </w:tcMar>
            <w:hideMark/>
          </w:tcPr>
          <w:p w14:paraId="7766AB55" w14:textId="77777777" w:rsidR="00B45259" w:rsidRPr="00B45259" w:rsidRDefault="00B45259" w:rsidP="00B45259">
            <w:pPr>
              <w:pStyle w:val="Numbered"/>
              <w:rPr>
                <w:b/>
                <w:bCs/>
                <w:iCs/>
              </w:rPr>
            </w:pPr>
            <w:r w:rsidRPr="00B45259">
              <w:rPr>
                <w:b/>
                <w:bCs/>
                <w:iCs/>
              </w:rPr>
              <w:t>Interpretation</w:t>
            </w:r>
          </w:p>
        </w:tc>
      </w:tr>
      <w:tr w:rsidR="00B9277B" w:rsidRPr="00B45259" w14:paraId="0837DDEA" w14:textId="77777777" w:rsidTr="00B9277B">
        <w:trPr>
          <w:trHeight w:val="805"/>
        </w:trPr>
        <w:tc>
          <w:tcPr>
            <w:tcW w:w="1568" w:type="dxa"/>
            <w:shd w:val="clear" w:color="auto" w:fill="auto"/>
            <w:tcMar>
              <w:top w:w="0" w:type="dxa"/>
              <w:left w:w="108" w:type="dxa"/>
              <w:bottom w:w="0" w:type="dxa"/>
              <w:right w:w="108" w:type="dxa"/>
            </w:tcMar>
            <w:hideMark/>
          </w:tcPr>
          <w:p w14:paraId="64A3B6C6" w14:textId="77777777" w:rsidR="00B45259" w:rsidRPr="00B45259" w:rsidRDefault="00B45259" w:rsidP="00B45259">
            <w:pPr>
              <w:pStyle w:val="Numbered"/>
              <w:rPr>
                <w:b/>
                <w:bCs/>
              </w:rPr>
            </w:pPr>
            <w:r w:rsidRPr="00B45259">
              <w:t>Excellent</w:t>
            </w:r>
          </w:p>
        </w:tc>
        <w:tc>
          <w:tcPr>
            <w:tcW w:w="842" w:type="dxa"/>
            <w:shd w:val="clear" w:color="auto" w:fill="auto"/>
            <w:tcMar>
              <w:top w:w="0" w:type="dxa"/>
              <w:left w:w="108" w:type="dxa"/>
              <w:bottom w:w="0" w:type="dxa"/>
              <w:right w:w="108" w:type="dxa"/>
            </w:tcMar>
            <w:hideMark/>
          </w:tcPr>
          <w:p w14:paraId="77A7AEA1" w14:textId="77777777" w:rsidR="00B45259" w:rsidRPr="00B45259" w:rsidRDefault="00B45259" w:rsidP="00B45259">
            <w:pPr>
              <w:pStyle w:val="Numbered"/>
              <w:rPr>
                <w:b/>
                <w:bCs/>
              </w:rPr>
            </w:pPr>
            <w:r w:rsidRPr="00B45259">
              <w:t>5</w:t>
            </w:r>
          </w:p>
        </w:tc>
        <w:tc>
          <w:tcPr>
            <w:tcW w:w="7088" w:type="dxa"/>
            <w:shd w:val="clear" w:color="auto" w:fill="auto"/>
            <w:tcMar>
              <w:top w:w="0" w:type="dxa"/>
              <w:left w:w="108" w:type="dxa"/>
              <w:bottom w:w="0" w:type="dxa"/>
              <w:right w:w="108" w:type="dxa"/>
            </w:tcMar>
            <w:hideMark/>
          </w:tcPr>
          <w:p w14:paraId="76E35B7C" w14:textId="77777777" w:rsidR="00AB5128" w:rsidRDefault="00AB5128" w:rsidP="00B45259">
            <w:pPr>
              <w:pStyle w:val="Numbered"/>
              <w:spacing w:after="120"/>
            </w:pPr>
            <w:r w:rsidRPr="00AB5128">
              <w:t xml:space="preserve">Exceptional demonstration by the applicant of the relevant ability, understanding, experience, skills, resources and quality measures required to </w:t>
            </w:r>
            <w:r>
              <w:t>meet the criteria</w:t>
            </w:r>
            <w:r w:rsidRPr="00AB5128">
              <w:t>.</w:t>
            </w:r>
            <w:r>
              <w:t xml:space="preserve"> </w:t>
            </w:r>
          </w:p>
          <w:p w14:paraId="0B398DC6" w14:textId="77777777" w:rsidR="00AB5128" w:rsidRDefault="00AB5128" w:rsidP="00B45259">
            <w:pPr>
              <w:pStyle w:val="Numbered"/>
              <w:spacing w:after="120"/>
            </w:pPr>
            <w:r>
              <w:t>Fully meets the requirement</w:t>
            </w:r>
            <w:r w:rsidR="00F64ECB">
              <w:t xml:space="preserve"> outlined in the specification and have </w:t>
            </w:r>
            <w:r w:rsidR="00F64ECB" w:rsidRPr="00F64ECB">
              <w:t>confidence in the applicant’s ability to deliver the required criteria</w:t>
            </w:r>
            <w:r w:rsidR="00F64ECB">
              <w:t>.</w:t>
            </w:r>
          </w:p>
          <w:p w14:paraId="3A00A3CC" w14:textId="77777777" w:rsidR="00AB5128" w:rsidRDefault="00AB5128" w:rsidP="00B45259">
            <w:pPr>
              <w:pStyle w:val="Numbered"/>
              <w:spacing w:after="120"/>
            </w:pPr>
            <w:r w:rsidRPr="00AB5128">
              <w:t>Appropriate evidence provided to support the response.</w:t>
            </w:r>
          </w:p>
          <w:p w14:paraId="45988BCC" w14:textId="77777777" w:rsidR="00B45259" w:rsidRPr="00AB5128" w:rsidRDefault="00B45259" w:rsidP="00AB5128">
            <w:pPr>
              <w:pStyle w:val="Numbered"/>
              <w:spacing w:after="120"/>
            </w:pPr>
            <w:r w:rsidRPr="00B45259">
              <w:t xml:space="preserve">Satisfies the requirement in full with </w:t>
            </w:r>
            <w:r w:rsidR="00AB5128" w:rsidRPr="00AB5128">
              <w:t xml:space="preserve">some recognisable additional benefits </w:t>
            </w:r>
            <w:r w:rsidRPr="00B45259">
              <w:t xml:space="preserve">(relevant and proportionate to the scope of the contract). </w:t>
            </w:r>
          </w:p>
        </w:tc>
      </w:tr>
      <w:tr w:rsidR="00B9277B" w:rsidRPr="00B45259" w14:paraId="7455AF0B" w14:textId="77777777" w:rsidTr="00B9277B">
        <w:trPr>
          <w:trHeight w:val="805"/>
        </w:trPr>
        <w:tc>
          <w:tcPr>
            <w:tcW w:w="1568" w:type="dxa"/>
            <w:shd w:val="clear" w:color="auto" w:fill="auto"/>
            <w:tcMar>
              <w:top w:w="0" w:type="dxa"/>
              <w:left w:w="108" w:type="dxa"/>
              <w:bottom w:w="0" w:type="dxa"/>
              <w:right w:w="108" w:type="dxa"/>
            </w:tcMar>
            <w:hideMark/>
          </w:tcPr>
          <w:p w14:paraId="62491473" w14:textId="77777777" w:rsidR="00B45259" w:rsidRPr="00B45259" w:rsidRDefault="00B45259" w:rsidP="00B45259">
            <w:pPr>
              <w:pStyle w:val="Numbered"/>
              <w:rPr>
                <w:b/>
                <w:bCs/>
              </w:rPr>
            </w:pPr>
            <w:r w:rsidRPr="00B45259">
              <w:t xml:space="preserve">Good              </w:t>
            </w:r>
          </w:p>
        </w:tc>
        <w:tc>
          <w:tcPr>
            <w:tcW w:w="842" w:type="dxa"/>
            <w:shd w:val="clear" w:color="auto" w:fill="auto"/>
            <w:tcMar>
              <w:top w:w="0" w:type="dxa"/>
              <w:left w:w="108" w:type="dxa"/>
              <w:bottom w:w="0" w:type="dxa"/>
              <w:right w:w="108" w:type="dxa"/>
            </w:tcMar>
            <w:hideMark/>
          </w:tcPr>
          <w:p w14:paraId="28A273B1" w14:textId="77777777" w:rsidR="00B45259" w:rsidRPr="00B45259" w:rsidRDefault="00B45259" w:rsidP="00B45259">
            <w:pPr>
              <w:pStyle w:val="Numbered"/>
              <w:rPr>
                <w:b/>
                <w:bCs/>
              </w:rPr>
            </w:pPr>
            <w:r w:rsidRPr="00B45259">
              <w:t>4</w:t>
            </w:r>
          </w:p>
        </w:tc>
        <w:tc>
          <w:tcPr>
            <w:tcW w:w="7088" w:type="dxa"/>
            <w:shd w:val="clear" w:color="auto" w:fill="auto"/>
            <w:tcMar>
              <w:top w:w="0" w:type="dxa"/>
              <w:left w:w="108" w:type="dxa"/>
              <w:bottom w:w="0" w:type="dxa"/>
              <w:right w:w="108" w:type="dxa"/>
            </w:tcMar>
          </w:tcPr>
          <w:p w14:paraId="7B3D2710" w14:textId="77777777" w:rsidR="00AB5128" w:rsidRDefault="00AB5128" w:rsidP="00B45259">
            <w:pPr>
              <w:pStyle w:val="Numbered"/>
              <w:spacing w:after="120"/>
            </w:pPr>
            <w:r w:rsidRPr="00AB5128">
              <w:t xml:space="preserve">Very Good. Sufficient evidence provided by the applicant of the relevant ability, understanding, experience, skills, resources and quality measures required to meet the criteria. </w:t>
            </w:r>
          </w:p>
          <w:p w14:paraId="741081E0" w14:textId="77777777" w:rsidR="00AB5128" w:rsidRDefault="00F64ECB" w:rsidP="00B45259">
            <w:pPr>
              <w:pStyle w:val="Numbered"/>
              <w:spacing w:after="120"/>
            </w:pPr>
            <w:r>
              <w:t>Have confidence in the applicant’s</w:t>
            </w:r>
            <w:r w:rsidR="00AB5128" w:rsidRPr="00AB5128">
              <w:t xml:space="preserve"> ability to deliver the required </w:t>
            </w:r>
            <w:r w:rsidR="00AB5128">
              <w:t>criteria</w:t>
            </w:r>
            <w:r w:rsidR="00AB5128" w:rsidRPr="00AB5128">
              <w:t xml:space="preserve">. </w:t>
            </w:r>
          </w:p>
          <w:p w14:paraId="38537253" w14:textId="77777777" w:rsidR="00B45259" w:rsidRPr="00B45259" w:rsidRDefault="00B45259" w:rsidP="00B45259">
            <w:pPr>
              <w:pStyle w:val="Numbered"/>
              <w:rPr>
                <w:b/>
                <w:bCs/>
              </w:rPr>
            </w:pPr>
            <w:r w:rsidRPr="00B45259">
              <w:t>Appropriate evidence provided to support the response.</w:t>
            </w:r>
          </w:p>
        </w:tc>
      </w:tr>
      <w:tr w:rsidR="00B9277B" w:rsidRPr="00B45259" w14:paraId="5A0F51BA" w14:textId="77777777" w:rsidTr="00B9277B">
        <w:trPr>
          <w:trHeight w:val="805"/>
        </w:trPr>
        <w:tc>
          <w:tcPr>
            <w:tcW w:w="1568" w:type="dxa"/>
            <w:shd w:val="clear" w:color="auto" w:fill="auto"/>
            <w:tcMar>
              <w:top w:w="0" w:type="dxa"/>
              <w:left w:w="108" w:type="dxa"/>
              <w:bottom w:w="0" w:type="dxa"/>
              <w:right w:w="108" w:type="dxa"/>
            </w:tcMar>
            <w:hideMark/>
          </w:tcPr>
          <w:p w14:paraId="1629317C" w14:textId="77777777" w:rsidR="00B45259" w:rsidRPr="00B45259" w:rsidRDefault="00B45259" w:rsidP="00B45259">
            <w:pPr>
              <w:pStyle w:val="Numbered"/>
              <w:rPr>
                <w:b/>
                <w:bCs/>
              </w:rPr>
            </w:pPr>
            <w:r w:rsidRPr="00B45259">
              <w:t>Acceptable</w:t>
            </w:r>
          </w:p>
        </w:tc>
        <w:tc>
          <w:tcPr>
            <w:tcW w:w="842" w:type="dxa"/>
            <w:shd w:val="clear" w:color="auto" w:fill="auto"/>
            <w:tcMar>
              <w:top w:w="0" w:type="dxa"/>
              <w:left w:w="108" w:type="dxa"/>
              <w:bottom w:w="0" w:type="dxa"/>
              <w:right w:w="108" w:type="dxa"/>
            </w:tcMar>
            <w:hideMark/>
          </w:tcPr>
          <w:p w14:paraId="455C1885" w14:textId="77777777" w:rsidR="00B45259" w:rsidRPr="00B45259" w:rsidRDefault="00B45259" w:rsidP="00B45259">
            <w:pPr>
              <w:pStyle w:val="Numbered"/>
              <w:rPr>
                <w:b/>
                <w:bCs/>
              </w:rPr>
            </w:pPr>
            <w:r w:rsidRPr="00B45259">
              <w:t>3</w:t>
            </w:r>
          </w:p>
        </w:tc>
        <w:tc>
          <w:tcPr>
            <w:tcW w:w="7088" w:type="dxa"/>
            <w:shd w:val="clear" w:color="auto" w:fill="auto"/>
            <w:tcMar>
              <w:top w:w="0" w:type="dxa"/>
              <w:left w:w="108" w:type="dxa"/>
              <w:bottom w:w="0" w:type="dxa"/>
              <w:right w:w="108" w:type="dxa"/>
            </w:tcMar>
          </w:tcPr>
          <w:p w14:paraId="7925822D" w14:textId="77777777" w:rsidR="00B45259" w:rsidRPr="00B45259" w:rsidRDefault="00C91ADF" w:rsidP="00B45259">
            <w:pPr>
              <w:pStyle w:val="Numbered"/>
              <w:spacing w:after="120"/>
            </w:pPr>
            <w:r w:rsidRPr="00C91ADF">
              <w:t xml:space="preserve">Satisfactory. Reasonable evidence of </w:t>
            </w:r>
            <w:r w:rsidR="00676D7B">
              <w:t xml:space="preserve">the </w:t>
            </w:r>
            <w:r w:rsidRPr="00C91ADF">
              <w:t xml:space="preserve">appropriate ability, understanding, experience, skills, resources and quality measures </w:t>
            </w:r>
            <w:r>
              <w:t>required to meet the criteria in most</w:t>
            </w:r>
            <w:r w:rsidRPr="00C91ADF">
              <w:t xml:space="preserve"> areas</w:t>
            </w:r>
            <w:r>
              <w:t>,</w:t>
            </w:r>
            <w:r w:rsidRPr="00C91ADF">
              <w:t xml:space="preserve"> but not all. </w:t>
            </w:r>
          </w:p>
          <w:p w14:paraId="2EFFECB6" w14:textId="77777777" w:rsidR="00C91ADF" w:rsidRDefault="00F64ECB" w:rsidP="00B45259">
            <w:pPr>
              <w:pStyle w:val="Numbered"/>
            </w:pPr>
            <w:r>
              <w:t>Consider that the applicant has</w:t>
            </w:r>
            <w:r w:rsidR="00676D7B">
              <w:t xml:space="preserve"> the </w:t>
            </w:r>
            <w:r w:rsidR="00C91ADF" w:rsidRPr="00C91ADF">
              <w:t>ability to deliver the required criteria</w:t>
            </w:r>
          </w:p>
          <w:p w14:paraId="2B28DF68" w14:textId="77777777" w:rsidR="00B45259" w:rsidRPr="00B45259" w:rsidRDefault="00B45259" w:rsidP="00B45259">
            <w:pPr>
              <w:pStyle w:val="Numbered"/>
              <w:rPr>
                <w:b/>
                <w:bCs/>
              </w:rPr>
            </w:pPr>
            <w:r w:rsidRPr="00B45259">
              <w:t>Appropriate evidence provided to support the response.</w:t>
            </w:r>
          </w:p>
        </w:tc>
      </w:tr>
      <w:tr w:rsidR="00B9277B" w:rsidRPr="00B45259" w14:paraId="22C52FBB" w14:textId="77777777" w:rsidTr="00B9277B">
        <w:trPr>
          <w:trHeight w:val="285"/>
        </w:trPr>
        <w:tc>
          <w:tcPr>
            <w:tcW w:w="1568" w:type="dxa"/>
            <w:shd w:val="clear" w:color="auto" w:fill="auto"/>
            <w:tcMar>
              <w:top w:w="0" w:type="dxa"/>
              <w:left w:w="108" w:type="dxa"/>
              <w:bottom w:w="0" w:type="dxa"/>
              <w:right w:w="108" w:type="dxa"/>
            </w:tcMar>
            <w:hideMark/>
          </w:tcPr>
          <w:p w14:paraId="18BF2836" w14:textId="77777777" w:rsidR="00B45259" w:rsidRPr="00B45259" w:rsidRDefault="00B45259" w:rsidP="00B45259">
            <w:pPr>
              <w:pStyle w:val="Numbered"/>
            </w:pPr>
            <w:r w:rsidRPr="00B45259">
              <w:t>Minor Reservations</w:t>
            </w:r>
          </w:p>
        </w:tc>
        <w:tc>
          <w:tcPr>
            <w:tcW w:w="842" w:type="dxa"/>
            <w:shd w:val="clear" w:color="auto" w:fill="auto"/>
            <w:tcMar>
              <w:top w:w="0" w:type="dxa"/>
              <w:left w:w="108" w:type="dxa"/>
              <w:bottom w:w="0" w:type="dxa"/>
              <w:right w:w="108" w:type="dxa"/>
            </w:tcMar>
            <w:hideMark/>
          </w:tcPr>
          <w:p w14:paraId="787658B6" w14:textId="77777777" w:rsidR="00B45259" w:rsidRPr="00B45259" w:rsidRDefault="00B45259" w:rsidP="00B45259">
            <w:pPr>
              <w:pStyle w:val="Numbered"/>
            </w:pPr>
            <w:r w:rsidRPr="00B45259">
              <w:t>2</w:t>
            </w:r>
          </w:p>
        </w:tc>
        <w:tc>
          <w:tcPr>
            <w:tcW w:w="7088" w:type="dxa"/>
            <w:shd w:val="clear" w:color="auto" w:fill="auto"/>
            <w:tcMar>
              <w:top w:w="0" w:type="dxa"/>
              <w:left w:w="108" w:type="dxa"/>
              <w:bottom w:w="0" w:type="dxa"/>
              <w:right w:w="108" w:type="dxa"/>
            </w:tcMar>
            <w:hideMark/>
          </w:tcPr>
          <w:p w14:paraId="6F3627B0" w14:textId="77777777" w:rsidR="00C91ADF" w:rsidRDefault="00C91ADF" w:rsidP="00B45259">
            <w:pPr>
              <w:pStyle w:val="Numbered"/>
              <w:spacing w:after="120"/>
            </w:pPr>
            <w:r w:rsidRPr="00C91ADF">
              <w:t xml:space="preserve">Substandard. Some evidence of </w:t>
            </w:r>
            <w:r w:rsidR="00676D7B">
              <w:t xml:space="preserve">the </w:t>
            </w:r>
            <w:r w:rsidRPr="00C91ADF">
              <w:t xml:space="preserve">appropriate ability, understanding, experience, skills, resources and quality measures required to meet the criteria </w:t>
            </w:r>
            <w:r>
              <w:t>but</w:t>
            </w:r>
            <w:r w:rsidRPr="00C91ADF">
              <w:t xml:space="preserve"> with important omissions. </w:t>
            </w:r>
          </w:p>
          <w:p w14:paraId="0B9D8899" w14:textId="77777777" w:rsidR="00B45259" w:rsidRPr="00B45259" w:rsidRDefault="00C91ADF" w:rsidP="00B45259">
            <w:pPr>
              <w:pStyle w:val="Numbered"/>
              <w:spacing w:after="120"/>
            </w:pPr>
            <w:r>
              <w:t>Not confident</w:t>
            </w:r>
            <w:r w:rsidR="00F64ECB">
              <w:t xml:space="preserve"> in the applicant’s</w:t>
            </w:r>
            <w:r w:rsidRPr="00C91ADF">
              <w:t xml:space="preserve"> ability to deliver the required criteria</w:t>
            </w:r>
            <w:r>
              <w:t>.</w:t>
            </w:r>
          </w:p>
          <w:p w14:paraId="358DFA39" w14:textId="77777777" w:rsidR="00B45259" w:rsidRPr="00B45259" w:rsidRDefault="00C91ADF" w:rsidP="00C91ADF">
            <w:pPr>
              <w:pStyle w:val="Numbered"/>
            </w:pPr>
            <w:r>
              <w:t xml:space="preserve">Insufficient </w:t>
            </w:r>
            <w:r w:rsidR="00B45259" w:rsidRPr="00B45259">
              <w:t>evidence to support the response.</w:t>
            </w:r>
          </w:p>
        </w:tc>
      </w:tr>
      <w:tr w:rsidR="00B9277B" w:rsidRPr="00B45259" w14:paraId="3236AA2B" w14:textId="77777777" w:rsidTr="00B9277B">
        <w:trPr>
          <w:trHeight w:val="285"/>
        </w:trPr>
        <w:tc>
          <w:tcPr>
            <w:tcW w:w="1568" w:type="dxa"/>
            <w:shd w:val="clear" w:color="auto" w:fill="auto"/>
            <w:tcMar>
              <w:top w:w="0" w:type="dxa"/>
              <w:left w:w="108" w:type="dxa"/>
              <w:bottom w:w="0" w:type="dxa"/>
              <w:right w:w="108" w:type="dxa"/>
            </w:tcMar>
            <w:hideMark/>
          </w:tcPr>
          <w:p w14:paraId="01C4D64E" w14:textId="77777777" w:rsidR="00B45259" w:rsidRPr="00B45259" w:rsidRDefault="00B45259" w:rsidP="00B45259">
            <w:pPr>
              <w:pStyle w:val="Numbered"/>
            </w:pPr>
            <w:r w:rsidRPr="00B45259">
              <w:t>Major Reservations</w:t>
            </w:r>
          </w:p>
        </w:tc>
        <w:tc>
          <w:tcPr>
            <w:tcW w:w="842" w:type="dxa"/>
            <w:shd w:val="clear" w:color="auto" w:fill="auto"/>
            <w:tcMar>
              <w:top w:w="0" w:type="dxa"/>
              <w:left w:w="108" w:type="dxa"/>
              <w:bottom w:w="0" w:type="dxa"/>
              <w:right w:w="108" w:type="dxa"/>
            </w:tcMar>
            <w:hideMark/>
          </w:tcPr>
          <w:p w14:paraId="775E18BE" w14:textId="77777777" w:rsidR="00B45259" w:rsidRPr="00B45259" w:rsidRDefault="00B45259" w:rsidP="00B45259">
            <w:pPr>
              <w:pStyle w:val="Numbered"/>
            </w:pPr>
            <w:r w:rsidRPr="00B45259">
              <w:t>1</w:t>
            </w:r>
          </w:p>
        </w:tc>
        <w:tc>
          <w:tcPr>
            <w:tcW w:w="7088" w:type="dxa"/>
            <w:shd w:val="clear" w:color="auto" w:fill="auto"/>
            <w:tcMar>
              <w:top w:w="0" w:type="dxa"/>
              <w:left w:w="108" w:type="dxa"/>
              <w:bottom w:w="0" w:type="dxa"/>
              <w:right w:w="108" w:type="dxa"/>
            </w:tcMar>
          </w:tcPr>
          <w:p w14:paraId="6FE829E2" w14:textId="77777777" w:rsidR="00C91ADF" w:rsidRDefault="00C91ADF" w:rsidP="00C91ADF">
            <w:pPr>
              <w:pStyle w:val="Numbered"/>
              <w:spacing w:after="120"/>
            </w:pPr>
            <w:r>
              <w:t>Unsatisfactory. Limited</w:t>
            </w:r>
            <w:r w:rsidRPr="00C91ADF">
              <w:t xml:space="preserve"> evidence of </w:t>
            </w:r>
            <w:r w:rsidR="00676D7B">
              <w:t xml:space="preserve">the </w:t>
            </w:r>
            <w:r w:rsidRPr="00C91ADF">
              <w:t xml:space="preserve">appropriate ability, understanding, experience, skills, resources and quality measures required to meet the criteria but with </w:t>
            </w:r>
            <w:r>
              <w:t xml:space="preserve">major </w:t>
            </w:r>
            <w:r w:rsidRPr="00C91ADF">
              <w:t xml:space="preserve">omissions. </w:t>
            </w:r>
          </w:p>
          <w:p w14:paraId="389BB36B" w14:textId="77777777" w:rsidR="00C91ADF" w:rsidRDefault="00B45259" w:rsidP="00C91ADF">
            <w:pPr>
              <w:pStyle w:val="Numbered"/>
              <w:spacing w:after="120"/>
            </w:pPr>
            <w:r w:rsidRPr="00B45259">
              <w:t xml:space="preserve">Considerable reservations </w:t>
            </w:r>
            <w:r w:rsidR="00C91ADF">
              <w:t xml:space="preserve">about </w:t>
            </w:r>
            <w:r w:rsidR="00F64ECB">
              <w:t>the applicant’s</w:t>
            </w:r>
            <w:r w:rsidR="00C91ADF" w:rsidRPr="00C91ADF">
              <w:t xml:space="preserve"> ability to deliver the required criteria</w:t>
            </w:r>
            <w:r w:rsidR="00C91ADF">
              <w:t>.</w:t>
            </w:r>
          </w:p>
          <w:p w14:paraId="483EF480" w14:textId="77777777" w:rsidR="00B45259" w:rsidRPr="00B45259" w:rsidRDefault="00B45259" w:rsidP="00C91ADF">
            <w:pPr>
              <w:pStyle w:val="Numbered"/>
            </w:pPr>
            <w:r w:rsidRPr="00B45259">
              <w:lastRenderedPageBreak/>
              <w:t>Little or no evidence to support the response.</w:t>
            </w:r>
          </w:p>
        </w:tc>
      </w:tr>
      <w:tr w:rsidR="00B9277B" w:rsidRPr="00B45259" w14:paraId="6B09C843" w14:textId="77777777" w:rsidTr="00B9277B">
        <w:trPr>
          <w:trHeight w:val="1317"/>
        </w:trPr>
        <w:tc>
          <w:tcPr>
            <w:tcW w:w="1568" w:type="dxa"/>
            <w:shd w:val="clear" w:color="auto" w:fill="auto"/>
            <w:tcMar>
              <w:top w:w="0" w:type="dxa"/>
              <w:left w:w="108" w:type="dxa"/>
              <w:bottom w:w="0" w:type="dxa"/>
              <w:right w:w="108" w:type="dxa"/>
            </w:tcMar>
            <w:hideMark/>
          </w:tcPr>
          <w:p w14:paraId="762AFB06" w14:textId="77777777" w:rsidR="00B45259" w:rsidRPr="00B45259" w:rsidRDefault="00B45259" w:rsidP="00B45259">
            <w:pPr>
              <w:pStyle w:val="Numbered"/>
            </w:pPr>
            <w:r w:rsidRPr="00B45259">
              <w:lastRenderedPageBreak/>
              <w:t>Unacceptable</w:t>
            </w:r>
          </w:p>
        </w:tc>
        <w:tc>
          <w:tcPr>
            <w:tcW w:w="842" w:type="dxa"/>
            <w:shd w:val="clear" w:color="auto" w:fill="auto"/>
            <w:tcMar>
              <w:top w:w="0" w:type="dxa"/>
              <w:left w:w="108" w:type="dxa"/>
              <w:bottom w:w="0" w:type="dxa"/>
              <w:right w:w="108" w:type="dxa"/>
            </w:tcMar>
            <w:hideMark/>
          </w:tcPr>
          <w:p w14:paraId="69ED195A" w14:textId="77777777" w:rsidR="00B45259" w:rsidRPr="00B45259" w:rsidRDefault="00B45259" w:rsidP="00B45259">
            <w:pPr>
              <w:pStyle w:val="Numbered"/>
            </w:pPr>
            <w:r w:rsidRPr="00B45259">
              <w:t>0</w:t>
            </w:r>
          </w:p>
        </w:tc>
        <w:tc>
          <w:tcPr>
            <w:tcW w:w="7088" w:type="dxa"/>
            <w:shd w:val="clear" w:color="auto" w:fill="auto"/>
            <w:tcMar>
              <w:top w:w="0" w:type="dxa"/>
              <w:left w:w="108" w:type="dxa"/>
              <w:bottom w:w="0" w:type="dxa"/>
              <w:right w:w="108" w:type="dxa"/>
            </w:tcMar>
          </w:tcPr>
          <w:p w14:paraId="47F27B6B" w14:textId="77777777" w:rsidR="00F05113" w:rsidRDefault="00B45259" w:rsidP="00F05113">
            <w:pPr>
              <w:pStyle w:val="Numbered"/>
              <w:spacing w:after="120"/>
            </w:pPr>
            <w:r w:rsidRPr="00B45259">
              <w:t>Does not meet the requirement.</w:t>
            </w:r>
            <w:r w:rsidR="00F05113">
              <w:t xml:space="preserve"> </w:t>
            </w:r>
            <w:r w:rsidRPr="00B45259">
              <w:t>Does not comply and/or insufficient information</w:t>
            </w:r>
            <w:r w:rsidR="00F05113">
              <w:t xml:space="preserve"> </w:t>
            </w:r>
            <w:r w:rsidR="00F05113" w:rsidRPr="00F05113">
              <w:t xml:space="preserve">of </w:t>
            </w:r>
            <w:r w:rsidR="00676D7B">
              <w:t xml:space="preserve">the </w:t>
            </w:r>
            <w:r w:rsidR="00F05113" w:rsidRPr="00F05113">
              <w:t>appropriate ability, understanding, experience, skills, resources and quality measures required to meet the criteria</w:t>
            </w:r>
            <w:r w:rsidR="00F05113">
              <w:t>.</w:t>
            </w:r>
          </w:p>
          <w:p w14:paraId="3C759D06" w14:textId="77777777" w:rsidR="00F05113" w:rsidRDefault="00F64ECB" w:rsidP="00F05113">
            <w:pPr>
              <w:pStyle w:val="Numbered"/>
              <w:spacing w:after="120"/>
            </w:pPr>
            <w:r>
              <w:t>Consider applicant</w:t>
            </w:r>
            <w:r w:rsidR="00676D7B">
              <w:t xml:space="preserve"> u</w:t>
            </w:r>
            <w:r w:rsidR="00F05113">
              <w:t xml:space="preserve">nable to deliver the required criteria. </w:t>
            </w:r>
            <w:r w:rsidR="00B45259" w:rsidRPr="00B45259">
              <w:t xml:space="preserve"> </w:t>
            </w:r>
          </w:p>
          <w:p w14:paraId="0715D144" w14:textId="77777777" w:rsidR="00B45259" w:rsidRPr="00B45259" w:rsidRDefault="00B45259" w:rsidP="00B45259">
            <w:pPr>
              <w:pStyle w:val="Numbered"/>
            </w:pPr>
            <w:r w:rsidRPr="00B45259">
              <w:t>Little or no evidence provided to support the response.</w:t>
            </w:r>
          </w:p>
        </w:tc>
      </w:tr>
    </w:tbl>
    <w:p w14:paraId="715492C5" w14:textId="77777777" w:rsidR="00B45259" w:rsidRPr="00B45259" w:rsidRDefault="00B45259" w:rsidP="00B45259">
      <w:pPr>
        <w:pStyle w:val="Numbered"/>
      </w:pPr>
    </w:p>
    <w:p w14:paraId="548F8713" w14:textId="77777777" w:rsidR="009B7D7F" w:rsidRPr="009B7D7F" w:rsidRDefault="007F430A" w:rsidP="007F430A">
      <w:pPr>
        <w:pStyle w:val="Numbered"/>
        <w:ind w:left="720" w:hanging="720"/>
      </w:pPr>
      <w:r>
        <w:t xml:space="preserve">19 </w:t>
      </w:r>
      <w:r>
        <w:tab/>
      </w:r>
      <w:r w:rsidR="009B7D7F" w:rsidRPr="009B7D7F">
        <w:t>Where a bid is awarded a score of 0 (Unacceptable) or 1 (Major Reservations) for any criteria the evaluation will cease at that point and the organisation will not progress any further in this exercise.</w:t>
      </w:r>
      <w:r w:rsidR="001620A5">
        <w:t xml:space="preserve"> </w:t>
      </w:r>
    </w:p>
    <w:p w14:paraId="213DD951" w14:textId="77777777" w:rsidR="00B45259" w:rsidRPr="00B9277B" w:rsidRDefault="007F430A" w:rsidP="00B45259">
      <w:pPr>
        <w:pStyle w:val="Numbered"/>
      </w:pPr>
      <w:r>
        <w:t>20</w:t>
      </w:r>
      <w:r w:rsidR="009B7D7F">
        <w:tab/>
      </w:r>
      <w:r w:rsidR="00B45259" w:rsidRPr="00B9277B">
        <w:t xml:space="preserve">Evaluation Criteria and Weightings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1701"/>
        <w:gridCol w:w="1559"/>
      </w:tblGrid>
      <w:tr w:rsidR="001620A5" w:rsidRPr="00B45259" w14:paraId="0909409C" w14:textId="77777777" w:rsidTr="001620A5">
        <w:tc>
          <w:tcPr>
            <w:tcW w:w="5812" w:type="dxa"/>
            <w:shd w:val="clear" w:color="auto" w:fill="BDD6EE"/>
            <w:tcMar>
              <w:top w:w="0" w:type="dxa"/>
              <w:left w:w="108" w:type="dxa"/>
              <w:bottom w:w="0" w:type="dxa"/>
              <w:right w:w="108" w:type="dxa"/>
            </w:tcMar>
          </w:tcPr>
          <w:p w14:paraId="5CC6C41A" w14:textId="77777777" w:rsidR="001620A5" w:rsidRPr="009B7D7F" w:rsidRDefault="001620A5" w:rsidP="00B45259">
            <w:pPr>
              <w:pStyle w:val="Numbered"/>
              <w:rPr>
                <w:b/>
              </w:rPr>
            </w:pPr>
            <w:r w:rsidRPr="009B7D7F">
              <w:rPr>
                <w:b/>
              </w:rPr>
              <w:t>Evaluation criteria</w:t>
            </w:r>
          </w:p>
        </w:tc>
        <w:tc>
          <w:tcPr>
            <w:tcW w:w="1701" w:type="dxa"/>
            <w:shd w:val="clear" w:color="auto" w:fill="BDD6EE"/>
            <w:tcMar>
              <w:top w:w="0" w:type="dxa"/>
              <w:left w:w="108" w:type="dxa"/>
              <w:bottom w:w="0" w:type="dxa"/>
              <w:right w:w="108" w:type="dxa"/>
            </w:tcMar>
            <w:hideMark/>
          </w:tcPr>
          <w:p w14:paraId="505E04D1" w14:textId="77777777" w:rsidR="001620A5" w:rsidRPr="00B45259" w:rsidRDefault="001620A5" w:rsidP="00B45259">
            <w:pPr>
              <w:pStyle w:val="Numbered"/>
              <w:rPr>
                <w:b/>
                <w:bCs/>
              </w:rPr>
            </w:pPr>
            <w:r w:rsidRPr="00B45259">
              <w:rPr>
                <w:b/>
                <w:bCs/>
              </w:rPr>
              <w:t>Weighting</w:t>
            </w:r>
          </w:p>
        </w:tc>
        <w:tc>
          <w:tcPr>
            <w:tcW w:w="1559" w:type="dxa"/>
            <w:shd w:val="clear" w:color="auto" w:fill="BDD6EE"/>
            <w:tcMar>
              <w:top w:w="0" w:type="dxa"/>
              <w:left w:w="108" w:type="dxa"/>
              <w:bottom w:w="0" w:type="dxa"/>
              <w:right w:w="108" w:type="dxa"/>
            </w:tcMar>
            <w:hideMark/>
          </w:tcPr>
          <w:p w14:paraId="41EBAAEE" w14:textId="77777777" w:rsidR="001620A5" w:rsidRPr="00B45259" w:rsidRDefault="001620A5" w:rsidP="00B45259">
            <w:pPr>
              <w:pStyle w:val="Numbered"/>
              <w:rPr>
                <w:b/>
                <w:bCs/>
              </w:rPr>
            </w:pPr>
            <w:r w:rsidRPr="00B45259">
              <w:rPr>
                <w:b/>
                <w:bCs/>
              </w:rPr>
              <w:t>Maximum weighted score</w:t>
            </w:r>
          </w:p>
        </w:tc>
      </w:tr>
      <w:tr w:rsidR="00B45259" w:rsidRPr="00B45259" w14:paraId="7E8F28A3" w14:textId="77777777" w:rsidTr="001620A5">
        <w:tc>
          <w:tcPr>
            <w:tcW w:w="9072" w:type="dxa"/>
            <w:gridSpan w:val="3"/>
            <w:shd w:val="clear" w:color="auto" w:fill="DEEAF6"/>
            <w:tcMar>
              <w:top w:w="0" w:type="dxa"/>
              <w:left w:w="108" w:type="dxa"/>
              <w:bottom w:w="0" w:type="dxa"/>
              <w:right w:w="108" w:type="dxa"/>
            </w:tcMar>
            <w:hideMark/>
          </w:tcPr>
          <w:p w14:paraId="43005379" w14:textId="77777777" w:rsidR="00B45259" w:rsidRPr="00B45259" w:rsidRDefault="00B45259" w:rsidP="00B45259">
            <w:pPr>
              <w:pStyle w:val="Numbered"/>
              <w:rPr>
                <w:b/>
                <w:bCs/>
              </w:rPr>
            </w:pPr>
            <w:r w:rsidRPr="00B45259">
              <w:rPr>
                <w:b/>
                <w:bCs/>
              </w:rPr>
              <w:t>Project Delivery</w:t>
            </w:r>
          </w:p>
        </w:tc>
      </w:tr>
      <w:tr w:rsidR="001620A5" w:rsidRPr="00B45259" w14:paraId="6EB16A2C" w14:textId="77777777" w:rsidTr="001620A5">
        <w:tc>
          <w:tcPr>
            <w:tcW w:w="5812" w:type="dxa"/>
            <w:tcMar>
              <w:top w:w="0" w:type="dxa"/>
              <w:left w:w="108" w:type="dxa"/>
              <w:bottom w:w="0" w:type="dxa"/>
              <w:right w:w="108" w:type="dxa"/>
            </w:tcMar>
          </w:tcPr>
          <w:p w14:paraId="5516F3B1" w14:textId="77777777" w:rsidR="001620A5" w:rsidRPr="00B45259" w:rsidRDefault="001620A5" w:rsidP="00B45259">
            <w:pPr>
              <w:pStyle w:val="Numbered"/>
            </w:pPr>
            <w:r w:rsidRPr="00B45259">
              <w:t xml:space="preserve">Organisation’s capacity to deliver the contract </w:t>
            </w:r>
          </w:p>
        </w:tc>
        <w:tc>
          <w:tcPr>
            <w:tcW w:w="1701" w:type="dxa"/>
            <w:shd w:val="clear" w:color="auto" w:fill="auto"/>
            <w:tcMar>
              <w:top w:w="0" w:type="dxa"/>
              <w:left w:w="108" w:type="dxa"/>
              <w:bottom w:w="0" w:type="dxa"/>
              <w:right w:w="108" w:type="dxa"/>
            </w:tcMar>
            <w:vAlign w:val="center"/>
          </w:tcPr>
          <w:p w14:paraId="6C8FBE84" w14:textId="77777777" w:rsidR="001620A5" w:rsidRPr="00B45259" w:rsidRDefault="001620A5" w:rsidP="00192326">
            <w:pPr>
              <w:pStyle w:val="Numbered"/>
              <w:jc w:val="center"/>
            </w:pPr>
            <w:r>
              <w:t>4</w:t>
            </w:r>
          </w:p>
        </w:tc>
        <w:tc>
          <w:tcPr>
            <w:tcW w:w="1559" w:type="dxa"/>
            <w:shd w:val="clear" w:color="auto" w:fill="auto"/>
            <w:tcMar>
              <w:top w:w="0" w:type="dxa"/>
              <w:left w:w="108" w:type="dxa"/>
              <w:bottom w:w="0" w:type="dxa"/>
              <w:right w:w="108" w:type="dxa"/>
            </w:tcMar>
            <w:vAlign w:val="center"/>
          </w:tcPr>
          <w:p w14:paraId="618CB966" w14:textId="77777777" w:rsidR="001620A5" w:rsidRPr="00B45259" w:rsidRDefault="001620A5" w:rsidP="006E771B">
            <w:pPr>
              <w:pStyle w:val="Numbered"/>
              <w:jc w:val="center"/>
            </w:pPr>
            <w:r>
              <w:t>20</w:t>
            </w:r>
          </w:p>
        </w:tc>
      </w:tr>
      <w:tr w:rsidR="001620A5" w:rsidRPr="00B45259" w14:paraId="6E744D78" w14:textId="77777777" w:rsidTr="001620A5">
        <w:tc>
          <w:tcPr>
            <w:tcW w:w="5812" w:type="dxa"/>
            <w:tcMar>
              <w:top w:w="0" w:type="dxa"/>
              <w:left w:w="108" w:type="dxa"/>
              <w:bottom w:w="0" w:type="dxa"/>
              <w:right w:w="108" w:type="dxa"/>
            </w:tcMar>
          </w:tcPr>
          <w:p w14:paraId="27431E4F" w14:textId="77777777" w:rsidR="001620A5" w:rsidRPr="00B45259" w:rsidRDefault="001620A5" w:rsidP="00192326">
            <w:pPr>
              <w:pStyle w:val="Numbered"/>
            </w:pPr>
            <w:r w:rsidRPr="00B45259">
              <w:t xml:space="preserve">Meeting Department’s </w:t>
            </w:r>
            <w:r>
              <w:t xml:space="preserve">specification </w:t>
            </w:r>
            <w:r w:rsidRPr="00B45259">
              <w:t>and defining success</w:t>
            </w:r>
          </w:p>
        </w:tc>
        <w:tc>
          <w:tcPr>
            <w:tcW w:w="1701" w:type="dxa"/>
            <w:shd w:val="clear" w:color="auto" w:fill="auto"/>
            <w:tcMar>
              <w:top w:w="0" w:type="dxa"/>
              <w:left w:w="108" w:type="dxa"/>
              <w:bottom w:w="0" w:type="dxa"/>
              <w:right w:w="108" w:type="dxa"/>
            </w:tcMar>
            <w:vAlign w:val="center"/>
          </w:tcPr>
          <w:p w14:paraId="54EE8E25" w14:textId="77777777" w:rsidR="001620A5" w:rsidRPr="00B45259" w:rsidRDefault="001620A5" w:rsidP="00192326">
            <w:pPr>
              <w:pStyle w:val="Numbered"/>
              <w:jc w:val="center"/>
            </w:pPr>
            <w:r>
              <w:t>5</w:t>
            </w:r>
          </w:p>
        </w:tc>
        <w:tc>
          <w:tcPr>
            <w:tcW w:w="1559" w:type="dxa"/>
            <w:shd w:val="clear" w:color="auto" w:fill="auto"/>
            <w:tcMar>
              <w:top w:w="0" w:type="dxa"/>
              <w:left w:w="108" w:type="dxa"/>
              <w:bottom w:w="0" w:type="dxa"/>
              <w:right w:w="108" w:type="dxa"/>
            </w:tcMar>
            <w:vAlign w:val="center"/>
          </w:tcPr>
          <w:p w14:paraId="5ED00C4A" w14:textId="77777777" w:rsidR="001620A5" w:rsidRPr="00B45259" w:rsidRDefault="001620A5" w:rsidP="006E771B">
            <w:pPr>
              <w:pStyle w:val="Numbered"/>
              <w:jc w:val="center"/>
            </w:pPr>
            <w:r>
              <w:t>25</w:t>
            </w:r>
          </w:p>
        </w:tc>
      </w:tr>
      <w:tr w:rsidR="001620A5" w:rsidRPr="00B45259" w14:paraId="2610AA4C" w14:textId="77777777" w:rsidTr="001620A5">
        <w:tc>
          <w:tcPr>
            <w:tcW w:w="5812" w:type="dxa"/>
            <w:tcMar>
              <w:top w:w="0" w:type="dxa"/>
              <w:left w:w="108" w:type="dxa"/>
              <w:bottom w:w="0" w:type="dxa"/>
              <w:right w:w="108" w:type="dxa"/>
            </w:tcMar>
          </w:tcPr>
          <w:p w14:paraId="7ECCE595" w14:textId="77777777" w:rsidR="001620A5" w:rsidRPr="00B45259" w:rsidRDefault="001620A5" w:rsidP="00B45259">
            <w:pPr>
              <w:pStyle w:val="Numbered"/>
            </w:pPr>
            <w:r>
              <w:t>Evidence and sustainability</w:t>
            </w:r>
          </w:p>
        </w:tc>
        <w:tc>
          <w:tcPr>
            <w:tcW w:w="1701" w:type="dxa"/>
            <w:shd w:val="clear" w:color="auto" w:fill="auto"/>
            <w:tcMar>
              <w:top w:w="0" w:type="dxa"/>
              <w:left w:w="108" w:type="dxa"/>
              <w:bottom w:w="0" w:type="dxa"/>
              <w:right w:w="108" w:type="dxa"/>
            </w:tcMar>
            <w:vAlign w:val="center"/>
          </w:tcPr>
          <w:p w14:paraId="1590820A" w14:textId="77777777" w:rsidR="001620A5" w:rsidRPr="00B45259" w:rsidRDefault="001620A5" w:rsidP="00192326">
            <w:pPr>
              <w:pStyle w:val="Numbered"/>
              <w:jc w:val="center"/>
            </w:pPr>
            <w:r>
              <w:t>3</w:t>
            </w:r>
          </w:p>
        </w:tc>
        <w:tc>
          <w:tcPr>
            <w:tcW w:w="1559" w:type="dxa"/>
            <w:shd w:val="clear" w:color="auto" w:fill="auto"/>
            <w:tcMar>
              <w:top w:w="0" w:type="dxa"/>
              <w:left w:w="108" w:type="dxa"/>
              <w:bottom w:w="0" w:type="dxa"/>
              <w:right w:w="108" w:type="dxa"/>
            </w:tcMar>
            <w:vAlign w:val="center"/>
          </w:tcPr>
          <w:p w14:paraId="63D96550" w14:textId="77777777" w:rsidR="001620A5" w:rsidRPr="00B45259" w:rsidRDefault="001620A5" w:rsidP="006E771B">
            <w:pPr>
              <w:pStyle w:val="Numbered"/>
              <w:jc w:val="center"/>
            </w:pPr>
            <w:r>
              <w:t>15</w:t>
            </w:r>
          </w:p>
        </w:tc>
      </w:tr>
      <w:tr w:rsidR="001620A5" w:rsidRPr="00B45259" w14:paraId="554359A8" w14:textId="77777777" w:rsidTr="001620A5">
        <w:tc>
          <w:tcPr>
            <w:tcW w:w="5812" w:type="dxa"/>
            <w:tcMar>
              <w:top w:w="0" w:type="dxa"/>
              <w:left w:w="108" w:type="dxa"/>
              <w:bottom w:w="0" w:type="dxa"/>
              <w:right w:w="108" w:type="dxa"/>
            </w:tcMar>
          </w:tcPr>
          <w:p w14:paraId="6861DF3A" w14:textId="77777777" w:rsidR="001620A5" w:rsidRDefault="001620A5" w:rsidP="00B45259">
            <w:pPr>
              <w:pStyle w:val="Numbered"/>
            </w:pPr>
            <w:r w:rsidRPr="00192326">
              <w:t>Collaborating with Independent Evaluation partner</w:t>
            </w:r>
          </w:p>
        </w:tc>
        <w:tc>
          <w:tcPr>
            <w:tcW w:w="1701" w:type="dxa"/>
            <w:shd w:val="clear" w:color="auto" w:fill="auto"/>
            <w:tcMar>
              <w:top w:w="0" w:type="dxa"/>
              <w:left w:w="108" w:type="dxa"/>
              <w:bottom w:w="0" w:type="dxa"/>
              <w:right w:w="108" w:type="dxa"/>
            </w:tcMar>
            <w:vAlign w:val="center"/>
          </w:tcPr>
          <w:p w14:paraId="0DBDA810" w14:textId="77777777" w:rsidR="001620A5" w:rsidRPr="00B45259" w:rsidRDefault="001620A5" w:rsidP="00192326">
            <w:pPr>
              <w:pStyle w:val="Numbered"/>
              <w:jc w:val="center"/>
            </w:pPr>
            <w:r>
              <w:t>2</w:t>
            </w:r>
          </w:p>
        </w:tc>
        <w:tc>
          <w:tcPr>
            <w:tcW w:w="1559" w:type="dxa"/>
            <w:shd w:val="clear" w:color="auto" w:fill="auto"/>
            <w:tcMar>
              <w:top w:w="0" w:type="dxa"/>
              <w:left w:w="108" w:type="dxa"/>
              <w:bottom w:w="0" w:type="dxa"/>
              <w:right w:w="108" w:type="dxa"/>
            </w:tcMar>
            <w:vAlign w:val="center"/>
          </w:tcPr>
          <w:p w14:paraId="3FE5282F" w14:textId="77777777" w:rsidR="001620A5" w:rsidRPr="00B45259" w:rsidRDefault="001620A5" w:rsidP="006E771B">
            <w:pPr>
              <w:pStyle w:val="Numbered"/>
              <w:jc w:val="center"/>
            </w:pPr>
            <w:r>
              <w:t>10</w:t>
            </w:r>
          </w:p>
        </w:tc>
      </w:tr>
      <w:tr w:rsidR="00B45259" w:rsidRPr="00B45259" w14:paraId="2F1384B4" w14:textId="77777777" w:rsidTr="001620A5">
        <w:tc>
          <w:tcPr>
            <w:tcW w:w="9072" w:type="dxa"/>
            <w:gridSpan w:val="3"/>
            <w:shd w:val="clear" w:color="auto" w:fill="DEEAF6"/>
            <w:tcMar>
              <w:top w:w="0" w:type="dxa"/>
              <w:left w:w="108" w:type="dxa"/>
              <w:bottom w:w="0" w:type="dxa"/>
              <w:right w:w="108" w:type="dxa"/>
            </w:tcMar>
            <w:hideMark/>
          </w:tcPr>
          <w:p w14:paraId="13D35FEB" w14:textId="77777777" w:rsidR="00B45259" w:rsidRPr="00B45259" w:rsidRDefault="00B45259" w:rsidP="00192326">
            <w:pPr>
              <w:pStyle w:val="Numbered"/>
              <w:rPr>
                <w:b/>
                <w:bCs/>
              </w:rPr>
            </w:pPr>
            <w:r w:rsidRPr="00B45259">
              <w:rPr>
                <w:b/>
                <w:bCs/>
              </w:rPr>
              <w:t>Project Management</w:t>
            </w:r>
          </w:p>
        </w:tc>
      </w:tr>
      <w:tr w:rsidR="001620A5" w:rsidRPr="00B45259" w14:paraId="45A3E367" w14:textId="77777777" w:rsidTr="001620A5">
        <w:tc>
          <w:tcPr>
            <w:tcW w:w="5812" w:type="dxa"/>
            <w:tcMar>
              <w:top w:w="0" w:type="dxa"/>
              <w:left w:w="108" w:type="dxa"/>
              <w:bottom w:w="0" w:type="dxa"/>
              <w:right w:w="108" w:type="dxa"/>
            </w:tcMar>
            <w:hideMark/>
          </w:tcPr>
          <w:p w14:paraId="1AD6A810" w14:textId="77777777" w:rsidR="001620A5" w:rsidRPr="00B45259" w:rsidRDefault="001620A5" w:rsidP="00B45259">
            <w:pPr>
              <w:pStyle w:val="Numbered"/>
            </w:pPr>
            <w:r w:rsidRPr="00B45259">
              <w:t>Project management and governance</w:t>
            </w:r>
          </w:p>
        </w:tc>
        <w:tc>
          <w:tcPr>
            <w:tcW w:w="1701" w:type="dxa"/>
            <w:shd w:val="clear" w:color="auto" w:fill="auto"/>
            <w:tcMar>
              <w:top w:w="0" w:type="dxa"/>
              <w:left w:w="108" w:type="dxa"/>
              <w:bottom w:w="0" w:type="dxa"/>
              <w:right w:w="108" w:type="dxa"/>
            </w:tcMar>
            <w:vAlign w:val="center"/>
          </w:tcPr>
          <w:p w14:paraId="37FA29E8" w14:textId="77777777" w:rsidR="001620A5" w:rsidRPr="00B45259" w:rsidRDefault="001620A5" w:rsidP="00192326">
            <w:pPr>
              <w:pStyle w:val="Numbered"/>
              <w:jc w:val="center"/>
            </w:pPr>
            <w:r>
              <w:t>2</w:t>
            </w:r>
          </w:p>
        </w:tc>
        <w:tc>
          <w:tcPr>
            <w:tcW w:w="1559" w:type="dxa"/>
            <w:shd w:val="clear" w:color="auto" w:fill="auto"/>
            <w:tcMar>
              <w:top w:w="0" w:type="dxa"/>
              <w:left w:w="108" w:type="dxa"/>
              <w:bottom w:w="0" w:type="dxa"/>
              <w:right w:w="108" w:type="dxa"/>
            </w:tcMar>
            <w:vAlign w:val="center"/>
          </w:tcPr>
          <w:p w14:paraId="132676AF" w14:textId="77777777" w:rsidR="001620A5" w:rsidRPr="00B45259" w:rsidRDefault="001620A5" w:rsidP="006E771B">
            <w:pPr>
              <w:pStyle w:val="Numbered"/>
              <w:jc w:val="center"/>
            </w:pPr>
            <w:r>
              <w:t>10</w:t>
            </w:r>
          </w:p>
        </w:tc>
      </w:tr>
      <w:tr w:rsidR="001620A5" w:rsidRPr="00B45259" w14:paraId="6C10BA3B" w14:textId="77777777" w:rsidTr="001620A5">
        <w:tc>
          <w:tcPr>
            <w:tcW w:w="5812" w:type="dxa"/>
            <w:tcMar>
              <w:top w:w="0" w:type="dxa"/>
              <w:left w:w="108" w:type="dxa"/>
              <w:bottom w:w="0" w:type="dxa"/>
              <w:right w:w="108" w:type="dxa"/>
            </w:tcMar>
            <w:hideMark/>
          </w:tcPr>
          <w:p w14:paraId="3B57B95D" w14:textId="77777777" w:rsidR="001620A5" w:rsidRPr="00B45259" w:rsidRDefault="001620A5" w:rsidP="00B45259">
            <w:pPr>
              <w:pStyle w:val="Numbered"/>
            </w:pPr>
            <w:r w:rsidRPr="00B45259">
              <w:t>Operational plan</w:t>
            </w:r>
          </w:p>
        </w:tc>
        <w:tc>
          <w:tcPr>
            <w:tcW w:w="1701" w:type="dxa"/>
            <w:shd w:val="clear" w:color="auto" w:fill="auto"/>
            <w:tcMar>
              <w:top w:w="0" w:type="dxa"/>
              <w:left w:w="108" w:type="dxa"/>
              <w:bottom w:w="0" w:type="dxa"/>
              <w:right w:w="108" w:type="dxa"/>
            </w:tcMar>
            <w:vAlign w:val="center"/>
          </w:tcPr>
          <w:p w14:paraId="2F6F018C" w14:textId="77777777" w:rsidR="001620A5" w:rsidRPr="00B45259" w:rsidRDefault="001620A5" w:rsidP="00192326">
            <w:pPr>
              <w:pStyle w:val="Numbered"/>
              <w:jc w:val="center"/>
            </w:pPr>
            <w:r>
              <w:t>3</w:t>
            </w:r>
          </w:p>
        </w:tc>
        <w:tc>
          <w:tcPr>
            <w:tcW w:w="1559" w:type="dxa"/>
            <w:shd w:val="clear" w:color="auto" w:fill="auto"/>
            <w:tcMar>
              <w:top w:w="0" w:type="dxa"/>
              <w:left w:w="108" w:type="dxa"/>
              <w:bottom w:w="0" w:type="dxa"/>
              <w:right w:w="108" w:type="dxa"/>
            </w:tcMar>
            <w:vAlign w:val="center"/>
          </w:tcPr>
          <w:p w14:paraId="509B2CC1" w14:textId="77777777" w:rsidR="001620A5" w:rsidRPr="00B45259" w:rsidRDefault="001620A5" w:rsidP="006E771B">
            <w:pPr>
              <w:pStyle w:val="Numbered"/>
              <w:jc w:val="center"/>
            </w:pPr>
            <w:r>
              <w:t>15</w:t>
            </w:r>
          </w:p>
        </w:tc>
      </w:tr>
      <w:tr w:rsidR="00B45259" w:rsidRPr="00B45259" w14:paraId="28E55ECA" w14:textId="77777777" w:rsidTr="001620A5">
        <w:tc>
          <w:tcPr>
            <w:tcW w:w="9072" w:type="dxa"/>
            <w:gridSpan w:val="3"/>
            <w:shd w:val="clear" w:color="auto" w:fill="DEEAF6"/>
            <w:tcMar>
              <w:top w:w="0" w:type="dxa"/>
              <w:left w:w="108" w:type="dxa"/>
              <w:bottom w:w="0" w:type="dxa"/>
              <w:right w:w="108" w:type="dxa"/>
            </w:tcMar>
          </w:tcPr>
          <w:p w14:paraId="58C56CA2" w14:textId="77777777" w:rsidR="00B45259" w:rsidRPr="00B45259" w:rsidRDefault="00192326" w:rsidP="00192326">
            <w:pPr>
              <w:pStyle w:val="Numbered"/>
              <w:rPr>
                <w:b/>
                <w:bCs/>
              </w:rPr>
            </w:pPr>
            <w:r>
              <w:rPr>
                <w:b/>
                <w:bCs/>
              </w:rPr>
              <w:t>Risks and Issues</w:t>
            </w:r>
          </w:p>
        </w:tc>
      </w:tr>
      <w:tr w:rsidR="001620A5" w:rsidRPr="00B45259" w14:paraId="0C17D79D" w14:textId="77777777" w:rsidTr="001620A5">
        <w:tc>
          <w:tcPr>
            <w:tcW w:w="5812" w:type="dxa"/>
            <w:tcMar>
              <w:top w:w="0" w:type="dxa"/>
              <w:left w:w="108" w:type="dxa"/>
              <w:bottom w:w="0" w:type="dxa"/>
              <w:right w:w="108" w:type="dxa"/>
            </w:tcMar>
          </w:tcPr>
          <w:p w14:paraId="0272405B" w14:textId="77777777" w:rsidR="001620A5" w:rsidRPr="00B45259" w:rsidRDefault="001620A5" w:rsidP="00B45259">
            <w:pPr>
              <w:pStyle w:val="Numbered"/>
            </w:pPr>
            <w:r w:rsidRPr="00B45259">
              <w:t>Risk and issues management</w:t>
            </w:r>
          </w:p>
        </w:tc>
        <w:tc>
          <w:tcPr>
            <w:tcW w:w="1701" w:type="dxa"/>
            <w:shd w:val="clear" w:color="auto" w:fill="auto"/>
            <w:tcMar>
              <w:top w:w="0" w:type="dxa"/>
              <w:left w:w="108" w:type="dxa"/>
              <w:bottom w:w="0" w:type="dxa"/>
              <w:right w:w="108" w:type="dxa"/>
            </w:tcMar>
            <w:vAlign w:val="center"/>
            <w:hideMark/>
          </w:tcPr>
          <w:p w14:paraId="741B95C8" w14:textId="77777777" w:rsidR="001620A5" w:rsidRPr="00B45259" w:rsidRDefault="001620A5" w:rsidP="00192326">
            <w:pPr>
              <w:pStyle w:val="Numbered"/>
              <w:jc w:val="center"/>
            </w:pPr>
            <w:r>
              <w:t>1</w:t>
            </w:r>
          </w:p>
        </w:tc>
        <w:tc>
          <w:tcPr>
            <w:tcW w:w="1559" w:type="dxa"/>
            <w:shd w:val="clear" w:color="auto" w:fill="auto"/>
            <w:tcMar>
              <w:top w:w="0" w:type="dxa"/>
              <w:left w:w="108" w:type="dxa"/>
              <w:bottom w:w="0" w:type="dxa"/>
              <w:right w:w="108" w:type="dxa"/>
            </w:tcMar>
            <w:vAlign w:val="center"/>
          </w:tcPr>
          <w:p w14:paraId="614E18BC" w14:textId="77777777" w:rsidR="001620A5" w:rsidRPr="00B45259" w:rsidRDefault="001620A5" w:rsidP="006E771B">
            <w:pPr>
              <w:pStyle w:val="Numbered"/>
              <w:jc w:val="center"/>
            </w:pPr>
            <w:r>
              <w:t>5</w:t>
            </w:r>
          </w:p>
        </w:tc>
      </w:tr>
      <w:tr w:rsidR="001620A5" w:rsidRPr="00B45259" w14:paraId="78B4A7BA" w14:textId="77777777" w:rsidTr="001620A5">
        <w:tc>
          <w:tcPr>
            <w:tcW w:w="5812" w:type="dxa"/>
            <w:tcMar>
              <w:top w:w="0" w:type="dxa"/>
              <w:left w:w="108" w:type="dxa"/>
              <w:bottom w:w="0" w:type="dxa"/>
              <w:right w:w="108" w:type="dxa"/>
            </w:tcMar>
          </w:tcPr>
          <w:p w14:paraId="09B76A6B" w14:textId="77777777" w:rsidR="001620A5" w:rsidRPr="00B45259" w:rsidRDefault="001620A5" w:rsidP="00B45259">
            <w:pPr>
              <w:pStyle w:val="Numbered"/>
              <w:rPr>
                <w:b/>
                <w:bCs/>
              </w:rPr>
            </w:pPr>
            <w:r w:rsidRPr="00B45259">
              <w:rPr>
                <w:b/>
                <w:bCs/>
              </w:rPr>
              <w:t>Total maximum score:</w:t>
            </w:r>
          </w:p>
        </w:tc>
        <w:tc>
          <w:tcPr>
            <w:tcW w:w="1701" w:type="dxa"/>
            <w:shd w:val="clear" w:color="auto" w:fill="auto"/>
            <w:tcMar>
              <w:top w:w="0" w:type="dxa"/>
              <w:left w:w="108" w:type="dxa"/>
              <w:bottom w:w="0" w:type="dxa"/>
              <w:right w:w="108" w:type="dxa"/>
            </w:tcMar>
            <w:vAlign w:val="center"/>
          </w:tcPr>
          <w:p w14:paraId="5C7A502E" w14:textId="77777777" w:rsidR="001620A5" w:rsidRPr="00B45259" w:rsidRDefault="001620A5" w:rsidP="00192326">
            <w:pPr>
              <w:pStyle w:val="Numbered"/>
              <w:jc w:val="center"/>
            </w:pPr>
          </w:p>
        </w:tc>
        <w:tc>
          <w:tcPr>
            <w:tcW w:w="1559" w:type="dxa"/>
            <w:shd w:val="clear" w:color="auto" w:fill="auto"/>
            <w:tcMar>
              <w:top w:w="0" w:type="dxa"/>
              <w:left w:w="108" w:type="dxa"/>
              <w:bottom w:w="0" w:type="dxa"/>
              <w:right w:w="108" w:type="dxa"/>
            </w:tcMar>
            <w:vAlign w:val="center"/>
          </w:tcPr>
          <w:p w14:paraId="5B62CF39" w14:textId="77777777" w:rsidR="001620A5" w:rsidRPr="00B45259" w:rsidRDefault="001620A5" w:rsidP="001620A5">
            <w:pPr>
              <w:pStyle w:val="Numbered"/>
              <w:jc w:val="center"/>
            </w:pPr>
            <w:r>
              <w:rPr>
                <w:b/>
                <w:bCs/>
              </w:rPr>
              <w:t>100</w:t>
            </w:r>
          </w:p>
        </w:tc>
      </w:tr>
    </w:tbl>
    <w:p w14:paraId="45938B99" w14:textId="77777777" w:rsidR="00B45259" w:rsidRPr="00B45259" w:rsidRDefault="00B45259" w:rsidP="00B45259">
      <w:pPr>
        <w:pStyle w:val="Numbered"/>
      </w:pPr>
    </w:p>
    <w:p w14:paraId="485F3E54" w14:textId="77777777" w:rsidR="00B45259" w:rsidRDefault="007F430A" w:rsidP="007F430A">
      <w:pPr>
        <w:pStyle w:val="Numbered"/>
        <w:ind w:left="720" w:hanging="720"/>
      </w:pPr>
      <w:r>
        <w:t>21</w:t>
      </w:r>
      <w:r>
        <w:tab/>
      </w:r>
      <w:r w:rsidR="00192326">
        <w:t>Scoring against the evaluation criteria</w:t>
      </w:r>
      <w:r w:rsidR="00B45259" w:rsidRPr="00B45259">
        <w:t xml:space="preserve"> represents 70% of the overall evaluation. As such, the total of the scores will be will be calculated as a proportion of 70% to provide the final </w:t>
      </w:r>
      <w:r w:rsidR="006E771B">
        <w:t xml:space="preserve">evaluation </w:t>
      </w:r>
      <w:r w:rsidR="00B45259" w:rsidRPr="00B45259">
        <w:t>score. As such, a score of 1</w:t>
      </w:r>
      <w:r w:rsidR="001620A5">
        <w:t>0</w:t>
      </w:r>
      <w:r w:rsidR="006E771B">
        <w:t>0 (the maximum marks available</w:t>
      </w:r>
      <w:r w:rsidR="00B45259" w:rsidRPr="00B45259">
        <w:t xml:space="preserve">) would achieve a Final </w:t>
      </w:r>
      <w:r w:rsidR="006E771B">
        <w:t xml:space="preserve">Evaluation </w:t>
      </w:r>
      <w:r w:rsidR="00B45259" w:rsidRPr="00B45259">
        <w:t xml:space="preserve">Score of 70. An illustrative example is provided below:  </w:t>
      </w:r>
    </w:p>
    <w:p w14:paraId="08E6FCE1" w14:textId="77777777" w:rsidR="00344915" w:rsidRDefault="00344915" w:rsidP="007F430A">
      <w:pPr>
        <w:pStyle w:val="Numbered"/>
        <w:ind w:left="720" w:hanging="720"/>
      </w:pPr>
    </w:p>
    <w:p w14:paraId="207FE77B" w14:textId="77777777" w:rsidR="00344915" w:rsidRDefault="00344915" w:rsidP="007F430A">
      <w:pPr>
        <w:pStyle w:val="Numbered"/>
        <w:ind w:left="720" w:hanging="720"/>
      </w:pPr>
    </w:p>
    <w:p w14:paraId="65E025CF" w14:textId="77777777" w:rsidR="00344915" w:rsidRDefault="00344915" w:rsidP="007F430A">
      <w:pPr>
        <w:pStyle w:val="Numbered"/>
        <w:ind w:left="720" w:hanging="720"/>
      </w:pPr>
    </w:p>
    <w:p w14:paraId="63176504" w14:textId="77777777" w:rsidR="00344915" w:rsidRPr="00B45259" w:rsidRDefault="00344915" w:rsidP="007F430A">
      <w:pPr>
        <w:pStyle w:val="Numbered"/>
        <w:ind w:left="720" w:hanging="720"/>
      </w:pPr>
    </w:p>
    <w:tbl>
      <w:tblPr>
        <w:tblpPr w:leftFromText="180" w:rightFromText="180" w:vertAnchor="text" w:horzAnchor="page" w:tblpX="3733" w:tblpY="68"/>
        <w:tblOverlap w:val="never"/>
        <w:tblW w:w="0" w:type="auto"/>
        <w:tblCellMar>
          <w:left w:w="0" w:type="dxa"/>
          <w:right w:w="0" w:type="dxa"/>
        </w:tblCellMar>
        <w:tblLook w:val="04A0" w:firstRow="1" w:lastRow="0" w:firstColumn="1" w:lastColumn="0" w:noHBand="0" w:noVBand="1"/>
      </w:tblPr>
      <w:tblGrid>
        <w:gridCol w:w="1100"/>
        <w:gridCol w:w="1232"/>
        <w:gridCol w:w="2312"/>
        <w:gridCol w:w="1560"/>
      </w:tblGrid>
      <w:tr w:rsidR="00B45259" w:rsidRPr="00B45259" w14:paraId="76062478" w14:textId="77777777" w:rsidTr="007E1684">
        <w:tc>
          <w:tcPr>
            <w:tcW w:w="1100"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38B3D19" w14:textId="77777777" w:rsidR="00B45259" w:rsidRPr="00B45259" w:rsidRDefault="00B45259" w:rsidP="00683FE7">
            <w:pPr>
              <w:pStyle w:val="Numbered"/>
              <w:rPr>
                <w:lang w:val="it-IT"/>
              </w:rPr>
            </w:pPr>
            <w:r w:rsidRPr="00B45259">
              <w:rPr>
                <w:b/>
                <w:bCs/>
              </w:rPr>
              <w:lastRenderedPageBreak/>
              <w:t>Supplier</w:t>
            </w:r>
          </w:p>
        </w:tc>
        <w:tc>
          <w:tcPr>
            <w:tcW w:w="1232"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5FB3981C" w14:textId="77777777" w:rsidR="00B45259" w:rsidRPr="00B45259" w:rsidRDefault="00B45259" w:rsidP="00683FE7">
            <w:pPr>
              <w:pStyle w:val="Numbered"/>
              <w:rPr>
                <w:lang w:val="it-IT"/>
              </w:rPr>
            </w:pPr>
            <w:r w:rsidRPr="00B45259">
              <w:rPr>
                <w:b/>
                <w:bCs/>
              </w:rPr>
              <w:t>Technical Score</w:t>
            </w:r>
          </w:p>
        </w:tc>
        <w:tc>
          <w:tcPr>
            <w:tcW w:w="2312"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7DF5493" w14:textId="77777777" w:rsidR="00B45259" w:rsidRPr="00B45259" w:rsidRDefault="00B45259" w:rsidP="00683FE7">
            <w:pPr>
              <w:pStyle w:val="Numbered"/>
              <w:rPr>
                <w:lang w:val="it-IT"/>
              </w:rPr>
            </w:pPr>
            <w:r w:rsidRPr="00B45259">
              <w:rPr>
                <w:b/>
                <w:bCs/>
              </w:rPr>
              <w:t>Calculation</w:t>
            </w:r>
          </w:p>
        </w:tc>
        <w:tc>
          <w:tcPr>
            <w:tcW w:w="156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tcPr>
          <w:p w14:paraId="1DBC3C2F" w14:textId="77777777" w:rsidR="00B45259" w:rsidRPr="00B45259" w:rsidRDefault="00B45259" w:rsidP="00683FE7">
            <w:pPr>
              <w:pStyle w:val="Numbered"/>
              <w:rPr>
                <w:b/>
                <w:bCs/>
              </w:rPr>
            </w:pPr>
            <w:r w:rsidRPr="00B45259">
              <w:rPr>
                <w:b/>
                <w:bCs/>
              </w:rPr>
              <w:t xml:space="preserve">Final Score </w:t>
            </w:r>
          </w:p>
          <w:p w14:paraId="595D9411" w14:textId="77777777" w:rsidR="00B45259" w:rsidRPr="00B45259" w:rsidRDefault="00B45259" w:rsidP="00683FE7">
            <w:pPr>
              <w:pStyle w:val="Numbered"/>
              <w:rPr>
                <w:lang w:val="it-IT"/>
              </w:rPr>
            </w:pPr>
          </w:p>
        </w:tc>
      </w:tr>
      <w:tr w:rsidR="00B45259" w:rsidRPr="00B45259" w14:paraId="4D1473A1" w14:textId="77777777" w:rsidTr="00560BEF">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1F6B1" w14:textId="77777777" w:rsidR="00B45259" w:rsidRPr="00B45259" w:rsidRDefault="00B45259" w:rsidP="00683FE7">
            <w:pPr>
              <w:pStyle w:val="Numbered"/>
              <w:rPr>
                <w:lang w:val="it-IT"/>
              </w:rPr>
            </w:pPr>
            <w:r w:rsidRPr="00B45259">
              <w:rPr>
                <w:lang w:val="it-IT"/>
              </w:rPr>
              <w:t>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1A51E21C" w14:textId="77777777" w:rsidR="00B45259" w:rsidRPr="00B45259" w:rsidRDefault="00B45259" w:rsidP="001620A5">
            <w:pPr>
              <w:pStyle w:val="Numbered"/>
              <w:rPr>
                <w:lang w:val="it-IT"/>
              </w:rPr>
            </w:pPr>
            <w:r w:rsidRPr="00B45259">
              <w:rPr>
                <w:lang w:val="it-IT"/>
              </w:rPr>
              <w:t>1</w:t>
            </w:r>
            <w:r w:rsidR="001620A5">
              <w:rPr>
                <w:lang w:val="it-IT"/>
              </w:rPr>
              <w:t>0</w:t>
            </w:r>
            <w:r w:rsidRPr="00B45259">
              <w:rPr>
                <w:lang w:val="it-IT"/>
              </w:rPr>
              <w:t>0</w:t>
            </w:r>
          </w:p>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14:paraId="525BFEAC" w14:textId="77777777" w:rsidR="00B45259" w:rsidRPr="00B45259" w:rsidRDefault="00B45259" w:rsidP="00683FE7">
            <w:pPr>
              <w:pStyle w:val="Numbered"/>
              <w:rPr>
                <w:lang w:val="it-IT"/>
              </w:rPr>
            </w:pPr>
            <w:r w:rsidRPr="00B45259">
              <w:rPr>
                <w:lang w:val="it-IT"/>
              </w:rPr>
              <w:t>(</w:t>
            </w:r>
            <w:r w:rsidR="001620A5">
              <w:rPr>
                <w:lang w:val="it-IT"/>
              </w:rPr>
              <w:t>100/100</w:t>
            </w:r>
            <w:r w:rsidRPr="00B45259">
              <w:rPr>
                <w:lang w:val="it-IT"/>
              </w:rPr>
              <w:t xml:space="preserve"> ) x 70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E45F6A9" w14:textId="77777777" w:rsidR="00B45259" w:rsidRPr="00B45259" w:rsidRDefault="001620A5" w:rsidP="00683FE7">
            <w:pPr>
              <w:pStyle w:val="Numbered"/>
              <w:rPr>
                <w:lang w:val="it-IT"/>
              </w:rPr>
            </w:pPr>
            <w:r>
              <w:rPr>
                <w:lang w:val="it-IT"/>
              </w:rPr>
              <w:t>70</w:t>
            </w:r>
          </w:p>
        </w:tc>
      </w:tr>
      <w:tr w:rsidR="00B45259" w:rsidRPr="00B45259" w14:paraId="18949807" w14:textId="77777777" w:rsidTr="00560BEF">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4D735" w14:textId="77777777" w:rsidR="00B45259" w:rsidRPr="00B45259" w:rsidRDefault="00B45259" w:rsidP="00683FE7">
            <w:pPr>
              <w:pStyle w:val="Numbered"/>
              <w:rPr>
                <w:lang w:val="it-IT"/>
              </w:rPr>
            </w:pPr>
            <w:r w:rsidRPr="00B45259">
              <w:rPr>
                <w:lang w:val="it-IT"/>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62E0DF6C" w14:textId="77777777" w:rsidR="00B45259" w:rsidRPr="00B45259" w:rsidRDefault="001620A5" w:rsidP="001620A5">
            <w:pPr>
              <w:pStyle w:val="Numbered"/>
              <w:rPr>
                <w:lang w:val="it-IT"/>
              </w:rPr>
            </w:pPr>
            <w:r>
              <w:rPr>
                <w:lang w:val="it-IT"/>
              </w:rPr>
              <w:t>90</w:t>
            </w:r>
          </w:p>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14:paraId="67E823E6" w14:textId="77777777" w:rsidR="00B45259" w:rsidRPr="00B45259" w:rsidRDefault="00B45259" w:rsidP="00683FE7">
            <w:pPr>
              <w:pStyle w:val="Numbered"/>
              <w:rPr>
                <w:lang w:val="it-IT"/>
              </w:rPr>
            </w:pPr>
            <w:r w:rsidRPr="00B45259">
              <w:rPr>
                <w:lang w:val="it-IT"/>
              </w:rPr>
              <w:t>(</w:t>
            </w:r>
            <w:r w:rsidR="001620A5">
              <w:rPr>
                <w:lang w:val="it-IT"/>
              </w:rPr>
              <w:t>90/10</w:t>
            </w:r>
            <w:r w:rsidRPr="00B45259">
              <w:rPr>
                <w:lang w:val="it-IT"/>
              </w:rPr>
              <w:t>0) x 70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FB61D73" w14:textId="77777777" w:rsidR="00B45259" w:rsidRPr="00B45259" w:rsidRDefault="001620A5" w:rsidP="00683FE7">
            <w:pPr>
              <w:pStyle w:val="Numbered"/>
              <w:rPr>
                <w:lang w:val="it-IT"/>
              </w:rPr>
            </w:pPr>
            <w:r>
              <w:rPr>
                <w:lang w:val="it-IT"/>
              </w:rPr>
              <w:t>63</w:t>
            </w:r>
          </w:p>
        </w:tc>
      </w:tr>
      <w:tr w:rsidR="00B45259" w:rsidRPr="00B45259" w14:paraId="4DABD596" w14:textId="77777777" w:rsidTr="00560BEF">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8F074" w14:textId="77777777" w:rsidR="00B45259" w:rsidRPr="00B45259" w:rsidRDefault="00B45259" w:rsidP="00683FE7">
            <w:pPr>
              <w:pStyle w:val="Numbered"/>
              <w:rPr>
                <w:lang w:val="it-IT"/>
              </w:rPr>
            </w:pPr>
            <w:r w:rsidRPr="00B45259">
              <w:rPr>
                <w:lang w:val="it-IT"/>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614D568C" w14:textId="77777777" w:rsidR="00B45259" w:rsidRPr="00B45259" w:rsidRDefault="001620A5" w:rsidP="00683FE7">
            <w:pPr>
              <w:pStyle w:val="Numbered"/>
              <w:rPr>
                <w:lang w:val="it-IT"/>
              </w:rPr>
            </w:pPr>
            <w:r>
              <w:rPr>
                <w:lang w:val="it-IT"/>
              </w:rPr>
              <w:t>70</w:t>
            </w:r>
          </w:p>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14:paraId="6EFE32D7" w14:textId="77777777" w:rsidR="00B45259" w:rsidRPr="00B45259" w:rsidRDefault="001620A5" w:rsidP="001620A5">
            <w:pPr>
              <w:pStyle w:val="Numbered"/>
              <w:rPr>
                <w:lang w:val="it-IT"/>
              </w:rPr>
            </w:pPr>
            <w:r>
              <w:rPr>
                <w:lang w:val="it-IT"/>
              </w:rPr>
              <w:t>(7</w:t>
            </w:r>
            <w:r w:rsidR="00B45259" w:rsidRPr="00B45259">
              <w:rPr>
                <w:lang w:val="it-IT"/>
              </w:rPr>
              <w:t>0/1</w:t>
            </w:r>
            <w:r>
              <w:rPr>
                <w:lang w:val="it-IT"/>
              </w:rPr>
              <w:t>0</w:t>
            </w:r>
            <w:r w:rsidR="00B45259" w:rsidRPr="00B45259">
              <w:rPr>
                <w:lang w:val="it-IT"/>
              </w:rPr>
              <w:t>0) x 70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8F15738" w14:textId="77777777" w:rsidR="00B45259" w:rsidRPr="00B45259" w:rsidRDefault="00B45259" w:rsidP="00683FE7">
            <w:pPr>
              <w:pStyle w:val="Numbered"/>
              <w:rPr>
                <w:lang w:val="it-IT"/>
              </w:rPr>
            </w:pPr>
            <w:r w:rsidRPr="00B45259">
              <w:rPr>
                <w:lang w:val="it-IT"/>
              </w:rPr>
              <w:t>4</w:t>
            </w:r>
            <w:r w:rsidR="001620A5">
              <w:rPr>
                <w:lang w:val="it-IT"/>
              </w:rPr>
              <w:t>9</w:t>
            </w:r>
          </w:p>
        </w:tc>
      </w:tr>
      <w:tr w:rsidR="00B45259" w:rsidRPr="00B45259" w14:paraId="72B7FE01" w14:textId="77777777" w:rsidTr="00560BEF">
        <w:tc>
          <w:tcPr>
            <w:tcW w:w="11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DB7F4" w14:textId="77777777" w:rsidR="00B45259" w:rsidRPr="00B45259" w:rsidRDefault="00B45259" w:rsidP="00683FE7">
            <w:pPr>
              <w:pStyle w:val="Numbered"/>
              <w:rPr>
                <w:lang w:val="it-IT"/>
              </w:rPr>
            </w:pPr>
            <w:r w:rsidRPr="00B45259">
              <w:rPr>
                <w:lang w:val="it-IT"/>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14:paraId="78F6EB05" w14:textId="77777777" w:rsidR="00B45259" w:rsidRPr="00B45259" w:rsidRDefault="001620A5" w:rsidP="00683FE7">
            <w:pPr>
              <w:pStyle w:val="Numbered"/>
              <w:rPr>
                <w:lang w:val="it-IT"/>
              </w:rPr>
            </w:pPr>
            <w:r>
              <w:rPr>
                <w:lang w:val="it-IT"/>
              </w:rPr>
              <w:t>55</w:t>
            </w:r>
          </w:p>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14:paraId="33A327C9" w14:textId="77777777" w:rsidR="00B45259" w:rsidRPr="00B45259" w:rsidRDefault="001620A5" w:rsidP="00683FE7">
            <w:pPr>
              <w:pStyle w:val="Numbered"/>
              <w:rPr>
                <w:lang w:val="it-IT"/>
              </w:rPr>
            </w:pPr>
            <w:r>
              <w:rPr>
                <w:lang w:val="it-IT"/>
              </w:rPr>
              <w:t>(55/10</w:t>
            </w:r>
            <w:r w:rsidR="00B45259" w:rsidRPr="00B45259">
              <w:rPr>
                <w:lang w:val="it-IT"/>
              </w:rPr>
              <w:t>0) x 70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153A255C" w14:textId="77777777" w:rsidR="00B45259" w:rsidRPr="00B45259" w:rsidRDefault="001620A5" w:rsidP="00683FE7">
            <w:pPr>
              <w:pStyle w:val="Numbered"/>
              <w:rPr>
                <w:lang w:val="it-IT"/>
              </w:rPr>
            </w:pPr>
            <w:r>
              <w:rPr>
                <w:lang w:val="it-IT"/>
              </w:rPr>
              <w:t>38.5</w:t>
            </w:r>
          </w:p>
        </w:tc>
      </w:tr>
    </w:tbl>
    <w:p w14:paraId="1798666D" w14:textId="77777777" w:rsidR="00B45259" w:rsidRPr="00B45259" w:rsidRDefault="00B45259" w:rsidP="00B45259">
      <w:pPr>
        <w:pStyle w:val="Numbered"/>
      </w:pPr>
    </w:p>
    <w:p w14:paraId="4C9E1307" w14:textId="77777777" w:rsidR="00683FE7" w:rsidRDefault="00683FE7" w:rsidP="00B45259">
      <w:pPr>
        <w:pStyle w:val="Numbered"/>
      </w:pPr>
    </w:p>
    <w:p w14:paraId="674CCC8E" w14:textId="77777777" w:rsidR="00683FE7" w:rsidRDefault="00683FE7" w:rsidP="00B45259">
      <w:pPr>
        <w:pStyle w:val="Numbered"/>
      </w:pPr>
    </w:p>
    <w:p w14:paraId="08505BB3" w14:textId="77777777" w:rsidR="00683FE7" w:rsidRDefault="00683FE7" w:rsidP="00B45259">
      <w:pPr>
        <w:pStyle w:val="Numbered"/>
      </w:pPr>
    </w:p>
    <w:p w14:paraId="0DDA9C06" w14:textId="77777777" w:rsidR="00683FE7" w:rsidRDefault="00683FE7" w:rsidP="00B45259">
      <w:pPr>
        <w:pStyle w:val="Numbered"/>
      </w:pPr>
    </w:p>
    <w:p w14:paraId="16A05C49" w14:textId="77777777" w:rsidR="00683FE7" w:rsidRDefault="00683FE7" w:rsidP="00B45259">
      <w:pPr>
        <w:pStyle w:val="Numbered"/>
      </w:pPr>
    </w:p>
    <w:p w14:paraId="210128A6" w14:textId="77777777" w:rsidR="00683FE7" w:rsidRDefault="00683FE7" w:rsidP="00B45259">
      <w:pPr>
        <w:pStyle w:val="Numbered"/>
      </w:pPr>
    </w:p>
    <w:p w14:paraId="448130C3" w14:textId="77777777" w:rsidR="00B45259" w:rsidRPr="00B45259" w:rsidRDefault="007F430A" w:rsidP="00560BEF">
      <w:pPr>
        <w:pStyle w:val="Numbered"/>
        <w:spacing w:after="0"/>
        <w:ind w:left="720" w:hanging="720"/>
      </w:pPr>
      <w:r>
        <w:t>22</w:t>
      </w:r>
      <w:r w:rsidR="00560BEF">
        <w:tab/>
      </w:r>
      <w:r w:rsidR="00B45259" w:rsidRPr="00B45259">
        <w:t>The financial evaluation will be based on the</w:t>
      </w:r>
      <w:r w:rsidR="00560BEF">
        <w:t xml:space="preserve"> cost</w:t>
      </w:r>
      <w:r w:rsidR="00B45259" w:rsidRPr="00B45259">
        <w:t xml:space="preserve"> information </w:t>
      </w:r>
      <w:r w:rsidR="00560BEF">
        <w:t>detailed</w:t>
      </w:r>
      <w:r w:rsidR="00B45259" w:rsidRPr="00B45259">
        <w:t xml:space="preserve"> in </w:t>
      </w:r>
      <w:r w:rsidR="00560BEF">
        <w:t xml:space="preserve">your bid. This should: </w:t>
      </w:r>
    </w:p>
    <w:p w14:paraId="2B38751E" w14:textId="77777777" w:rsidR="00B45259" w:rsidRPr="00B45259" w:rsidRDefault="00B45259" w:rsidP="00B45259">
      <w:pPr>
        <w:pStyle w:val="Numbered"/>
        <w:numPr>
          <w:ilvl w:val="0"/>
          <w:numId w:val="43"/>
        </w:numPr>
      </w:pPr>
      <w:r w:rsidRPr="00B45259">
        <w:t xml:space="preserve">include the full costs (including </w:t>
      </w:r>
      <w:r w:rsidR="009B7D7F">
        <w:t xml:space="preserve">wage details </w:t>
      </w:r>
      <w:r w:rsidRPr="00B45259">
        <w:t>where appropriate</w:t>
      </w:r>
      <w:r w:rsidR="009B7D7F">
        <w:t>/available</w:t>
      </w:r>
      <w:r w:rsidRPr="00B45259">
        <w:t>) of delivering the requ</w:t>
      </w:r>
      <w:r w:rsidR="00560BEF">
        <w:t>irements as detailed within the s</w:t>
      </w:r>
      <w:r w:rsidRPr="00B45259">
        <w:t xml:space="preserve">pecification; </w:t>
      </w:r>
      <w:r w:rsidR="00560BEF">
        <w:t>and</w:t>
      </w:r>
    </w:p>
    <w:p w14:paraId="2FF1D64B" w14:textId="77777777" w:rsidR="00B45259" w:rsidRPr="00B45259" w:rsidRDefault="00192326" w:rsidP="00B45259">
      <w:pPr>
        <w:pStyle w:val="Numbered"/>
        <w:numPr>
          <w:ilvl w:val="0"/>
          <w:numId w:val="43"/>
        </w:numPr>
      </w:pPr>
      <w:r>
        <w:t>include costings which </w:t>
      </w:r>
      <w:r w:rsidR="00B45259" w:rsidRPr="00B45259">
        <w:t>reflect the activities, products to be delivered and mil</w:t>
      </w:r>
      <w:r>
        <w:t>estones as set out in your</w:t>
      </w:r>
      <w:r w:rsidR="00B45259" w:rsidRPr="007E1684">
        <w:rPr>
          <w:color w:val="000000"/>
        </w:rPr>
        <w:t xml:space="preserve"> Operational Plan </w:t>
      </w:r>
      <w:r w:rsidR="00B45259" w:rsidRPr="00B45259">
        <w:t>including the</w:t>
      </w:r>
      <w:r w:rsidR="00560BEF">
        <w:t xml:space="preserve"> dates (or periods) of delivery.</w:t>
      </w:r>
    </w:p>
    <w:p w14:paraId="6BB6BF47" w14:textId="77777777" w:rsidR="00B45259" w:rsidRPr="00B45259" w:rsidRDefault="007F430A" w:rsidP="00560BEF">
      <w:pPr>
        <w:pStyle w:val="Numbered"/>
        <w:spacing w:after="0"/>
      </w:pPr>
      <w:r>
        <w:t>23</w:t>
      </w:r>
      <w:r w:rsidR="00B45259" w:rsidRPr="00B45259">
        <w:t>        DfE will assess the supplier’s pricing proposal in 2 stages:</w:t>
      </w:r>
    </w:p>
    <w:p w14:paraId="5CD5044C" w14:textId="77777777" w:rsidR="00560BEF" w:rsidRDefault="00B45259" w:rsidP="007E1684">
      <w:pPr>
        <w:pStyle w:val="Numbered"/>
        <w:numPr>
          <w:ilvl w:val="0"/>
          <w:numId w:val="44"/>
        </w:numPr>
      </w:pPr>
      <w:r w:rsidRPr="00B45259">
        <w:t>Detailed review and clarification.  A detailed review of tenders will be conducted in order to ensure the robustness of the information submitted which</w:t>
      </w:r>
      <w:r w:rsidR="00560BEF">
        <w:t xml:space="preserve"> underpins the pricing proposal; and</w:t>
      </w:r>
    </w:p>
    <w:p w14:paraId="7312BB09" w14:textId="77777777" w:rsidR="00B45259" w:rsidRPr="00B45259" w:rsidRDefault="00B45259" w:rsidP="007E1684">
      <w:pPr>
        <w:pStyle w:val="Numbered"/>
        <w:numPr>
          <w:ilvl w:val="0"/>
          <w:numId w:val="44"/>
        </w:numPr>
      </w:pPr>
      <w:r w:rsidRPr="00B45259">
        <w:t>Final Price Scoring and Ranking.  A final ranking will be produced taking in to account any adjustments made following the detailed review and clarification.</w:t>
      </w:r>
    </w:p>
    <w:p w14:paraId="309E49E6" w14:textId="77777777" w:rsidR="00B45259" w:rsidRPr="00B45259" w:rsidRDefault="007F430A" w:rsidP="00560BEF">
      <w:pPr>
        <w:pStyle w:val="Numbered"/>
        <w:ind w:left="720" w:hanging="720"/>
      </w:pPr>
      <w:r>
        <w:t>24</w:t>
      </w:r>
      <w:r w:rsidR="00560BEF">
        <w:tab/>
      </w:r>
      <w:r w:rsidR="00B45259" w:rsidRPr="00B45259">
        <w:t>Financial scoring represents 30% of the overall evaluation.  The bidder with the cheapest price per full check will receive 100 marks and all other bids will be marked as a proportional variance form the top scoring bid.  The formula being used for Relative Assessment for this procurement is:</w:t>
      </w:r>
    </w:p>
    <w:p w14:paraId="4385B952" w14:textId="77777777" w:rsidR="00B45259" w:rsidRPr="00B45259" w:rsidRDefault="00B45259" w:rsidP="00560BEF">
      <w:pPr>
        <w:pStyle w:val="Numbered"/>
        <w:ind w:left="720" w:firstLine="720"/>
      </w:pPr>
      <w:r w:rsidRPr="00B45259">
        <w:t>Bid Score =     (Lowest Price/bid price) x Weighting (100)</w:t>
      </w:r>
    </w:p>
    <w:p w14:paraId="7C23648A" w14:textId="77777777" w:rsidR="00B45259" w:rsidRPr="007F430A" w:rsidRDefault="00B45259" w:rsidP="00560BEF">
      <w:pPr>
        <w:pStyle w:val="Numbered"/>
        <w:ind w:left="720"/>
        <w:rPr>
          <w:i/>
        </w:rPr>
      </w:pPr>
      <w:r w:rsidRPr="007F430A">
        <w:rPr>
          <w:i/>
        </w:rPr>
        <w:t>e.g. a bid that is 10% more expensive will receive 91 marks; one that is twice the price will receive 50 marks.  This score is then multiplied by 30% to give the finance mark. An illustrative example is provided below:</w:t>
      </w:r>
    </w:p>
    <w:tbl>
      <w:tblPr>
        <w:tblW w:w="0" w:type="auto"/>
        <w:jc w:val="center"/>
        <w:tblCellMar>
          <w:left w:w="0" w:type="dxa"/>
          <w:right w:w="0" w:type="dxa"/>
        </w:tblCellMar>
        <w:tblLook w:val="04A0" w:firstRow="1" w:lastRow="0" w:firstColumn="1" w:lastColumn="0" w:noHBand="0" w:noVBand="1"/>
      </w:tblPr>
      <w:tblGrid>
        <w:gridCol w:w="1097"/>
        <w:gridCol w:w="1952"/>
        <w:gridCol w:w="2268"/>
        <w:gridCol w:w="1058"/>
        <w:gridCol w:w="1508"/>
      </w:tblGrid>
      <w:tr w:rsidR="00B45259" w:rsidRPr="00B45259" w14:paraId="7873A2A9" w14:textId="77777777" w:rsidTr="007E1684">
        <w:trPr>
          <w:jc w:val="center"/>
        </w:trPr>
        <w:tc>
          <w:tcPr>
            <w:tcW w:w="1097"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4D4F598" w14:textId="77777777" w:rsidR="00B45259" w:rsidRPr="00B45259" w:rsidRDefault="00B45259" w:rsidP="00B45259">
            <w:pPr>
              <w:pStyle w:val="Numbered"/>
              <w:rPr>
                <w:lang w:val="it-IT"/>
              </w:rPr>
            </w:pPr>
            <w:r w:rsidRPr="00B45259">
              <w:rPr>
                <w:b/>
                <w:bCs/>
              </w:rPr>
              <w:t>Supplier</w:t>
            </w:r>
          </w:p>
        </w:tc>
        <w:tc>
          <w:tcPr>
            <w:tcW w:w="1952"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28DEC4FA" w14:textId="77777777" w:rsidR="00B45259" w:rsidRPr="00B45259" w:rsidRDefault="00B45259" w:rsidP="00B45259">
            <w:pPr>
              <w:pStyle w:val="Numbered"/>
              <w:rPr>
                <w:b/>
                <w:bCs/>
                <w:lang w:val="it-IT"/>
              </w:rPr>
            </w:pPr>
            <w:r w:rsidRPr="00B45259">
              <w:rPr>
                <w:b/>
                <w:bCs/>
                <w:lang w:val="it-IT"/>
              </w:rPr>
              <w:t xml:space="preserve">Price </w:t>
            </w:r>
          </w:p>
          <w:p w14:paraId="05376EEF" w14:textId="77777777" w:rsidR="00B45259" w:rsidRPr="00B45259" w:rsidRDefault="00B45259" w:rsidP="00B45259">
            <w:pPr>
              <w:pStyle w:val="Numbered"/>
              <w:rPr>
                <w:b/>
                <w:bCs/>
                <w:lang w:val="it-IT"/>
              </w:rPr>
            </w:pPr>
            <w:r w:rsidRPr="00B45259">
              <w:rPr>
                <w:lang w:val="it-IT"/>
              </w:rPr>
              <w:t>(for example purposes only)</w:t>
            </w:r>
          </w:p>
        </w:tc>
        <w:tc>
          <w:tcPr>
            <w:tcW w:w="2268"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3AA77E92" w14:textId="77777777" w:rsidR="00B45259" w:rsidRPr="00B45259" w:rsidRDefault="00B45259" w:rsidP="00B45259">
            <w:pPr>
              <w:pStyle w:val="Numbered"/>
              <w:rPr>
                <w:lang w:val="it-IT"/>
              </w:rPr>
            </w:pPr>
            <w:r w:rsidRPr="00B45259">
              <w:rPr>
                <w:b/>
                <w:bCs/>
              </w:rPr>
              <w:t>Calculation</w:t>
            </w:r>
          </w:p>
        </w:tc>
        <w:tc>
          <w:tcPr>
            <w:tcW w:w="1058"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46AF8646" w14:textId="77777777" w:rsidR="00B45259" w:rsidRPr="00B45259" w:rsidRDefault="00B45259" w:rsidP="00B45259">
            <w:pPr>
              <w:pStyle w:val="Numbered"/>
              <w:rPr>
                <w:b/>
                <w:bCs/>
              </w:rPr>
            </w:pPr>
            <w:r w:rsidRPr="00B45259">
              <w:rPr>
                <w:b/>
                <w:bCs/>
              </w:rPr>
              <w:t>Marks</w:t>
            </w:r>
          </w:p>
        </w:tc>
        <w:tc>
          <w:tcPr>
            <w:tcW w:w="1508"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56BF0019" w14:textId="77777777" w:rsidR="00B45259" w:rsidRPr="00B45259" w:rsidRDefault="00B45259" w:rsidP="00B45259">
            <w:pPr>
              <w:pStyle w:val="Numbered"/>
              <w:rPr>
                <w:lang w:val="it-IT"/>
              </w:rPr>
            </w:pPr>
            <w:r w:rsidRPr="00B45259">
              <w:rPr>
                <w:b/>
                <w:bCs/>
              </w:rPr>
              <w:t>Final Finance Mark</w:t>
            </w:r>
          </w:p>
        </w:tc>
      </w:tr>
      <w:tr w:rsidR="00B45259" w:rsidRPr="00B45259" w14:paraId="3B0F1F27" w14:textId="77777777" w:rsidTr="00B45259">
        <w:trPr>
          <w:jc w:val="center"/>
        </w:trPr>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41699" w14:textId="77777777" w:rsidR="00B45259" w:rsidRPr="00B45259" w:rsidRDefault="00B45259" w:rsidP="00B45259">
            <w:pPr>
              <w:pStyle w:val="Numbered"/>
              <w:rPr>
                <w:lang w:val="it-IT"/>
              </w:rPr>
            </w:pPr>
            <w:r w:rsidRPr="00B45259">
              <w:rPr>
                <w:lang w:val="it-IT"/>
              </w:rPr>
              <w:t>A</w:t>
            </w:r>
          </w:p>
        </w:tc>
        <w:tc>
          <w:tcPr>
            <w:tcW w:w="1952" w:type="dxa"/>
            <w:tcBorders>
              <w:top w:val="nil"/>
              <w:left w:val="nil"/>
              <w:bottom w:val="single" w:sz="8" w:space="0" w:color="auto"/>
              <w:right w:val="single" w:sz="8" w:space="0" w:color="auto"/>
            </w:tcBorders>
            <w:tcMar>
              <w:top w:w="0" w:type="dxa"/>
              <w:left w:w="108" w:type="dxa"/>
              <w:bottom w:w="0" w:type="dxa"/>
              <w:right w:w="108" w:type="dxa"/>
            </w:tcMar>
            <w:hideMark/>
          </w:tcPr>
          <w:p w14:paraId="74539FF4" w14:textId="77777777" w:rsidR="00B45259" w:rsidRPr="00B45259" w:rsidRDefault="00B45259" w:rsidP="00B45259">
            <w:pPr>
              <w:pStyle w:val="Numbered"/>
              <w:rPr>
                <w:lang w:val="it-IT"/>
              </w:rPr>
            </w:pPr>
            <w:r w:rsidRPr="00B45259">
              <w:rPr>
                <w:lang w:val="it-IT"/>
              </w:rPr>
              <w:t>110k</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72C5292" w14:textId="77777777" w:rsidR="00B45259" w:rsidRPr="00B45259" w:rsidRDefault="00B45259" w:rsidP="00B45259">
            <w:pPr>
              <w:pStyle w:val="Numbered"/>
              <w:rPr>
                <w:lang w:val="it-IT"/>
              </w:rPr>
            </w:pPr>
            <w:r w:rsidRPr="00B45259">
              <w:rPr>
                <w:lang w:val="it-IT"/>
              </w:rPr>
              <w:t>n/a</w:t>
            </w:r>
          </w:p>
        </w:tc>
        <w:tc>
          <w:tcPr>
            <w:tcW w:w="1058" w:type="dxa"/>
            <w:tcBorders>
              <w:top w:val="nil"/>
              <w:left w:val="nil"/>
              <w:bottom w:val="single" w:sz="8" w:space="0" w:color="auto"/>
              <w:right w:val="single" w:sz="8" w:space="0" w:color="auto"/>
            </w:tcBorders>
            <w:tcMar>
              <w:top w:w="0" w:type="dxa"/>
              <w:left w:w="108" w:type="dxa"/>
              <w:bottom w:w="0" w:type="dxa"/>
              <w:right w:w="108" w:type="dxa"/>
            </w:tcMar>
            <w:hideMark/>
          </w:tcPr>
          <w:p w14:paraId="0A68797E" w14:textId="77777777" w:rsidR="00B45259" w:rsidRPr="00B45259" w:rsidRDefault="00B45259" w:rsidP="00B45259">
            <w:pPr>
              <w:pStyle w:val="Numbered"/>
              <w:rPr>
                <w:lang w:val="it-IT"/>
              </w:rPr>
            </w:pPr>
            <w:r w:rsidRPr="00B45259">
              <w:rPr>
                <w:lang w:val="it-IT"/>
              </w:rPr>
              <w:t>100</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65099111" w14:textId="77777777" w:rsidR="00B45259" w:rsidRPr="00B45259" w:rsidRDefault="00B45259" w:rsidP="00B45259">
            <w:pPr>
              <w:pStyle w:val="Numbered"/>
              <w:rPr>
                <w:lang w:val="it-IT"/>
              </w:rPr>
            </w:pPr>
            <w:r w:rsidRPr="00B45259">
              <w:rPr>
                <w:lang w:val="it-IT"/>
              </w:rPr>
              <w:t>30</w:t>
            </w:r>
          </w:p>
        </w:tc>
      </w:tr>
      <w:tr w:rsidR="00B45259" w:rsidRPr="00B45259" w14:paraId="23F4BCA9" w14:textId="77777777" w:rsidTr="00B45259">
        <w:trPr>
          <w:jc w:val="center"/>
        </w:trPr>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AFD2C" w14:textId="77777777" w:rsidR="00B45259" w:rsidRPr="00B45259" w:rsidRDefault="00B45259" w:rsidP="00B45259">
            <w:pPr>
              <w:pStyle w:val="Numbered"/>
              <w:rPr>
                <w:lang w:val="it-IT"/>
              </w:rPr>
            </w:pPr>
            <w:r w:rsidRPr="00B45259">
              <w:rPr>
                <w:lang w:val="it-IT"/>
              </w:rPr>
              <w:t>B</w:t>
            </w:r>
          </w:p>
        </w:tc>
        <w:tc>
          <w:tcPr>
            <w:tcW w:w="1952" w:type="dxa"/>
            <w:tcBorders>
              <w:top w:val="nil"/>
              <w:left w:val="nil"/>
              <w:bottom w:val="single" w:sz="8" w:space="0" w:color="auto"/>
              <w:right w:val="single" w:sz="8" w:space="0" w:color="auto"/>
            </w:tcBorders>
            <w:tcMar>
              <w:top w:w="0" w:type="dxa"/>
              <w:left w:w="108" w:type="dxa"/>
              <w:bottom w:w="0" w:type="dxa"/>
              <w:right w:w="108" w:type="dxa"/>
            </w:tcMar>
            <w:hideMark/>
          </w:tcPr>
          <w:p w14:paraId="623F714D" w14:textId="77777777" w:rsidR="00B45259" w:rsidRPr="00B45259" w:rsidRDefault="00B45259" w:rsidP="00B45259">
            <w:pPr>
              <w:pStyle w:val="Numbered"/>
              <w:rPr>
                <w:lang w:val="it-IT"/>
              </w:rPr>
            </w:pPr>
            <w:r w:rsidRPr="00B45259">
              <w:rPr>
                <w:lang w:val="it-IT"/>
              </w:rPr>
              <w:t>121k</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36EA7B87" w14:textId="77777777" w:rsidR="00B45259" w:rsidRPr="00B45259" w:rsidRDefault="00B45259" w:rsidP="00B45259">
            <w:pPr>
              <w:pStyle w:val="Numbered"/>
              <w:rPr>
                <w:lang w:val="it-IT"/>
              </w:rPr>
            </w:pPr>
            <w:r w:rsidRPr="00B45259">
              <w:rPr>
                <w:lang w:val="it-IT"/>
              </w:rPr>
              <w:t>(110/121) x 100</w:t>
            </w:r>
          </w:p>
        </w:tc>
        <w:tc>
          <w:tcPr>
            <w:tcW w:w="1058" w:type="dxa"/>
            <w:tcBorders>
              <w:top w:val="nil"/>
              <w:left w:val="nil"/>
              <w:bottom w:val="single" w:sz="8" w:space="0" w:color="auto"/>
              <w:right w:val="single" w:sz="8" w:space="0" w:color="auto"/>
            </w:tcBorders>
            <w:tcMar>
              <w:top w:w="0" w:type="dxa"/>
              <w:left w:w="108" w:type="dxa"/>
              <w:bottom w:w="0" w:type="dxa"/>
              <w:right w:w="108" w:type="dxa"/>
            </w:tcMar>
            <w:hideMark/>
          </w:tcPr>
          <w:p w14:paraId="5C91BABD" w14:textId="77777777" w:rsidR="00B45259" w:rsidRPr="00B45259" w:rsidRDefault="00B45259" w:rsidP="00B45259">
            <w:pPr>
              <w:pStyle w:val="Numbered"/>
              <w:rPr>
                <w:lang w:val="it-IT"/>
              </w:rPr>
            </w:pPr>
            <w:r w:rsidRPr="00B45259">
              <w:rPr>
                <w:lang w:val="it-IT"/>
              </w:rPr>
              <w:t>91</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5DB5D68D" w14:textId="77777777" w:rsidR="00B45259" w:rsidRPr="00B45259" w:rsidRDefault="00B45259" w:rsidP="00B45259">
            <w:pPr>
              <w:pStyle w:val="Numbered"/>
              <w:rPr>
                <w:lang w:val="it-IT"/>
              </w:rPr>
            </w:pPr>
            <w:r w:rsidRPr="00B45259">
              <w:rPr>
                <w:lang w:val="it-IT"/>
              </w:rPr>
              <w:t>27</w:t>
            </w:r>
          </w:p>
        </w:tc>
      </w:tr>
      <w:tr w:rsidR="00B45259" w:rsidRPr="00B45259" w14:paraId="0196726E" w14:textId="77777777" w:rsidTr="00B45259">
        <w:trPr>
          <w:jc w:val="center"/>
        </w:trPr>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66646" w14:textId="77777777" w:rsidR="00B45259" w:rsidRPr="00B45259" w:rsidRDefault="00B45259" w:rsidP="00B45259">
            <w:pPr>
              <w:pStyle w:val="Numbered"/>
              <w:rPr>
                <w:lang w:val="it-IT"/>
              </w:rPr>
            </w:pPr>
            <w:r w:rsidRPr="00B45259">
              <w:rPr>
                <w:lang w:val="it-IT"/>
              </w:rPr>
              <w:t>C</w:t>
            </w:r>
          </w:p>
        </w:tc>
        <w:tc>
          <w:tcPr>
            <w:tcW w:w="1952" w:type="dxa"/>
            <w:tcBorders>
              <w:top w:val="nil"/>
              <w:left w:val="nil"/>
              <w:bottom w:val="single" w:sz="8" w:space="0" w:color="auto"/>
              <w:right w:val="single" w:sz="8" w:space="0" w:color="auto"/>
            </w:tcBorders>
            <w:tcMar>
              <w:top w:w="0" w:type="dxa"/>
              <w:left w:w="108" w:type="dxa"/>
              <w:bottom w:w="0" w:type="dxa"/>
              <w:right w:w="108" w:type="dxa"/>
            </w:tcMar>
            <w:hideMark/>
          </w:tcPr>
          <w:p w14:paraId="4DBE8530" w14:textId="77777777" w:rsidR="00B45259" w:rsidRPr="00B45259" w:rsidRDefault="00B45259" w:rsidP="00B45259">
            <w:pPr>
              <w:pStyle w:val="Numbered"/>
              <w:rPr>
                <w:lang w:val="it-IT"/>
              </w:rPr>
            </w:pPr>
            <w:r w:rsidRPr="00B45259">
              <w:rPr>
                <w:lang w:val="it-IT"/>
              </w:rPr>
              <w:t>220k</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10862B9" w14:textId="77777777" w:rsidR="00B45259" w:rsidRPr="00B45259" w:rsidRDefault="00B45259" w:rsidP="00B45259">
            <w:pPr>
              <w:pStyle w:val="Numbered"/>
              <w:rPr>
                <w:lang w:val="it-IT"/>
              </w:rPr>
            </w:pPr>
            <w:r w:rsidRPr="00B45259">
              <w:rPr>
                <w:lang w:val="it-IT"/>
              </w:rPr>
              <w:t>(110/220) x 100</w:t>
            </w:r>
          </w:p>
        </w:tc>
        <w:tc>
          <w:tcPr>
            <w:tcW w:w="1058" w:type="dxa"/>
            <w:tcBorders>
              <w:top w:val="nil"/>
              <w:left w:val="nil"/>
              <w:bottom w:val="single" w:sz="8" w:space="0" w:color="auto"/>
              <w:right w:val="single" w:sz="8" w:space="0" w:color="auto"/>
            </w:tcBorders>
            <w:tcMar>
              <w:top w:w="0" w:type="dxa"/>
              <w:left w:w="108" w:type="dxa"/>
              <w:bottom w:w="0" w:type="dxa"/>
              <w:right w:w="108" w:type="dxa"/>
            </w:tcMar>
            <w:hideMark/>
          </w:tcPr>
          <w:p w14:paraId="59C01657" w14:textId="77777777" w:rsidR="00B45259" w:rsidRPr="00B45259" w:rsidRDefault="00B45259" w:rsidP="00B45259">
            <w:pPr>
              <w:pStyle w:val="Numbered"/>
              <w:rPr>
                <w:lang w:val="it-IT"/>
              </w:rPr>
            </w:pPr>
            <w:r w:rsidRPr="00B45259">
              <w:rPr>
                <w:lang w:val="it-IT"/>
              </w:rPr>
              <w:t>50</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3925FE38" w14:textId="77777777" w:rsidR="00B45259" w:rsidRPr="00B45259" w:rsidRDefault="00B45259" w:rsidP="00B45259">
            <w:pPr>
              <w:pStyle w:val="Numbered"/>
              <w:rPr>
                <w:lang w:val="it-IT"/>
              </w:rPr>
            </w:pPr>
            <w:r w:rsidRPr="00B45259">
              <w:rPr>
                <w:lang w:val="it-IT"/>
              </w:rPr>
              <w:t>15</w:t>
            </w:r>
          </w:p>
        </w:tc>
      </w:tr>
      <w:tr w:rsidR="00B45259" w:rsidRPr="00B45259" w14:paraId="0A815A87" w14:textId="77777777" w:rsidTr="00B45259">
        <w:trPr>
          <w:jc w:val="center"/>
        </w:trPr>
        <w:tc>
          <w:tcPr>
            <w:tcW w:w="10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08F66" w14:textId="77777777" w:rsidR="00B45259" w:rsidRPr="00B45259" w:rsidRDefault="00B45259" w:rsidP="00B45259">
            <w:pPr>
              <w:pStyle w:val="Numbered"/>
              <w:rPr>
                <w:lang w:val="it-IT"/>
              </w:rPr>
            </w:pPr>
            <w:r w:rsidRPr="00B45259">
              <w:rPr>
                <w:lang w:val="it-IT"/>
              </w:rPr>
              <w:t>D</w:t>
            </w:r>
          </w:p>
        </w:tc>
        <w:tc>
          <w:tcPr>
            <w:tcW w:w="1952" w:type="dxa"/>
            <w:tcBorders>
              <w:top w:val="nil"/>
              <w:left w:val="nil"/>
              <w:bottom w:val="single" w:sz="8" w:space="0" w:color="auto"/>
              <w:right w:val="single" w:sz="8" w:space="0" w:color="auto"/>
            </w:tcBorders>
            <w:tcMar>
              <w:top w:w="0" w:type="dxa"/>
              <w:left w:w="108" w:type="dxa"/>
              <w:bottom w:w="0" w:type="dxa"/>
              <w:right w:w="108" w:type="dxa"/>
            </w:tcMar>
            <w:hideMark/>
          </w:tcPr>
          <w:p w14:paraId="277A00B1" w14:textId="77777777" w:rsidR="00B45259" w:rsidRPr="00B45259" w:rsidRDefault="00B45259" w:rsidP="00B45259">
            <w:pPr>
              <w:pStyle w:val="Numbered"/>
              <w:rPr>
                <w:lang w:val="it-IT"/>
              </w:rPr>
            </w:pPr>
            <w:r w:rsidRPr="00B45259">
              <w:rPr>
                <w:lang w:val="it-IT"/>
              </w:rPr>
              <w:t>300k</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E7953F6" w14:textId="77777777" w:rsidR="00B45259" w:rsidRPr="00B45259" w:rsidRDefault="00B45259" w:rsidP="00B45259">
            <w:pPr>
              <w:pStyle w:val="Numbered"/>
              <w:rPr>
                <w:lang w:val="it-IT"/>
              </w:rPr>
            </w:pPr>
            <w:r w:rsidRPr="00B45259">
              <w:rPr>
                <w:lang w:val="it-IT"/>
              </w:rPr>
              <w:t>(110/330) x 100</w:t>
            </w:r>
          </w:p>
        </w:tc>
        <w:tc>
          <w:tcPr>
            <w:tcW w:w="1058" w:type="dxa"/>
            <w:tcBorders>
              <w:top w:val="nil"/>
              <w:left w:val="nil"/>
              <w:bottom w:val="single" w:sz="8" w:space="0" w:color="auto"/>
              <w:right w:val="single" w:sz="8" w:space="0" w:color="auto"/>
            </w:tcBorders>
            <w:tcMar>
              <w:top w:w="0" w:type="dxa"/>
              <w:left w:w="108" w:type="dxa"/>
              <w:bottom w:w="0" w:type="dxa"/>
              <w:right w:w="108" w:type="dxa"/>
            </w:tcMar>
            <w:hideMark/>
          </w:tcPr>
          <w:p w14:paraId="5F96CDC2" w14:textId="77777777" w:rsidR="00B45259" w:rsidRPr="00B45259" w:rsidRDefault="00B45259" w:rsidP="00B45259">
            <w:pPr>
              <w:pStyle w:val="Numbered"/>
              <w:rPr>
                <w:lang w:val="it-IT"/>
              </w:rPr>
            </w:pPr>
            <w:r w:rsidRPr="00B45259">
              <w:rPr>
                <w:lang w:val="it-IT"/>
              </w:rPr>
              <w:t>33</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14:paraId="37607550" w14:textId="77777777" w:rsidR="00B45259" w:rsidRPr="00B45259" w:rsidRDefault="00B45259" w:rsidP="00B45259">
            <w:pPr>
              <w:pStyle w:val="Numbered"/>
              <w:rPr>
                <w:lang w:val="it-IT"/>
              </w:rPr>
            </w:pPr>
            <w:r w:rsidRPr="00B45259">
              <w:rPr>
                <w:lang w:val="it-IT"/>
              </w:rPr>
              <w:t>10</w:t>
            </w:r>
          </w:p>
        </w:tc>
      </w:tr>
    </w:tbl>
    <w:p w14:paraId="1F7AA611" w14:textId="77777777" w:rsidR="00B45259" w:rsidRPr="00B45259" w:rsidRDefault="00B45259" w:rsidP="00B45259">
      <w:pPr>
        <w:pStyle w:val="Numbered"/>
      </w:pPr>
    </w:p>
    <w:p w14:paraId="3F41966B" w14:textId="77777777" w:rsidR="00586ED8" w:rsidRPr="007F430A" w:rsidRDefault="007F430A" w:rsidP="007F430A">
      <w:pPr>
        <w:pStyle w:val="Numbered"/>
        <w:ind w:left="720" w:hanging="720"/>
      </w:pPr>
      <w:r>
        <w:lastRenderedPageBreak/>
        <w:t>25</w:t>
      </w:r>
      <w:r w:rsidR="00560BEF">
        <w:tab/>
      </w:r>
      <w:r w:rsidR="00B45259" w:rsidRPr="00B45259">
        <w:t xml:space="preserve">The </w:t>
      </w:r>
      <w:r w:rsidR="00196D64">
        <w:t>f</w:t>
      </w:r>
      <w:r w:rsidR="00B45259" w:rsidRPr="00B45259">
        <w:t xml:space="preserve">inal </w:t>
      </w:r>
      <w:r w:rsidR="00196D64">
        <w:t>e</w:t>
      </w:r>
      <w:r w:rsidR="00560BEF">
        <w:t xml:space="preserve">valuation </w:t>
      </w:r>
      <w:r w:rsidR="00196D64">
        <w:t>and f</w:t>
      </w:r>
      <w:r w:rsidR="00B45259" w:rsidRPr="00B45259">
        <w:t>inancial scores will be added together to provide the overall score.</w:t>
      </w:r>
      <w:r w:rsidR="005D78EE" w:rsidRPr="008A0F2C">
        <w:rPr>
          <w:color w:val="000000"/>
        </w:rPr>
        <w:t xml:space="preserve"> </w:t>
      </w:r>
    </w:p>
    <w:p w14:paraId="52346235" w14:textId="77777777" w:rsidR="00CA1712" w:rsidRDefault="00CA1712">
      <w:pPr>
        <w:pStyle w:val="Numbered"/>
        <w:widowControl/>
      </w:pPr>
      <w:r>
        <w:rPr>
          <w:b/>
        </w:rPr>
        <w:t>Purchasing Strategy</w:t>
      </w:r>
    </w:p>
    <w:p w14:paraId="3EA87534" w14:textId="77777777" w:rsidR="00A52A6C" w:rsidRDefault="00560BEF">
      <w:pPr>
        <w:pStyle w:val="Numbered"/>
        <w:widowControl/>
        <w:ind w:left="720" w:hanging="720"/>
      </w:pPr>
      <w:r>
        <w:t>2</w:t>
      </w:r>
      <w:r w:rsidR="004F1D3A">
        <w:t>6</w:t>
      </w:r>
      <w:r w:rsidR="00CA1712">
        <w:tab/>
      </w:r>
      <w:r w:rsidR="00045040">
        <w:t>The Department</w:t>
      </w:r>
      <w:r w:rsidR="00CA1712">
        <w:t>’s purchasing strategy is designed to promote fair and open competition, and constructive co-operation between the Department and suppliers.</w:t>
      </w:r>
    </w:p>
    <w:p w14:paraId="5FA51F95" w14:textId="77777777" w:rsidR="00CA1712" w:rsidRDefault="00CA1712">
      <w:pPr>
        <w:pStyle w:val="Numbered"/>
        <w:widowControl/>
      </w:pPr>
      <w:r>
        <w:rPr>
          <w:b/>
        </w:rPr>
        <w:t>Freedom Of Information</w:t>
      </w:r>
    </w:p>
    <w:p w14:paraId="5CB99335" w14:textId="77777777" w:rsidR="00CA1712" w:rsidRDefault="00560BEF">
      <w:pPr>
        <w:pStyle w:val="Numbered"/>
        <w:widowControl/>
        <w:ind w:left="720" w:hanging="720"/>
      </w:pPr>
      <w:r>
        <w:t>2</w:t>
      </w:r>
      <w:r w:rsidR="004F1D3A">
        <w:t>7</w:t>
      </w:r>
      <w:r w:rsidR="00CA1712">
        <w:tab/>
      </w:r>
      <w:r w:rsidR="00045040">
        <w:t>The Department</w:t>
      </w:r>
      <w:r w:rsidR="00CA1712">
        <w:t xml:space="preserve">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tenders.</w:t>
      </w:r>
    </w:p>
    <w:p w14:paraId="565150AA" w14:textId="77777777" w:rsidR="000E2959" w:rsidRPr="000E2959" w:rsidRDefault="000E2959">
      <w:pPr>
        <w:pStyle w:val="Numbered"/>
        <w:widowControl/>
        <w:ind w:left="720" w:hanging="720"/>
        <w:rPr>
          <w:b/>
        </w:rPr>
      </w:pPr>
      <w:r>
        <w:rPr>
          <w:b/>
        </w:rPr>
        <w:t>Publication of Contract</w:t>
      </w:r>
    </w:p>
    <w:p w14:paraId="08905FA1" w14:textId="77777777" w:rsidR="000E2959" w:rsidRDefault="00560BEF">
      <w:pPr>
        <w:pStyle w:val="Numbered"/>
        <w:widowControl/>
        <w:ind w:left="720" w:hanging="720"/>
        <w:rPr>
          <w:i/>
        </w:rPr>
      </w:pPr>
      <w:r>
        <w:t>2</w:t>
      </w:r>
      <w:r w:rsidR="004F1D3A">
        <w:t>8</w:t>
      </w:r>
      <w:r w:rsidR="000E2959">
        <w:tab/>
      </w:r>
      <w:r w:rsidR="00860A50">
        <w:t xml:space="preserve">Under the Government’s Transparency requirements </w:t>
      </w:r>
      <w:r w:rsidR="000E2959">
        <w:t>we are obliged to publish the contract between the Department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w:t>
      </w:r>
      <w:r w:rsidR="00A377B7">
        <w:t xml:space="preserve">  Please see </w:t>
      </w:r>
      <w:hyperlink r:id="rId17" w:history="1">
        <w:r w:rsidR="00A377B7" w:rsidRPr="00A377B7">
          <w:rPr>
            <w:rStyle w:val="Hyperlink"/>
          </w:rPr>
          <w:t>Procurement Policy Note 13/15</w:t>
        </w:r>
      </w:hyperlink>
      <w:r w:rsidR="00A377B7">
        <w:t xml:space="preserve"> which contains further information</w:t>
      </w:r>
      <w:r w:rsidR="00A377B7" w:rsidRPr="00A377B7">
        <w:t xml:space="preserve"> </w:t>
      </w:r>
      <w:r w:rsidR="00A377B7">
        <w:t xml:space="preserve">on the </w:t>
      </w:r>
      <w:r w:rsidR="00A377B7" w:rsidRPr="00A377B7">
        <w:t>general transparency principles that require public procurers proactively to disclose contract and related information that may previously have been withheld on grounds of commercial confidentiality</w:t>
      </w:r>
      <w:r w:rsidR="00A377B7">
        <w:t xml:space="preserve"> </w:t>
      </w:r>
    </w:p>
    <w:p w14:paraId="25B15D1C" w14:textId="77777777" w:rsidR="00112CB4" w:rsidRDefault="00112CB4" w:rsidP="00112CB4">
      <w:pPr>
        <w:pStyle w:val="Numbered"/>
        <w:widowControl/>
      </w:pPr>
      <w:r>
        <w:rPr>
          <w:b/>
        </w:rPr>
        <w:t>Information Sharing Across Government</w:t>
      </w:r>
    </w:p>
    <w:p w14:paraId="204DC8CD" w14:textId="77777777" w:rsidR="00112CB4" w:rsidRDefault="00560BEF" w:rsidP="00112CB4">
      <w:pPr>
        <w:pStyle w:val="Numbered"/>
        <w:widowControl/>
        <w:ind w:left="720" w:hanging="720"/>
      </w:pPr>
      <w:r>
        <w:t>2</w:t>
      </w:r>
      <w:r w:rsidR="004F1D3A">
        <w:t>9</w:t>
      </w:r>
      <w:r w:rsidR="00112CB4">
        <w:tab/>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31D1AD7" w14:textId="77777777" w:rsidR="00112CB4" w:rsidRPr="009F0C94" w:rsidRDefault="00560BEF" w:rsidP="00112CB4">
      <w:pPr>
        <w:pStyle w:val="Numbered"/>
        <w:widowControl/>
        <w:ind w:left="720" w:hanging="720"/>
      </w:pPr>
      <w:r>
        <w:t>3</w:t>
      </w:r>
      <w:r w:rsidR="004F1D3A">
        <w:t>0</w:t>
      </w:r>
      <w:r w:rsidR="00112CB4">
        <w:tab/>
        <w:t xml:space="preserve">For these purposes, the </w:t>
      </w:r>
      <w:r w:rsidR="00112CB4" w:rsidRPr="009F0C94">
        <w:t>Department</w:t>
      </w:r>
      <w:r w:rsidR="00112CB4">
        <w:t xml:space="preserve"> may disclose within Government any of the Contractor's documentation/information (including any that the Contractor considers to be confidential and/or commercially sensitive such as specific bid information) submitted by the Contractor to the </w:t>
      </w:r>
      <w:r w:rsidR="00112CB4" w:rsidRPr="009F0C94">
        <w:t>Department</w:t>
      </w:r>
      <w:r w:rsidR="00112CB4">
        <w:t xml:space="preserve"> during this Procurement. The information will not be disclosed outside Government. Contractors taking part in this competition consent to these terms as part of the competition process.”</w:t>
      </w:r>
    </w:p>
    <w:p w14:paraId="6E9B970C" w14:textId="77777777" w:rsidR="00935CEC" w:rsidRDefault="00935CEC" w:rsidP="00B64BB1">
      <w:pPr>
        <w:pStyle w:val="Numbered"/>
        <w:widowControl/>
        <w:rPr>
          <w:b/>
        </w:rPr>
      </w:pPr>
    </w:p>
    <w:p w14:paraId="61FEAB9B" w14:textId="77777777" w:rsidR="00935CEC" w:rsidRDefault="00935CEC" w:rsidP="00B64BB1">
      <w:pPr>
        <w:pStyle w:val="Numbered"/>
        <w:widowControl/>
        <w:rPr>
          <w:b/>
        </w:rPr>
      </w:pPr>
    </w:p>
    <w:p w14:paraId="020A4A14" w14:textId="77777777" w:rsidR="00B64BB1" w:rsidRDefault="00B64BB1" w:rsidP="00B64BB1">
      <w:pPr>
        <w:pStyle w:val="Numbered"/>
        <w:widowControl/>
        <w:rPr>
          <w:b/>
        </w:rPr>
      </w:pPr>
      <w:r>
        <w:rPr>
          <w:b/>
        </w:rPr>
        <w:lastRenderedPageBreak/>
        <w:t xml:space="preserve">Cyber Essentials Scheme </w:t>
      </w:r>
    </w:p>
    <w:p w14:paraId="5FC8A2E7" w14:textId="77777777" w:rsidR="00B64BB1" w:rsidRPr="000C1EB1" w:rsidRDefault="00560BEF" w:rsidP="00B64BB1">
      <w:pPr>
        <w:pStyle w:val="Numbered"/>
        <w:widowControl/>
        <w:ind w:left="720" w:hanging="720"/>
      </w:pPr>
      <w:r>
        <w:t>3</w:t>
      </w:r>
      <w:r w:rsidR="004F1D3A">
        <w:t>1</w:t>
      </w:r>
      <w:r w:rsidR="00B64BB1">
        <w:tab/>
        <w:t>T</w:t>
      </w:r>
      <w:r w:rsidR="00B64BB1" w:rsidRPr="000C1EB1">
        <w:t xml:space="preserve">he Government </w:t>
      </w:r>
      <w:r w:rsidR="00B64BB1">
        <w:t xml:space="preserve">has </w:t>
      </w:r>
      <w:r w:rsidR="00B64BB1" w:rsidRPr="000C1EB1">
        <w:t>introduc</w:t>
      </w:r>
      <w:r w:rsidR="00B64BB1">
        <w:t>ed</w:t>
      </w:r>
      <w:r w:rsidR="00B64BB1" w:rsidRPr="000C1EB1">
        <w:t xml:space="preserve"> its new Cyber Essentials Scheme</w:t>
      </w:r>
      <w:r w:rsidR="00B64BB1">
        <w:t xml:space="preserve"> in consultation with industry</w:t>
      </w:r>
      <w:r w:rsidR="00B64BB1" w:rsidRPr="000C1EB1">
        <w:t xml:space="preserve"> to mitigate the risk from common internet based threats.</w:t>
      </w:r>
    </w:p>
    <w:p w14:paraId="2F1E5642" w14:textId="77777777" w:rsidR="00B64BB1" w:rsidRPr="000C1EB1" w:rsidRDefault="00560BEF" w:rsidP="00B64BB1">
      <w:pPr>
        <w:pStyle w:val="Numbered"/>
        <w:widowControl/>
        <w:ind w:left="720" w:hanging="720"/>
      </w:pPr>
      <w:r>
        <w:t>3</w:t>
      </w:r>
      <w:r w:rsidR="004F1D3A">
        <w:t>2</w:t>
      </w:r>
      <w:r w:rsidR="00B64BB1">
        <w:tab/>
      </w:r>
      <w:r w:rsidR="00B64BB1" w:rsidRPr="000C1EB1">
        <w:t xml:space="preserve">From 1st October 2014, </w:t>
      </w:r>
      <w:r w:rsidR="00B64BB1">
        <w:t>it is m</w:t>
      </w:r>
      <w:r w:rsidR="00B64BB1" w:rsidRPr="000C1EB1">
        <w:t xml:space="preserve">andatory for new Central Government contracts, which feature characteristics involving the handling of personal data and ICT systems designed to store or process data at the OFFICIAL level of the </w:t>
      </w:r>
      <w:hyperlink r:id="rId18" w:history="1">
        <w:r w:rsidR="00B64BB1" w:rsidRPr="00016AF4">
          <w:rPr>
            <w:rStyle w:val="Hyperlink"/>
          </w:rPr>
          <w:t>Government Security Classifications scheme</w:t>
        </w:r>
      </w:hyperlink>
      <w:r w:rsidR="00B64BB1" w:rsidRPr="000C1EB1">
        <w:t xml:space="preserve">  to comply with Cyber Essentials</w:t>
      </w:r>
      <w:r w:rsidR="00B64BB1">
        <w:t xml:space="preserve"> requirements</w:t>
      </w:r>
      <w:r w:rsidR="00B64BB1" w:rsidRPr="000C1EB1">
        <w:t>.</w:t>
      </w:r>
    </w:p>
    <w:p w14:paraId="39DFE064" w14:textId="77777777" w:rsidR="00B64BB1" w:rsidRDefault="00560BEF" w:rsidP="00B64BB1">
      <w:pPr>
        <w:pStyle w:val="Numbered"/>
        <w:widowControl/>
        <w:ind w:left="720" w:hanging="720"/>
      </w:pPr>
      <w:r>
        <w:t>3</w:t>
      </w:r>
      <w:r w:rsidR="004F1D3A">
        <w:t>3</w:t>
      </w:r>
      <w:r w:rsidR="00B64BB1">
        <w:tab/>
      </w:r>
      <w:r w:rsidR="00B64BB1" w:rsidRPr="000C1EB1">
        <w:t xml:space="preserve">All potential tenderers for Central Government contracts, featuring the above characteristics, should make themselves aware of </w:t>
      </w:r>
      <w:hyperlink r:id="rId19" w:history="1">
        <w:r w:rsidR="00B64BB1" w:rsidRPr="00016AF4">
          <w:rPr>
            <w:rStyle w:val="Hyperlink"/>
          </w:rPr>
          <w:t>Cyber Essentials</w:t>
        </w:r>
      </w:hyperlink>
      <w:r w:rsidR="00B64BB1" w:rsidRPr="000C1EB1">
        <w:t xml:space="preserve"> and the requirements for the appropriate level of certification “or equivalent”.  </w:t>
      </w:r>
    </w:p>
    <w:p w14:paraId="5CB041EE" w14:textId="77777777" w:rsidR="00B64BB1" w:rsidRPr="000C1EB1" w:rsidRDefault="00560BEF" w:rsidP="00B64BB1">
      <w:pPr>
        <w:pStyle w:val="Numbered"/>
        <w:widowControl/>
        <w:ind w:left="720" w:hanging="720"/>
      </w:pPr>
      <w:r>
        <w:t>3</w:t>
      </w:r>
      <w:r w:rsidR="004F1D3A">
        <w:t>4</w:t>
      </w:r>
      <w:r w:rsidR="00B64BB1">
        <w:tab/>
      </w:r>
      <w:r w:rsidR="00B64BB1" w:rsidRPr="000C1EB1">
        <w:t>As this requirement features the above characteristics, you are required to demonstrate in your tender response that:</w:t>
      </w:r>
    </w:p>
    <w:p w14:paraId="70DE2CFC" w14:textId="77777777" w:rsidR="00B64BB1" w:rsidRPr="000C1EB1" w:rsidRDefault="00B64BB1" w:rsidP="00B64BB1">
      <w:pPr>
        <w:pStyle w:val="Numbered"/>
        <w:widowControl/>
        <w:numPr>
          <w:ilvl w:val="0"/>
          <w:numId w:val="21"/>
        </w:numPr>
      </w:pPr>
      <w:r w:rsidRPr="000C1EB1">
        <w:t>Your orga</w:t>
      </w:r>
      <w:r w:rsidR="004F1D3A">
        <w:t xml:space="preserve">nisation has </w:t>
      </w:r>
      <w:r w:rsidRPr="000C1EB1">
        <w:t>Cyber Essentials certification; or</w:t>
      </w:r>
    </w:p>
    <w:p w14:paraId="1670C479" w14:textId="77777777" w:rsidR="00B64BB1" w:rsidRPr="000C1EB1" w:rsidRDefault="00B64BB1" w:rsidP="00B64BB1">
      <w:pPr>
        <w:pStyle w:val="Numbered"/>
        <w:widowControl/>
        <w:numPr>
          <w:ilvl w:val="0"/>
          <w:numId w:val="21"/>
        </w:numPr>
      </w:pPr>
      <w:r w:rsidRPr="000C1EB1">
        <w:t>Your organ</w:t>
      </w:r>
      <w:r w:rsidR="004F1D3A">
        <w:t>isation will be able to secure Cyber Essentials</w:t>
      </w:r>
      <w:r w:rsidRPr="000C1EB1">
        <w:t xml:space="preserve"> </w:t>
      </w:r>
      <w:r w:rsidR="004F1D3A">
        <w:t>c</w:t>
      </w:r>
      <w:r w:rsidRPr="000C1EB1">
        <w:t>ertification</w:t>
      </w:r>
      <w:r w:rsidR="004F1D3A">
        <w:t xml:space="preserve"> </w:t>
      </w:r>
      <w:r w:rsidRPr="000C1EB1">
        <w:t>prior to contract award; or</w:t>
      </w:r>
    </w:p>
    <w:p w14:paraId="7F2E126C" w14:textId="77777777" w:rsidR="00B64BB1" w:rsidRPr="000C1EB1" w:rsidRDefault="00B64BB1" w:rsidP="00B64BB1">
      <w:pPr>
        <w:pStyle w:val="Numbered"/>
        <w:widowControl/>
        <w:numPr>
          <w:ilvl w:val="0"/>
          <w:numId w:val="21"/>
        </w:numPr>
      </w:pPr>
      <w:r w:rsidRPr="000C1EB1">
        <w:t>Your organisation has equivalent evidence to support that you have appropriate technical and organisational measures to mitigate the risk from common internet based threats in respect to the following five technical areas:</w:t>
      </w:r>
    </w:p>
    <w:p w14:paraId="2585A97B" w14:textId="77777777" w:rsidR="00B64BB1" w:rsidRPr="000C1EB1" w:rsidRDefault="00B64BB1" w:rsidP="00B64BB1">
      <w:pPr>
        <w:pStyle w:val="Numbered"/>
        <w:widowControl/>
        <w:numPr>
          <w:ilvl w:val="0"/>
          <w:numId w:val="22"/>
        </w:numPr>
      </w:pPr>
      <w:r w:rsidRPr="000C1EB1">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13C38B0F" w14:textId="77777777" w:rsidR="00B64BB1" w:rsidRPr="000C1EB1" w:rsidRDefault="00B64BB1" w:rsidP="00B64BB1">
      <w:pPr>
        <w:pStyle w:val="Numbered"/>
        <w:widowControl/>
        <w:numPr>
          <w:ilvl w:val="0"/>
          <w:numId w:val="22"/>
        </w:numPr>
      </w:pPr>
      <w:r w:rsidRPr="000C1EB1">
        <w:t xml:space="preserve">Secure configuration – ensuring that systems are configured in the most secure way for the needs of the organisation </w:t>
      </w:r>
    </w:p>
    <w:p w14:paraId="4FBA7AD7" w14:textId="77777777" w:rsidR="00B64BB1" w:rsidRPr="000C1EB1" w:rsidRDefault="00B64BB1" w:rsidP="00B64BB1">
      <w:pPr>
        <w:pStyle w:val="Numbered"/>
        <w:widowControl/>
        <w:numPr>
          <w:ilvl w:val="0"/>
          <w:numId w:val="22"/>
        </w:numPr>
      </w:pPr>
      <w:r w:rsidRPr="000C1EB1">
        <w:t xml:space="preserve">Access control – Ensuring only those who should have access to systems to have access and at the appropriate level. </w:t>
      </w:r>
    </w:p>
    <w:p w14:paraId="40077361" w14:textId="77777777" w:rsidR="00B64BB1" w:rsidRPr="000C1EB1" w:rsidRDefault="00B64BB1" w:rsidP="00B64BB1">
      <w:pPr>
        <w:pStyle w:val="Numbered"/>
        <w:widowControl/>
        <w:numPr>
          <w:ilvl w:val="0"/>
          <w:numId w:val="22"/>
        </w:numPr>
      </w:pPr>
      <w:r w:rsidRPr="000C1EB1">
        <w:t xml:space="preserve">Malware protection – ensuring that virus and malware protection is installed and is up to date </w:t>
      </w:r>
    </w:p>
    <w:p w14:paraId="78E231F1" w14:textId="77777777" w:rsidR="00B64BB1" w:rsidRPr="000C1EB1" w:rsidRDefault="00B64BB1" w:rsidP="00B64BB1">
      <w:pPr>
        <w:pStyle w:val="Numbered"/>
        <w:widowControl/>
        <w:numPr>
          <w:ilvl w:val="0"/>
          <w:numId w:val="22"/>
        </w:numPr>
      </w:pPr>
      <w:r w:rsidRPr="000C1EB1">
        <w:t xml:space="preserve">Patch management – ensuring the latest supported version of applications is used and all the necessary patches supplied by the vendor </w:t>
      </w:r>
      <w:r>
        <w:t xml:space="preserve">have </w:t>
      </w:r>
      <w:r w:rsidRPr="000C1EB1">
        <w:t>been applied</w:t>
      </w:r>
      <w:r>
        <w:t>.</w:t>
      </w:r>
    </w:p>
    <w:p w14:paraId="18A2E55C" w14:textId="77777777" w:rsidR="00B64BB1" w:rsidRPr="000C1EB1" w:rsidRDefault="00B64BB1" w:rsidP="00B64BB1">
      <w:pPr>
        <w:pStyle w:val="Numbered"/>
        <w:widowControl/>
        <w:ind w:left="720"/>
      </w:pPr>
      <w:r w:rsidRPr="000C1EB1">
        <w:t>Any equivalent evidence must be verified by a technically competent</w:t>
      </w:r>
      <w:r>
        <w:t xml:space="preserve"> </w:t>
      </w:r>
      <w:r w:rsidRPr="000C1EB1">
        <w:t>and independent third party.</w:t>
      </w:r>
    </w:p>
    <w:p w14:paraId="3C45C92C" w14:textId="77777777" w:rsidR="00B64BB1" w:rsidRPr="000C1EB1" w:rsidRDefault="00560BEF" w:rsidP="00B64BB1">
      <w:pPr>
        <w:pStyle w:val="Numbered"/>
        <w:widowControl/>
        <w:ind w:left="720" w:hanging="720"/>
      </w:pPr>
      <w:r>
        <w:t>3</w:t>
      </w:r>
      <w:r w:rsidR="00787478">
        <w:t>5</w:t>
      </w:r>
      <w:r w:rsidR="00B64BB1">
        <w:tab/>
      </w:r>
      <w:r w:rsidR="00B64BB1" w:rsidRPr="000C1EB1">
        <w:t>The successful tenderer will be r</w:t>
      </w:r>
      <w:r w:rsidR="004F1D3A">
        <w:t xml:space="preserve">equired to provide evidence of </w:t>
      </w:r>
      <w:r w:rsidR="00B64BB1" w:rsidRPr="000C1EB1">
        <w:t>Cyber Essentials</w:t>
      </w:r>
      <w:r w:rsidR="004F1D3A">
        <w:t xml:space="preserve"> certification</w:t>
      </w:r>
      <w:r w:rsidR="00B64BB1">
        <w:rPr>
          <w:b/>
        </w:rPr>
        <w:t xml:space="preserve"> </w:t>
      </w:r>
      <w:r w:rsidR="00B64BB1" w:rsidRPr="000C1EB1">
        <w:t>“or equivalent” (i.e. demonstrate they meet the five technical areas the Cyber Essentials Scheme covers) prior to contract award.</w:t>
      </w:r>
    </w:p>
    <w:p w14:paraId="5C437327" w14:textId="77777777" w:rsidR="00B64BB1" w:rsidRPr="000C1EB1" w:rsidRDefault="00560BEF" w:rsidP="00B64BB1">
      <w:pPr>
        <w:pStyle w:val="Numbered"/>
        <w:widowControl/>
        <w:ind w:left="720" w:hanging="720"/>
      </w:pPr>
      <w:r>
        <w:t>3</w:t>
      </w:r>
      <w:r w:rsidR="00787478">
        <w:t>6</w:t>
      </w:r>
      <w:r w:rsidR="00B64BB1">
        <w:tab/>
      </w:r>
      <w:r w:rsidR="00B64BB1" w:rsidRPr="000C1EB1">
        <w:t xml:space="preserve">The successful tenderer will be required to </w:t>
      </w:r>
      <w:r w:rsidR="004F1D3A">
        <w:t>secure and provide evidence of Cyber Essentials</w:t>
      </w:r>
      <w:r w:rsidR="00B64BB1" w:rsidRPr="000C1EB1">
        <w:t xml:space="preserve"> re-certification “or equivalent” (i.e. demonstrate they meet the five technical areas) on an annual basis.</w:t>
      </w:r>
    </w:p>
    <w:p w14:paraId="22A574AA" w14:textId="77777777" w:rsidR="00B64BB1" w:rsidRDefault="00560BEF" w:rsidP="00B64BB1">
      <w:pPr>
        <w:pStyle w:val="Numbered"/>
        <w:widowControl/>
        <w:ind w:left="720" w:hanging="720"/>
      </w:pPr>
      <w:r>
        <w:t>3</w:t>
      </w:r>
      <w:r w:rsidR="00787478">
        <w:t>7</w:t>
      </w:r>
      <w:r w:rsidR="00B64BB1">
        <w:tab/>
      </w:r>
      <w:r w:rsidR="00B64BB1" w:rsidRPr="000C1EB1">
        <w:t>Details of certification bodies are available at:</w:t>
      </w:r>
      <w:hyperlink r:id="rId20" w:history="1">
        <w:r w:rsidR="004F1D3A" w:rsidRPr="001D5260">
          <w:rPr>
            <w:rStyle w:val="Hyperlink"/>
          </w:rPr>
          <w:t>www.cyberstreetwise.com/cyberessentials</w:t>
        </w:r>
      </w:hyperlink>
    </w:p>
    <w:p w14:paraId="40795AE6" w14:textId="77777777" w:rsidR="004C6ED5" w:rsidRPr="004C6ED5" w:rsidRDefault="00095D07">
      <w:pPr>
        <w:pStyle w:val="Numbered"/>
        <w:widowControl/>
        <w:rPr>
          <w:b/>
        </w:rPr>
      </w:pPr>
      <w:r>
        <w:rPr>
          <w:b/>
        </w:rPr>
        <w:lastRenderedPageBreak/>
        <w:t>Data Security Standards</w:t>
      </w:r>
    </w:p>
    <w:p w14:paraId="0AA10BCA" w14:textId="77777777" w:rsidR="00B64BB1" w:rsidRPr="004109BC" w:rsidRDefault="00560BEF" w:rsidP="00B64BB1">
      <w:pPr>
        <w:pStyle w:val="Numbered"/>
        <w:widowControl/>
        <w:ind w:left="720" w:hanging="720"/>
      </w:pPr>
      <w:r>
        <w:t>3</w:t>
      </w:r>
      <w:r w:rsidR="00787478">
        <w:t>8</w:t>
      </w:r>
      <w:r w:rsidR="00B64BB1">
        <w:tab/>
        <w:t xml:space="preserve">For contracts which require the holding or processing of either personal data and/or OFFICIAL data the successful contractor will need to assure the Department that they can comply with the Department’s security standards.  </w:t>
      </w:r>
    </w:p>
    <w:p w14:paraId="5F4DFCE1" w14:textId="77777777" w:rsidR="004C6ED5" w:rsidRPr="00AE6726" w:rsidRDefault="00560BEF" w:rsidP="00B4054E">
      <w:pPr>
        <w:pStyle w:val="Numbered"/>
        <w:widowControl/>
        <w:ind w:left="720" w:hanging="720"/>
        <w:rPr>
          <w:b/>
          <w:i/>
        </w:rPr>
      </w:pPr>
      <w:r>
        <w:t>3</w:t>
      </w:r>
      <w:r w:rsidR="00787478">
        <w:t>9</w:t>
      </w:r>
      <w:r w:rsidR="00CD6FE7">
        <w:tab/>
        <w:t xml:space="preserve">Departmental security </w:t>
      </w:r>
      <w:r w:rsidR="00095D07">
        <w:t>standards</w:t>
      </w:r>
      <w:r w:rsidR="00CD6FE7">
        <w:t xml:space="preserve"> are</w:t>
      </w:r>
      <w:r w:rsidR="00B4054E">
        <w:t xml:space="preserve"> </w:t>
      </w:r>
      <w:r w:rsidR="00192326">
        <w:t>listed as contract clauses in A</w:t>
      </w:r>
      <w:r w:rsidR="00B4054E">
        <w:t>nne</w:t>
      </w:r>
      <w:r w:rsidR="00F335C7">
        <w:t xml:space="preserve">x </w:t>
      </w:r>
      <w:r w:rsidR="00192326">
        <w:t>A.</w:t>
      </w:r>
    </w:p>
    <w:p w14:paraId="4DEB1BEE" w14:textId="77777777" w:rsidR="0098035A" w:rsidRPr="0098035A" w:rsidRDefault="0098035A" w:rsidP="0098035A">
      <w:pPr>
        <w:widowControl/>
        <w:spacing w:after="240"/>
        <w:textAlignment w:val="auto"/>
        <w:rPr>
          <w:b/>
        </w:rPr>
      </w:pPr>
      <w:r w:rsidRPr="0098035A">
        <w:rPr>
          <w:b/>
        </w:rPr>
        <w:t>Government Security Classifications</w:t>
      </w:r>
    </w:p>
    <w:p w14:paraId="4F9B4B48" w14:textId="77777777" w:rsidR="0098035A" w:rsidRPr="0098035A" w:rsidRDefault="00560BEF" w:rsidP="0098035A">
      <w:pPr>
        <w:widowControl/>
        <w:spacing w:after="240"/>
        <w:ind w:left="720" w:hanging="720"/>
        <w:textAlignment w:val="auto"/>
      </w:pPr>
      <w:r>
        <w:t>40</w:t>
      </w:r>
      <w:r w:rsidR="0098035A" w:rsidRPr="0098035A">
        <w:tab/>
        <w:t xml:space="preserve">On 2nd April 2014 the Government introduced a Government Security Classifications (GSC) classification scheme to replace the previous Protective Marking System (GPMS). A key aspect of this is the reduction in the number of security classifications used. All potential suppliers are encouraged to make themselves aware of the changes and identify any potential impacts in their Tender, as the protective marking and applicable protection of any material passed to, or generated by, you during the tender process or pursuant to any Contract awarded to you as a result of this tender process will be subject to the new GSC. The link below to the Gov.uk website provides information on the GSC: </w:t>
      </w:r>
    </w:p>
    <w:p w14:paraId="13A3F07C" w14:textId="77777777" w:rsidR="0098035A" w:rsidRPr="0098035A" w:rsidRDefault="0051771C" w:rsidP="0098035A">
      <w:pPr>
        <w:widowControl/>
        <w:spacing w:after="240"/>
        <w:ind w:left="720"/>
        <w:textAlignment w:val="auto"/>
      </w:pPr>
      <w:hyperlink r:id="rId21" w:history="1">
        <w:r w:rsidR="0098035A" w:rsidRPr="0098035A">
          <w:rPr>
            <w:color w:val="0000FF"/>
            <w:u w:val="single"/>
          </w:rPr>
          <w:t>https://www.gov.uk/government/publications/government-security-classifications</w:t>
        </w:r>
      </w:hyperlink>
    </w:p>
    <w:p w14:paraId="134D8B08" w14:textId="77777777" w:rsidR="0098035A" w:rsidRPr="0098035A" w:rsidRDefault="0098035A" w:rsidP="0098035A">
      <w:pPr>
        <w:widowControl/>
        <w:spacing w:after="240"/>
        <w:ind w:left="720"/>
        <w:textAlignment w:val="auto"/>
      </w:pPr>
      <w:r w:rsidRPr="0098035A">
        <w:t>The Department reserves the right to amend any security related term or condition of the draft contract accompanying this ITT to reflect any changes introduced by the GSC.</w:t>
      </w:r>
    </w:p>
    <w:p w14:paraId="20DB7E69" w14:textId="77777777" w:rsidR="00112CB4" w:rsidRDefault="00112CB4" w:rsidP="00112CB4">
      <w:pPr>
        <w:pStyle w:val="Numbered"/>
        <w:widowControl/>
      </w:pPr>
      <w:r>
        <w:rPr>
          <w:b/>
        </w:rPr>
        <w:t>Prompt Payment Policy</w:t>
      </w:r>
    </w:p>
    <w:p w14:paraId="1F8D4715" w14:textId="77777777" w:rsidR="00112CB4" w:rsidRDefault="00560BEF" w:rsidP="00112CB4">
      <w:pPr>
        <w:pStyle w:val="Numbered"/>
        <w:widowControl/>
        <w:ind w:left="720" w:hanging="720"/>
      </w:pPr>
      <w:r>
        <w:t>41</w:t>
      </w:r>
      <w:r w:rsidR="00112CB4">
        <w:tab/>
        <w:t xml:space="preserve">Government’s aim </w:t>
      </w:r>
      <w:r w:rsidR="00112CB4" w:rsidRPr="00C337BE">
        <w:t>is to pay all correc</w:t>
      </w:r>
      <w:r w:rsidR="003E38BD">
        <w:t>tly submitted invoices within 5</w:t>
      </w:r>
      <w:r w:rsidR="00112CB4" w:rsidRPr="00C337BE">
        <w:t xml:space="preserve"> </w:t>
      </w:r>
      <w:r w:rsidR="00112CB4">
        <w:t xml:space="preserve">days </w:t>
      </w:r>
      <w:r w:rsidR="00112CB4" w:rsidRPr="00C337BE">
        <w:t>of receipt and we are 100% committed to paying correctly submitted invoices within 30 days of receipt from the day of physical or electronic arrival at the nominated address of the Department.</w:t>
      </w:r>
    </w:p>
    <w:p w14:paraId="09ECA84E" w14:textId="77777777" w:rsidR="00112CB4" w:rsidRPr="00C337BE" w:rsidRDefault="00560BEF" w:rsidP="00112CB4">
      <w:pPr>
        <w:pStyle w:val="Numbered"/>
        <w:widowControl/>
        <w:ind w:left="720" w:hanging="720"/>
      </w:pPr>
      <w:r>
        <w:t>42</w:t>
      </w:r>
      <w:r w:rsidR="00112CB4">
        <w:tab/>
      </w:r>
      <w:r w:rsidR="00112CB4" w:rsidRPr="00C337BE">
        <w:t xml:space="preserve">The payment period will be deemed to have started when a </w:t>
      </w:r>
      <w:r w:rsidR="00112CB4" w:rsidRPr="007F2B7A">
        <w:t xml:space="preserve">correctly </w:t>
      </w:r>
      <w:r w:rsidR="00112CB4">
        <w:t>submitted</w:t>
      </w:r>
      <w:r w:rsidR="00112CB4" w:rsidRPr="007F2B7A">
        <w:t xml:space="preserve"> invoice reaches the nominated address</w:t>
      </w:r>
      <w:r w:rsidR="00112CB4" w:rsidRPr="00C337BE">
        <w:t xml:space="preserve">.  </w:t>
      </w:r>
      <w:r w:rsidR="00112CB4">
        <w:t>Contractors</w:t>
      </w:r>
      <w:r w:rsidR="00112CB4" w:rsidRPr="00C337BE">
        <w:t xml:space="preserve"> </w:t>
      </w:r>
      <w:r w:rsidR="00112CB4">
        <w:t>can</w:t>
      </w:r>
      <w:r w:rsidR="00112CB4" w:rsidRPr="00C337BE">
        <w:t xml:space="preserve"> assume receipt to be two days after mailing (by first class post). The thirty day “clock” therefore commences two days after mailing first class</w:t>
      </w:r>
      <w:r w:rsidR="00112CB4">
        <w:t xml:space="preserve">. </w:t>
      </w:r>
    </w:p>
    <w:p w14:paraId="57016A3D" w14:textId="77777777" w:rsidR="00112CB4" w:rsidRPr="00C337BE" w:rsidRDefault="00560BEF" w:rsidP="00DF21A9">
      <w:pPr>
        <w:pStyle w:val="Numbered"/>
        <w:spacing w:after="0"/>
      </w:pPr>
      <w:r>
        <w:t>43</w:t>
      </w:r>
      <w:r w:rsidR="00112CB4">
        <w:tab/>
      </w:r>
      <w:r w:rsidR="00112CB4" w:rsidRPr="00C337BE">
        <w:t>A correct invoice is one that is:</w:t>
      </w:r>
    </w:p>
    <w:p w14:paraId="6C557EF3" w14:textId="77777777" w:rsidR="00112CB4" w:rsidRPr="00C337BE" w:rsidRDefault="00112CB4" w:rsidP="00DF21A9">
      <w:pPr>
        <w:pStyle w:val="Numbered"/>
        <w:numPr>
          <w:ilvl w:val="0"/>
          <w:numId w:val="11"/>
        </w:numPr>
        <w:spacing w:after="0"/>
      </w:pPr>
      <w:r w:rsidRPr="00C337BE">
        <w:t xml:space="preserve">delivered in timing in accordance with the contract; </w:t>
      </w:r>
    </w:p>
    <w:p w14:paraId="26F4137C" w14:textId="77777777" w:rsidR="00112CB4" w:rsidRPr="00C337BE" w:rsidRDefault="00112CB4" w:rsidP="00DF21A9">
      <w:pPr>
        <w:pStyle w:val="Numbered"/>
        <w:numPr>
          <w:ilvl w:val="0"/>
          <w:numId w:val="11"/>
        </w:numPr>
        <w:spacing w:after="0"/>
      </w:pPr>
      <w:r w:rsidRPr="00C337BE">
        <w:t xml:space="preserve">that is for the correct sum; </w:t>
      </w:r>
    </w:p>
    <w:p w14:paraId="7C9C4267" w14:textId="77777777" w:rsidR="00112CB4" w:rsidRPr="00C337BE" w:rsidRDefault="00112CB4" w:rsidP="00DF21A9">
      <w:pPr>
        <w:pStyle w:val="Numbered"/>
        <w:numPr>
          <w:ilvl w:val="0"/>
          <w:numId w:val="11"/>
        </w:numPr>
        <w:spacing w:after="0"/>
      </w:pPr>
      <w:r w:rsidRPr="00C337BE">
        <w:t xml:space="preserve">In respect of goods / services supplied or delivered to the required quality (or are expected to be at the required quality); </w:t>
      </w:r>
    </w:p>
    <w:p w14:paraId="11AC58C4" w14:textId="77777777" w:rsidR="00112CB4" w:rsidRPr="00C337BE" w:rsidRDefault="00112CB4" w:rsidP="00DF21A9">
      <w:pPr>
        <w:pStyle w:val="Numbered"/>
        <w:numPr>
          <w:ilvl w:val="0"/>
          <w:numId w:val="11"/>
        </w:numPr>
        <w:spacing w:after="0"/>
      </w:pPr>
      <w:r w:rsidRPr="00C337BE">
        <w:t>include the date, supplier name, contact details and bank details</w:t>
      </w:r>
      <w:r>
        <w:t>;</w:t>
      </w:r>
    </w:p>
    <w:p w14:paraId="1BD607AF" w14:textId="77777777" w:rsidR="00112CB4" w:rsidRPr="00C337BE" w:rsidRDefault="00112CB4" w:rsidP="00DF21A9">
      <w:pPr>
        <w:pStyle w:val="Numbered"/>
        <w:numPr>
          <w:ilvl w:val="0"/>
          <w:numId w:val="11"/>
        </w:numPr>
        <w:spacing w:after="0"/>
      </w:pPr>
      <w:r w:rsidRPr="00C337BE">
        <w:t xml:space="preserve">which quote the relevant purchase order / </w:t>
      </w:r>
      <w:r>
        <w:t>contract reference;</w:t>
      </w:r>
    </w:p>
    <w:p w14:paraId="7CF18C0D" w14:textId="77777777" w:rsidR="00112CB4" w:rsidRDefault="00112CB4" w:rsidP="00DF21A9">
      <w:pPr>
        <w:pStyle w:val="Numbered"/>
        <w:numPr>
          <w:ilvl w:val="0"/>
          <w:numId w:val="11"/>
        </w:numPr>
        <w:spacing w:after="0"/>
      </w:pPr>
      <w:r w:rsidRPr="00C337BE">
        <w:t>which has been delivered to the nominated</w:t>
      </w:r>
      <w:r>
        <w:t xml:space="preserve"> address.</w:t>
      </w:r>
    </w:p>
    <w:p w14:paraId="5996D9DD" w14:textId="77777777" w:rsidR="00DF21A9" w:rsidRPr="00C337BE" w:rsidRDefault="00DF21A9" w:rsidP="00DF21A9">
      <w:pPr>
        <w:pStyle w:val="Numbered"/>
        <w:spacing w:after="0"/>
        <w:ind w:left="1080"/>
      </w:pPr>
    </w:p>
    <w:p w14:paraId="0B30D8F7" w14:textId="77777777" w:rsidR="00112CB4" w:rsidRDefault="00560BEF" w:rsidP="00112CB4">
      <w:pPr>
        <w:pStyle w:val="Numbered"/>
        <w:ind w:left="720" w:hanging="720"/>
      </w:pPr>
      <w:r>
        <w:t>44</w:t>
      </w:r>
      <w:r w:rsidR="00112CB4">
        <w:tab/>
      </w:r>
      <w:r w:rsidR="00112CB4" w:rsidRPr="00C337BE">
        <w:t>Any correctly submitted invoices that</w:t>
      </w:r>
      <w:r w:rsidR="003E38BD">
        <w:t xml:space="preserve"> are not paid within 30 days will</w:t>
      </w:r>
      <w:r w:rsidR="00112CB4" w:rsidRPr="00C337BE">
        <w:t xml:space="preserve"> be subject to the provisions of the Late Payment of Commercial Debt (Interest) Act 1998.</w:t>
      </w:r>
    </w:p>
    <w:p w14:paraId="6C0041DC" w14:textId="77777777" w:rsidR="00112CB4" w:rsidRPr="008F65EB" w:rsidRDefault="00112CB4" w:rsidP="00112CB4">
      <w:pPr>
        <w:pStyle w:val="Numbered"/>
        <w:ind w:left="720" w:hanging="720"/>
        <w:rPr>
          <w:b/>
        </w:rPr>
      </w:pPr>
      <w:r w:rsidRPr="008F65EB">
        <w:rPr>
          <w:rFonts w:cs="Arial"/>
          <w:b/>
          <w:color w:val="4A452A"/>
        </w:rPr>
        <w:t>Sub-contracting to Small and Medium Enterprises (SMEs)</w:t>
      </w:r>
    </w:p>
    <w:p w14:paraId="60EB95B9" w14:textId="77777777" w:rsidR="00112CB4" w:rsidRDefault="00560BEF" w:rsidP="00112CB4">
      <w:pPr>
        <w:ind w:left="720" w:hanging="720"/>
        <w:rPr>
          <w:rFonts w:cs="Arial"/>
          <w:i/>
          <w:iCs/>
          <w:color w:val="4A452A"/>
        </w:rPr>
      </w:pPr>
      <w:r>
        <w:t>45</w:t>
      </w:r>
      <w:r w:rsidR="00112CB4">
        <w:tab/>
      </w:r>
      <w:r w:rsidR="00112CB4">
        <w:rPr>
          <w:rFonts w:cs="Arial"/>
          <w:color w:val="4A452A"/>
        </w:rPr>
        <w:t>DfE is committed to removing barriers to SME participation in its contracts, and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14:paraId="48DBBD56" w14:textId="77777777" w:rsidR="00112CB4" w:rsidRDefault="00112CB4" w:rsidP="00112CB4">
      <w:pPr>
        <w:rPr>
          <w:rFonts w:cs="Arial"/>
          <w:color w:val="4A452A"/>
        </w:rPr>
      </w:pPr>
    </w:p>
    <w:p w14:paraId="30FB71FF" w14:textId="77777777" w:rsidR="00112CB4" w:rsidRDefault="00560BEF" w:rsidP="00112CB4">
      <w:pPr>
        <w:ind w:left="720" w:hanging="720"/>
        <w:rPr>
          <w:rFonts w:cs="Arial"/>
          <w:color w:val="4A452A"/>
        </w:rPr>
      </w:pPr>
      <w:r>
        <w:rPr>
          <w:rFonts w:cs="Arial"/>
          <w:color w:val="4A452A"/>
        </w:rPr>
        <w:lastRenderedPageBreak/>
        <w:t>46</w:t>
      </w:r>
      <w:r w:rsidR="0094523E">
        <w:rPr>
          <w:rFonts w:cs="Arial"/>
          <w:color w:val="4A452A"/>
        </w:rPr>
        <w:tab/>
      </w:r>
      <w:r w:rsidR="00112CB4">
        <w:rPr>
          <w:rFonts w:cs="Arial"/>
          <w:color w:val="4A452A"/>
        </w:rPr>
        <w:t>To help us measure the volume of business we do with SMEs, we will be asking DFE suppliers to provide us with information about the size of your own organisation and those in your supply chain.   We will ask about volumes of business that will flow from this contract down your supply chains, and ask you to quantify that for us.   This data will help us contribute towards Government targets on the use of SMEs. We may also publish success stories and examples of good practice on our website</w:t>
      </w:r>
    </w:p>
    <w:p w14:paraId="395110BD" w14:textId="77777777" w:rsidR="00DF21A9" w:rsidRDefault="00DF21A9" w:rsidP="00DF21A9">
      <w:pPr>
        <w:pStyle w:val="Numbered"/>
        <w:widowControl/>
        <w:spacing w:after="0"/>
        <w:rPr>
          <w:b/>
        </w:rPr>
      </w:pPr>
    </w:p>
    <w:p w14:paraId="75FBF8F9" w14:textId="77777777" w:rsidR="00112CB4" w:rsidRDefault="00112CB4" w:rsidP="00112CB4">
      <w:pPr>
        <w:pStyle w:val="Numbered"/>
        <w:widowControl/>
      </w:pPr>
      <w:r>
        <w:rPr>
          <w:b/>
        </w:rPr>
        <w:t>Tender Period</w:t>
      </w:r>
    </w:p>
    <w:p w14:paraId="5E8B7240" w14:textId="77777777" w:rsidR="00112CB4" w:rsidRDefault="00041BFD" w:rsidP="00112CB4">
      <w:pPr>
        <w:pStyle w:val="Numbered"/>
        <w:widowControl/>
        <w:ind w:left="720" w:hanging="720"/>
      </w:pPr>
      <w:r>
        <w:t>4</w:t>
      </w:r>
      <w:r w:rsidR="00560BEF">
        <w:t>7</w:t>
      </w:r>
      <w:r w:rsidR="00D01C0E">
        <w:tab/>
      </w:r>
      <w:r w:rsidR="00D01C0E" w:rsidRPr="007E1684">
        <w:rPr>
          <w:color w:val="000000"/>
        </w:rPr>
        <w:t>Due to the</w:t>
      </w:r>
      <w:r w:rsidR="00112CB4" w:rsidRPr="007E1684">
        <w:rPr>
          <w:color w:val="000000"/>
        </w:rPr>
        <w:t xml:space="preserve"> evaluation process the Department requires tenders to remain valid for a period </w:t>
      </w:r>
      <w:r w:rsidR="00AA15DF" w:rsidRPr="007E1684">
        <w:rPr>
          <w:color w:val="000000"/>
        </w:rPr>
        <w:t>of four months</w:t>
      </w:r>
      <w:r w:rsidR="00112CB4" w:rsidRPr="007E1684">
        <w:rPr>
          <w:color w:val="000000"/>
        </w:rPr>
        <w:t>.</w:t>
      </w:r>
    </w:p>
    <w:p w14:paraId="26AADC97" w14:textId="77777777" w:rsidR="00112CB4" w:rsidRDefault="00112CB4" w:rsidP="00112CB4">
      <w:pPr>
        <w:pStyle w:val="Numbered"/>
        <w:widowControl/>
        <w:rPr>
          <w:b/>
        </w:rPr>
      </w:pPr>
      <w:r>
        <w:rPr>
          <w:b/>
        </w:rPr>
        <w:t>Basis of the Contract</w:t>
      </w:r>
    </w:p>
    <w:p w14:paraId="03DD5072" w14:textId="77777777" w:rsidR="00112CB4" w:rsidRDefault="00560BEF" w:rsidP="00112CB4">
      <w:pPr>
        <w:pStyle w:val="Numbered"/>
        <w:widowControl/>
        <w:ind w:left="720" w:hanging="720"/>
      </w:pPr>
      <w:r>
        <w:t>48</w:t>
      </w:r>
      <w:r w:rsidR="00112CB4">
        <w:tab/>
        <w:t xml:space="preserve">The specification </w:t>
      </w:r>
      <w:r w:rsidR="00112CB4" w:rsidRPr="007E1684">
        <w:rPr>
          <w:color w:val="000000"/>
        </w:rPr>
        <w:t xml:space="preserve">in Document 2, and the terms and conditions in </w:t>
      </w:r>
      <w:r w:rsidR="00192326" w:rsidRPr="007E1684">
        <w:rPr>
          <w:color w:val="000000"/>
        </w:rPr>
        <w:t>Annex A</w:t>
      </w:r>
      <w:r w:rsidR="00112CB4" w:rsidRPr="007E1684">
        <w:rPr>
          <w:color w:val="000000"/>
        </w:rPr>
        <w:t xml:space="preserve"> will form the basis of the contract between the successful tenderer and the Secretary of State</w:t>
      </w:r>
      <w:r w:rsidR="00112CB4">
        <w:t xml:space="preserve"> for Education.</w:t>
      </w:r>
    </w:p>
    <w:p w14:paraId="5C63D2BF" w14:textId="77777777" w:rsidR="00112CB4" w:rsidRDefault="00112CB4" w:rsidP="00112CB4">
      <w:pPr>
        <w:pStyle w:val="Numbered"/>
        <w:widowControl/>
      </w:pPr>
      <w:r>
        <w:rPr>
          <w:b/>
        </w:rPr>
        <w:t>Format of Bids</w:t>
      </w:r>
    </w:p>
    <w:p w14:paraId="7C98BF1A" w14:textId="77777777" w:rsidR="00112CB4" w:rsidRDefault="00560BEF" w:rsidP="00112CB4">
      <w:pPr>
        <w:pStyle w:val="Numbered"/>
        <w:widowControl/>
      </w:pPr>
      <w:r>
        <w:t>49</w:t>
      </w:r>
      <w:r w:rsidR="00112CB4">
        <w:tab/>
        <w:t xml:space="preserve">Tenderers should </w:t>
      </w:r>
      <w:r w:rsidR="00703607">
        <w:t xml:space="preserve">ensule that their bids include the following completed documents: </w:t>
      </w:r>
    </w:p>
    <w:p w14:paraId="0AE840DC" w14:textId="77777777" w:rsidR="008C07B7" w:rsidRPr="008A0F2C" w:rsidRDefault="00ED24CE" w:rsidP="008C07B7">
      <w:pPr>
        <w:pStyle w:val="Numbered"/>
        <w:widowControl/>
        <w:ind w:left="720"/>
        <w:rPr>
          <w:b/>
          <w:color w:val="000000"/>
        </w:rPr>
      </w:pPr>
      <w:r w:rsidRPr="008A0F2C">
        <w:rPr>
          <w:b/>
          <w:color w:val="000000"/>
        </w:rPr>
        <w:t xml:space="preserve">1) </w:t>
      </w:r>
      <w:r w:rsidR="008C07D9" w:rsidRPr="008A0F2C">
        <w:rPr>
          <w:b/>
          <w:color w:val="000000"/>
        </w:rPr>
        <w:t xml:space="preserve">Standard </w:t>
      </w:r>
      <w:r w:rsidR="008C07B7" w:rsidRPr="008A0F2C">
        <w:rPr>
          <w:b/>
          <w:color w:val="000000"/>
        </w:rPr>
        <w:t>Supplier information and self-declarations</w:t>
      </w:r>
      <w:r w:rsidR="00EC062F" w:rsidRPr="008A0F2C">
        <w:rPr>
          <w:b/>
          <w:color w:val="000000"/>
        </w:rPr>
        <w:t>, including references and experience</w:t>
      </w:r>
      <w:r w:rsidR="005D78EE" w:rsidRPr="008A0F2C">
        <w:rPr>
          <w:b/>
          <w:color w:val="000000"/>
        </w:rPr>
        <w:t xml:space="preserve"> (Document 3)</w:t>
      </w:r>
    </w:p>
    <w:p w14:paraId="0B0CE781" w14:textId="371E7594" w:rsidR="00112CB4" w:rsidRPr="008A0F2C" w:rsidRDefault="00ED24CE" w:rsidP="00112CB4">
      <w:pPr>
        <w:pStyle w:val="Numbered"/>
        <w:widowControl/>
        <w:ind w:left="720"/>
        <w:rPr>
          <w:b/>
          <w:color w:val="000000"/>
        </w:rPr>
      </w:pPr>
      <w:r w:rsidRPr="008A0F2C">
        <w:rPr>
          <w:b/>
          <w:color w:val="000000"/>
        </w:rPr>
        <w:t xml:space="preserve">2) </w:t>
      </w:r>
      <w:r w:rsidR="0051771C">
        <w:rPr>
          <w:b/>
          <w:color w:val="000000"/>
        </w:rPr>
        <w:t>Completed Document 4 which details how you will meet the evaluation criteria</w:t>
      </w:r>
      <w:r w:rsidR="00EC062F" w:rsidRPr="008A0F2C">
        <w:rPr>
          <w:b/>
          <w:color w:val="000000"/>
        </w:rPr>
        <w:t xml:space="preserve">: </w:t>
      </w:r>
    </w:p>
    <w:p w14:paraId="45902BA5" w14:textId="77777777" w:rsidR="00EC062F" w:rsidRPr="008A0F2C" w:rsidRDefault="00EC062F" w:rsidP="00EC062F">
      <w:pPr>
        <w:pStyle w:val="Numbered"/>
        <w:widowControl/>
        <w:numPr>
          <w:ilvl w:val="0"/>
          <w:numId w:val="41"/>
        </w:numPr>
        <w:rPr>
          <w:b/>
          <w:color w:val="000000"/>
        </w:rPr>
      </w:pPr>
      <w:bookmarkStart w:id="2" w:name="_GoBack"/>
      <w:bookmarkEnd w:id="2"/>
      <w:r w:rsidRPr="008A0F2C">
        <w:rPr>
          <w:b/>
          <w:color w:val="000000"/>
        </w:rPr>
        <w:t xml:space="preserve">Organisation’s capacity to deliver the contract </w:t>
      </w:r>
    </w:p>
    <w:p w14:paraId="46E73A0C" w14:textId="77777777" w:rsidR="00EC062F" w:rsidRPr="008A0F2C" w:rsidRDefault="00EC062F" w:rsidP="00EC062F">
      <w:pPr>
        <w:pStyle w:val="Numbered"/>
        <w:widowControl/>
        <w:numPr>
          <w:ilvl w:val="0"/>
          <w:numId w:val="41"/>
        </w:numPr>
        <w:rPr>
          <w:b/>
          <w:color w:val="000000"/>
        </w:rPr>
      </w:pPr>
      <w:r w:rsidRPr="008A0F2C">
        <w:rPr>
          <w:b/>
          <w:color w:val="000000"/>
        </w:rPr>
        <w:t>Meeting Department’s specification and defining success</w:t>
      </w:r>
    </w:p>
    <w:p w14:paraId="2FAAC7C9" w14:textId="77777777" w:rsidR="00EC062F" w:rsidRPr="008A0F2C" w:rsidRDefault="00EC062F" w:rsidP="00EC062F">
      <w:pPr>
        <w:pStyle w:val="Numbered"/>
        <w:widowControl/>
        <w:numPr>
          <w:ilvl w:val="0"/>
          <w:numId w:val="41"/>
        </w:numPr>
        <w:rPr>
          <w:b/>
          <w:color w:val="000000"/>
        </w:rPr>
      </w:pPr>
      <w:r w:rsidRPr="008A0F2C">
        <w:rPr>
          <w:b/>
          <w:color w:val="000000"/>
        </w:rPr>
        <w:t>Evidence and sustainability</w:t>
      </w:r>
    </w:p>
    <w:p w14:paraId="45BF334D" w14:textId="77777777" w:rsidR="00EC062F" w:rsidRPr="008A0F2C" w:rsidRDefault="00EC062F" w:rsidP="00EC062F">
      <w:pPr>
        <w:pStyle w:val="Numbered"/>
        <w:widowControl/>
        <w:numPr>
          <w:ilvl w:val="0"/>
          <w:numId w:val="41"/>
        </w:numPr>
        <w:rPr>
          <w:b/>
          <w:color w:val="000000"/>
        </w:rPr>
      </w:pPr>
      <w:r w:rsidRPr="008A0F2C">
        <w:rPr>
          <w:b/>
          <w:color w:val="000000"/>
        </w:rPr>
        <w:t>Collaborating with the Independent Evaluation partner</w:t>
      </w:r>
    </w:p>
    <w:p w14:paraId="531FDD2D" w14:textId="77777777" w:rsidR="00EC062F" w:rsidRPr="008A0F2C" w:rsidRDefault="00EC062F" w:rsidP="00EC062F">
      <w:pPr>
        <w:pStyle w:val="Numbered"/>
        <w:widowControl/>
        <w:numPr>
          <w:ilvl w:val="0"/>
          <w:numId w:val="41"/>
        </w:numPr>
        <w:rPr>
          <w:b/>
          <w:color w:val="000000"/>
        </w:rPr>
      </w:pPr>
      <w:r w:rsidRPr="008A0F2C">
        <w:rPr>
          <w:b/>
          <w:color w:val="000000"/>
        </w:rPr>
        <w:t>Project management and governance</w:t>
      </w:r>
    </w:p>
    <w:p w14:paraId="0874D6C6" w14:textId="77777777" w:rsidR="00EC062F" w:rsidRPr="008A0F2C" w:rsidRDefault="00EC062F" w:rsidP="00EC062F">
      <w:pPr>
        <w:pStyle w:val="Numbered"/>
        <w:widowControl/>
        <w:numPr>
          <w:ilvl w:val="0"/>
          <w:numId w:val="41"/>
        </w:numPr>
        <w:rPr>
          <w:b/>
          <w:color w:val="000000"/>
        </w:rPr>
      </w:pPr>
      <w:r w:rsidRPr="008A0F2C">
        <w:rPr>
          <w:b/>
          <w:color w:val="000000"/>
        </w:rPr>
        <w:t>Operational plan</w:t>
      </w:r>
    </w:p>
    <w:p w14:paraId="05603217" w14:textId="77777777" w:rsidR="00EC062F" w:rsidRPr="008A0F2C" w:rsidRDefault="00EC062F" w:rsidP="00EC062F">
      <w:pPr>
        <w:pStyle w:val="Numbered"/>
        <w:widowControl/>
        <w:numPr>
          <w:ilvl w:val="0"/>
          <w:numId w:val="41"/>
        </w:numPr>
        <w:rPr>
          <w:b/>
          <w:color w:val="000000"/>
        </w:rPr>
      </w:pPr>
      <w:r w:rsidRPr="008A0F2C">
        <w:rPr>
          <w:b/>
          <w:color w:val="000000"/>
        </w:rPr>
        <w:t xml:space="preserve">Risk and issues management </w:t>
      </w:r>
    </w:p>
    <w:p w14:paraId="566E4CC2" w14:textId="7C8817B2" w:rsidR="00EC062F" w:rsidRPr="008A0F2C" w:rsidRDefault="00EC062F" w:rsidP="00F5695A">
      <w:pPr>
        <w:pStyle w:val="Numbered"/>
        <w:widowControl/>
        <w:numPr>
          <w:ilvl w:val="0"/>
          <w:numId w:val="45"/>
        </w:numPr>
        <w:rPr>
          <w:b/>
          <w:color w:val="000000"/>
        </w:rPr>
      </w:pPr>
      <w:r w:rsidRPr="008A0F2C">
        <w:rPr>
          <w:b/>
          <w:color w:val="000000"/>
        </w:rPr>
        <w:t>Detailed costings breakdown</w:t>
      </w:r>
      <w:r w:rsidR="00F5695A">
        <w:rPr>
          <w:b/>
          <w:color w:val="000000"/>
        </w:rPr>
        <w:t xml:space="preserve">. </w:t>
      </w:r>
      <w:r w:rsidR="00F5695A" w:rsidRPr="00F5695A">
        <w:rPr>
          <w:color w:val="000000"/>
        </w:rPr>
        <w:t>Your</w:t>
      </w:r>
      <w:r w:rsidR="00F5695A">
        <w:rPr>
          <w:color w:val="000000"/>
        </w:rPr>
        <w:t xml:space="preserve"> costings breakdown should be in</w:t>
      </w:r>
      <w:r w:rsidR="00F5695A" w:rsidRPr="00F5695A">
        <w:rPr>
          <w:color w:val="000000"/>
        </w:rPr>
        <w:t xml:space="preserve"> a format consisten with that at Schedule 2 in Annex A (Terms and Conditions</w:t>
      </w:r>
      <w:r w:rsidR="00F5695A" w:rsidRPr="00F5695A">
        <w:rPr>
          <w:b/>
          <w:color w:val="000000"/>
        </w:rPr>
        <w:t>)</w:t>
      </w:r>
    </w:p>
    <w:p w14:paraId="6083955A" w14:textId="77777777" w:rsidR="00112CB4" w:rsidRDefault="00112CB4" w:rsidP="00EC062F">
      <w:pPr>
        <w:pStyle w:val="Numbered"/>
        <w:widowControl/>
        <w:rPr>
          <w:b/>
        </w:rPr>
      </w:pPr>
      <w:r>
        <w:rPr>
          <w:b/>
        </w:rPr>
        <w:t>Conclusions</w:t>
      </w:r>
    </w:p>
    <w:p w14:paraId="33058699" w14:textId="77777777" w:rsidR="00112CB4" w:rsidRDefault="00560BEF" w:rsidP="00112CB4">
      <w:pPr>
        <w:pStyle w:val="Numbered"/>
        <w:widowControl/>
        <w:ind w:left="720" w:hanging="720"/>
      </w:pPr>
      <w:r>
        <w:t>50</w:t>
      </w:r>
      <w:r w:rsidR="00112CB4">
        <w:tab/>
        <w:t>Whilst every endeavour has been made to give tenderers an accurate description of the Department's requirement, tenderers should make their own assessment about the methods and resources needed to meet those requirements.</w:t>
      </w:r>
    </w:p>
    <w:sectPr w:rsidR="00112CB4" w:rsidSect="00ED16FB">
      <w:headerReference w:type="default" r:id="rId22"/>
      <w:footerReference w:type="default" r:id="rId23"/>
      <w:footerReference w:type="first" r:id="rId24"/>
      <w:pgSz w:w="11909" w:h="16834" w:code="9"/>
      <w:pgMar w:top="1080" w:right="1152"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99977" w14:textId="77777777" w:rsidR="00201DD6" w:rsidRDefault="00201DD6">
      <w:r>
        <w:separator/>
      </w:r>
    </w:p>
  </w:endnote>
  <w:endnote w:type="continuationSeparator" w:id="0">
    <w:p w14:paraId="0719D6CD" w14:textId="77777777" w:rsidR="00201DD6" w:rsidRDefault="00201DD6">
      <w:r>
        <w:continuationSeparator/>
      </w:r>
    </w:p>
  </w:endnote>
  <w:endnote w:type="continuationNotice" w:id="1">
    <w:p w14:paraId="3D119616" w14:textId="77777777" w:rsidR="00201DD6" w:rsidRDefault="00201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3331D" w14:textId="3B028C2D" w:rsidR="00201DD6" w:rsidRDefault="00201DD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1771C">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771C">
      <w:rPr>
        <w:b/>
        <w:bCs/>
        <w:noProof/>
      </w:rPr>
      <w:t>9</w:t>
    </w:r>
    <w:r>
      <w:rPr>
        <w:b/>
        <w:bCs/>
        <w:sz w:val="24"/>
        <w:szCs w:val="24"/>
      </w:rPr>
      <w:fldChar w:fldCharType="end"/>
    </w:r>
  </w:p>
  <w:p w14:paraId="44FC9DF3" w14:textId="77777777" w:rsidR="00201DD6" w:rsidRDefault="00201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29545" w14:textId="77777777" w:rsidR="00201DD6" w:rsidRDefault="00201DD6">
    <w:pPr>
      <w:pStyle w:val="Footer"/>
    </w:pPr>
    <w:r>
      <w:t>July 2014 version</w:t>
    </w:r>
  </w:p>
  <w:p w14:paraId="32F53044" w14:textId="77777777" w:rsidR="00201DD6" w:rsidRDefault="00201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31696" w14:textId="77777777" w:rsidR="00201DD6" w:rsidRDefault="00201DD6">
      <w:r>
        <w:separator/>
      </w:r>
    </w:p>
  </w:footnote>
  <w:footnote w:type="continuationSeparator" w:id="0">
    <w:p w14:paraId="1A2E4D2C" w14:textId="77777777" w:rsidR="00201DD6" w:rsidRDefault="00201DD6">
      <w:r>
        <w:continuationSeparator/>
      </w:r>
    </w:p>
  </w:footnote>
  <w:footnote w:type="continuationNotice" w:id="1">
    <w:p w14:paraId="0189D11C" w14:textId="77777777" w:rsidR="00201DD6" w:rsidRDefault="00201D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13661" w14:textId="77777777" w:rsidR="00201DD6" w:rsidRDefault="00201DD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061D3314"/>
    <w:multiLevelType w:val="multilevel"/>
    <w:tmpl w:val="D19271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836312A"/>
    <w:multiLevelType w:val="hybridMultilevel"/>
    <w:tmpl w:val="C8A4B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365DCD"/>
    <w:multiLevelType w:val="hybridMultilevel"/>
    <w:tmpl w:val="2AF68578"/>
    <w:lvl w:ilvl="0" w:tplc="602848D2">
      <w:start w:val="1"/>
      <w:numFmt w:val="decimal"/>
      <w:lvlText w:val="%1."/>
      <w:lvlJc w:val="left"/>
      <w:pPr>
        <w:tabs>
          <w:tab w:val="num" w:pos="1440"/>
        </w:tabs>
        <w:ind w:left="1440" w:hanging="720"/>
      </w:pPr>
      <w:rPr>
        <w:rFonts w:hint="default"/>
        <w:sz w:val="28"/>
      </w:rPr>
    </w:lvl>
    <w:lvl w:ilvl="1" w:tplc="EF2283E4">
      <w:start w:val="1"/>
      <w:numFmt w:val="bullet"/>
      <w:lvlText w:val="-"/>
      <w:lvlJc w:val="left"/>
      <w:pPr>
        <w:tabs>
          <w:tab w:val="num" w:pos="1800"/>
        </w:tabs>
        <w:ind w:left="1800" w:hanging="360"/>
      </w:pPr>
      <w:rPr>
        <w:rFonts w:ascii="Arial" w:eastAsia="Times New Roman" w:hAnsi="Arial" w:cs="Aria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F804183"/>
    <w:multiLevelType w:val="hybridMultilevel"/>
    <w:tmpl w:val="F6BC39B6"/>
    <w:lvl w:ilvl="0" w:tplc="224E6C2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AD37A6"/>
    <w:multiLevelType w:val="hybridMultilevel"/>
    <w:tmpl w:val="5AB8B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F452F7"/>
    <w:multiLevelType w:val="hybridMultilevel"/>
    <w:tmpl w:val="253E382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5" w15:restartNumberingAfterBreak="0">
    <w:nsid w:val="3890371B"/>
    <w:multiLevelType w:val="hybridMultilevel"/>
    <w:tmpl w:val="A75CE4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3F01460"/>
    <w:multiLevelType w:val="hybridMultilevel"/>
    <w:tmpl w:val="5304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0" w15:restartNumberingAfterBreak="0">
    <w:nsid w:val="542F545E"/>
    <w:multiLevelType w:val="hybridMultilevel"/>
    <w:tmpl w:val="C1B60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1" w15:restartNumberingAfterBreak="0">
    <w:nsid w:val="548651CF"/>
    <w:multiLevelType w:val="hybridMultilevel"/>
    <w:tmpl w:val="7E9A7F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777353"/>
    <w:multiLevelType w:val="hybridMultilevel"/>
    <w:tmpl w:val="207ED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A14B34"/>
    <w:multiLevelType w:val="hybridMultilevel"/>
    <w:tmpl w:val="3F4C95DC"/>
    <w:lvl w:ilvl="0" w:tplc="11AC460A">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7" w15:restartNumberingAfterBreak="0">
    <w:nsid w:val="63E875EE"/>
    <w:multiLevelType w:val="hybridMultilevel"/>
    <w:tmpl w:val="D8083558"/>
    <w:lvl w:ilvl="0" w:tplc="1EA4EC48">
      <w:start w:val="2"/>
      <w:numFmt w:val="decimal"/>
      <w:lvlText w:val="%1."/>
      <w:lvlJc w:val="left"/>
      <w:pPr>
        <w:tabs>
          <w:tab w:val="num" w:pos="1080"/>
        </w:tabs>
        <w:ind w:left="1080" w:hanging="360"/>
      </w:pPr>
      <w:rPr>
        <w:rFonts w:hint="default"/>
      </w:rPr>
    </w:lvl>
    <w:lvl w:ilvl="1" w:tplc="0DCCD098">
      <w:start w:val="3"/>
      <w:numFmt w:val="bullet"/>
      <w:lvlText w:val="–"/>
      <w:lvlJc w:val="left"/>
      <w:pPr>
        <w:tabs>
          <w:tab w:val="num" w:pos="1800"/>
        </w:tabs>
        <w:ind w:left="1800" w:hanging="360"/>
      </w:pPr>
      <w:rPr>
        <w:rFonts w:ascii="Arial" w:eastAsia="Times New Roman" w:hAnsi="Arial" w:cs="Arial" w:hint="default"/>
      </w:rPr>
    </w:lvl>
    <w:lvl w:ilvl="2" w:tplc="0DCCD098">
      <w:start w:val="3"/>
      <w:numFmt w:val="bullet"/>
      <w:lvlText w:val="–"/>
      <w:lvlJc w:val="left"/>
      <w:pPr>
        <w:tabs>
          <w:tab w:val="num" w:pos="2700"/>
        </w:tabs>
        <w:ind w:left="2700" w:hanging="360"/>
      </w:pPr>
      <w:rPr>
        <w:rFonts w:ascii="Arial" w:eastAsia="Times New Roman" w:hAnsi="Aria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29"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0"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D371FFE"/>
    <w:multiLevelType w:val="hybridMultilevel"/>
    <w:tmpl w:val="29E0C4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6D8E224A"/>
    <w:multiLevelType w:val="hybridMultilevel"/>
    <w:tmpl w:val="671E582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20F716B"/>
    <w:multiLevelType w:val="hybridMultilevel"/>
    <w:tmpl w:val="4C3AB330"/>
    <w:lvl w:ilvl="0" w:tplc="2F6248E0">
      <w:start w:val="2"/>
      <w:numFmt w:val="bullet"/>
      <w:lvlText w:val="-"/>
      <w:lvlJc w:val="left"/>
      <w:pPr>
        <w:tabs>
          <w:tab w:val="num" w:pos="1728"/>
        </w:tabs>
        <w:ind w:left="1728" w:hanging="360"/>
      </w:pPr>
      <w:rPr>
        <w:rFonts w:ascii="Arial" w:eastAsia="Times New Roman" w:hAnsi="Arial" w:cs="Arial" w:hint="default"/>
      </w:rPr>
    </w:lvl>
    <w:lvl w:ilvl="1" w:tplc="04090001">
      <w:start w:val="1"/>
      <w:numFmt w:val="bullet"/>
      <w:lvlText w:val=""/>
      <w:lvlJc w:val="left"/>
      <w:pPr>
        <w:tabs>
          <w:tab w:val="num" w:pos="2448"/>
        </w:tabs>
        <w:ind w:left="2448" w:hanging="360"/>
      </w:pPr>
      <w:rPr>
        <w:rFonts w:ascii="Symbol" w:hAnsi="Symbo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35" w15:restartNumberingAfterBreak="0">
    <w:nsid w:val="754517BF"/>
    <w:multiLevelType w:val="multilevel"/>
    <w:tmpl w:val="3B6C276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6"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CF91FE5"/>
    <w:multiLevelType w:val="hybridMultilevel"/>
    <w:tmpl w:val="5D66ACCC"/>
    <w:lvl w:ilvl="0" w:tplc="599C32C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1"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7E560780"/>
    <w:multiLevelType w:val="hybridMultilevel"/>
    <w:tmpl w:val="BD7A800C"/>
    <w:lvl w:ilvl="0" w:tplc="0DCCD098">
      <w:start w:val="3"/>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44" w15:restartNumberingAfterBreak="0">
    <w:nsid w:val="7F4A083E"/>
    <w:multiLevelType w:val="hybridMultilevel"/>
    <w:tmpl w:val="D1681F5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3"/>
  </w:num>
  <w:num w:numId="2">
    <w:abstractNumId w:val="19"/>
  </w:num>
  <w:num w:numId="3">
    <w:abstractNumId w:val="26"/>
  </w:num>
  <w:num w:numId="4">
    <w:abstractNumId w:val="20"/>
  </w:num>
  <w:num w:numId="5">
    <w:abstractNumId w:val="42"/>
  </w:num>
  <w:num w:numId="6">
    <w:abstractNumId w:val="3"/>
  </w:num>
  <w:num w:numId="7">
    <w:abstractNumId w:val="34"/>
  </w:num>
  <w:num w:numId="8">
    <w:abstractNumId w:val="27"/>
  </w:num>
  <w:num w:numId="9">
    <w:abstractNumId w:val="8"/>
  </w:num>
  <w:num w:numId="10">
    <w:abstractNumId w:val="18"/>
  </w:num>
  <w:num w:numId="11">
    <w:abstractNumId w:val="25"/>
  </w:num>
  <w:num w:numId="12">
    <w:abstractNumId w:val="41"/>
  </w:num>
  <w:num w:numId="13">
    <w:abstractNumId w:val="31"/>
  </w:num>
  <w:num w:numId="14">
    <w:abstractNumId w:val="11"/>
  </w:num>
  <w:num w:numId="15">
    <w:abstractNumId w:val="12"/>
  </w:num>
  <w:num w:numId="16">
    <w:abstractNumId w:val="16"/>
  </w:num>
  <w:num w:numId="17">
    <w:abstractNumId w:val="30"/>
  </w:num>
  <w:num w:numId="18">
    <w:abstractNumId w:val="44"/>
  </w:num>
  <w:num w:numId="19">
    <w:abstractNumId w:val="4"/>
  </w:num>
  <w:num w:numId="20">
    <w:abstractNumId w:val="23"/>
  </w:num>
  <w:num w:numId="21">
    <w:abstractNumId w:val="36"/>
  </w:num>
  <w:num w:numId="22">
    <w:abstractNumId w:val="13"/>
  </w:num>
  <w:num w:numId="23">
    <w:abstractNumId w:val="35"/>
  </w:num>
  <w:num w:numId="24">
    <w:abstractNumId w:val="17"/>
  </w:num>
  <w:num w:numId="25">
    <w:abstractNumId w:val="29"/>
  </w:num>
  <w:num w:numId="26">
    <w:abstractNumId w:val="0"/>
  </w:num>
  <w:num w:numId="27">
    <w:abstractNumId w:val="14"/>
  </w:num>
  <w:num w:numId="28">
    <w:abstractNumId w:val="28"/>
  </w:num>
  <w:num w:numId="29">
    <w:abstractNumId w:val="1"/>
  </w:num>
  <w:num w:numId="30">
    <w:abstractNumId w:val="9"/>
  </w:num>
  <w:num w:numId="31">
    <w:abstractNumId w:val="24"/>
  </w:num>
  <w:num w:numId="32">
    <w:abstractNumId w:val="39"/>
  </w:num>
  <w:num w:numId="33">
    <w:abstractNumId w:val="40"/>
  </w:num>
  <w:num w:numId="34">
    <w:abstractNumId w:val="15"/>
  </w:num>
  <w:num w:numId="35">
    <w:abstractNumId w:val="21"/>
  </w:num>
  <w:num w:numId="36">
    <w:abstractNumId w:val="22"/>
  </w:num>
  <w:num w:numId="37">
    <w:abstractNumId w:val="2"/>
  </w:num>
  <w:num w:numId="38">
    <w:abstractNumId w:val="6"/>
  </w:num>
  <w:num w:numId="39">
    <w:abstractNumId w:val="5"/>
  </w:num>
  <w:num w:numId="40">
    <w:abstractNumId w:val="37"/>
  </w:num>
  <w:num w:numId="41">
    <w:abstractNumId w:val="33"/>
  </w:num>
  <w:num w:numId="42">
    <w:abstractNumId w:val="10"/>
  </w:num>
  <w:num w:numId="43">
    <w:abstractNumId w:val="32"/>
  </w:num>
  <w:num w:numId="44">
    <w:abstractNumId w:val="7"/>
  </w:num>
  <w:num w:numId="45">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21F30"/>
    <w:rsid w:val="000317FE"/>
    <w:rsid w:val="00041BFD"/>
    <w:rsid w:val="00045040"/>
    <w:rsid w:val="00060611"/>
    <w:rsid w:val="00060DA5"/>
    <w:rsid w:val="0007567D"/>
    <w:rsid w:val="00075789"/>
    <w:rsid w:val="00080B2D"/>
    <w:rsid w:val="00095CC3"/>
    <w:rsid w:val="00095D07"/>
    <w:rsid w:val="000A5349"/>
    <w:rsid w:val="000B3A94"/>
    <w:rsid w:val="000C0A4D"/>
    <w:rsid w:val="000C1EB1"/>
    <w:rsid w:val="000C361B"/>
    <w:rsid w:val="000C439B"/>
    <w:rsid w:val="000D00D0"/>
    <w:rsid w:val="000E026E"/>
    <w:rsid w:val="000E0DC9"/>
    <w:rsid w:val="000E2959"/>
    <w:rsid w:val="000E456E"/>
    <w:rsid w:val="000F3E54"/>
    <w:rsid w:val="000F4EB7"/>
    <w:rsid w:val="000F555F"/>
    <w:rsid w:val="000F79A1"/>
    <w:rsid w:val="00101E5F"/>
    <w:rsid w:val="00101FBF"/>
    <w:rsid w:val="00110988"/>
    <w:rsid w:val="00110A91"/>
    <w:rsid w:val="00111BC4"/>
    <w:rsid w:val="00112CB4"/>
    <w:rsid w:val="00117CFB"/>
    <w:rsid w:val="0012243A"/>
    <w:rsid w:val="0012387E"/>
    <w:rsid w:val="001362C7"/>
    <w:rsid w:val="001373DE"/>
    <w:rsid w:val="00141854"/>
    <w:rsid w:val="00147D18"/>
    <w:rsid w:val="001620A5"/>
    <w:rsid w:val="00163A3E"/>
    <w:rsid w:val="00165D84"/>
    <w:rsid w:val="0017105B"/>
    <w:rsid w:val="00174D29"/>
    <w:rsid w:val="00187DF5"/>
    <w:rsid w:val="00192326"/>
    <w:rsid w:val="00196D64"/>
    <w:rsid w:val="00197E9E"/>
    <w:rsid w:val="001A2A58"/>
    <w:rsid w:val="001A740F"/>
    <w:rsid w:val="001B4127"/>
    <w:rsid w:val="001C69F7"/>
    <w:rsid w:val="001D1C57"/>
    <w:rsid w:val="001D32D1"/>
    <w:rsid w:val="0020044A"/>
    <w:rsid w:val="00201DD6"/>
    <w:rsid w:val="0020646F"/>
    <w:rsid w:val="0020763E"/>
    <w:rsid w:val="00211921"/>
    <w:rsid w:val="00220935"/>
    <w:rsid w:val="00241056"/>
    <w:rsid w:val="002440DD"/>
    <w:rsid w:val="002441CE"/>
    <w:rsid w:val="00281684"/>
    <w:rsid w:val="002846AA"/>
    <w:rsid w:val="00287854"/>
    <w:rsid w:val="00294583"/>
    <w:rsid w:val="002945CF"/>
    <w:rsid w:val="00297385"/>
    <w:rsid w:val="002A6825"/>
    <w:rsid w:val="002B6384"/>
    <w:rsid w:val="002B774D"/>
    <w:rsid w:val="002E6E8C"/>
    <w:rsid w:val="002E71D7"/>
    <w:rsid w:val="002F1C10"/>
    <w:rsid w:val="002F23B3"/>
    <w:rsid w:val="002F2E57"/>
    <w:rsid w:val="00303483"/>
    <w:rsid w:val="0030594D"/>
    <w:rsid w:val="0031482E"/>
    <w:rsid w:val="00315DC2"/>
    <w:rsid w:val="00322F01"/>
    <w:rsid w:val="00327A48"/>
    <w:rsid w:val="00335C93"/>
    <w:rsid w:val="00337ADA"/>
    <w:rsid w:val="00344915"/>
    <w:rsid w:val="00345EC4"/>
    <w:rsid w:val="0034712E"/>
    <w:rsid w:val="003737A1"/>
    <w:rsid w:val="003747A2"/>
    <w:rsid w:val="00376E8A"/>
    <w:rsid w:val="0038598B"/>
    <w:rsid w:val="00387B8C"/>
    <w:rsid w:val="00397537"/>
    <w:rsid w:val="003A0DDB"/>
    <w:rsid w:val="003B157F"/>
    <w:rsid w:val="003B2FC3"/>
    <w:rsid w:val="003B557B"/>
    <w:rsid w:val="003C13F0"/>
    <w:rsid w:val="003C7D82"/>
    <w:rsid w:val="003E38BD"/>
    <w:rsid w:val="003F3D9D"/>
    <w:rsid w:val="003F4D78"/>
    <w:rsid w:val="00407FAE"/>
    <w:rsid w:val="004102E6"/>
    <w:rsid w:val="004109BC"/>
    <w:rsid w:val="004176BB"/>
    <w:rsid w:val="00420FF6"/>
    <w:rsid w:val="00432638"/>
    <w:rsid w:val="00436DEB"/>
    <w:rsid w:val="00441C66"/>
    <w:rsid w:val="004459C7"/>
    <w:rsid w:val="004471E5"/>
    <w:rsid w:val="00451181"/>
    <w:rsid w:val="004539B9"/>
    <w:rsid w:val="0046214C"/>
    <w:rsid w:val="00471153"/>
    <w:rsid w:val="00471563"/>
    <w:rsid w:val="0047222D"/>
    <w:rsid w:val="00480B33"/>
    <w:rsid w:val="00482CEB"/>
    <w:rsid w:val="00484C8F"/>
    <w:rsid w:val="004A69A4"/>
    <w:rsid w:val="004C6ED5"/>
    <w:rsid w:val="004E0C32"/>
    <w:rsid w:val="004E3A69"/>
    <w:rsid w:val="004E43CD"/>
    <w:rsid w:val="004F1D3A"/>
    <w:rsid w:val="004F286D"/>
    <w:rsid w:val="005018E9"/>
    <w:rsid w:val="00502923"/>
    <w:rsid w:val="00516973"/>
    <w:rsid w:val="0051771C"/>
    <w:rsid w:val="00523EE7"/>
    <w:rsid w:val="0052499A"/>
    <w:rsid w:val="005266BA"/>
    <w:rsid w:val="005356CD"/>
    <w:rsid w:val="005431C3"/>
    <w:rsid w:val="0054483C"/>
    <w:rsid w:val="00560BEF"/>
    <w:rsid w:val="00582E47"/>
    <w:rsid w:val="00586ED8"/>
    <w:rsid w:val="00590958"/>
    <w:rsid w:val="00596556"/>
    <w:rsid w:val="005965F3"/>
    <w:rsid w:val="005A3463"/>
    <w:rsid w:val="005B2F70"/>
    <w:rsid w:val="005C398D"/>
    <w:rsid w:val="005C39D9"/>
    <w:rsid w:val="005C60AA"/>
    <w:rsid w:val="005D1CD7"/>
    <w:rsid w:val="005D4E0E"/>
    <w:rsid w:val="005D5770"/>
    <w:rsid w:val="005D78EE"/>
    <w:rsid w:val="005E015F"/>
    <w:rsid w:val="005F0FAC"/>
    <w:rsid w:val="00607603"/>
    <w:rsid w:val="00610636"/>
    <w:rsid w:val="00612D07"/>
    <w:rsid w:val="00620AFE"/>
    <w:rsid w:val="0063212A"/>
    <w:rsid w:val="00641DA4"/>
    <w:rsid w:val="00643692"/>
    <w:rsid w:val="006458C4"/>
    <w:rsid w:val="00665895"/>
    <w:rsid w:val="00666A2C"/>
    <w:rsid w:val="00666F56"/>
    <w:rsid w:val="00671707"/>
    <w:rsid w:val="00676D7B"/>
    <w:rsid w:val="00680E9D"/>
    <w:rsid w:val="00683FE7"/>
    <w:rsid w:val="006A624E"/>
    <w:rsid w:val="006B4315"/>
    <w:rsid w:val="006B6166"/>
    <w:rsid w:val="006B69B7"/>
    <w:rsid w:val="006D330D"/>
    <w:rsid w:val="006D7869"/>
    <w:rsid w:val="006E771B"/>
    <w:rsid w:val="006F11F0"/>
    <w:rsid w:val="0070241B"/>
    <w:rsid w:val="0070259B"/>
    <w:rsid w:val="00703607"/>
    <w:rsid w:val="00703895"/>
    <w:rsid w:val="00714267"/>
    <w:rsid w:val="00715234"/>
    <w:rsid w:val="0071764C"/>
    <w:rsid w:val="00720FDF"/>
    <w:rsid w:val="0073163C"/>
    <w:rsid w:val="00741C84"/>
    <w:rsid w:val="007445CD"/>
    <w:rsid w:val="00744B7C"/>
    <w:rsid w:val="007514D6"/>
    <w:rsid w:val="00757B9C"/>
    <w:rsid w:val="00762AC0"/>
    <w:rsid w:val="00764029"/>
    <w:rsid w:val="0076592B"/>
    <w:rsid w:val="007854F7"/>
    <w:rsid w:val="00787478"/>
    <w:rsid w:val="00796AD5"/>
    <w:rsid w:val="007B19A3"/>
    <w:rsid w:val="007D3EAB"/>
    <w:rsid w:val="007D6863"/>
    <w:rsid w:val="007E1684"/>
    <w:rsid w:val="007E2590"/>
    <w:rsid w:val="007E3644"/>
    <w:rsid w:val="007F1F33"/>
    <w:rsid w:val="007F2B7A"/>
    <w:rsid w:val="007F430A"/>
    <w:rsid w:val="007F5390"/>
    <w:rsid w:val="00811A22"/>
    <w:rsid w:val="00814B57"/>
    <w:rsid w:val="00824505"/>
    <w:rsid w:val="008262B7"/>
    <w:rsid w:val="00830C01"/>
    <w:rsid w:val="00840B95"/>
    <w:rsid w:val="008433A1"/>
    <w:rsid w:val="00846548"/>
    <w:rsid w:val="00855148"/>
    <w:rsid w:val="00860A50"/>
    <w:rsid w:val="0086291F"/>
    <w:rsid w:val="0087296B"/>
    <w:rsid w:val="00875E47"/>
    <w:rsid w:val="0088161B"/>
    <w:rsid w:val="008824EC"/>
    <w:rsid w:val="008835E7"/>
    <w:rsid w:val="00891B6B"/>
    <w:rsid w:val="00894491"/>
    <w:rsid w:val="008A0F2C"/>
    <w:rsid w:val="008A1027"/>
    <w:rsid w:val="008A2D90"/>
    <w:rsid w:val="008B0D33"/>
    <w:rsid w:val="008C07B7"/>
    <w:rsid w:val="008C07D9"/>
    <w:rsid w:val="008D0145"/>
    <w:rsid w:val="008D2E5B"/>
    <w:rsid w:val="008E4101"/>
    <w:rsid w:val="008E4796"/>
    <w:rsid w:val="008F3A3F"/>
    <w:rsid w:val="008F4480"/>
    <w:rsid w:val="008F65EB"/>
    <w:rsid w:val="009003B1"/>
    <w:rsid w:val="00914E2B"/>
    <w:rsid w:val="00916890"/>
    <w:rsid w:val="00923B3C"/>
    <w:rsid w:val="00934144"/>
    <w:rsid w:val="00935CEC"/>
    <w:rsid w:val="00936766"/>
    <w:rsid w:val="00942764"/>
    <w:rsid w:val="0094523E"/>
    <w:rsid w:val="00945E0A"/>
    <w:rsid w:val="009464A7"/>
    <w:rsid w:val="00953300"/>
    <w:rsid w:val="009605D2"/>
    <w:rsid w:val="00965E99"/>
    <w:rsid w:val="00966F20"/>
    <w:rsid w:val="0097697B"/>
    <w:rsid w:val="0098035A"/>
    <w:rsid w:val="00986FE1"/>
    <w:rsid w:val="0099078A"/>
    <w:rsid w:val="009A47B9"/>
    <w:rsid w:val="009A5881"/>
    <w:rsid w:val="009B7D7F"/>
    <w:rsid w:val="009B7FF0"/>
    <w:rsid w:val="009C2557"/>
    <w:rsid w:val="009C2CDB"/>
    <w:rsid w:val="009D1592"/>
    <w:rsid w:val="009D5DAA"/>
    <w:rsid w:val="009E2CDF"/>
    <w:rsid w:val="009F4189"/>
    <w:rsid w:val="009F63A8"/>
    <w:rsid w:val="00A06BCA"/>
    <w:rsid w:val="00A15683"/>
    <w:rsid w:val="00A164B7"/>
    <w:rsid w:val="00A20DD7"/>
    <w:rsid w:val="00A220B3"/>
    <w:rsid w:val="00A22A79"/>
    <w:rsid w:val="00A261F0"/>
    <w:rsid w:val="00A30EE0"/>
    <w:rsid w:val="00A319DD"/>
    <w:rsid w:val="00A361B6"/>
    <w:rsid w:val="00A377B7"/>
    <w:rsid w:val="00A418E2"/>
    <w:rsid w:val="00A52A6C"/>
    <w:rsid w:val="00A57C51"/>
    <w:rsid w:val="00A60038"/>
    <w:rsid w:val="00A90C7F"/>
    <w:rsid w:val="00AA15DF"/>
    <w:rsid w:val="00AB264B"/>
    <w:rsid w:val="00AB38B8"/>
    <w:rsid w:val="00AB5128"/>
    <w:rsid w:val="00AC06D1"/>
    <w:rsid w:val="00AD0170"/>
    <w:rsid w:val="00AD2A0D"/>
    <w:rsid w:val="00AD453E"/>
    <w:rsid w:val="00AD4ED2"/>
    <w:rsid w:val="00AE08C6"/>
    <w:rsid w:val="00AE6726"/>
    <w:rsid w:val="00B0166C"/>
    <w:rsid w:val="00B16236"/>
    <w:rsid w:val="00B304BF"/>
    <w:rsid w:val="00B32E75"/>
    <w:rsid w:val="00B4054E"/>
    <w:rsid w:val="00B45259"/>
    <w:rsid w:val="00B523A7"/>
    <w:rsid w:val="00B60590"/>
    <w:rsid w:val="00B64BB1"/>
    <w:rsid w:val="00B84C38"/>
    <w:rsid w:val="00B86EAE"/>
    <w:rsid w:val="00B9277B"/>
    <w:rsid w:val="00B9425E"/>
    <w:rsid w:val="00BA50DE"/>
    <w:rsid w:val="00BC6008"/>
    <w:rsid w:val="00BE1EDF"/>
    <w:rsid w:val="00BE2AE2"/>
    <w:rsid w:val="00BE7EAD"/>
    <w:rsid w:val="00BF1C9C"/>
    <w:rsid w:val="00BF5644"/>
    <w:rsid w:val="00C25890"/>
    <w:rsid w:val="00C25E55"/>
    <w:rsid w:val="00C337BE"/>
    <w:rsid w:val="00C4181A"/>
    <w:rsid w:val="00C5661E"/>
    <w:rsid w:val="00C669B4"/>
    <w:rsid w:val="00C852FC"/>
    <w:rsid w:val="00C91ADF"/>
    <w:rsid w:val="00CA1712"/>
    <w:rsid w:val="00CA1719"/>
    <w:rsid w:val="00CA3CF4"/>
    <w:rsid w:val="00CA4548"/>
    <w:rsid w:val="00CA7035"/>
    <w:rsid w:val="00CB0B3E"/>
    <w:rsid w:val="00CB1B19"/>
    <w:rsid w:val="00CB6209"/>
    <w:rsid w:val="00CC5C39"/>
    <w:rsid w:val="00CD3F49"/>
    <w:rsid w:val="00CD6659"/>
    <w:rsid w:val="00CD6FE7"/>
    <w:rsid w:val="00CE078A"/>
    <w:rsid w:val="00CE1381"/>
    <w:rsid w:val="00CE4F1C"/>
    <w:rsid w:val="00CF7BFC"/>
    <w:rsid w:val="00D00837"/>
    <w:rsid w:val="00D01C0E"/>
    <w:rsid w:val="00D073CA"/>
    <w:rsid w:val="00D114B8"/>
    <w:rsid w:val="00D205AF"/>
    <w:rsid w:val="00D2188E"/>
    <w:rsid w:val="00D21FB7"/>
    <w:rsid w:val="00D238AB"/>
    <w:rsid w:val="00D26C57"/>
    <w:rsid w:val="00D35F29"/>
    <w:rsid w:val="00D36AF3"/>
    <w:rsid w:val="00D4583E"/>
    <w:rsid w:val="00D548FB"/>
    <w:rsid w:val="00D55A52"/>
    <w:rsid w:val="00D71F29"/>
    <w:rsid w:val="00D72D15"/>
    <w:rsid w:val="00D77604"/>
    <w:rsid w:val="00D81E4C"/>
    <w:rsid w:val="00D92EA0"/>
    <w:rsid w:val="00DB445E"/>
    <w:rsid w:val="00DC42E3"/>
    <w:rsid w:val="00DC6A1C"/>
    <w:rsid w:val="00DD3790"/>
    <w:rsid w:val="00DD585C"/>
    <w:rsid w:val="00DD7252"/>
    <w:rsid w:val="00DE1027"/>
    <w:rsid w:val="00DE2DA6"/>
    <w:rsid w:val="00DF21A9"/>
    <w:rsid w:val="00E107B0"/>
    <w:rsid w:val="00E2115D"/>
    <w:rsid w:val="00E21D45"/>
    <w:rsid w:val="00E35528"/>
    <w:rsid w:val="00E4476A"/>
    <w:rsid w:val="00E61151"/>
    <w:rsid w:val="00E62240"/>
    <w:rsid w:val="00E63FCB"/>
    <w:rsid w:val="00E65535"/>
    <w:rsid w:val="00E66D86"/>
    <w:rsid w:val="00E84324"/>
    <w:rsid w:val="00E85129"/>
    <w:rsid w:val="00E961EF"/>
    <w:rsid w:val="00EB18F8"/>
    <w:rsid w:val="00EB4B2D"/>
    <w:rsid w:val="00EC062F"/>
    <w:rsid w:val="00EC31F2"/>
    <w:rsid w:val="00EC4100"/>
    <w:rsid w:val="00ED16FB"/>
    <w:rsid w:val="00ED24CE"/>
    <w:rsid w:val="00ED620B"/>
    <w:rsid w:val="00EE4849"/>
    <w:rsid w:val="00EF47A8"/>
    <w:rsid w:val="00EF6F7F"/>
    <w:rsid w:val="00F0116D"/>
    <w:rsid w:val="00F01B44"/>
    <w:rsid w:val="00F02CE8"/>
    <w:rsid w:val="00F05113"/>
    <w:rsid w:val="00F257F8"/>
    <w:rsid w:val="00F309BE"/>
    <w:rsid w:val="00F32A9D"/>
    <w:rsid w:val="00F335C7"/>
    <w:rsid w:val="00F4442A"/>
    <w:rsid w:val="00F51B02"/>
    <w:rsid w:val="00F5695A"/>
    <w:rsid w:val="00F64ECB"/>
    <w:rsid w:val="00F675CC"/>
    <w:rsid w:val="00F72102"/>
    <w:rsid w:val="00F72ADE"/>
    <w:rsid w:val="00F839AC"/>
    <w:rsid w:val="00F83E4B"/>
    <w:rsid w:val="00F85041"/>
    <w:rsid w:val="00F85DC6"/>
    <w:rsid w:val="00F943D9"/>
    <w:rsid w:val="00FA0774"/>
    <w:rsid w:val="00FB2AFE"/>
    <w:rsid w:val="00FB3E91"/>
    <w:rsid w:val="00FB76A3"/>
    <w:rsid w:val="00FC0CD5"/>
    <w:rsid w:val="00FC6D03"/>
    <w:rsid w:val="00FC720C"/>
    <w:rsid w:val="00FC7DC5"/>
    <w:rsid w:val="00FE00D0"/>
    <w:rsid w:val="00FE18DF"/>
    <w:rsid w:val="00FF04C9"/>
    <w:rsid w:val="00FF0AEF"/>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6DF6E"/>
  <w15:chartTrackingRefBased/>
  <w15:docId w15:val="{D8E6A439-FF11-4CA8-BD78-F2471F90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BC4"/>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qFormat/>
    <w:pPr>
      <w:outlineLvl w:val="4"/>
    </w:pPr>
  </w:style>
  <w:style w:type="paragraph" w:styleId="Heading6">
    <w:name w:val="heading 6"/>
    <w:aliases w:val="Numbered - 6,Heading 6(unused),Legal Level 1.,L1 PIP,Heading 6  Appendix Y &amp; Z,Lev 6,H6 DO NOT USE,Bullet list,PA Appendix,H6,H61,PR14"/>
    <w:basedOn w:val="Heading5"/>
    <w:next w:val="Normal"/>
    <w:qFormat/>
    <w:pPr>
      <w:outlineLvl w:val="5"/>
    </w:pPr>
  </w:style>
  <w:style w:type="paragraph" w:styleId="Heading7">
    <w:name w:val="heading 7"/>
    <w:aliases w:val="Numbered - 7,Heading 7(unused),Legal Level 1.1.,L2 PIP,Lev 7,H7DO NOT USE,PA Appendix Major"/>
    <w:basedOn w:val="Heading6"/>
    <w:next w:val="Normal"/>
    <w:qFormat/>
    <w:pPr>
      <w:outlineLvl w:val="6"/>
    </w:pPr>
  </w:style>
  <w:style w:type="paragraph" w:styleId="Heading8">
    <w:name w:val="heading 8"/>
    <w:aliases w:val="Numbered - 8,Legal Level 1.1.1.,Lev 8,h8 DO NOT USE,PA Appendix Minor"/>
    <w:basedOn w:val="Heading7"/>
    <w:next w:val="Normal"/>
    <w:qFormat/>
    <w:pPr>
      <w:outlineLvl w:val="7"/>
    </w:pPr>
  </w:style>
  <w:style w:type="paragraph" w:styleId="Heading9">
    <w:name w:val="heading 9"/>
    <w:aliases w:val="Numbered - 9,Heading 9 (defunct),Legal Level 1.1.1.1.,Lev 9,h9 DO NOT USE,App Heading,Titre 10,App1"/>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15"/>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9"/>
      </w:numPr>
      <w:spacing w:after="240"/>
    </w:pPr>
    <w:rPr>
      <w:rFonts w:cs="Times New Roman"/>
      <w:sz w:val="24"/>
      <w:szCs w:val="20"/>
      <w:lang w:eastAsia="en-US"/>
    </w:rPr>
  </w:style>
  <w:style w:type="paragraph" w:customStyle="1" w:styleId="DeptBullets">
    <w:name w:val="DeptBullets"/>
    <w:basedOn w:val="Normal"/>
    <w:rsid w:val="00744B7C"/>
    <w:pPr>
      <w:numPr>
        <w:numId w:val="10"/>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basedOn w:val="Normal"/>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paragraph" w:customStyle="1" w:styleId="Normal1">
    <w:name w:val="Normal1"/>
    <w:rsid w:val="00E65535"/>
    <w:rPr>
      <w:color w:val="000000"/>
      <w:sz w:val="24"/>
      <w:szCs w:val="24"/>
      <w:lang w:eastAsia="en-US"/>
    </w:rPr>
  </w:style>
  <w:style w:type="paragraph" w:styleId="CommentSubject">
    <w:name w:val="annotation subject"/>
    <w:basedOn w:val="CommentText"/>
    <w:next w:val="CommentText"/>
    <w:link w:val="CommentSubjectChar"/>
    <w:rsid w:val="009C2557"/>
    <w:rPr>
      <w:b/>
      <w:bCs/>
    </w:rPr>
  </w:style>
  <w:style w:type="character" w:customStyle="1" w:styleId="CommentSubjectChar">
    <w:name w:val="Comment Subject Char"/>
    <w:link w:val="CommentSubject"/>
    <w:rsid w:val="009C2557"/>
    <w:rPr>
      <w:rFonts w:ascii="Arial" w:hAnsi="Arial" w:cs="Mangal"/>
      <w:b/>
      <w:bCs/>
      <w:szCs w:val="18"/>
    </w:rPr>
  </w:style>
  <w:style w:type="paragraph" w:styleId="Revision">
    <w:name w:val="Revision"/>
    <w:hidden/>
    <w:uiPriority w:val="99"/>
    <w:semiHidden/>
    <w:rsid w:val="00CB6209"/>
    <w:rPr>
      <w:rFonts w:ascii="Arial" w:hAnsi="Arial" w:cs="Mang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43444970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ah.Carter@education.gov.uk" TargetMode="External"/><Relationship Id="rId18" Type="http://schemas.openxmlformats.org/officeDocument/2006/relationships/hyperlink" Target="https://www.gov.uk/government/publications/government-security-classific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government-security-classifications" TargetMode="External"/><Relationship Id="rId7" Type="http://schemas.openxmlformats.org/officeDocument/2006/relationships/settings" Target="settings.xml"/><Relationship Id="rId12" Type="http://schemas.openxmlformats.org/officeDocument/2006/relationships/hyperlink" Target="mailto:MentalHealth.TEAM@education.gov.uk" TargetMode="External"/><Relationship Id="rId17" Type="http://schemas.openxmlformats.org/officeDocument/2006/relationships/hyperlink" Target="https://www.gov.uk/government/uploads/system/uploads/attachment_data/file/458554/Procurement_Policy_Note_13_15.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ntalHealth.TEAM@education.gov.uk" TargetMode="External"/><Relationship Id="rId20" Type="http://schemas.openxmlformats.org/officeDocument/2006/relationships/hyperlink" Target="http://www.cyberstreetwise.com/cyberessenti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eer.support@education.gov.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cyber-essentials-scheme-over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er.support@education.gov.uk"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C4D8C0C0E6F1449E09AB4E0B698E47" ma:contentTypeVersion="1" ma:contentTypeDescription="Create a new document." ma:contentTypeScope="" ma:versionID="1d6710679ce6a22bdd8c68e36ff2033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C1C5F-E6BF-487A-87C7-E2CD769B32F2}">
  <ds:schemaRefs>
    <ds:schemaRef ds:uri="http://schemas.microsoft.com/sharepoint/v3/contenttype/forms"/>
  </ds:schemaRefs>
</ds:datastoreItem>
</file>

<file path=customXml/itemProps2.xml><?xml version="1.0" encoding="utf-8"?>
<ds:datastoreItem xmlns:ds="http://schemas.openxmlformats.org/officeDocument/2006/customXml" ds:itemID="{1541D91B-02F0-435D-85E1-17DEE474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57D45-CE97-4562-8C66-B592C42EB0F3}">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16C647C-726C-4936-B207-E7EEF2BD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7</TotalTime>
  <Pages>9</Pages>
  <Words>3186</Words>
  <Characters>18164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Model Invitation to Tender Letter</vt:lpstr>
    </vt:vector>
  </TitlesOfParts>
  <Company>DfEE</Company>
  <LinksUpToDate>false</LinksUpToDate>
  <CharactersWithSpaces>21308</CharactersWithSpaces>
  <SharedDoc>false</SharedDoc>
  <HLinks>
    <vt:vector size="48" baseType="variant">
      <vt:variant>
        <vt:i4>7209083</vt:i4>
      </vt:variant>
      <vt:variant>
        <vt:i4>21</vt:i4>
      </vt:variant>
      <vt:variant>
        <vt:i4>0</vt:i4>
      </vt:variant>
      <vt:variant>
        <vt:i4>5</vt:i4>
      </vt:variant>
      <vt:variant>
        <vt:lpwstr>https://www.gov.uk/government/publications/government-security-classifications</vt:lpwstr>
      </vt:variant>
      <vt:variant>
        <vt:lpwstr/>
      </vt:variant>
      <vt:variant>
        <vt:i4>3932195</vt:i4>
      </vt:variant>
      <vt:variant>
        <vt:i4>18</vt:i4>
      </vt:variant>
      <vt:variant>
        <vt:i4>0</vt:i4>
      </vt:variant>
      <vt:variant>
        <vt:i4>5</vt:i4>
      </vt:variant>
      <vt:variant>
        <vt:lpwstr>http://www.cyberstreetwise.com/cyberessentials</vt:lpwstr>
      </vt:variant>
      <vt:variant>
        <vt:lpwstr/>
      </vt:variant>
      <vt:variant>
        <vt:i4>6684731</vt:i4>
      </vt:variant>
      <vt:variant>
        <vt:i4>15</vt:i4>
      </vt:variant>
      <vt:variant>
        <vt:i4>0</vt:i4>
      </vt:variant>
      <vt:variant>
        <vt:i4>5</vt:i4>
      </vt:variant>
      <vt:variant>
        <vt:lpwstr>https://www.gov.uk/government/publications/cyber-essentials-scheme-overview</vt:lpwstr>
      </vt:variant>
      <vt:variant>
        <vt:lpwstr/>
      </vt:variant>
      <vt:variant>
        <vt:i4>7209083</vt:i4>
      </vt:variant>
      <vt:variant>
        <vt:i4>12</vt:i4>
      </vt:variant>
      <vt:variant>
        <vt:i4>0</vt:i4>
      </vt:variant>
      <vt:variant>
        <vt:i4>5</vt:i4>
      </vt:variant>
      <vt:variant>
        <vt:lpwstr>https://www.gov.uk/government/publications/government-security-classifications</vt:lpwstr>
      </vt:variant>
      <vt:variant>
        <vt:lpwstr/>
      </vt:variant>
      <vt:variant>
        <vt:i4>5242991</vt:i4>
      </vt:variant>
      <vt:variant>
        <vt:i4>9</vt:i4>
      </vt:variant>
      <vt:variant>
        <vt:i4>0</vt:i4>
      </vt:variant>
      <vt:variant>
        <vt:i4>5</vt:i4>
      </vt:variant>
      <vt:variant>
        <vt:lpwstr>https://www.gov.uk/government/uploads/system/uploads/attachment_data/file/458554/Procurement_Policy_Note_13_15.pdf</vt:lpwstr>
      </vt:variant>
      <vt:variant>
        <vt:lpwstr/>
      </vt:variant>
      <vt:variant>
        <vt:i4>4784240</vt:i4>
      </vt:variant>
      <vt:variant>
        <vt:i4>6</vt:i4>
      </vt:variant>
      <vt:variant>
        <vt:i4>0</vt:i4>
      </vt:variant>
      <vt:variant>
        <vt:i4>5</vt:i4>
      </vt:variant>
      <vt:variant>
        <vt:lpwstr>mailto:MentalHealth.TEAM@education.gov.uk</vt:lpwstr>
      </vt:variant>
      <vt:variant>
        <vt:lpwstr/>
      </vt:variant>
      <vt:variant>
        <vt:i4>4784240</vt:i4>
      </vt:variant>
      <vt:variant>
        <vt:i4>3</vt:i4>
      </vt:variant>
      <vt:variant>
        <vt:i4>0</vt:i4>
      </vt:variant>
      <vt:variant>
        <vt:i4>5</vt:i4>
      </vt:variant>
      <vt:variant>
        <vt:lpwstr>mailto:MentalHealth.TEAM@education.gov.uk</vt:lpwstr>
      </vt:variant>
      <vt:variant>
        <vt:lpwstr/>
      </vt:variant>
      <vt:variant>
        <vt:i4>4784240</vt:i4>
      </vt:variant>
      <vt:variant>
        <vt:i4>0</vt:i4>
      </vt:variant>
      <vt:variant>
        <vt:i4>0</vt:i4>
      </vt:variant>
      <vt:variant>
        <vt:i4>5</vt:i4>
      </vt:variant>
      <vt:variant>
        <vt:lpwstr>mailto:MentalHealth.TEAM@education.gov.uk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dc:title>
  <dc:subject/>
  <dc:creator>(set for each user)</dc:creator>
  <cp:keywords>Version 1</cp:keywords>
  <dc:description/>
  <cp:lastModifiedBy>CARTER, Sarah</cp:lastModifiedBy>
  <cp:revision>3</cp:revision>
  <cp:lastPrinted>2012-05-15T11:10:00Z</cp:lastPrinted>
  <dcterms:created xsi:type="dcterms:W3CDTF">2017-03-27T11:08:00Z</dcterms:created>
  <dcterms:modified xsi:type="dcterms:W3CDTF">2017-03-28T07:56:00Z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ies>
</file>