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96" w:rsidRDefault="00AD2796" w:rsidP="00124FBD">
      <w:pPr>
        <w:jc w:val="center"/>
        <w:rPr>
          <w:b/>
          <w:sz w:val="32"/>
          <w:szCs w:val="32"/>
        </w:rPr>
      </w:pPr>
    </w:p>
    <w:p w:rsidR="00167255" w:rsidRDefault="00124FBD" w:rsidP="00124FBD">
      <w:pPr>
        <w:jc w:val="center"/>
        <w:rPr>
          <w:b/>
          <w:sz w:val="32"/>
          <w:szCs w:val="32"/>
        </w:rPr>
      </w:pPr>
      <w:r w:rsidRPr="00124FBD">
        <w:rPr>
          <w:b/>
          <w:sz w:val="32"/>
          <w:szCs w:val="32"/>
        </w:rPr>
        <w:t xml:space="preserve">Tender invitation for </w:t>
      </w:r>
      <w:r w:rsidR="00421B98">
        <w:rPr>
          <w:b/>
          <w:sz w:val="32"/>
          <w:szCs w:val="32"/>
        </w:rPr>
        <w:t>Replacement Floodlights at Gang Warily</w:t>
      </w:r>
      <w:r w:rsidR="0067376D">
        <w:rPr>
          <w:b/>
          <w:sz w:val="32"/>
          <w:szCs w:val="32"/>
        </w:rPr>
        <w:t xml:space="preserve"> Recreation and Community Centre, Fawley, Hampshire</w:t>
      </w:r>
    </w:p>
    <w:tbl>
      <w:tblPr>
        <w:tblStyle w:val="TableGrid"/>
        <w:tblW w:w="0" w:type="auto"/>
        <w:tblLook w:val="04A0"/>
      </w:tblPr>
      <w:tblGrid>
        <w:gridCol w:w="9242"/>
      </w:tblGrid>
      <w:tr w:rsidR="00124FBD" w:rsidTr="00124FBD">
        <w:tc>
          <w:tcPr>
            <w:tcW w:w="9242" w:type="dxa"/>
          </w:tcPr>
          <w:p w:rsidR="00124FBD" w:rsidRPr="007F7B56" w:rsidRDefault="00124FBD" w:rsidP="00124FBD">
            <w:r>
              <w:rPr>
                <w:b/>
              </w:rPr>
              <w:t>Basis of contract</w:t>
            </w:r>
            <w:r w:rsidR="007F7B56">
              <w:rPr>
                <w:b/>
              </w:rPr>
              <w:t xml:space="preserve">                </w:t>
            </w:r>
            <w:r w:rsidR="00F2147F">
              <w:t xml:space="preserve">New Forest District </w:t>
            </w:r>
            <w:r w:rsidR="003B1507" w:rsidRPr="003B1507">
              <w:t>Council</w:t>
            </w:r>
            <w:r w:rsidR="003B1507">
              <w:rPr>
                <w:b/>
              </w:rPr>
              <w:t xml:space="preserve"> </w:t>
            </w:r>
            <w:r w:rsidR="007F7B56">
              <w:t>Standard Terms and Conditions</w:t>
            </w:r>
          </w:p>
          <w:p w:rsidR="00124FBD" w:rsidRPr="00124FBD" w:rsidRDefault="00124FBD" w:rsidP="00124FBD">
            <w:pPr>
              <w:rPr>
                <w:b/>
              </w:rPr>
            </w:pPr>
          </w:p>
        </w:tc>
      </w:tr>
      <w:tr w:rsidR="00124FBD" w:rsidTr="00124FBD">
        <w:tc>
          <w:tcPr>
            <w:tcW w:w="9242" w:type="dxa"/>
          </w:tcPr>
          <w:p w:rsidR="00124FBD" w:rsidRDefault="00124FBD" w:rsidP="00124FBD">
            <w:pPr>
              <w:rPr>
                <w:b/>
              </w:rPr>
            </w:pPr>
            <w:r>
              <w:rPr>
                <w:b/>
              </w:rPr>
              <w:t>Additional information provided during the tendering period</w:t>
            </w:r>
          </w:p>
          <w:p w:rsidR="00124FBD" w:rsidRDefault="00124FBD" w:rsidP="00124FBD">
            <w:pPr>
              <w:rPr>
                <w:b/>
              </w:rPr>
            </w:pPr>
          </w:p>
          <w:p w:rsidR="00124FBD" w:rsidRDefault="00124FBD" w:rsidP="00124FBD">
            <w:r>
              <w:t xml:space="preserve">Additional information may be requested </w:t>
            </w:r>
            <w:r w:rsidR="0064142D">
              <w:t xml:space="preserve">during </w:t>
            </w:r>
            <w:r>
              <w:t xml:space="preserve">the tendering period by contacting the Clerk to the Council at </w:t>
            </w:r>
            <w:hyperlink r:id="rId5" w:history="1">
              <w:r w:rsidRPr="00BA18D7">
                <w:rPr>
                  <w:rStyle w:val="Hyperlink"/>
                </w:rPr>
                <w:t>clerk@fawleyparishcouncil.org.uk</w:t>
              </w:r>
            </w:hyperlink>
            <w:r>
              <w:t xml:space="preserve"> or 02380-890761 no later than </w:t>
            </w:r>
            <w:r w:rsidR="00077A82">
              <w:rPr>
                <w:b/>
              </w:rPr>
              <w:t xml:space="preserve">Friday </w:t>
            </w:r>
            <w:r w:rsidR="002E09D0">
              <w:rPr>
                <w:b/>
              </w:rPr>
              <w:t>15</w:t>
            </w:r>
            <w:r w:rsidR="002E09D0" w:rsidRPr="002E09D0">
              <w:rPr>
                <w:b/>
                <w:vertAlign w:val="superscript"/>
              </w:rPr>
              <w:t>th</w:t>
            </w:r>
            <w:r w:rsidR="00F2147F">
              <w:rPr>
                <w:b/>
              </w:rPr>
              <w:t xml:space="preserve"> May</w:t>
            </w:r>
            <w:r w:rsidR="00077A82">
              <w:rPr>
                <w:b/>
              </w:rPr>
              <w:t xml:space="preserve"> 2015</w:t>
            </w:r>
            <w:r>
              <w:t xml:space="preserve">. Responses to the additional information requested will be provided </w:t>
            </w:r>
            <w:r w:rsidR="0064142D">
              <w:t>no later than 3 working days before the deadline for tender submissions.</w:t>
            </w:r>
            <w:r w:rsidR="0096797B">
              <w:t xml:space="preserve"> Site visits can be arranged by appointment only by contacting the clerk to the council on the contact details above.</w:t>
            </w:r>
          </w:p>
          <w:p w:rsidR="00077A82" w:rsidRDefault="00077A82" w:rsidP="00124FBD"/>
          <w:p w:rsidR="00077A82" w:rsidRDefault="00077A82" w:rsidP="00124FBD">
            <w:pPr>
              <w:rPr>
                <w:b/>
              </w:rPr>
            </w:pPr>
            <w:r>
              <w:t xml:space="preserve">All tenders must be returned in a sealed envelope clearly marked, </w:t>
            </w:r>
            <w:r w:rsidRPr="00077A82">
              <w:rPr>
                <w:b/>
              </w:rPr>
              <w:t>‘Tender Return – Floodlights at Gang Warily’</w:t>
            </w:r>
            <w:r>
              <w:t xml:space="preserve"> and returned no later than </w:t>
            </w:r>
            <w:r>
              <w:rPr>
                <w:b/>
              </w:rPr>
              <w:t xml:space="preserve">noon on Friday </w:t>
            </w:r>
            <w:r w:rsidR="002E09D0">
              <w:rPr>
                <w:b/>
              </w:rPr>
              <w:t>22nd</w:t>
            </w:r>
            <w:r w:rsidR="00F2147F">
              <w:rPr>
                <w:b/>
              </w:rPr>
              <w:t xml:space="preserve"> </w:t>
            </w:r>
            <w:r w:rsidR="00A65473">
              <w:rPr>
                <w:b/>
              </w:rPr>
              <w:t>May</w:t>
            </w:r>
            <w:r>
              <w:rPr>
                <w:b/>
              </w:rPr>
              <w:t xml:space="preserve"> 2015.</w:t>
            </w:r>
          </w:p>
          <w:p w:rsidR="00077A82" w:rsidRDefault="00077A82" w:rsidP="00124FBD">
            <w:pPr>
              <w:rPr>
                <w:b/>
              </w:rPr>
            </w:pPr>
          </w:p>
          <w:p w:rsidR="00077A82" w:rsidRPr="00077A82" w:rsidRDefault="00077A82" w:rsidP="00077A82">
            <w:pPr>
              <w:rPr>
                <w:rFonts w:cs="Arial"/>
              </w:rPr>
            </w:pPr>
            <w:r w:rsidRPr="00077A82">
              <w:rPr>
                <w:rFonts w:cs="Arial"/>
              </w:rPr>
              <w:t>All tenders will remain sealed and in a secure location until they are opened by the Clerk to the council in the presence of at least one member of the Council. On evaluation of the submitted tenders, the successful bidder will be notified and a date confirmed to commence the project. All other bidders will be notified that on this occasion they have been unsuccessful.</w:t>
            </w:r>
          </w:p>
          <w:p w:rsidR="00124FBD" w:rsidRPr="00124FBD" w:rsidRDefault="00124FBD" w:rsidP="00124FBD">
            <w:pPr>
              <w:rPr>
                <w:b/>
              </w:rPr>
            </w:pPr>
          </w:p>
        </w:tc>
      </w:tr>
      <w:tr w:rsidR="00124FBD" w:rsidTr="00124FBD">
        <w:tc>
          <w:tcPr>
            <w:tcW w:w="9242" w:type="dxa"/>
          </w:tcPr>
          <w:p w:rsidR="00124FBD" w:rsidRDefault="00124FBD" w:rsidP="00124FBD">
            <w:pPr>
              <w:rPr>
                <w:b/>
              </w:rPr>
            </w:pPr>
            <w:r>
              <w:rPr>
                <w:b/>
              </w:rPr>
              <w:t>Specification</w:t>
            </w:r>
          </w:p>
          <w:p w:rsidR="00124FBD" w:rsidRDefault="00124FBD" w:rsidP="00124FBD">
            <w:pPr>
              <w:rPr>
                <w:b/>
              </w:rPr>
            </w:pPr>
          </w:p>
          <w:p w:rsidR="00BE2956" w:rsidRDefault="0064142D" w:rsidP="00BE2956">
            <w:r>
              <w:t xml:space="preserve">The council are seeking to replace four existing </w:t>
            </w:r>
            <w:r w:rsidR="00BE2956">
              <w:t xml:space="preserve">fixed 10m column </w:t>
            </w:r>
            <w:r>
              <w:t xml:space="preserve">metal halide floodlights with </w:t>
            </w:r>
            <w:r w:rsidR="00BE2956">
              <w:t xml:space="preserve">four hinged counter balance columns of 10m or less. The replacement columns must be easy to maintain in terms of replacement bulbs without the need for any specialist equipment. The replacement columns must be 10m or less to negate the need for planning permission as these would be deemed to be permitted development. </w:t>
            </w:r>
          </w:p>
          <w:p w:rsidR="0064142D" w:rsidRDefault="00BE2956" w:rsidP="00BE2956">
            <w:pPr>
              <w:rPr>
                <w:b/>
              </w:rPr>
            </w:pPr>
            <w:r>
              <w:t>The council currently use metal halide lamps, however, proposals for metal halide or LED lights will be accepted but must demonstrate value for money in terms of durability</w:t>
            </w:r>
            <w:r w:rsidR="0085729C">
              <w:t>, energy efficiency</w:t>
            </w:r>
            <w:r>
              <w:t xml:space="preserve"> and cost effectiveness. The </w:t>
            </w:r>
            <w:proofErr w:type="spellStart"/>
            <w:r>
              <w:t>Lux</w:t>
            </w:r>
            <w:proofErr w:type="spellEnd"/>
            <w:r>
              <w:t xml:space="preserve"> levels for the proposed floodlights </w:t>
            </w:r>
            <w:r w:rsidR="0085729C">
              <w:t xml:space="preserve">is based on club and community use </w:t>
            </w:r>
            <w:r w:rsidR="0096797B">
              <w:t xml:space="preserve">for football </w:t>
            </w:r>
            <w:r w:rsidR="0096797B" w:rsidRPr="00FD6937">
              <w:t>and netball</w:t>
            </w:r>
            <w:r w:rsidR="0096797B">
              <w:t xml:space="preserve"> </w:t>
            </w:r>
            <w:r w:rsidR="0085729C">
              <w:t xml:space="preserve">and </w:t>
            </w:r>
            <w:r>
              <w:t xml:space="preserve">must conform to the </w:t>
            </w:r>
            <w:hyperlink r:id="rId6" w:history="1">
              <w:r w:rsidRPr="0085729C">
                <w:rPr>
                  <w:rStyle w:val="Hyperlink"/>
                </w:rPr>
                <w:t>2012 Sport England</w:t>
              </w:r>
            </w:hyperlink>
            <w:r w:rsidR="0085729C">
              <w:t xml:space="preserve"> guidance for M</w:t>
            </w:r>
            <w:r w:rsidR="005D7CEC">
              <w:t>UGA</w:t>
            </w:r>
            <w:r w:rsidR="0085729C">
              <w:t xml:space="preserve"> surfaces, specifically section 4, pages 24-43.</w:t>
            </w:r>
          </w:p>
          <w:p w:rsidR="00BE2956" w:rsidRPr="0096797B" w:rsidRDefault="0096797B" w:rsidP="00BE2956">
            <w:r w:rsidRPr="0096797B">
              <w:t>The tender</w:t>
            </w:r>
            <w:r>
              <w:t xml:space="preserve"> return must include any groundwork and cable replacement costs if applicable as well as any electrical upgrades, if required and any subsequent certification charges. </w:t>
            </w:r>
          </w:p>
          <w:p w:rsidR="00BE2956" w:rsidRPr="00BE2956" w:rsidRDefault="00BE2956" w:rsidP="00BE2956">
            <w:pPr>
              <w:rPr>
                <w:b/>
              </w:rPr>
            </w:pPr>
          </w:p>
        </w:tc>
      </w:tr>
      <w:tr w:rsidR="00124FBD" w:rsidTr="00124FBD">
        <w:tc>
          <w:tcPr>
            <w:tcW w:w="9242" w:type="dxa"/>
          </w:tcPr>
          <w:p w:rsidR="00124FBD" w:rsidRDefault="00124FBD" w:rsidP="00124FBD">
            <w:pPr>
              <w:rPr>
                <w:b/>
              </w:rPr>
            </w:pPr>
            <w:r>
              <w:rPr>
                <w:b/>
              </w:rPr>
              <w:t>Impact on local community</w:t>
            </w:r>
          </w:p>
          <w:p w:rsidR="0064142D" w:rsidRDefault="0064142D" w:rsidP="00124FBD">
            <w:pPr>
              <w:rPr>
                <w:b/>
              </w:rPr>
            </w:pPr>
          </w:p>
          <w:p w:rsidR="0064142D" w:rsidRPr="0064142D" w:rsidRDefault="0064142D" w:rsidP="00124FBD">
            <w:r>
              <w:t>The tender should specify what impact the lighting will have on the local community in terms of light spillage.</w:t>
            </w:r>
          </w:p>
          <w:p w:rsidR="00124FBD" w:rsidRPr="00124FBD" w:rsidRDefault="00124FBD" w:rsidP="00124FBD">
            <w:pPr>
              <w:rPr>
                <w:b/>
              </w:rPr>
            </w:pPr>
          </w:p>
        </w:tc>
      </w:tr>
      <w:tr w:rsidR="00124FBD" w:rsidTr="00124FBD">
        <w:tc>
          <w:tcPr>
            <w:tcW w:w="9242" w:type="dxa"/>
          </w:tcPr>
          <w:p w:rsidR="00124FBD" w:rsidRDefault="00124FBD" w:rsidP="00124FBD">
            <w:pPr>
              <w:rPr>
                <w:b/>
              </w:rPr>
            </w:pPr>
            <w:r>
              <w:rPr>
                <w:b/>
              </w:rPr>
              <w:t>Aesthetics</w:t>
            </w:r>
          </w:p>
          <w:p w:rsidR="0064142D" w:rsidRDefault="0064142D" w:rsidP="00124FBD">
            <w:pPr>
              <w:rPr>
                <w:b/>
              </w:rPr>
            </w:pPr>
          </w:p>
          <w:p w:rsidR="0064142D" w:rsidRPr="0064142D" w:rsidRDefault="0064142D" w:rsidP="00124FBD">
            <w:r>
              <w:t>The tender return should specify the type of columns being proposed and they should blend in with the existing environment.</w:t>
            </w:r>
          </w:p>
          <w:p w:rsidR="00124FBD" w:rsidRDefault="00124FBD" w:rsidP="00124FBD">
            <w:pPr>
              <w:rPr>
                <w:b/>
              </w:rPr>
            </w:pPr>
          </w:p>
        </w:tc>
      </w:tr>
      <w:tr w:rsidR="00124FBD" w:rsidTr="00124FBD">
        <w:tc>
          <w:tcPr>
            <w:tcW w:w="9242" w:type="dxa"/>
          </w:tcPr>
          <w:p w:rsidR="00124FBD" w:rsidRDefault="00124FBD" w:rsidP="00124FBD">
            <w:pPr>
              <w:rPr>
                <w:b/>
              </w:rPr>
            </w:pPr>
            <w:r>
              <w:rPr>
                <w:b/>
              </w:rPr>
              <w:t>Durability</w:t>
            </w:r>
          </w:p>
          <w:p w:rsidR="00124FBD" w:rsidRDefault="00124FBD" w:rsidP="00124FBD">
            <w:pPr>
              <w:rPr>
                <w:b/>
              </w:rPr>
            </w:pPr>
          </w:p>
          <w:p w:rsidR="0064142D" w:rsidRPr="0096797B" w:rsidRDefault="0064142D" w:rsidP="00124FBD">
            <w:r>
              <w:lastRenderedPageBreak/>
              <w:t>The tender return should indicate the expected life-span of the replacement floodlights</w:t>
            </w:r>
            <w:r w:rsidR="0096797B">
              <w:t xml:space="preserve"> and columns</w:t>
            </w:r>
            <w:r>
              <w:t xml:space="preserve"> together with manufacturers guarantee </w:t>
            </w:r>
            <w:r w:rsidR="00EB7FFE">
              <w:t xml:space="preserve">and warranties </w:t>
            </w:r>
            <w:r>
              <w:t>in respect of the installation and equipment.</w:t>
            </w:r>
            <w:r w:rsidR="0096797B">
              <w:t xml:space="preserve"> This should also include the amount of hours the floodlights will provide based on </w:t>
            </w:r>
            <w:r w:rsidR="00A65473">
              <w:t xml:space="preserve">an average of </w:t>
            </w:r>
            <w:r w:rsidR="00F2147F">
              <w:t>36 hours</w:t>
            </w:r>
            <w:r w:rsidR="0096797B">
              <w:t xml:space="preserve"> per week u</w:t>
            </w:r>
            <w:r w:rsidR="00C636AB">
              <w:t xml:space="preserve">sage </w:t>
            </w:r>
            <w:r w:rsidR="00A65473">
              <w:t xml:space="preserve">in winter and 12 hours per week usage in the summer months </w:t>
            </w:r>
            <w:r w:rsidR="00C636AB">
              <w:t>and what assumptions have been used when arriving at these estimates and this should include drop off values.</w:t>
            </w:r>
          </w:p>
          <w:p w:rsidR="0064142D" w:rsidRPr="0064142D" w:rsidRDefault="0064142D" w:rsidP="00124FBD"/>
        </w:tc>
      </w:tr>
      <w:tr w:rsidR="00124FBD" w:rsidTr="00124FBD">
        <w:tc>
          <w:tcPr>
            <w:tcW w:w="9242" w:type="dxa"/>
          </w:tcPr>
          <w:p w:rsidR="00124FBD" w:rsidRDefault="00124FBD" w:rsidP="00124FBD">
            <w:pPr>
              <w:rPr>
                <w:b/>
              </w:rPr>
            </w:pPr>
            <w:r>
              <w:rPr>
                <w:b/>
              </w:rPr>
              <w:lastRenderedPageBreak/>
              <w:t>On-going costs</w:t>
            </w:r>
          </w:p>
          <w:p w:rsidR="00124FBD" w:rsidRDefault="00124FBD" w:rsidP="00124FBD">
            <w:pPr>
              <w:rPr>
                <w:b/>
              </w:rPr>
            </w:pPr>
          </w:p>
          <w:p w:rsidR="0064142D" w:rsidRDefault="0064142D" w:rsidP="00124FBD">
            <w:r>
              <w:t>The tender return should indicate the cost benefits in respect of the floodlight columns being proposed as well as the lights that are being recommended. This should demonstrate value for money to the council as well as energy efficiency in terms of electricity used and requirement to replace bulbs.</w:t>
            </w:r>
            <w:r w:rsidR="0096797B">
              <w:t xml:space="preserve"> This should include the cost of the labour, materials and plant needed to keep the lights in good condition, replacing limited-life components as required.</w:t>
            </w:r>
          </w:p>
          <w:p w:rsidR="0064142D" w:rsidRPr="0064142D" w:rsidRDefault="0064142D" w:rsidP="00124FBD"/>
        </w:tc>
      </w:tr>
      <w:tr w:rsidR="00124FBD" w:rsidTr="00124FBD">
        <w:tc>
          <w:tcPr>
            <w:tcW w:w="9242" w:type="dxa"/>
          </w:tcPr>
          <w:p w:rsidR="007F7B56" w:rsidRDefault="00124FBD" w:rsidP="00124FBD">
            <w:r>
              <w:rPr>
                <w:b/>
              </w:rPr>
              <w:t>Tender award and evaluation criteria</w:t>
            </w:r>
            <w:r w:rsidR="007F7B56">
              <w:rPr>
                <w:b/>
              </w:rPr>
              <w:t xml:space="preserve"> </w:t>
            </w:r>
            <w:r w:rsidR="007F7B56">
              <w:t xml:space="preserve"> - Tenders will be awarded on the basis of; </w:t>
            </w:r>
          </w:p>
          <w:p w:rsidR="00124FBD" w:rsidRDefault="003B1507" w:rsidP="00124FBD">
            <w:r>
              <w:t>[50%] technic</w:t>
            </w:r>
            <w:r w:rsidR="007F7B56">
              <w:t>al/quality</w:t>
            </w:r>
          </w:p>
          <w:p w:rsidR="007F7B56" w:rsidRDefault="007F7B56" w:rsidP="00124FBD">
            <w:r>
              <w:t xml:space="preserve">[50%] </w:t>
            </w:r>
            <w:r w:rsidR="003B1507">
              <w:t>price (i.e. capital cost)</w:t>
            </w:r>
          </w:p>
          <w:p w:rsidR="003B1507" w:rsidRDefault="003B1507" w:rsidP="00124FBD"/>
          <w:tbl>
            <w:tblPr>
              <w:tblStyle w:val="TableGrid"/>
              <w:tblW w:w="0" w:type="auto"/>
              <w:tblLook w:val="04A0"/>
            </w:tblPr>
            <w:tblGrid>
              <w:gridCol w:w="6232"/>
              <w:gridCol w:w="1134"/>
              <w:gridCol w:w="1645"/>
            </w:tblGrid>
            <w:tr w:rsidR="003B1507" w:rsidTr="003B1507">
              <w:tc>
                <w:tcPr>
                  <w:tcW w:w="6232" w:type="dxa"/>
                </w:tcPr>
                <w:p w:rsidR="003B1507" w:rsidRPr="003B1507" w:rsidRDefault="003B1507" w:rsidP="00124FBD">
                  <w:pPr>
                    <w:rPr>
                      <w:b/>
                    </w:rPr>
                  </w:pPr>
                  <w:r>
                    <w:rPr>
                      <w:b/>
                    </w:rPr>
                    <w:t>Technical and quality criteria</w:t>
                  </w:r>
                </w:p>
              </w:tc>
              <w:tc>
                <w:tcPr>
                  <w:tcW w:w="1134" w:type="dxa"/>
                </w:tcPr>
                <w:p w:rsidR="003B1507" w:rsidRPr="003B1507" w:rsidRDefault="003B1507" w:rsidP="00124FBD">
                  <w:pPr>
                    <w:rPr>
                      <w:b/>
                    </w:rPr>
                  </w:pPr>
                  <w:r w:rsidRPr="003B1507">
                    <w:rPr>
                      <w:b/>
                    </w:rPr>
                    <w:t>weighting</w:t>
                  </w:r>
                </w:p>
              </w:tc>
              <w:tc>
                <w:tcPr>
                  <w:tcW w:w="1645" w:type="dxa"/>
                </w:tcPr>
                <w:p w:rsidR="003B1507" w:rsidRPr="003B1507" w:rsidRDefault="003B1507" w:rsidP="003B1507">
                  <w:pPr>
                    <w:jc w:val="center"/>
                    <w:rPr>
                      <w:b/>
                    </w:rPr>
                  </w:pPr>
                  <w:r w:rsidRPr="003B1507">
                    <w:rPr>
                      <w:b/>
                    </w:rPr>
                    <w:t>Maximum weighted score</w:t>
                  </w:r>
                </w:p>
              </w:tc>
            </w:tr>
            <w:tr w:rsidR="003B1507" w:rsidTr="003B1507">
              <w:tc>
                <w:tcPr>
                  <w:tcW w:w="6232" w:type="dxa"/>
                </w:tcPr>
                <w:p w:rsidR="003B1507" w:rsidRDefault="003B1507" w:rsidP="00124FBD">
                  <w:r>
                    <w:t>Quality of lighting/</w:t>
                  </w:r>
                  <w:proofErr w:type="spellStart"/>
                  <w:r>
                    <w:t>lux</w:t>
                  </w:r>
                  <w:proofErr w:type="spellEnd"/>
                  <w:r>
                    <w:t xml:space="preserve"> levels</w:t>
                  </w:r>
                </w:p>
              </w:tc>
              <w:tc>
                <w:tcPr>
                  <w:tcW w:w="1134" w:type="dxa"/>
                </w:tcPr>
                <w:p w:rsidR="003B1507" w:rsidRDefault="00F2147F" w:rsidP="00F2147F">
                  <w:pPr>
                    <w:jc w:val="center"/>
                  </w:pPr>
                  <w:r>
                    <w:t>20%</w:t>
                  </w:r>
                </w:p>
              </w:tc>
              <w:tc>
                <w:tcPr>
                  <w:tcW w:w="1645" w:type="dxa"/>
                </w:tcPr>
                <w:p w:rsidR="003B1507" w:rsidRDefault="00F2147F" w:rsidP="00F2147F">
                  <w:pPr>
                    <w:jc w:val="center"/>
                  </w:pPr>
                  <w:r>
                    <w:t>20</w:t>
                  </w:r>
                </w:p>
              </w:tc>
            </w:tr>
            <w:tr w:rsidR="003B1507" w:rsidTr="003B1507">
              <w:tc>
                <w:tcPr>
                  <w:tcW w:w="6232" w:type="dxa"/>
                </w:tcPr>
                <w:p w:rsidR="003B1507" w:rsidRDefault="003B1507" w:rsidP="00124FBD">
                  <w:r>
                    <w:t>Ease of maintenance</w:t>
                  </w:r>
                </w:p>
              </w:tc>
              <w:tc>
                <w:tcPr>
                  <w:tcW w:w="1134" w:type="dxa"/>
                </w:tcPr>
                <w:p w:rsidR="003B1507" w:rsidRDefault="00F2147F" w:rsidP="00F2147F">
                  <w:pPr>
                    <w:jc w:val="center"/>
                  </w:pPr>
                  <w:r>
                    <w:t>6%</w:t>
                  </w:r>
                </w:p>
              </w:tc>
              <w:tc>
                <w:tcPr>
                  <w:tcW w:w="1645" w:type="dxa"/>
                </w:tcPr>
                <w:p w:rsidR="003B1507" w:rsidRDefault="00F2147F" w:rsidP="00F2147F">
                  <w:pPr>
                    <w:jc w:val="center"/>
                  </w:pPr>
                  <w:r>
                    <w:t>6</w:t>
                  </w:r>
                </w:p>
              </w:tc>
            </w:tr>
            <w:tr w:rsidR="003B1507" w:rsidTr="003B1507">
              <w:tc>
                <w:tcPr>
                  <w:tcW w:w="6232" w:type="dxa"/>
                </w:tcPr>
                <w:p w:rsidR="003B1507" w:rsidRDefault="003B1507" w:rsidP="00124FBD">
                  <w:r>
                    <w:t>Durability</w:t>
                  </w:r>
                </w:p>
              </w:tc>
              <w:tc>
                <w:tcPr>
                  <w:tcW w:w="1134" w:type="dxa"/>
                </w:tcPr>
                <w:p w:rsidR="003B1507" w:rsidRDefault="00F2147F" w:rsidP="00F2147F">
                  <w:pPr>
                    <w:jc w:val="center"/>
                  </w:pPr>
                  <w:r>
                    <w:t>6%</w:t>
                  </w:r>
                </w:p>
              </w:tc>
              <w:tc>
                <w:tcPr>
                  <w:tcW w:w="1645" w:type="dxa"/>
                </w:tcPr>
                <w:p w:rsidR="003B1507" w:rsidRDefault="00F2147F" w:rsidP="00F2147F">
                  <w:pPr>
                    <w:jc w:val="center"/>
                  </w:pPr>
                  <w:r>
                    <w:t>6</w:t>
                  </w:r>
                </w:p>
              </w:tc>
            </w:tr>
            <w:tr w:rsidR="003B1507" w:rsidTr="003B1507">
              <w:tc>
                <w:tcPr>
                  <w:tcW w:w="6232" w:type="dxa"/>
                </w:tcPr>
                <w:p w:rsidR="003B1507" w:rsidRDefault="003B1507" w:rsidP="00124FBD">
                  <w:r>
                    <w:t>Impact on local community</w:t>
                  </w:r>
                </w:p>
              </w:tc>
              <w:tc>
                <w:tcPr>
                  <w:tcW w:w="1134" w:type="dxa"/>
                </w:tcPr>
                <w:p w:rsidR="003B1507" w:rsidRDefault="00F2147F" w:rsidP="00F2147F">
                  <w:pPr>
                    <w:jc w:val="center"/>
                  </w:pPr>
                  <w:r>
                    <w:t>4%</w:t>
                  </w:r>
                </w:p>
              </w:tc>
              <w:tc>
                <w:tcPr>
                  <w:tcW w:w="1645" w:type="dxa"/>
                </w:tcPr>
                <w:p w:rsidR="003B1507" w:rsidRDefault="00F2147F" w:rsidP="00F2147F">
                  <w:pPr>
                    <w:jc w:val="center"/>
                  </w:pPr>
                  <w:r>
                    <w:t>4</w:t>
                  </w:r>
                </w:p>
              </w:tc>
            </w:tr>
            <w:tr w:rsidR="003B1507" w:rsidTr="003B1507">
              <w:tc>
                <w:tcPr>
                  <w:tcW w:w="6232" w:type="dxa"/>
                </w:tcPr>
                <w:p w:rsidR="003B1507" w:rsidRDefault="003B1507" w:rsidP="00124FBD">
                  <w:r>
                    <w:t>Aesthetics</w:t>
                  </w:r>
                </w:p>
              </w:tc>
              <w:tc>
                <w:tcPr>
                  <w:tcW w:w="1134" w:type="dxa"/>
                </w:tcPr>
                <w:p w:rsidR="003B1507" w:rsidRDefault="00F2147F" w:rsidP="00F2147F">
                  <w:pPr>
                    <w:jc w:val="center"/>
                  </w:pPr>
                  <w:r>
                    <w:t>4%</w:t>
                  </w:r>
                </w:p>
              </w:tc>
              <w:tc>
                <w:tcPr>
                  <w:tcW w:w="1645" w:type="dxa"/>
                </w:tcPr>
                <w:p w:rsidR="003B1507" w:rsidRDefault="00F2147F" w:rsidP="00F2147F">
                  <w:pPr>
                    <w:jc w:val="center"/>
                  </w:pPr>
                  <w:r>
                    <w:t>4</w:t>
                  </w:r>
                </w:p>
              </w:tc>
            </w:tr>
            <w:tr w:rsidR="003B1507" w:rsidTr="003B1507">
              <w:tc>
                <w:tcPr>
                  <w:tcW w:w="6232" w:type="dxa"/>
                </w:tcPr>
                <w:p w:rsidR="003B1507" w:rsidRDefault="003B1507" w:rsidP="00124FBD">
                  <w:r>
                    <w:t>Running costs</w:t>
                  </w:r>
                </w:p>
                <w:p w:rsidR="003B1507" w:rsidRDefault="003B1507" w:rsidP="00124FBD">
                  <w:r>
                    <w:t>(routine maintenance, energy costs, replacements)</w:t>
                  </w:r>
                </w:p>
              </w:tc>
              <w:tc>
                <w:tcPr>
                  <w:tcW w:w="1134" w:type="dxa"/>
                </w:tcPr>
                <w:p w:rsidR="003B1507" w:rsidRDefault="00F2147F" w:rsidP="00F2147F">
                  <w:pPr>
                    <w:jc w:val="center"/>
                  </w:pPr>
                  <w:r>
                    <w:t>10%</w:t>
                  </w:r>
                </w:p>
              </w:tc>
              <w:tc>
                <w:tcPr>
                  <w:tcW w:w="1645" w:type="dxa"/>
                </w:tcPr>
                <w:p w:rsidR="003B1507" w:rsidRDefault="00F2147F" w:rsidP="00F2147F">
                  <w:pPr>
                    <w:jc w:val="center"/>
                  </w:pPr>
                  <w:r>
                    <w:t>10</w:t>
                  </w:r>
                </w:p>
              </w:tc>
            </w:tr>
            <w:tr w:rsidR="003B1507" w:rsidTr="003B1507">
              <w:tc>
                <w:tcPr>
                  <w:tcW w:w="6232" w:type="dxa"/>
                </w:tcPr>
                <w:p w:rsidR="003B1507" w:rsidRDefault="003B1507" w:rsidP="00124FBD">
                  <w:r>
                    <w:t>Maximum total score</w:t>
                  </w:r>
                </w:p>
              </w:tc>
              <w:tc>
                <w:tcPr>
                  <w:tcW w:w="1134" w:type="dxa"/>
                </w:tcPr>
                <w:p w:rsidR="003B1507" w:rsidRDefault="00F2147F" w:rsidP="00F2147F">
                  <w:pPr>
                    <w:jc w:val="center"/>
                  </w:pPr>
                  <w:r>
                    <w:t>50</w:t>
                  </w:r>
                  <w:r w:rsidR="003B1507">
                    <w:t>%</w:t>
                  </w:r>
                </w:p>
              </w:tc>
              <w:tc>
                <w:tcPr>
                  <w:tcW w:w="1645" w:type="dxa"/>
                </w:tcPr>
                <w:p w:rsidR="003B1507" w:rsidRDefault="00F2147F" w:rsidP="00F2147F">
                  <w:pPr>
                    <w:jc w:val="center"/>
                  </w:pPr>
                  <w:r>
                    <w:t>50</w:t>
                  </w:r>
                </w:p>
              </w:tc>
            </w:tr>
          </w:tbl>
          <w:p w:rsidR="003B1507" w:rsidRPr="007F7B56" w:rsidRDefault="003B1507" w:rsidP="00124FBD"/>
          <w:p w:rsidR="00124FBD" w:rsidRPr="00124FBD" w:rsidRDefault="00124FBD" w:rsidP="00124FBD">
            <w:pPr>
              <w:rPr>
                <w:b/>
              </w:rPr>
            </w:pPr>
          </w:p>
        </w:tc>
      </w:tr>
      <w:tr w:rsidR="00124FBD" w:rsidTr="00124FBD">
        <w:tc>
          <w:tcPr>
            <w:tcW w:w="9242" w:type="dxa"/>
          </w:tcPr>
          <w:p w:rsidR="00124FBD" w:rsidRDefault="00124FBD" w:rsidP="00124FBD">
            <w:pPr>
              <w:rPr>
                <w:b/>
              </w:rPr>
            </w:pPr>
            <w:r>
              <w:rPr>
                <w:b/>
              </w:rPr>
              <w:t>Price</w:t>
            </w:r>
          </w:p>
          <w:p w:rsidR="00124FBD" w:rsidRDefault="00124FBD" w:rsidP="00124FBD">
            <w:pPr>
              <w:rPr>
                <w:b/>
              </w:rPr>
            </w:pPr>
          </w:p>
          <w:p w:rsidR="00206FC0" w:rsidRDefault="00BE2956" w:rsidP="00124FBD">
            <w:r>
              <w:t xml:space="preserve">There is a maximum limit for this tender opportunity of £37,000 and this will be calculated on the basis of; </w:t>
            </w:r>
          </w:p>
          <w:p w:rsidR="00BE2956" w:rsidRDefault="00206FC0" w:rsidP="00206FC0">
            <w:pPr>
              <w:pStyle w:val="ListParagraph"/>
              <w:numPr>
                <w:ilvl w:val="0"/>
                <w:numId w:val="1"/>
              </w:numPr>
            </w:pPr>
            <w:r>
              <w:t>lowest tender scores maximum points</w:t>
            </w:r>
          </w:p>
          <w:p w:rsidR="00206FC0" w:rsidRDefault="00206FC0" w:rsidP="00206FC0">
            <w:pPr>
              <w:pStyle w:val="ListParagraph"/>
              <w:numPr>
                <w:ilvl w:val="0"/>
                <w:numId w:val="1"/>
              </w:numPr>
            </w:pPr>
            <w:r>
              <w:t>any tender that is double or more than double the lowest scores zero</w:t>
            </w:r>
          </w:p>
          <w:p w:rsidR="00206FC0" w:rsidRDefault="00206FC0" w:rsidP="00206FC0">
            <w:pPr>
              <w:pStyle w:val="ListParagraph"/>
              <w:numPr>
                <w:ilvl w:val="0"/>
                <w:numId w:val="1"/>
              </w:numPr>
            </w:pPr>
            <w:r>
              <w:t xml:space="preserve">scores for tenders other than the lowest will be determined by a simple linear mathematical formula on a scale between; lowest tender scores </w:t>
            </w:r>
            <w:r w:rsidR="00F2147F">
              <w:t>5</w:t>
            </w:r>
            <w:r>
              <w:t>0, 20</w:t>
            </w:r>
            <w:r w:rsidR="003B1507">
              <w:t>0</w:t>
            </w:r>
            <w:r>
              <w:t>% of lowest tender scores zero</w:t>
            </w:r>
          </w:p>
          <w:p w:rsidR="00206FC0" w:rsidRPr="00BE2956" w:rsidRDefault="00206FC0" w:rsidP="00206FC0">
            <w:pPr>
              <w:pStyle w:val="ListParagraph"/>
              <w:numPr>
                <w:ilvl w:val="0"/>
                <w:numId w:val="1"/>
              </w:numPr>
            </w:pPr>
            <w:r>
              <w:t>the calculation for intermediate tenders is; score = max points – max points x (intermediate tender – lowest tender)/lowest tender</w:t>
            </w:r>
          </w:p>
        </w:tc>
      </w:tr>
      <w:tr w:rsidR="00124FBD" w:rsidTr="00124FBD">
        <w:tc>
          <w:tcPr>
            <w:tcW w:w="9242" w:type="dxa"/>
          </w:tcPr>
          <w:p w:rsidR="00124FBD" w:rsidRDefault="003B1507" w:rsidP="00124FBD">
            <w:pPr>
              <w:rPr>
                <w:b/>
              </w:rPr>
            </w:pPr>
            <w:r>
              <w:rPr>
                <w:b/>
              </w:rPr>
              <w:t>Health &amp; Safety</w:t>
            </w:r>
          </w:p>
          <w:p w:rsidR="00300C8D" w:rsidRDefault="00300C8D" w:rsidP="00124FBD">
            <w:pPr>
              <w:rPr>
                <w:b/>
              </w:rPr>
            </w:pPr>
          </w:p>
          <w:p w:rsidR="00300C8D" w:rsidRPr="00300C8D" w:rsidRDefault="00300C8D" w:rsidP="00124FBD">
            <w:r>
              <w:t>The tender must include evidence of public liability insurance and set out the how the Health &amp; Safety of the project will be managed throughout the replacement works.</w:t>
            </w:r>
          </w:p>
        </w:tc>
      </w:tr>
    </w:tbl>
    <w:p w:rsidR="00124FBD" w:rsidRPr="00124FBD" w:rsidRDefault="00124FBD" w:rsidP="00124FBD">
      <w:pPr>
        <w:jc w:val="center"/>
      </w:pPr>
    </w:p>
    <w:p w:rsidR="00124FBD" w:rsidRPr="00124FBD" w:rsidRDefault="00124FBD" w:rsidP="00124FBD">
      <w:pPr>
        <w:jc w:val="center"/>
        <w:rPr>
          <w:b/>
        </w:rPr>
      </w:pPr>
    </w:p>
    <w:sectPr w:rsidR="00124FBD" w:rsidRPr="00124FBD" w:rsidSect="001672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B432E"/>
    <w:multiLevelType w:val="hybridMultilevel"/>
    <w:tmpl w:val="2066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compat/>
  <w:rsids>
    <w:rsidRoot w:val="00712F67"/>
    <w:rsid w:val="000763AC"/>
    <w:rsid w:val="00077A82"/>
    <w:rsid w:val="00124FBD"/>
    <w:rsid w:val="00156D6B"/>
    <w:rsid w:val="00162697"/>
    <w:rsid w:val="00167255"/>
    <w:rsid w:val="00206FC0"/>
    <w:rsid w:val="002E09D0"/>
    <w:rsid w:val="00300C8D"/>
    <w:rsid w:val="003B1507"/>
    <w:rsid w:val="00421B98"/>
    <w:rsid w:val="004B5A10"/>
    <w:rsid w:val="005D7CEC"/>
    <w:rsid w:val="0064142D"/>
    <w:rsid w:val="0067376D"/>
    <w:rsid w:val="00712F67"/>
    <w:rsid w:val="007F7B56"/>
    <w:rsid w:val="0085729C"/>
    <w:rsid w:val="0096797B"/>
    <w:rsid w:val="00A65473"/>
    <w:rsid w:val="00AD2796"/>
    <w:rsid w:val="00BE2956"/>
    <w:rsid w:val="00C636AB"/>
    <w:rsid w:val="00C65416"/>
    <w:rsid w:val="00DD0D54"/>
    <w:rsid w:val="00EB7FFE"/>
    <w:rsid w:val="00F2147F"/>
    <w:rsid w:val="00F25A0A"/>
    <w:rsid w:val="00FD69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F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24FBD"/>
    <w:rPr>
      <w:color w:val="0000FF" w:themeColor="hyperlink"/>
      <w:u w:val="single"/>
    </w:rPr>
  </w:style>
  <w:style w:type="paragraph" w:styleId="ListParagraph">
    <w:name w:val="List Paragraph"/>
    <w:basedOn w:val="Normal"/>
    <w:uiPriority w:val="34"/>
    <w:qFormat/>
    <w:rsid w:val="00206F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england.org/media/30506/Artificial-sports-lighting-design-guide-2012-051112.pdf" TargetMode="External"/><Relationship Id="rId5" Type="http://schemas.openxmlformats.org/officeDocument/2006/relationships/hyperlink" Target="mailto:clerk@fawleyparishcou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2</cp:revision>
  <dcterms:created xsi:type="dcterms:W3CDTF">2015-05-01T14:35:00Z</dcterms:created>
  <dcterms:modified xsi:type="dcterms:W3CDTF">2015-05-01T14:35:00Z</dcterms:modified>
</cp:coreProperties>
</file>