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252" w:type="dxa"/>
        <w:tblLook w:val="01E0" w:firstRow="1" w:lastRow="1" w:firstColumn="1" w:lastColumn="1" w:noHBand="0" w:noVBand="0"/>
      </w:tblPr>
      <w:tblGrid>
        <w:gridCol w:w="3645"/>
        <w:gridCol w:w="4686"/>
        <w:gridCol w:w="2289"/>
      </w:tblGrid>
      <w:tr w:rsidR="00CE1404" w:rsidRPr="00526D1F" w:rsidTr="00C00D9A">
        <w:tc>
          <w:tcPr>
            <w:tcW w:w="5106" w:type="dxa"/>
          </w:tcPr>
          <w:p w:rsidR="00CE1404" w:rsidRPr="00526D1F" w:rsidRDefault="00CE1404" w:rsidP="00C00D9A">
            <w:pPr>
              <w:rPr>
                <w:rFonts w:ascii="Arial" w:hAnsi="Arial"/>
                <w:sz w:val="22"/>
              </w:rPr>
            </w:pPr>
            <w:r>
              <w:rPr>
                <w:lang w:eastAsia="zh-CN"/>
              </w:rPr>
              <w:drawing>
                <wp:anchor distT="0" distB="0" distL="114300" distR="114300" simplePos="0" relativeHeight="251659264" behindDoc="0" locked="0" layoutInCell="1" allowOverlap="1" wp14:anchorId="561DF415" wp14:editId="5629BCA5">
                  <wp:simplePos x="0" y="0"/>
                  <wp:positionH relativeFrom="column">
                    <wp:posOffset>-1905</wp:posOffset>
                  </wp:positionH>
                  <wp:positionV relativeFrom="paragraph">
                    <wp:posOffset>4445</wp:posOffset>
                  </wp:positionV>
                  <wp:extent cx="1858735" cy="1111250"/>
                  <wp:effectExtent l="0" t="0" r="8255" b="0"/>
                  <wp:wrapNone/>
                  <wp:docPr id="4" name="Picture 4" descr="https://share.hull.ac.uk/Services/VisualIdentity/Logos/University%20of%20Hull%20Black%20JPEG%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re.hull.ac.uk/Services/VisualIdentity/Logos/University%20of%20Hull%20Black%20JPEG%20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0338" cy="111220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42" w:type="dxa"/>
          </w:tcPr>
          <w:p w:rsidR="00CE1404" w:rsidRDefault="00CE1404" w:rsidP="00C00D9A">
            <w:pPr>
              <w:rPr>
                <w:rFonts w:ascii="Arial" w:hAnsi="Arial"/>
                <w:sz w:val="20"/>
              </w:rPr>
            </w:pPr>
          </w:p>
          <w:p w:rsidR="00CE1404" w:rsidRDefault="00CE1404" w:rsidP="00C00D9A">
            <w:pPr>
              <w:rPr>
                <w:rFonts w:ascii="Arial" w:hAnsi="Arial"/>
                <w:sz w:val="20"/>
              </w:rPr>
            </w:pPr>
            <w:r w:rsidRPr="000F7494">
              <w:rPr>
                <w:rFonts w:ascii="Arial" w:hAnsi="Arial"/>
                <w:sz w:val="20"/>
                <w:lang w:eastAsia="zh-CN"/>
              </w:rPr>
              <w:drawing>
                <wp:inline distT="0" distB="0" distL="0" distR="0" wp14:anchorId="1A36D8D1" wp14:editId="4528795B">
                  <wp:extent cx="2834955" cy="625289"/>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1952" cy="659917"/>
                          </a:xfrm>
                          <a:prstGeom prst="rect">
                            <a:avLst/>
                          </a:prstGeom>
                          <a:noFill/>
                          <a:ln>
                            <a:noFill/>
                          </a:ln>
                        </pic:spPr>
                      </pic:pic>
                    </a:graphicData>
                  </a:graphic>
                </wp:inline>
              </w:drawing>
            </w:r>
          </w:p>
          <w:p w:rsidR="00CE1404" w:rsidRDefault="00CE1404" w:rsidP="00C00D9A">
            <w:pPr>
              <w:rPr>
                <w:rFonts w:ascii="Arial" w:hAnsi="Arial"/>
                <w:sz w:val="20"/>
              </w:rPr>
            </w:pPr>
          </w:p>
          <w:p w:rsidR="00CE1404" w:rsidRDefault="00CE1404" w:rsidP="00C00D9A">
            <w:pPr>
              <w:rPr>
                <w:rFonts w:ascii="Arial" w:hAnsi="Arial"/>
                <w:sz w:val="20"/>
              </w:rPr>
            </w:pPr>
          </w:p>
          <w:p w:rsidR="00CE1404" w:rsidRDefault="00CE1404" w:rsidP="00C00D9A">
            <w:pPr>
              <w:rPr>
                <w:rFonts w:ascii="Arial" w:hAnsi="Arial"/>
                <w:sz w:val="20"/>
              </w:rPr>
            </w:pPr>
          </w:p>
          <w:p w:rsidR="00CE1404" w:rsidRPr="004F2DF2" w:rsidRDefault="00CE1404" w:rsidP="00C00D9A">
            <w:pPr>
              <w:rPr>
                <w:rFonts w:ascii="Arial" w:hAnsi="Arial"/>
                <w:sz w:val="20"/>
              </w:rPr>
            </w:pPr>
            <w:r w:rsidRPr="004F2DF2">
              <w:rPr>
                <w:rFonts w:ascii="Arial" w:hAnsi="Arial"/>
                <w:sz w:val="20"/>
              </w:rPr>
              <w:t>The University of Hull</w:t>
            </w:r>
          </w:p>
          <w:p w:rsidR="00CE1404" w:rsidRPr="004F2DF2" w:rsidRDefault="00CE1404" w:rsidP="00C00D9A">
            <w:pPr>
              <w:rPr>
                <w:rFonts w:ascii="Arial" w:hAnsi="Arial"/>
                <w:sz w:val="20"/>
              </w:rPr>
            </w:pPr>
            <w:r w:rsidRPr="004F2DF2">
              <w:rPr>
                <w:rFonts w:ascii="Arial" w:hAnsi="Arial"/>
                <w:sz w:val="20"/>
              </w:rPr>
              <w:t>Estates Department</w:t>
            </w:r>
          </w:p>
          <w:p w:rsidR="00CE1404" w:rsidRPr="004F2DF2" w:rsidRDefault="00CE1404" w:rsidP="00C00D9A">
            <w:pPr>
              <w:rPr>
                <w:rFonts w:ascii="Arial" w:hAnsi="Arial"/>
                <w:sz w:val="20"/>
              </w:rPr>
            </w:pPr>
            <w:r w:rsidRPr="004F2DF2">
              <w:rPr>
                <w:rFonts w:ascii="Arial" w:hAnsi="Arial"/>
                <w:sz w:val="20"/>
              </w:rPr>
              <w:t>53 Salmon Grove</w:t>
            </w:r>
          </w:p>
          <w:p w:rsidR="00CE1404" w:rsidRPr="004F2DF2" w:rsidRDefault="00CE1404" w:rsidP="00C00D9A">
            <w:pPr>
              <w:rPr>
                <w:rFonts w:ascii="Arial" w:hAnsi="Arial"/>
                <w:sz w:val="20"/>
              </w:rPr>
            </w:pPr>
            <w:r w:rsidRPr="004F2DF2">
              <w:rPr>
                <w:rFonts w:ascii="Arial" w:hAnsi="Arial"/>
                <w:sz w:val="20"/>
              </w:rPr>
              <w:t>HULL</w:t>
            </w:r>
          </w:p>
          <w:p w:rsidR="00CE1404" w:rsidRPr="004F2DF2" w:rsidRDefault="00CE1404" w:rsidP="00C00D9A">
            <w:pPr>
              <w:rPr>
                <w:rFonts w:ascii="Arial" w:hAnsi="Arial"/>
                <w:sz w:val="20"/>
              </w:rPr>
            </w:pPr>
            <w:r w:rsidRPr="004F2DF2">
              <w:rPr>
                <w:rFonts w:ascii="Arial" w:hAnsi="Arial"/>
                <w:sz w:val="20"/>
              </w:rPr>
              <w:t>HU6 7SZ</w:t>
            </w:r>
          </w:p>
        </w:tc>
        <w:tc>
          <w:tcPr>
            <w:tcW w:w="3172" w:type="dxa"/>
          </w:tcPr>
          <w:p w:rsidR="00CE1404" w:rsidRPr="00526D1F" w:rsidRDefault="00CE1404" w:rsidP="00C00D9A">
            <w:pPr>
              <w:rPr>
                <w:rFonts w:ascii="Arial" w:hAnsi="Arial"/>
                <w:sz w:val="22"/>
              </w:rPr>
            </w:pPr>
          </w:p>
        </w:tc>
      </w:tr>
    </w:tbl>
    <w:p w:rsidR="00CE1404" w:rsidRPr="00526D1F" w:rsidRDefault="00CE1404" w:rsidP="00CE1404">
      <w:pPr>
        <w:ind w:left="5760" w:firstLine="720"/>
        <w:jc w:val="center"/>
        <w:rPr>
          <w:rFonts w:ascii="Arial" w:hAnsi="Arial"/>
          <w:sz w:val="22"/>
        </w:rPr>
      </w:pPr>
      <w:r w:rsidRPr="00D448E3">
        <w:rPr>
          <w:rFonts w:ascii="Arial" w:hAnsi="Arial"/>
          <w:sz w:val="22"/>
        </w:rPr>
        <w:t xml:space="preserve">   </w:t>
      </w:r>
      <w:r>
        <w:rPr>
          <w:rFonts w:ascii="Arial" w:hAnsi="Arial"/>
          <w:sz w:val="22"/>
        </w:rPr>
        <w:t>19</w:t>
      </w:r>
      <w:r w:rsidRPr="00074661">
        <w:rPr>
          <w:rFonts w:ascii="Arial" w:hAnsi="Arial"/>
          <w:sz w:val="22"/>
          <w:vertAlign w:val="superscript"/>
        </w:rPr>
        <w:t>th</w:t>
      </w:r>
      <w:r>
        <w:rPr>
          <w:rFonts w:ascii="Arial" w:hAnsi="Arial"/>
          <w:sz w:val="22"/>
        </w:rPr>
        <w:t xml:space="preserve"> February  2018</w:t>
      </w:r>
    </w:p>
    <w:p w:rsidR="00CE1404" w:rsidRDefault="00CE1404" w:rsidP="00CE1404">
      <w:pPr>
        <w:pStyle w:val="Title"/>
        <w:rPr>
          <w:color w:val="1F497D"/>
          <w:lang w:eastAsia="zh-CN"/>
        </w:rPr>
      </w:pPr>
    </w:p>
    <w:p w:rsidR="00CE1404" w:rsidRDefault="00CE1404" w:rsidP="00CE1404">
      <w:pPr>
        <w:rPr>
          <w:rFonts w:ascii="Arial" w:hAnsi="Arial"/>
          <w:sz w:val="22"/>
        </w:rPr>
      </w:pPr>
    </w:p>
    <w:p w:rsidR="00CE1404" w:rsidRPr="00210C10" w:rsidRDefault="00CE1404" w:rsidP="00CE1404">
      <w:pPr>
        <w:rPr>
          <w:rFonts w:ascii="Arial" w:hAnsi="Arial" w:cs="Arial"/>
          <w:sz w:val="22"/>
          <w:szCs w:val="22"/>
        </w:rPr>
      </w:pPr>
      <w:r w:rsidRPr="00210C10">
        <w:rPr>
          <w:rFonts w:ascii="Arial" w:hAnsi="Arial" w:cs="Arial"/>
          <w:sz w:val="22"/>
          <w:szCs w:val="22"/>
        </w:rPr>
        <w:t>The University of Hull (hereafter referred to as the University) is seeking to procur a contractor to construct the Aura Innovation Centre (AIC), a specialist facility supporting low carbon innovation, which comprises high tech engineering innovation workshop and computing facilities together with conferencing and office space circa 2534 M2   Gross Internal Floor Area ,on land located at the Humber Bridge Head. The planned constuction will be on a design and build basis,meeting performance criteria,  with estimated construction costs of six million GBP.</w:t>
      </w:r>
    </w:p>
    <w:p w:rsidR="00CE1404" w:rsidRPr="00210C10" w:rsidRDefault="00CE1404" w:rsidP="00CE1404">
      <w:pPr>
        <w:rPr>
          <w:rFonts w:ascii="Arial" w:hAnsi="Arial" w:cs="Arial"/>
          <w:sz w:val="22"/>
          <w:szCs w:val="22"/>
        </w:rPr>
      </w:pPr>
    </w:p>
    <w:p w:rsidR="00CE1404" w:rsidRPr="00210C10" w:rsidRDefault="00CE1404" w:rsidP="00CE1404">
      <w:pPr>
        <w:pStyle w:val="Default"/>
        <w:rPr>
          <w:rFonts w:ascii="Arial" w:hAnsi="Arial" w:cs="Arial"/>
          <w:noProof/>
          <w:color w:val="auto"/>
          <w:sz w:val="22"/>
          <w:szCs w:val="22"/>
          <w:lang w:eastAsia="en-US"/>
        </w:rPr>
      </w:pPr>
      <w:r w:rsidRPr="00210C10">
        <w:rPr>
          <w:rFonts w:ascii="Arial" w:hAnsi="Arial" w:cs="Arial"/>
          <w:noProof/>
          <w:color w:val="auto"/>
          <w:sz w:val="22"/>
          <w:szCs w:val="22"/>
          <w:lang w:eastAsia="en-US"/>
        </w:rPr>
        <w:t xml:space="preserve">The University is in the process of seeking £4m of funding for the AIC project from the England European Regional Development Fund as part of the European Structural and Investment Funds Growth Programme 2014-2020. The Department for Communities and Local Government (and in London the intermediate body Greater London Authority) is the Managing Authority for European Regional Development Fund.  Established by the European Union, the European Regional Development Fund helps local areas stimulate their economic development by investing in projects which will support innovation, businesses, create jobs and local community regenerations. For more information visit </w:t>
      </w:r>
      <w:hyperlink r:id="rId7" w:history="1">
        <w:r w:rsidRPr="00210C10">
          <w:rPr>
            <w:rFonts w:ascii="Arial" w:hAnsi="Arial" w:cs="Arial"/>
            <w:noProof/>
            <w:color w:val="auto"/>
            <w:sz w:val="22"/>
            <w:szCs w:val="22"/>
            <w:lang w:eastAsia="en-US"/>
          </w:rPr>
          <w:t>https://www.gov.uk/european-growth-funding</w:t>
        </w:r>
      </w:hyperlink>
      <w:r w:rsidRPr="00210C10">
        <w:rPr>
          <w:rFonts w:ascii="Arial" w:hAnsi="Arial" w:cs="Arial"/>
          <w:noProof/>
          <w:color w:val="auto"/>
          <w:sz w:val="22"/>
          <w:szCs w:val="22"/>
          <w:lang w:eastAsia="en-US"/>
        </w:rPr>
        <w:t>.</w:t>
      </w:r>
    </w:p>
    <w:p w:rsidR="00CE1404" w:rsidRPr="00210C10" w:rsidRDefault="00CE1404" w:rsidP="00CE1404">
      <w:pPr>
        <w:pStyle w:val="Default"/>
        <w:ind w:left="1440"/>
        <w:rPr>
          <w:rFonts w:ascii="Arial" w:hAnsi="Arial" w:cs="Arial"/>
          <w:i/>
          <w:iCs/>
          <w:sz w:val="22"/>
          <w:szCs w:val="22"/>
        </w:rPr>
      </w:pPr>
    </w:p>
    <w:p w:rsidR="00CE1404" w:rsidRPr="00210C10" w:rsidRDefault="00CE1404" w:rsidP="00CE1404">
      <w:pPr>
        <w:rPr>
          <w:rFonts w:ascii="Arial" w:hAnsi="Arial" w:cs="Arial"/>
          <w:sz w:val="22"/>
          <w:szCs w:val="22"/>
        </w:rPr>
      </w:pPr>
      <w:r w:rsidRPr="00210C10">
        <w:rPr>
          <w:rFonts w:ascii="Arial" w:hAnsi="Arial" w:cs="Arial"/>
          <w:sz w:val="22"/>
          <w:szCs w:val="22"/>
        </w:rPr>
        <w:t xml:space="preserve">The University will procure the construction of the building by a Resticted two stage Tender procedure following the Public Contracts Regulations and those of the European Union </w:t>
      </w:r>
      <w:r w:rsidRPr="00210C10">
        <w:rPr>
          <w:rFonts w:ascii="Arial" w:hAnsi="Arial" w:cs="Arial"/>
          <w:sz w:val="22"/>
          <w:szCs w:val="22"/>
        </w:rPr>
        <w:t xml:space="preserve">via </w:t>
      </w:r>
      <w:r w:rsidRPr="00210C10">
        <w:rPr>
          <w:rFonts w:ascii="Arial" w:hAnsi="Arial" w:cs="Arial"/>
          <w:sz w:val="22"/>
          <w:szCs w:val="22"/>
        </w:rPr>
        <w:t xml:space="preserve"> (OJEU).</w:t>
      </w:r>
    </w:p>
    <w:p w:rsidR="00CE1404" w:rsidRPr="00210C10" w:rsidRDefault="00CE1404" w:rsidP="00CE1404">
      <w:pPr>
        <w:rPr>
          <w:rFonts w:ascii="Arial" w:hAnsi="Arial" w:cs="Arial"/>
          <w:sz w:val="22"/>
          <w:szCs w:val="22"/>
        </w:rPr>
      </w:pPr>
      <w:r w:rsidRPr="00210C10">
        <w:rPr>
          <w:rFonts w:ascii="Arial" w:hAnsi="Arial" w:cs="Arial"/>
          <w:sz w:val="22"/>
          <w:szCs w:val="22"/>
        </w:rPr>
        <w:t>The first stage interested parties qualify to take part in the tender process via a Capability and Capacity stage in which they are required to demonstrate their Compliance  and Competencies against predefined Criteria.</w:t>
      </w:r>
    </w:p>
    <w:p w:rsidR="00CE1404" w:rsidRPr="00210C10" w:rsidRDefault="00CE1404" w:rsidP="00CE1404">
      <w:pPr>
        <w:rPr>
          <w:rFonts w:ascii="Arial" w:hAnsi="Arial" w:cs="Arial"/>
          <w:sz w:val="22"/>
          <w:szCs w:val="22"/>
        </w:rPr>
      </w:pPr>
      <w:r w:rsidRPr="00210C10">
        <w:rPr>
          <w:rFonts w:ascii="Arial" w:hAnsi="Arial" w:cs="Arial"/>
          <w:sz w:val="22"/>
          <w:szCs w:val="22"/>
        </w:rPr>
        <w:t xml:space="preserve">The University will select the top 5 companies who meet its selection criteria to participate in the full tender process.                               </w:t>
      </w:r>
    </w:p>
    <w:p w:rsidR="00CE1404" w:rsidRPr="00210C10" w:rsidRDefault="00CE1404" w:rsidP="00CE1404">
      <w:pPr>
        <w:rPr>
          <w:rFonts w:ascii="Arial" w:hAnsi="Arial" w:cs="Arial"/>
          <w:sz w:val="22"/>
          <w:szCs w:val="22"/>
        </w:rPr>
      </w:pPr>
      <w:r w:rsidRPr="00210C10">
        <w:rPr>
          <w:rFonts w:ascii="Arial" w:hAnsi="Arial" w:cs="Arial"/>
          <w:sz w:val="22"/>
          <w:szCs w:val="22"/>
        </w:rPr>
        <w:t>You are invited by the University to participate in a restricted procedure and firstly respond to a Capability and Capacity Questionaire to qualify to be invited to tender for the works:</w:t>
      </w:r>
    </w:p>
    <w:p w:rsidR="00CE1404" w:rsidRPr="00210C10" w:rsidRDefault="00CE1404" w:rsidP="00CE1404">
      <w:pPr>
        <w:rPr>
          <w:rFonts w:ascii="Arial" w:hAnsi="Arial" w:cs="Arial"/>
          <w:b/>
          <w:sz w:val="22"/>
          <w:szCs w:val="22"/>
        </w:rPr>
      </w:pPr>
    </w:p>
    <w:p w:rsidR="00CE1404" w:rsidRPr="00210C10" w:rsidRDefault="00CE1404" w:rsidP="00CE1404">
      <w:pPr>
        <w:rPr>
          <w:rFonts w:ascii="Arial" w:hAnsi="Arial" w:cs="Arial"/>
          <w:sz w:val="22"/>
          <w:szCs w:val="22"/>
        </w:rPr>
      </w:pPr>
      <w:r w:rsidRPr="00210C10">
        <w:rPr>
          <w:rFonts w:ascii="Arial" w:hAnsi="Arial" w:cs="Arial"/>
          <w:b/>
          <w:sz w:val="22"/>
          <w:szCs w:val="22"/>
        </w:rPr>
        <w:t xml:space="preserve">CONTRACT REF : CG/009    NAME: </w:t>
      </w:r>
      <w:r w:rsidRPr="00210C10">
        <w:rPr>
          <w:rFonts w:ascii="Arial" w:hAnsi="Arial" w:cs="Arial"/>
          <w:sz w:val="22"/>
          <w:szCs w:val="22"/>
        </w:rPr>
        <w:t>Construction of Aura Innovation Centre (AIC)</w:t>
      </w:r>
    </w:p>
    <w:p w:rsidR="00CE1404" w:rsidRPr="00210C10" w:rsidRDefault="00CE1404" w:rsidP="00CE1404">
      <w:pPr>
        <w:spacing w:line="360" w:lineRule="auto"/>
        <w:rPr>
          <w:rFonts w:ascii="Arial" w:hAnsi="Arial" w:cs="Arial"/>
          <w:b/>
          <w:sz w:val="22"/>
          <w:szCs w:val="22"/>
        </w:rPr>
      </w:pPr>
      <w:r w:rsidRPr="00210C10">
        <w:rPr>
          <w:rFonts w:ascii="Arial" w:hAnsi="Arial" w:cs="Arial"/>
          <w:b/>
          <w:sz w:val="22"/>
          <w:szCs w:val="22"/>
        </w:rPr>
        <w:t xml:space="preserve">                                    </w:t>
      </w:r>
    </w:p>
    <w:p w:rsidR="00CE1404" w:rsidRPr="00210C10" w:rsidRDefault="00CE1404" w:rsidP="00CE1404">
      <w:pPr>
        <w:spacing w:line="360" w:lineRule="auto"/>
        <w:rPr>
          <w:rFonts w:ascii="Arial" w:hAnsi="Arial" w:cs="Arial"/>
          <w:b/>
          <w:sz w:val="22"/>
          <w:szCs w:val="22"/>
        </w:rPr>
      </w:pPr>
      <w:r w:rsidRPr="00210C10">
        <w:rPr>
          <w:rFonts w:ascii="Arial" w:hAnsi="Arial" w:cs="Arial"/>
          <w:b/>
          <w:sz w:val="22"/>
          <w:szCs w:val="22"/>
        </w:rPr>
        <w:t>Time Table</w:t>
      </w:r>
      <w:r w:rsidRPr="00210C10">
        <w:rPr>
          <w:rFonts w:ascii="Arial" w:hAnsi="Arial" w:cs="Arial"/>
          <w:b/>
          <w:sz w:val="22"/>
          <w:szCs w:val="22"/>
        </w:rPr>
        <w:t>:</w:t>
      </w:r>
    </w:p>
    <w:p w:rsidR="00CE1404" w:rsidRPr="00210C10" w:rsidRDefault="00CE1404" w:rsidP="00CE1404">
      <w:pPr>
        <w:ind w:left="720" w:hanging="720"/>
        <w:rPr>
          <w:rFonts w:ascii="Arial" w:hAnsi="Arial" w:cs="Arial"/>
          <w:sz w:val="22"/>
          <w:szCs w:val="22"/>
        </w:rPr>
      </w:pPr>
      <w:r w:rsidRPr="00210C10">
        <w:rPr>
          <w:rFonts w:ascii="Arial" w:hAnsi="Arial" w:cs="Arial"/>
          <w:sz w:val="22"/>
          <w:szCs w:val="22"/>
        </w:rPr>
        <w:t>This timetable is provisional and may be subject to change, b</w:t>
      </w:r>
      <w:r w:rsidRPr="00210C10">
        <w:rPr>
          <w:rFonts w:ascii="Arial" w:hAnsi="Arial" w:cs="Arial"/>
          <w:sz w:val="22"/>
          <w:szCs w:val="22"/>
        </w:rPr>
        <w:t xml:space="preserve">ut will be adhered to as far as </w:t>
      </w:r>
    </w:p>
    <w:p w:rsidR="00CE1404" w:rsidRPr="00210C10" w:rsidRDefault="00CE1404" w:rsidP="00CE1404">
      <w:pPr>
        <w:ind w:left="720" w:hanging="720"/>
        <w:rPr>
          <w:rFonts w:ascii="Arial" w:hAnsi="Arial" w:cs="Arial"/>
          <w:sz w:val="22"/>
          <w:szCs w:val="22"/>
        </w:rPr>
      </w:pPr>
      <w:r w:rsidRPr="00210C10">
        <w:rPr>
          <w:rFonts w:ascii="Arial" w:hAnsi="Arial" w:cs="Arial"/>
          <w:sz w:val="22"/>
          <w:szCs w:val="22"/>
        </w:rPr>
        <w:t xml:space="preserve">reasonably possible.  </w:t>
      </w:r>
    </w:p>
    <w:p w:rsidR="00CE1404" w:rsidRPr="00210C10" w:rsidRDefault="00CE1404" w:rsidP="00CE1404">
      <w:pPr>
        <w:ind w:left="720" w:hanging="720"/>
        <w:rPr>
          <w:rFonts w:ascii="Arial" w:hAnsi="Arial" w:cs="Arial"/>
          <w:sz w:val="22"/>
          <w:szCs w:val="22"/>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4496"/>
      </w:tblGrid>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Invitation to Qualify despatched</w:t>
            </w:r>
          </w:p>
        </w:tc>
        <w:tc>
          <w:tcPr>
            <w:tcW w:w="4496" w:type="dxa"/>
          </w:tcPr>
          <w:p w:rsidR="00B455C3" w:rsidRPr="00A40483" w:rsidRDefault="00B455C3" w:rsidP="00B455C3">
            <w:pPr>
              <w:rPr>
                <w:rFonts w:ascii="Arial" w:hAnsi="Arial"/>
                <w:sz w:val="22"/>
                <w:szCs w:val="24"/>
                <w:highlight w:val="yellow"/>
              </w:rPr>
            </w:pPr>
            <w:r>
              <w:rPr>
                <w:rFonts w:ascii="Arial" w:hAnsi="Arial"/>
                <w:sz w:val="22"/>
                <w:szCs w:val="24"/>
                <w:highlight w:val="yellow"/>
              </w:rPr>
              <w:t>20</w:t>
            </w:r>
            <w:r w:rsidRPr="00A40483">
              <w:rPr>
                <w:rFonts w:ascii="Arial" w:hAnsi="Arial"/>
                <w:sz w:val="22"/>
                <w:szCs w:val="24"/>
                <w:highlight w:val="yellow"/>
                <w:vertAlign w:val="superscript"/>
              </w:rPr>
              <w:t>th</w:t>
            </w:r>
            <w:r w:rsidRPr="00A40483">
              <w:rPr>
                <w:rFonts w:ascii="Arial" w:hAnsi="Arial"/>
                <w:sz w:val="22"/>
                <w:szCs w:val="24"/>
                <w:highlight w:val="yellow"/>
              </w:rPr>
              <w:t xml:space="preserve"> February 2018</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 xml:space="preserve">Qualify </w:t>
            </w:r>
            <w:r w:rsidRPr="00210C10">
              <w:rPr>
                <w:rFonts w:ascii="Arial" w:hAnsi="Arial" w:cs="Arial"/>
                <w:sz w:val="22"/>
                <w:szCs w:val="22"/>
              </w:rPr>
              <w:t>Responses due back</w:t>
            </w:r>
          </w:p>
        </w:tc>
        <w:tc>
          <w:tcPr>
            <w:tcW w:w="4496" w:type="dxa"/>
          </w:tcPr>
          <w:p w:rsidR="00B455C3" w:rsidRPr="00A40483" w:rsidRDefault="00B455C3" w:rsidP="00B455C3">
            <w:pPr>
              <w:rPr>
                <w:rFonts w:ascii="Arial" w:hAnsi="Arial"/>
                <w:sz w:val="22"/>
                <w:szCs w:val="24"/>
                <w:highlight w:val="yellow"/>
              </w:rPr>
            </w:pPr>
            <w:r>
              <w:rPr>
                <w:rFonts w:ascii="Arial" w:hAnsi="Arial"/>
                <w:sz w:val="22"/>
                <w:szCs w:val="24"/>
                <w:highlight w:val="yellow"/>
              </w:rPr>
              <w:t>26</w:t>
            </w:r>
            <w:r>
              <w:rPr>
                <w:rFonts w:ascii="Arial" w:hAnsi="Arial"/>
                <w:sz w:val="22"/>
                <w:szCs w:val="24"/>
                <w:highlight w:val="yellow"/>
                <w:vertAlign w:val="superscript"/>
              </w:rPr>
              <w:t>th</w:t>
            </w:r>
            <w:r>
              <w:rPr>
                <w:rFonts w:ascii="Arial" w:hAnsi="Arial"/>
                <w:sz w:val="22"/>
                <w:szCs w:val="24"/>
                <w:highlight w:val="yellow"/>
              </w:rPr>
              <w:t xml:space="preserve"> </w:t>
            </w:r>
            <w:r w:rsidRPr="00A40483">
              <w:rPr>
                <w:rFonts w:ascii="Arial" w:hAnsi="Arial"/>
                <w:sz w:val="22"/>
                <w:szCs w:val="24"/>
                <w:highlight w:val="yellow"/>
              </w:rPr>
              <w:t>March 2018</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 xml:space="preserve">Evaluation of Qualification </w:t>
            </w:r>
          </w:p>
        </w:tc>
        <w:tc>
          <w:tcPr>
            <w:tcW w:w="4496" w:type="dxa"/>
          </w:tcPr>
          <w:p w:rsidR="00B455C3" w:rsidRPr="00A40483" w:rsidRDefault="00B455C3" w:rsidP="00B455C3">
            <w:pPr>
              <w:rPr>
                <w:rFonts w:ascii="Arial" w:hAnsi="Arial"/>
                <w:sz w:val="22"/>
                <w:szCs w:val="24"/>
                <w:highlight w:val="yellow"/>
              </w:rPr>
            </w:pPr>
            <w:r w:rsidRPr="00A40483">
              <w:rPr>
                <w:rFonts w:ascii="Arial" w:hAnsi="Arial"/>
                <w:sz w:val="22"/>
                <w:szCs w:val="24"/>
                <w:highlight w:val="yellow"/>
              </w:rPr>
              <w:t xml:space="preserve">From </w:t>
            </w:r>
            <w:r>
              <w:rPr>
                <w:rFonts w:ascii="Arial" w:hAnsi="Arial"/>
                <w:sz w:val="22"/>
                <w:szCs w:val="24"/>
                <w:highlight w:val="yellow"/>
              </w:rPr>
              <w:t>27</w:t>
            </w:r>
            <w:r w:rsidRPr="00A40483">
              <w:rPr>
                <w:rFonts w:ascii="Arial" w:hAnsi="Arial"/>
                <w:sz w:val="22"/>
                <w:szCs w:val="24"/>
                <w:highlight w:val="yellow"/>
                <w:vertAlign w:val="superscript"/>
              </w:rPr>
              <w:t>th</w:t>
            </w:r>
            <w:r w:rsidRPr="00A40483">
              <w:rPr>
                <w:rFonts w:ascii="Arial" w:hAnsi="Arial"/>
                <w:sz w:val="22"/>
                <w:szCs w:val="24"/>
                <w:highlight w:val="yellow"/>
              </w:rPr>
              <w:t xml:space="preserve"> March</w:t>
            </w:r>
            <w:r w:rsidRPr="00A40483">
              <w:rPr>
                <w:rFonts w:ascii="Arial" w:hAnsi="Arial"/>
                <w:sz w:val="22"/>
                <w:szCs w:val="24"/>
                <w:highlight w:val="yellow"/>
                <w:vertAlign w:val="superscript"/>
              </w:rPr>
              <w:t xml:space="preserve">  </w:t>
            </w:r>
            <w:r w:rsidRPr="00A40483">
              <w:rPr>
                <w:rFonts w:ascii="Arial" w:hAnsi="Arial"/>
                <w:sz w:val="22"/>
                <w:szCs w:val="24"/>
                <w:highlight w:val="yellow"/>
              </w:rPr>
              <w:t>to</w:t>
            </w:r>
            <w:r>
              <w:rPr>
                <w:rFonts w:ascii="Arial" w:hAnsi="Arial"/>
                <w:sz w:val="22"/>
                <w:szCs w:val="24"/>
                <w:highlight w:val="yellow"/>
              </w:rPr>
              <w:t>1</w:t>
            </w:r>
            <w:r w:rsidRPr="00977EF9">
              <w:rPr>
                <w:rFonts w:ascii="Arial" w:hAnsi="Arial"/>
                <w:sz w:val="21"/>
                <w:szCs w:val="22"/>
                <w:highlight w:val="yellow"/>
                <w:vertAlign w:val="superscript"/>
              </w:rPr>
              <w:t xml:space="preserve">st </w:t>
            </w:r>
            <w:r>
              <w:rPr>
                <w:rFonts w:ascii="Arial" w:hAnsi="Arial"/>
                <w:sz w:val="22"/>
                <w:szCs w:val="24"/>
                <w:highlight w:val="yellow"/>
              </w:rPr>
              <w:t>May</w:t>
            </w:r>
            <w:r w:rsidRPr="00A40483">
              <w:rPr>
                <w:rFonts w:ascii="Arial" w:hAnsi="Arial"/>
                <w:sz w:val="22"/>
                <w:szCs w:val="24"/>
                <w:highlight w:val="yellow"/>
              </w:rPr>
              <w:t xml:space="preserve">  2018</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lastRenderedPageBreak/>
              <w:t>Invitation to Tender despatched</w:t>
            </w:r>
          </w:p>
        </w:tc>
        <w:tc>
          <w:tcPr>
            <w:tcW w:w="4496" w:type="dxa"/>
          </w:tcPr>
          <w:p w:rsidR="00B455C3" w:rsidRPr="00A40483" w:rsidRDefault="00B455C3" w:rsidP="00B455C3">
            <w:pPr>
              <w:rPr>
                <w:rFonts w:ascii="Arial" w:hAnsi="Arial"/>
                <w:sz w:val="22"/>
                <w:szCs w:val="24"/>
                <w:highlight w:val="yellow"/>
              </w:rPr>
            </w:pPr>
            <w:r>
              <w:rPr>
                <w:rFonts w:ascii="Arial" w:hAnsi="Arial"/>
                <w:sz w:val="22"/>
                <w:szCs w:val="24"/>
                <w:highlight w:val="yellow"/>
              </w:rPr>
              <w:t>2</w:t>
            </w:r>
            <w:r>
              <w:rPr>
                <w:rFonts w:ascii="Arial" w:hAnsi="Arial"/>
                <w:sz w:val="22"/>
                <w:szCs w:val="24"/>
                <w:highlight w:val="yellow"/>
                <w:vertAlign w:val="superscript"/>
              </w:rPr>
              <w:t>nd</w:t>
            </w:r>
            <w:r w:rsidRPr="00A40483">
              <w:rPr>
                <w:rFonts w:ascii="Arial" w:hAnsi="Arial"/>
                <w:sz w:val="22"/>
                <w:szCs w:val="24"/>
                <w:highlight w:val="yellow"/>
              </w:rPr>
              <w:t xml:space="preserve"> </w:t>
            </w:r>
            <w:r>
              <w:rPr>
                <w:rFonts w:ascii="Arial" w:hAnsi="Arial"/>
                <w:sz w:val="22"/>
                <w:szCs w:val="24"/>
                <w:highlight w:val="yellow"/>
              </w:rPr>
              <w:t xml:space="preserve">May </w:t>
            </w:r>
            <w:r w:rsidRPr="00A40483">
              <w:rPr>
                <w:rFonts w:ascii="Arial" w:hAnsi="Arial"/>
                <w:sz w:val="22"/>
                <w:szCs w:val="24"/>
                <w:highlight w:val="yellow"/>
              </w:rPr>
              <w:t>2018</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Tender Returns</w:t>
            </w:r>
          </w:p>
        </w:tc>
        <w:tc>
          <w:tcPr>
            <w:tcW w:w="4496" w:type="dxa"/>
          </w:tcPr>
          <w:p w:rsidR="00B455C3" w:rsidRPr="00A40483" w:rsidRDefault="00B455C3" w:rsidP="00B455C3">
            <w:pPr>
              <w:rPr>
                <w:rFonts w:ascii="Arial" w:hAnsi="Arial"/>
                <w:sz w:val="22"/>
                <w:szCs w:val="24"/>
                <w:highlight w:val="yellow"/>
              </w:rPr>
            </w:pPr>
            <w:r>
              <w:rPr>
                <w:rFonts w:ascii="Arial" w:hAnsi="Arial"/>
                <w:sz w:val="22"/>
                <w:szCs w:val="24"/>
                <w:highlight w:val="yellow"/>
              </w:rPr>
              <w:t>20</w:t>
            </w:r>
            <w:r w:rsidRPr="00A40483">
              <w:rPr>
                <w:rFonts w:ascii="Arial" w:hAnsi="Arial"/>
                <w:sz w:val="22"/>
                <w:szCs w:val="24"/>
                <w:highlight w:val="yellow"/>
                <w:vertAlign w:val="superscript"/>
              </w:rPr>
              <w:t>th</w:t>
            </w:r>
            <w:r w:rsidRPr="00A40483">
              <w:rPr>
                <w:rFonts w:ascii="Arial" w:hAnsi="Arial"/>
                <w:sz w:val="22"/>
                <w:szCs w:val="24"/>
                <w:highlight w:val="yellow"/>
              </w:rPr>
              <w:t xml:space="preserve"> </w:t>
            </w:r>
            <w:r>
              <w:rPr>
                <w:rFonts w:ascii="Arial" w:hAnsi="Arial"/>
                <w:sz w:val="22"/>
                <w:szCs w:val="24"/>
                <w:highlight w:val="yellow"/>
              </w:rPr>
              <w:t>June</w:t>
            </w:r>
            <w:r w:rsidRPr="00A40483">
              <w:rPr>
                <w:rFonts w:ascii="Arial" w:hAnsi="Arial"/>
                <w:sz w:val="22"/>
                <w:szCs w:val="24"/>
                <w:highlight w:val="yellow"/>
              </w:rPr>
              <w:t xml:space="preserve"> 2018</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 xml:space="preserve">Contract Award </w:t>
            </w:r>
          </w:p>
        </w:tc>
        <w:tc>
          <w:tcPr>
            <w:tcW w:w="4496" w:type="dxa"/>
          </w:tcPr>
          <w:p w:rsidR="00B455C3" w:rsidRPr="00A40483" w:rsidRDefault="00B455C3" w:rsidP="00B455C3">
            <w:pPr>
              <w:rPr>
                <w:rFonts w:ascii="Arial" w:hAnsi="Arial"/>
                <w:sz w:val="22"/>
                <w:szCs w:val="24"/>
                <w:highlight w:val="yellow"/>
              </w:rPr>
            </w:pPr>
            <w:r w:rsidRPr="00A40483">
              <w:rPr>
                <w:rFonts w:ascii="Arial" w:hAnsi="Arial"/>
                <w:sz w:val="22"/>
                <w:szCs w:val="24"/>
                <w:highlight w:val="yellow"/>
              </w:rPr>
              <w:t>TBD</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Start on Site</w:t>
            </w:r>
          </w:p>
        </w:tc>
        <w:tc>
          <w:tcPr>
            <w:tcW w:w="4496" w:type="dxa"/>
          </w:tcPr>
          <w:p w:rsidR="00B455C3" w:rsidRPr="00A40483" w:rsidRDefault="00B455C3" w:rsidP="00B455C3">
            <w:pPr>
              <w:rPr>
                <w:rFonts w:ascii="Arial" w:hAnsi="Arial"/>
                <w:sz w:val="22"/>
                <w:szCs w:val="24"/>
                <w:highlight w:val="yellow"/>
              </w:rPr>
            </w:pPr>
            <w:r>
              <w:rPr>
                <w:rFonts w:ascii="Arial" w:hAnsi="Arial"/>
                <w:sz w:val="22"/>
                <w:szCs w:val="24"/>
                <w:highlight w:val="yellow"/>
              </w:rPr>
              <w:t>19</w:t>
            </w:r>
            <w:r w:rsidRPr="00074661">
              <w:rPr>
                <w:rFonts w:ascii="Arial" w:hAnsi="Arial"/>
                <w:sz w:val="22"/>
                <w:szCs w:val="24"/>
                <w:highlight w:val="yellow"/>
                <w:vertAlign w:val="superscript"/>
              </w:rPr>
              <w:t>th</w:t>
            </w:r>
            <w:r>
              <w:rPr>
                <w:rFonts w:ascii="Arial" w:hAnsi="Arial"/>
                <w:sz w:val="22"/>
                <w:szCs w:val="24"/>
                <w:highlight w:val="yellow"/>
              </w:rPr>
              <w:t xml:space="preserve"> </w:t>
            </w:r>
            <w:r w:rsidRPr="00A40483">
              <w:rPr>
                <w:rFonts w:ascii="Arial" w:hAnsi="Arial"/>
                <w:sz w:val="22"/>
                <w:szCs w:val="24"/>
                <w:highlight w:val="yellow"/>
              </w:rPr>
              <w:t>Sept 2018</w:t>
            </w:r>
          </w:p>
        </w:tc>
      </w:tr>
      <w:tr w:rsidR="00B455C3" w:rsidRPr="00210C10" w:rsidTr="00B455C3">
        <w:tc>
          <w:tcPr>
            <w:tcW w:w="4520" w:type="dxa"/>
          </w:tcPr>
          <w:p w:rsidR="00B455C3" w:rsidRPr="00210C10" w:rsidRDefault="00B455C3" w:rsidP="00B455C3">
            <w:pPr>
              <w:rPr>
                <w:rFonts w:ascii="Arial" w:hAnsi="Arial" w:cs="Arial"/>
                <w:sz w:val="22"/>
                <w:szCs w:val="22"/>
              </w:rPr>
            </w:pPr>
            <w:r w:rsidRPr="00210C10">
              <w:rPr>
                <w:rFonts w:ascii="Arial" w:hAnsi="Arial" w:cs="Arial"/>
                <w:sz w:val="22"/>
                <w:szCs w:val="22"/>
              </w:rPr>
              <w:t>Construction Phase End</w:t>
            </w:r>
          </w:p>
        </w:tc>
        <w:tc>
          <w:tcPr>
            <w:tcW w:w="4496" w:type="dxa"/>
          </w:tcPr>
          <w:p w:rsidR="00B455C3" w:rsidRPr="00A40483" w:rsidRDefault="00B455C3" w:rsidP="00B455C3">
            <w:pPr>
              <w:rPr>
                <w:rFonts w:ascii="Arial" w:hAnsi="Arial"/>
                <w:sz w:val="22"/>
                <w:szCs w:val="24"/>
                <w:highlight w:val="yellow"/>
              </w:rPr>
            </w:pPr>
            <w:r>
              <w:rPr>
                <w:rFonts w:ascii="Arial" w:hAnsi="Arial"/>
                <w:sz w:val="22"/>
                <w:szCs w:val="24"/>
                <w:highlight w:val="yellow"/>
              </w:rPr>
              <w:t>29</w:t>
            </w:r>
            <w:r w:rsidRPr="00074661">
              <w:rPr>
                <w:rFonts w:ascii="Arial" w:hAnsi="Arial"/>
                <w:sz w:val="22"/>
                <w:szCs w:val="24"/>
                <w:highlight w:val="yellow"/>
                <w:vertAlign w:val="superscript"/>
              </w:rPr>
              <w:t>th</w:t>
            </w:r>
            <w:r>
              <w:rPr>
                <w:rFonts w:ascii="Arial" w:hAnsi="Arial"/>
                <w:sz w:val="22"/>
                <w:szCs w:val="24"/>
                <w:highlight w:val="yellow"/>
              </w:rPr>
              <w:t xml:space="preserve"> July</w:t>
            </w:r>
            <w:r w:rsidRPr="00A40483">
              <w:rPr>
                <w:rFonts w:ascii="Arial" w:hAnsi="Arial"/>
                <w:sz w:val="22"/>
                <w:szCs w:val="24"/>
                <w:highlight w:val="yellow"/>
              </w:rPr>
              <w:t xml:space="preserve"> 2019</w:t>
            </w:r>
          </w:p>
        </w:tc>
      </w:tr>
    </w:tbl>
    <w:p w:rsidR="00CE1404" w:rsidRPr="00210C10" w:rsidRDefault="00CE1404" w:rsidP="00CE1404">
      <w:pPr>
        <w:ind w:left="720" w:hanging="720"/>
        <w:rPr>
          <w:rFonts w:ascii="Arial" w:hAnsi="Arial" w:cs="Arial"/>
          <w:sz w:val="22"/>
          <w:szCs w:val="22"/>
        </w:rPr>
      </w:pPr>
    </w:p>
    <w:p w:rsidR="00CE1404" w:rsidRPr="00210C10" w:rsidRDefault="00CE1404" w:rsidP="00CE1404">
      <w:pPr>
        <w:spacing w:line="360" w:lineRule="auto"/>
        <w:rPr>
          <w:rFonts w:ascii="Arial" w:hAnsi="Arial" w:cs="Arial"/>
          <w:b/>
          <w:sz w:val="22"/>
          <w:szCs w:val="22"/>
        </w:rPr>
      </w:pPr>
      <w:r w:rsidRPr="00210C10">
        <w:rPr>
          <w:rFonts w:ascii="Arial" w:hAnsi="Arial" w:cs="Arial"/>
          <w:b/>
          <w:sz w:val="22"/>
          <w:szCs w:val="22"/>
        </w:rPr>
        <w:t xml:space="preserve">  </w:t>
      </w:r>
    </w:p>
    <w:p w:rsidR="00CE1404" w:rsidRPr="00210C10" w:rsidRDefault="00CE1404" w:rsidP="00FE5BF4">
      <w:pPr>
        <w:pStyle w:val="Heading1"/>
        <w:spacing w:after="120"/>
        <w:jc w:val="both"/>
        <w:rPr>
          <w:rFonts w:ascii="Arial" w:hAnsi="Arial" w:cs="Arial"/>
          <w:sz w:val="22"/>
          <w:szCs w:val="22"/>
          <w:u w:val="none"/>
        </w:rPr>
      </w:pPr>
      <w:r w:rsidRPr="00210C10">
        <w:rPr>
          <w:rFonts w:ascii="Arial" w:hAnsi="Arial" w:cs="Arial"/>
          <w:sz w:val="22"/>
          <w:szCs w:val="22"/>
          <w:u w:val="none"/>
        </w:rPr>
        <w:t xml:space="preserve">DEPARTMENT : Department of Estates </w:t>
      </w:r>
      <w:r w:rsidRPr="00210C10">
        <w:rPr>
          <w:rFonts w:ascii="Arial" w:hAnsi="Arial" w:cs="Arial"/>
          <w:sz w:val="22"/>
          <w:szCs w:val="22"/>
          <w:u w:val="none"/>
        </w:rPr>
        <w:tab/>
        <w:t xml:space="preserve">LOCATION: </w:t>
      </w:r>
      <w:r w:rsidRPr="00210C10">
        <w:rPr>
          <w:rFonts w:ascii="Arial" w:hAnsi="Arial" w:cs="Arial"/>
          <w:sz w:val="22"/>
          <w:szCs w:val="22"/>
          <w:u w:val="none"/>
        </w:rPr>
        <w:tab/>
      </w:r>
      <w:r w:rsidR="00FE5BF4" w:rsidRPr="00210C10">
        <w:rPr>
          <w:rFonts w:ascii="Arial" w:hAnsi="Arial" w:cs="Arial"/>
          <w:sz w:val="22"/>
          <w:szCs w:val="22"/>
          <w:u w:val="none"/>
        </w:rPr>
        <w:t xml:space="preserve">Humber </w:t>
      </w:r>
      <w:r w:rsidRPr="00210C10">
        <w:rPr>
          <w:rFonts w:ascii="Arial" w:hAnsi="Arial" w:cs="Arial"/>
          <w:sz w:val="22"/>
          <w:szCs w:val="22"/>
          <w:u w:val="none"/>
        </w:rPr>
        <w:t xml:space="preserve">Bridgehead Hull </w:t>
      </w:r>
    </w:p>
    <w:p w:rsidR="00CE1404" w:rsidRPr="00210C10" w:rsidRDefault="00CE1404" w:rsidP="00B455C3">
      <w:pPr>
        <w:spacing w:line="360" w:lineRule="auto"/>
        <w:rPr>
          <w:rFonts w:ascii="Arial" w:hAnsi="Arial" w:cs="Arial"/>
          <w:sz w:val="22"/>
          <w:szCs w:val="22"/>
        </w:rPr>
      </w:pPr>
      <w:r w:rsidRPr="00210C10">
        <w:rPr>
          <w:rFonts w:ascii="Arial" w:hAnsi="Arial" w:cs="Arial"/>
          <w:b/>
          <w:sz w:val="22"/>
          <w:szCs w:val="22"/>
        </w:rPr>
        <w:t>QUALIFICATION RETURN DATE</w:t>
      </w:r>
      <w:r w:rsidRPr="00210C10">
        <w:rPr>
          <w:rFonts w:ascii="Arial" w:hAnsi="Arial" w:cs="Arial"/>
          <w:b/>
          <w:sz w:val="22"/>
          <w:szCs w:val="22"/>
        </w:rPr>
        <w:tab/>
        <w:t xml:space="preserve">:   </w:t>
      </w:r>
      <w:r w:rsidRPr="00210C10">
        <w:rPr>
          <w:rFonts w:ascii="Arial" w:hAnsi="Arial" w:cs="Arial"/>
          <w:b/>
          <w:sz w:val="22"/>
          <w:szCs w:val="22"/>
        </w:rPr>
        <w:tab/>
      </w:r>
      <w:r w:rsidRPr="00210C10">
        <w:rPr>
          <w:rFonts w:ascii="Arial" w:hAnsi="Arial" w:cs="Arial"/>
          <w:b/>
          <w:sz w:val="22"/>
          <w:szCs w:val="22"/>
          <w:highlight w:val="yellow"/>
        </w:rPr>
        <w:t>2</w:t>
      </w:r>
      <w:r w:rsidR="00B455C3">
        <w:rPr>
          <w:rFonts w:ascii="Arial" w:hAnsi="Arial" w:cs="Arial"/>
          <w:b/>
          <w:sz w:val="22"/>
          <w:szCs w:val="22"/>
          <w:highlight w:val="yellow"/>
        </w:rPr>
        <w:t>6th</w:t>
      </w:r>
      <w:r w:rsidRPr="00210C10">
        <w:rPr>
          <w:rFonts w:ascii="Arial" w:hAnsi="Arial" w:cs="Arial"/>
          <w:b/>
          <w:sz w:val="22"/>
          <w:szCs w:val="22"/>
          <w:highlight w:val="yellow"/>
          <w:vertAlign w:val="superscript"/>
        </w:rPr>
        <w:t xml:space="preserve"> </w:t>
      </w:r>
      <w:r w:rsidRPr="00210C10">
        <w:rPr>
          <w:rFonts w:ascii="Arial" w:hAnsi="Arial" w:cs="Arial"/>
          <w:b/>
          <w:sz w:val="22"/>
          <w:szCs w:val="22"/>
          <w:highlight w:val="yellow"/>
        </w:rPr>
        <w:t>March at 12 noon (UK time)</w:t>
      </w:r>
      <w:r w:rsidRPr="00210C10">
        <w:rPr>
          <w:rFonts w:ascii="Arial" w:hAnsi="Arial" w:cs="Arial"/>
          <w:sz w:val="22"/>
          <w:szCs w:val="22"/>
          <w:highlight w:val="yellow"/>
        </w:rPr>
        <w:t>.</w:t>
      </w:r>
    </w:p>
    <w:p w:rsidR="00CE1404" w:rsidRPr="00210C10" w:rsidRDefault="00CE1404" w:rsidP="00CE1404">
      <w:pPr>
        <w:rPr>
          <w:rFonts w:ascii="Arial" w:hAnsi="Arial" w:cs="Arial"/>
          <w:sz w:val="22"/>
          <w:szCs w:val="22"/>
        </w:rPr>
      </w:pPr>
      <w:r w:rsidRPr="00210C10">
        <w:rPr>
          <w:rFonts w:ascii="Arial" w:hAnsi="Arial" w:cs="Arial"/>
          <w:sz w:val="22"/>
          <w:szCs w:val="22"/>
        </w:rPr>
        <w:t>Please read the instructions on the tendering procedures carefu</w:t>
      </w:r>
      <w:bookmarkStart w:id="0" w:name="_GoBack"/>
      <w:bookmarkEnd w:id="0"/>
      <w:r w:rsidRPr="00210C10">
        <w:rPr>
          <w:rFonts w:ascii="Arial" w:hAnsi="Arial" w:cs="Arial"/>
          <w:sz w:val="22"/>
          <w:szCs w:val="22"/>
        </w:rPr>
        <w:t>lly, failure to comply with them may invalidate your tender. Your tender must be returned by the date and time given above.</w:t>
      </w:r>
    </w:p>
    <w:p w:rsidR="00210C10" w:rsidRPr="00210C10" w:rsidRDefault="00210C10" w:rsidP="00CE1404">
      <w:pPr>
        <w:rPr>
          <w:rFonts w:ascii="Arial" w:hAnsi="Arial" w:cs="Arial"/>
          <w:sz w:val="22"/>
          <w:szCs w:val="22"/>
        </w:rPr>
      </w:pPr>
    </w:p>
    <w:p w:rsidR="00210C10" w:rsidRPr="00210C10" w:rsidRDefault="00210C10" w:rsidP="00210C10">
      <w:pPr>
        <w:rPr>
          <w:rFonts w:ascii="Arial" w:hAnsi="Arial" w:cs="Arial"/>
          <w:sz w:val="22"/>
          <w:szCs w:val="22"/>
          <w:lang w:eastAsia="en-GB"/>
        </w:rPr>
      </w:pPr>
      <w:r w:rsidRPr="00210C10">
        <w:rPr>
          <w:rFonts w:ascii="Arial" w:hAnsi="Arial" w:cs="Arial"/>
          <w:sz w:val="22"/>
          <w:szCs w:val="22"/>
          <w:lang w:eastAsia="en-GB"/>
        </w:rPr>
        <w:t xml:space="preserve">If you are interested in the opportunity and wish to view it please use this website link </w:t>
      </w:r>
      <w:hyperlink r:id="rId8" w:history="1">
        <w:r w:rsidRPr="00210C10">
          <w:rPr>
            <w:rStyle w:val="Hyperlink"/>
            <w:rFonts w:ascii="Arial" w:hAnsi="Arial" w:cs="Arial"/>
            <w:sz w:val="22"/>
            <w:szCs w:val="22"/>
            <w:u w:val="none"/>
            <w:lang w:eastAsia="en-GB"/>
          </w:rPr>
          <w:t>https:</w:t>
        </w:r>
        <w:r w:rsidRPr="00210C10">
          <w:rPr>
            <w:rStyle w:val="Hyperlink"/>
            <w:rFonts w:ascii="Arial" w:hAnsi="Arial" w:cs="Arial"/>
            <w:color w:val="0070C0"/>
            <w:sz w:val="22"/>
            <w:szCs w:val="22"/>
            <w:u w:val="none"/>
            <w:lang w:eastAsia="en-GB"/>
          </w:rPr>
          <w:t>//www.proactisplaza.com/supplierportal/?cid=UNIHULL</w:t>
        </w:r>
      </w:hyperlink>
      <w:r w:rsidRPr="00210C10">
        <w:rPr>
          <w:rFonts w:ascii="Arial" w:hAnsi="Arial" w:cs="Arial"/>
          <w:sz w:val="22"/>
          <w:szCs w:val="22"/>
          <w:lang w:eastAsia="en-GB"/>
        </w:rPr>
        <w:t xml:space="preserve"> which will take you to our Supplier Portal home page where you can register your company by clicking on the Sign up link so that you will be able to view and acces the tender</w:t>
      </w:r>
    </w:p>
    <w:p w:rsidR="00210C10" w:rsidRPr="00210C10" w:rsidRDefault="00210C10" w:rsidP="00210C10">
      <w:pPr>
        <w:rPr>
          <w:rFonts w:ascii="Arial" w:hAnsi="Arial" w:cs="Arial"/>
          <w:sz w:val="22"/>
          <w:szCs w:val="22"/>
          <w:lang w:eastAsia="en-GB"/>
        </w:rPr>
      </w:pPr>
    </w:p>
    <w:p w:rsidR="00CE1404" w:rsidRPr="00210C10" w:rsidRDefault="00CE1404" w:rsidP="00CE1404">
      <w:pPr>
        <w:rPr>
          <w:rFonts w:ascii="Arial" w:hAnsi="Arial" w:cs="Arial"/>
          <w:sz w:val="22"/>
          <w:szCs w:val="22"/>
        </w:rPr>
      </w:pPr>
    </w:p>
    <w:p w:rsidR="00CE1404" w:rsidRPr="00210C10" w:rsidRDefault="00CE1404" w:rsidP="00CE1404">
      <w:pPr>
        <w:pStyle w:val="Numbered"/>
        <w:widowControl/>
        <w:rPr>
          <w:rFonts w:cs="Arial"/>
        </w:rPr>
      </w:pPr>
      <w:r w:rsidRPr="00210C10">
        <w:rPr>
          <w:rFonts w:cs="Arial"/>
          <w:noProof/>
        </w:rPr>
        <w:t xml:space="preserve">Any queries regarding this Invitation to Tender should be submitted through the University’s </w:t>
      </w:r>
      <w:r w:rsidRPr="00210C10">
        <w:rPr>
          <w:rFonts w:cs="Arial"/>
        </w:rPr>
        <w:t xml:space="preserve">e tendering system </w:t>
      </w:r>
      <w:hyperlink r:id="rId9" w:history="1">
        <w:r w:rsidRPr="00210C10">
          <w:rPr>
            <w:rStyle w:val="Hyperlink"/>
            <w:rFonts w:cs="Arial"/>
          </w:rPr>
          <w:t>https://www.proactisplaza.com/supplierportal/?cid=UNIHULL</w:t>
        </w:r>
      </w:hyperlink>
      <w:r w:rsidRPr="00210C10">
        <w:rPr>
          <w:rFonts w:cs="Arial"/>
        </w:rPr>
        <w:t xml:space="preserve">  via the Correspondence facility. </w:t>
      </w:r>
    </w:p>
    <w:p w:rsidR="00CE1404" w:rsidRPr="00210C10" w:rsidRDefault="00CE1404" w:rsidP="00CE1404">
      <w:pPr>
        <w:rPr>
          <w:rFonts w:ascii="Arial" w:hAnsi="Arial" w:cs="Arial"/>
          <w:sz w:val="22"/>
          <w:szCs w:val="22"/>
        </w:rPr>
      </w:pPr>
      <w:r w:rsidRPr="00210C10">
        <w:rPr>
          <w:rFonts w:ascii="Arial" w:hAnsi="Arial" w:cs="Arial"/>
          <w:sz w:val="22"/>
          <w:szCs w:val="22"/>
        </w:rPr>
        <w:t xml:space="preserve">Your tender response must be submitted through the University’s on line e-tendering system </w:t>
      </w:r>
      <w:hyperlink r:id="rId10" w:history="1">
        <w:r w:rsidRPr="00210C10">
          <w:rPr>
            <w:rStyle w:val="Hyperlink"/>
            <w:rFonts w:ascii="Arial" w:hAnsi="Arial" w:cs="Arial"/>
            <w:sz w:val="22"/>
            <w:szCs w:val="22"/>
          </w:rPr>
          <w:t>https://www.proactisplaza.com/supplierportal/?cid=UNIHULL</w:t>
        </w:r>
      </w:hyperlink>
      <w:r w:rsidRPr="00210C10">
        <w:rPr>
          <w:rFonts w:ascii="Arial" w:hAnsi="Arial" w:cs="Arial"/>
          <w:sz w:val="22"/>
          <w:szCs w:val="22"/>
        </w:rPr>
        <w:t xml:space="preserve">  to arrive by the date and time specified above. Late tenders will </w:t>
      </w:r>
      <w:r w:rsidRPr="00210C10">
        <w:rPr>
          <w:rFonts w:ascii="Arial" w:hAnsi="Arial" w:cs="Arial"/>
          <w:b/>
          <w:sz w:val="22"/>
          <w:szCs w:val="22"/>
        </w:rPr>
        <w:t>not</w:t>
      </w:r>
      <w:r w:rsidRPr="00210C10">
        <w:rPr>
          <w:rFonts w:ascii="Arial" w:hAnsi="Arial" w:cs="Arial"/>
          <w:sz w:val="22"/>
          <w:szCs w:val="22"/>
        </w:rPr>
        <w:t xml:space="preserve"> be considered.</w:t>
      </w:r>
    </w:p>
    <w:p w:rsidR="00CE1404" w:rsidRPr="00210C10" w:rsidRDefault="00CE1404" w:rsidP="00CE1404">
      <w:pPr>
        <w:rPr>
          <w:rFonts w:ascii="Arial" w:hAnsi="Arial" w:cs="Arial"/>
          <w:sz w:val="22"/>
          <w:szCs w:val="22"/>
        </w:rPr>
      </w:pPr>
    </w:p>
    <w:p w:rsidR="00CE1404" w:rsidRPr="00210C10" w:rsidRDefault="00CE1404" w:rsidP="00CE1404">
      <w:pPr>
        <w:tabs>
          <w:tab w:val="left" w:pos="720"/>
          <w:tab w:val="left" w:pos="1440"/>
          <w:tab w:val="left" w:pos="2160"/>
        </w:tabs>
        <w:rPr>
          <w:rFonts w:ascii="Arial" w:hAnsi="Arial" w:cs="Arial"/>
          <w:sz w:val="22"/>
          <w:szCs w:val="22"/>
        </w:rPr>
      </w:pPr>
    </w:p>
    <w:p w:rsidR="00CE1404" w:rsidRPr="00210C10" w:rsidRDefault="00CE1404" w:rsidP="00CE1404">
      <w:pPr>
        <w:tabs>
          <w:tab w:val="left" w:pos="720"/>
          <w:tab w:val="left" w:pos="1440"/>
          <w:tab w:val="left" w:pos="2160"/>
        </w:tabs>
        <w:rPr>
          <w:rFonts w:ascii="Arial" w:hAnsi="Arial" w:cs="Arial"/>
          <w:sz w:val="22"/>
          <w:szCs w:val="22"/>
        </w:rPr>
      </w:pPr>
    </w:p>
    <w:p w:rsidR="00CE1404" w:rsidRPr="00210C10" w:rsidRDefault="00CE1404" w:rsidP="00CE1404">
      <w:pPr>
        <w:tabs>
          <w:tab w:val="left" w:pos="720"/>
          <w:tab w:val="left" w:pos="1440"/>
          <w:tab w:val="left" w:pos="2160"/>
        </w:tabs>
        <w:rPr>
          <w:rFonts w:ascii="Arial" w:hAnsi="Arial" w:cs="Arial"/>
          <w:sz w:val="22"/>
          <w:szCs w:val="22"/>
        </w:rPr>
      </w:pPr>
      <w:r w:rsidRPr="00210C10">
        <w:rPr>
          <w:rFonts w:ascii="Arial" w:hAnsi="Arial" w:cs="Arial"/>
          <w:sz w:val="22"/>
          <w:szCs w:val="22"/>
        </w:rPr>
        <w:t>Yours faithfully</w:t>
      </w:r>
    </w:p>
    <w:p w:rsidR="00CE1404" w:rsidRPr="00210C10" w:rsidRDefault="00CE1404" w:rsidP="00CE1404">
      <w:pPr>
        <w:tabs>
          <w:tab w:val="left" w:pos="720"/>
          <w:tab w:val="left" w:pos="1440"/>
          <w:tab w:val="left" w:pos="2160"/>
        </w:tabs>
        <w:rPr>
          <w:rFonts w:ascii="Arial" w:hAnsi="Arial" w:cs="Arial"/>
          <w:sz w:val="22"/>
          <w:szCs w:val="22"/>
        </w:rPr>
      </w:pPr>
    </w:p>
    <w:p w:rsidR="00CE1404" w:rsidRPr="00210C10" w:rsidRDefault="00CE1404" w:rsidP="00CE1404">
      <w:pPr>
        <w:tabs>
          <w:tab w:val="left" w:pos="720"/>
          <w:tab w:val="left" w:pos="1440"/>
          <w:tab w:val="left" w:pos="2160"/>
        </w:tabs>
        <w:rPr>
          <w:rFonts w:ascii="Arial" w:hAnsi="Arial" w:cs="Arial"/>
          <w:sz w:val="22"/>
          <w:szCs w:val="22"/>
        </w:rPr>
      </w:pPr>
    </w:p>
    <w:p w:rsidR="00CE1404" w:rsidRPr="00210C10" w:rsidRDefault="00CE1404" w:rsidP="00CE1404">
      <w:pPr>
        <w:tabs>
          <w:tab w:val="left" w:pos="720"/>
          <w:tab w:val="left" w:pos="1440"/>
          <w:tab w:val="left" w:pos="2160"/>
        </w:tabs>
        <w:rPr>
          <w:rFonts w:ascii="Arial" w:hAnsi="Arial" w:cs="Arial"/>
          <w:sz w:val="22"/>
          <w:szCs w:val="22"/>
        </w:rPr>
      </w:pPr>
      <w:r w:rsidRPr="00210C10">
        <w:rPr>
          <w:rFonts w:ascii="Arial" w:hAnsi="Arial" w:cs="Arial"/>
          <w:sz w:val="22"/>
          <w:szCs w:val="22"/>
        </w:rPr>
        <w:t>Chris Gratton</w:t>
      </w:r>
    </w:p>
    <w:p w:rsidR="00CE1404" w:rsidRPr="00210C10" w:rsidRDefault="00CE1404" w:rsidP="00CE1404">
      <w:pPr>
        <w:tabs>
          <w:tab w:val="left" w:pos="630"/>
          <w:tab w:val="left" w:pos="1440"/>
          <w:tab w:val="left" w:pos="2160"/>
        </w:tabs>
        <w:rPr>
          <w:rFonts w:ascii="Arial" w:hAnsi="Arial" w:cs="Arial"/>
          <w:sz w:val="22"/>
          <w:szCs w:val="22"/>
        </w:rPr>
      </w:pPr>
      <w:r w:rsidRPr="00210C10">
        <w:rPr>
          <w:rFonts w:ascii="Arial" w:hAnsi="Arial" w:cs="Arial"/>
          <w:sz w:val="22"/>
          <w:szCs w:val="22"/>
        </w:rPr>
        <w:t>Procurement Category Manager</w:t>
      </w:r>
    </w:p>
    <w:p w:rsidR="00CE1404" w:rsidRPr="00210C10" w:rsidRDefault="00CE1404" w:rsidP="00CE1404">
      <w:pPr>
        <w:tabs>
          <w:tab w:val="left" w:pos="-90"/>
          <w:tab w:val="left" w:pos="1440"/>
          <w:tab w:val="left" w:pos="2160"/>
        </w:tabs>
        <w:ind w:left="720" w:hanging="720"/>
        <w:rPr>
          <w:rFonts w:ascii="Arial" w:hAnsi="Arial" w:cs="Arial"/>
          <w:sz w:val="22"/>
          <w:szCs w:val="22"/>
        </w:rPr>
      </w:pPr>
      <w:r w:rsidRPr="00210C10">
        <w:rPr>
          <w:rFonts w:ascii="Arial" w:hAnsi="Arial" w:cs="Arial"/>
          <w:sz w:val="22"/>
          <w:szCs w:val="22"/>
        </w:rPr>
        <w:t>University of Hull</w:t>
      </w:r>
    </w:p>
    <w:p w:rsidR="007D615C" w:rsidRPr="00210C10" w:rsidRDefault="00B455C3">
      <w:pPr>
        <w:rPr>
          <w:rFonts w:ascii="Arial" w:hAnsi="Arial" w:cs="Arial"/>
          <w:sz w:val="22"/>
          <w:szCs w:val="22"/>
        </w:rPr>
      </w:pPr>
    </w:p>
    <w:sectPr w:rsidR="007D615C" w:rsidRPr="00210C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404"/>
    <w:rsid w:val="00210C10"/>
    <w:rsid w:val="004D57C9"/>
    <w:rsid w:val="007D0D7A"/>
    <w:rsid w:val="00B455C3"/>
    <w:rsid w:val="00CE1404"/>
    <w:rsid w:val="00FE5B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7113"/>
  <w15:chartTrackingRefBased/>
  <w15:docId w15:val="{E1C37EB6-5A47-4087-B592-13EAFEAF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404"/>
    <w:pPr>
      <w:spacing w:after="0" w:line="240" w:lineRule="auto"/>
    </w:pPr>
    <w:rPr>
      <w:rFonts w:ascii="Times New Roman" w:eastAsia="Times New Roman" w:hAnsi="Times New Roman" w:cs="Times New Roman"/>
      <w:noProof/>
      <w:sz w:val="24"/>
      <w:szCs w:val="20"/>
      <w:lang w:eastAsia="en-US"/>
    </w:rPr>
  </w:style>
  <w:style w:type="paragraph" w:styleId="Heading1">
    <w:name w:val="heading 1"/>
    <w:basedOn w:val="Normal"/>
    <w:next w:val="Normal"/>
    <w:link w:val="Heading1Char"/>
    <w:qFormat/>
    <w:rsid w:val="00CE1404"/>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1404"/>
    <w:rPr>
      <w:rFonts w:ascii="Times New Roman" w:eastAsia="Times New Roman" w:hAnsi="Times New Roman" w:cs="Times New Roman"/>
      <w:b/>
      <w:bCs/>
      <w:noProof/>
      <w:sz w:val="24"/>
      <w:szCs w:val="20"/>
      <w:u w:val="single"/>
      <w:lang w:eastAsia="en-US"/>
    </w:rPr>
  </w:style>
  <w:style w:type="paragraph" w:styleId="Title">
    <w:name w:val="Title"/>
    <w:basedOn w:val="Normal"/>
    <w:link w:val="TitleChar"/>
    <w:qFormat/>
    <w:rsid w:val="00CE1404"/>
    <w:pPr>
      <w:jc w:val="center"/>
    </w:pPr>
    <w:rPr>
      <w:b/>
      <w:noProof w:val="0"/>
      <w:sz w:val="32"/>
      <w:u w:val="single"/>
    </w:rPr>
  </w:style>
  <w:style w:type="character" w:customStyle="1" w:styleId="TitleChar">
    <w:name w:val="Title Char"/>
    <w:basedOn w:val="DefaultParagraphFont"/>
    <w:link w:val="Title"/>
    <w:rsid w:val="00CE1404"/>
    <w:rPr>
      <w:rFonts w:ascii="Times New Roman" w:eastAsia="Times New Roman" w:hAnsi="Times New Roman" w:cs="Times New Roman"/>
      <w:b/>
      <w:sz w:val="32"/>
      <w:szCs w:val="20"/>
      <w:u w:val="single"/>
      <w:lang w:eastAsia="en-US"/>
    </w:rPr>
  </w:style>
  <w:style w:type="character" w:styleId="Hyperlink">
    <w:name w:val="Hyperlink"/>
    <w:basedOn w:val="DefaultParagraphFont"/>
    <w:uiPriority w:val="99"/>
    <w:rsid w:val="00CE1404"/>
    <w:rPr>
      <w:color w:val="0000FF"/>
      <w:u w:val="single"/>
    </w:rPr>
  </w:style>
  <w:style w:type="paragraph" w:customStyle="1" w:styleId="Default">
    <w:name w:val="Default"/>
    <w:rsid w:val="00CE1404"/>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DeptOutNumbered">
    <w:name w:val="DeptOutNumbered"/>
    <w:basedOn w:val="Normal"/>
    <w:rsid w:val="00CE1404"/>
    <w:pPr>
      <w:widowControl w:val="0"/>
      <w:numPr>
        <w:numId w:val="1"/>
      </w:numPr>
      <w:overflowPunct w:val="0"/>
      <w:autoSpaceDE w:val="0"/>
      <w:autoSpaceDN w:val="0"/>
      <w:adjustRightInd w:val="0"/>
      <w:spacing w:after="240"/>
      <w:textAlignment w:val="baseline"/>
    </w:pPr>
    <w:rPr>
      <w:rFonts w:ascii="Arial" w:hAnsi="Arial"/>
      <w:noProof w:val="0"/>
    </w:rPr>
  </w:style>
  <w:style w:type="paragraph" w:customStyle="1" w:styleId="Numbered">
    <w:name w:val="Numbered"/>
    <w:basedOn w:val="Normal"/>
    <w:rsid w:val="00CE1404"/>
    <w:pPr>
      <w:widowControl w:val="0"/>
      <w:overflowPunct w:val="0"/>
      <w:autoSpaceDE w:val="0"/>
      <w:autoSpaceDN w:val="0"/>
      <w:adjustRightInd w:val="0"/>
      <w:spacing w:after="240"/>
      <w:textAlignment w:val="baseline"/>
    </w:pPr>
    <w:rPr>
      <w:rFonts w:ascii="Arial" w:hAnsi="Arial" w:cs="Mangal"/>
      <w:noProof w:val="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actisplaza.com/supplierportal/?cid=UNIHULL" TargetMode="External"/><Relationship Id="rId3" Type="http://schemas.openxmlformats.org/officeDocument/2006/relationships/settings" Target="settings.xml"/><Relationship Id="rId7" Type="http://schemas.openxmlformats.org/officeDocument/2006/relationships/hyperlink" Target="https://www.gov.uk/european-growth-fund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proactisplaza.com/supplierportal/?cid=UNIHULL" TargetMode="External"/><Relationship Id="rId4" Type="http://schemas.openxmlformats.org/officeDocument/2006/relationships/webSettings" Target="webSettings.xml"/><Relationship Id="rId9" Type="http://schemas.openxmlformats.org/officeDocument/2006/relationships/hyperlink" Target="https://www.proactisplaza.com/supplierportal/?cid=UNIH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 Gratton</dc:creator>
  <cp:keywords/>
  <dc:description/>
  <cp:lastModifiedBy>Christopher S Gratton</cp:lastModifiedBy>
  <cp:revision>3</cp:revision>
  <dcterms:created xsi:type="dcterms:W3CDTF">2018-02-19T10:18:00Z</dcterms:created>
  <dcterms:modified xsi:type="dcterms:W3CDTF">2018-02-19T11:29:00Z</dcterms:modified>
</cp:coreProperties>
</file>