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22" w:type="dxa"/>
        <w:tblLook w:val="04A0" w:firstRow="1" w:lastRow="0" w:firstColumn="1" w:lastColumn="0" w:noHBand="0" w:noVBand="1"/>
      </w:tblPr>
      <w:tblGrid>
        <w:gridCol w:w="2235"/>
        <w:gridCol w:w="2409"/>
        <w:gridCol w:w="1843"/>
        <w:gridCol w:w="2835"/>
      </w:tblGrid>
      <w:tr w:rsidR="006A6D2F" w14:paraId="249F040B" w14:textId="77777777" w:rsidTr="006A6D2F">
        <w:tc>
          <w:tcPr>
            <w:tcW w:w="2235" w:type="dxa"/>
          </w:tcPr>
          <w:p w14:paraId="09E50622" w14:textId="77777777" w:rsidR="006A6D2F" w:rsidRPr="00401943" w:rsidRDefault="006A6D2F">
            <w:pPr>
              <w:rPr>
                <w:b/>
              </w:rPr>
            </w:pPr>
            <w:r w:rsidRPr="00401943">
              <w:rPr>
                <w:b/>
              </w:rPr>
              <w:t>Contract Number</w:t>
            </w:r>
          </w:p>
        </w:tc>
        <w:tc>
          <w:tcPr>
            <w:tcW w:w="2409" w:type="dxa"/>
          </w:tcPr>
          <w:p w14:paraId="3228FC87" w14:textId="1C85F4C2" w:rsidR="006A6D2F" w:rsidRDefault="00555ACB">
            <w:r>
              <w:t>RD1000845</w:t>
            </w:r>
          </w:p>
        </w:tc>
        <w:tc>
          <w:tcPr>
            <w:tcW w:w="1843" w:type="dxa"/>
          </w:tcPr>
          <w:p w14:paraId="696C8708" w14:textId="77777777" w:rsidR="006A6D2F" w:rsidRPr="00401943" w:rsidRDefault="00401943">
            <w:pPr>
              <w:rPr>
                <w:b/>
              </w:rPr>
            </w:pPr>
            <w:r w:rsidRPr="00401943">
              <w:rPr>
                <w:b/>
              </w:rPr>
              <w:t>DfE Contract / Programme Manager</w:t>
            </w:r>
          </w:p>
        </w:tc>
        <w:tc>
          <w:tcPr>
            <w:tcW w:w="2835" w:type="dxa"/>
          </w:tcPr>
          <w:p w14:paraId="03851C65" w14:textId="77777777" w:rsidR="006A6D2F" w:rsidRDefault="00401943">
            <w:r>
              <w:t xml:space="preserve">Barry </w:t>
            </w:r>
            <w:proofErr w:type="spellStart"/>
            <w:r>
              <w:t>Durrans</w:t>
            </w:r>
            <w:proofErr w:type="spellEnd"/>
            <w:r w:rsidR="008728FF">
              <w:t xml:space="preserve">; Laverne </w:t>
            </w:r>
            <w:proofErr w:type="spellStart"/>
            <w:r w:rsidR="008728FF">
              <w:t>Levick</w:t>
            </w:r>
            <w:proofErr w:type="spellEnd"/>
          </w:p>
        </w:tc>
      </w:tr>
      <w:tr w:rsidR="006A6D2F" w14:paraId="005F137A" w14:textId="77777777" w:rsidTr="006A6D2F">
        <w:tc>
          <w:tcPr>
            <w:tcW w:w="2235" w:type="dxa"/>
          </w:tcPr>
          <w:p w14:paraId="036ADA10" w14:textId="77777777" w:rsidR="006A6D2F" w:rsidRPr="00401943" w:rsidRDefault="006A6D2F">
            <w:pPr>
              <w:rPr>
                <w:b/>
              </w:rPr>
            </w:pPr>
            <w:r w:rsidRPr="00401943">
              <w:rPr>
                <w:b/>
              </w:rPr>
              <w:t>Contractor</w:t>
            </w:r>
          </w:p>
        </w:tc>
        <w:tc>
          <w:tcPr>
            <w:tcW w:w="2409" w:type="dxa"/>
          </w:tcPr>
          <w:p w14:paraId="353C56E7" w14:textId="69DFD1CB" w:rsidR="006A6D2F" w:rsidRDefault="00CA0473">
            <w:r>
              <w:t xml:space="preserve">Ruth </w:t>
            </w:r>
            <w:proofErr w:type="spellStart"/>
            <w:r>
              <w:t>Miskin</w:t>
            </w:r>
            <w:proofErr w:type="spellEnd"/>
            <w:r>
              <w:t xml:space="preserve"> Training</w:t>
            </w:r>
          </w:p>
        </w:tc>
        <w:tc>
          <w:tcPr>
            <w:tcW w:w="1843" w:type="dxa"/>
          </w:tcPr>
          <w:p w14:paraId="66DEB382" w14:textId="77777777" w:rsidR="006A6D2F" w:rsidRPr="00401943" w:rsidRDefault="00401943">
            <w:pPr>
              <w:rPr>
                <w:b/>
              </w:rPr>
            </w:pPr>
            <w:r w:rsidRPr="00401943">
              <w:rPr>
                <w:b/>
              </w:rPr>
              <w:t>Original Contract Value (£)</w:t>
            </w:r>
          </w:p>
        </w:tc>
        <w:tc>
          <w:tcPr>
            <w:tcW w:w="2835" w:type="dxa"/>
          </w:tcPr>
          <w:p w14:paraId="08996908" w14:textId="617CA28E" w:rsidR="006A6D2F" w:rsidRDefault="00555ACB" w:rsidP="00CA0473">
            <w:r>
              <w:t>£1</w:t>
            </w:r>
            <w:r w:rsidR="000E7EFB">
              <w:t>,</w:t>
            </w:r>
            <w:r w:rsidR="00CA0473">
              <w:t>056</w:t>
            </w:r>
            <w:r w:rsidR="000E7EFB">
              <w:t>,2</w:t>
            </w:r>
            <w:r w:rsidR="00CA0473">
              <w:t>90.00</w:t>
            </w:r>
          </w:p>
        </w:tc>
      </w:tr>
      <w:tr w:rsidR="006A6D2F" w14:paraId="60451BB5" w14:textId="77777777" w:rsidTr="006A6D2F">
        <w:tc>
          <w:tcPr>
            <w:tcW w:w="2235" w:type="dxa"/>
          </w:tcPr>
          <w:p w14:paraId="5A7AF24E" w14:textId="77777777" w:rsidR="006A6D2F" w:rsidRPr="00401943" w:rsidRDefault="006A6D2F">
            <w:pPr>
              <w:rPr>
                <w:b/>
              </w:rPr>
            </w:pPr>
            <w:r w:rsidRPr="00401943">
              <w:rPr>
                <w:b/>
              </w:rPr>
              <w:t>Contract Start Date</w:t>
            </w:r>
          </w:p>
        </w:tc>
        <w:tc>
          <w:tcPr>
            <w:tcW w:w="2409" w:type="dxa"/>
          </w:tcPr>
          <w:p w14:paraId="39AE8303" w14:textId="77777777" w:rsidR="006A6D2F" w:rsidRDefault="000E7EFB">
            <w:r>
              <w:t>14/09/2017</w:t>
            </w:r>
          </w:p>
        </w:tc>
        <w:tc>
          <w:tcPr>
            <w:tcW w:w="1843" w:type="dxa"/>
          </w:tcPr>
          <w:p w14:paraId="76E4E8CC" w14:textId="77777777" w:rsidR="006A6D2F" w:rsidRPr="00401943" w:rsidRDefault="00401943">
            <w:pPr>
              <w:rPr>
                <w:b/>
              </w:rPr>
            </w:pPr>
            <w:r w:rsidRPr="00401943">
              <w:rPr>
                <w:b/>
              </w:rPr>
              <w:t>Contract Expiry Date</w:t>
            </w:r>
          </w:p>
        </w:tc>
        <w:tc>
          <w:tcPr>
            <w:tcW w:w="2835" w:type="dxa"/>
          </w:tcPr>
          <w:p w14:paraId="46C3CABA" w14:textId="77777777" w:rsidR="006A6D2F" w:rsidRDefault="000E7EFB">
            <w:r>
              <w:t>31/03/2020</w:t>
            </w:r>
          </w:p>
        </w:tc>
      </w:tr>
    </w:tbl>
    <w:p w14:paraId="5644DC4C" w14:textId="77777777" w:rsidR="001E2433" w:rsidRDefault="001E2433"/>
    <w:tbl>
      <w:tblPr>
        <w:tblStyle w:val="TableGrid"/>
        <w:tblW w:w="0" w:type="auto"/>
        <w:tblLook w:val="04A0" w:firstRow="1" w:lastRow="0" w:firstColumn="1" w:lastColumn="0" w:noHBand="0" w:noVBand="1"/>
      </w:tblPr>
      <w:tblGrid>
        <w:gridCol w:w="3601"/>
        <w:gridCol w:w="5415"/>
      </w:tblGrid>
      <w:tr w:rsidR="006A6D2F" w14:paraId="1AEA4BE6" w14:textId="77777777" w:rsidTr="008D0FA5">
        <w:tc>
          <w:tcPr>
            <w:tcW w:w="3652" w:type="dxa"/>
            <w:shd w:val="clear" w:color="auto" w:fill="D9D9D9" w:themeFill="background1" w:themeFillShade="D9"/>
          </w:tcPr>
          <w:p w14:paraId="2AC43EE1" w14:textId="77777777" w:rsidR="006A6D2F" w:rsidRPr="00281B71" w:rsidRDefault="00281B71">
            <w:pPr>
              <w:rPr>
                <w:b/>
              </w:rPr>
            </w:pPr>
            <w:r w:rsidRPr="00281B71">
              <w:rPr>
                <w:b/>
              </w:rPr>
              <w:t>Variation Requested</w:t>
            </w:r>
          </w:p>
        </w:tc>
        <w:tc>
          <w:tcPr>
            <w:tcW w:w="5590" w:type="dxa"/>
          </w:tcPr>
          <w:p w14:paraId="45AD0D76" w14:textId="779E2426" w:rsidR="006A6D2F" w:rsidRDefault="003B7F35">
            <w:r>
              <w:t xml:space="preserve">Recruitment of a third cohort of </w:t>
            </w:r>
            <w:r w:rsidR="0049455D">
              <w:t xml:space="preserve">36 </w:t>
            </w:r>
            <w:r>
              <w:t>schools</w:t>
            </w:r>
          </w:p>
        </w:tc>
      </w:tr>
      <w:tr w:rsidR="006A6D2F" w14:paraId="64D540D8" w14:textId="77777777" w:rsidTr="008D0FA5">
        <w:tc>
          <w:tcPr>
            <w:tcW w:w="3652" w:type="dxa"/>
            <w:shd w:val="clear" w:color="auto" w:fill="D9D9D9" w:themeFill="background1" w:themeFillShade="D9"/>
          </w:tcPr>
          <w:p w14:paraId="296E7CD7" w14:textId="77777777" w:rsidR="006A6D2F" w:rsidRPr="00281B71" w:rsidRDefault="00281B71">
            <w:pPr>
              <w:rPr>
                <w:b/>
              </w:rPr>
            </w:pPr>
            <w:r w:rsidRPr="00281B71">
              <w:rPr>
                <w:b/>
              </w:rPr>
              <w:t>Originator of Variation</w:t>
            </w:r>
          </w:p>
          <w:p w14:paraId="0EB8061F" w14:textId="77777777" w:rsidR="00281B71" w:rsidRPr="00281B71" w:rsidRDefault="00281B71">
            <w:pPr>
              <w:rPr>
                <w:b/>
              </w:rPr>
            </w:pPr>
          </w:p>
          <w:p w14:paraId="44CF87B6" w14:textId="77777777" w:rsidR="00281B71" w:rsidRPr="00281B71" w:rsidRDefault="00281B71">
            <w:pPr>
              <w:rPr>
                <w:b/>
              </w:rPr>
            </w:pPr>
            <w:r w:rsidRPr="00281B71">
              <w:rPr>
                <w:b/>
              </w:rPr>
              <w:t>(tick as appropriate)</w:t>
            </w:r>
          </w:p>
        </w:tc>
        <w:tc>
          <w:tcPr>
            <w:tcW w:w="5590" w:type="dxa"/>
          </w:tcPr>
          <w:p w14:paraId="689630A6" w14:textId="2DFF2B65" w:rsidR="006A6D2F" w:rsidRDefault="008D0FA5" w:rsidP="00E361C9">
            <w:pPr>
              <w:ind w:left="720"/>
            </w:pPr>
            <w:r>
              <w:rPr>
                <w:b/>
              </w:rPr>
              <w:t>DF</w:t>
            </w:r>
            <w:r w:rsidR="00E361C9" w:rsidRPr="00E361C9">
              <w:rPr>
                <w:b/>
              </w:rPr>
              <w:t xml:space="preserve">E </w:t>
            </w:r>
            <w:r w:rsidR="00E361C9">
              <w:t xml:space="preserve">   </w:t>
            </w:r>
            <w:sdt>
              <w:sdtPr>
                <w:rPr>
                  <w:rFonts w:ascii="MS Gothic" w:eastAsia="MS Gothic" w:hAnsi="MS Gothic"/>
                </w:rPr>
                <w:id w:val="-2026234732"/>
                <w14:checkbox>
                  <w14:checked w14:val="1"/>
                  <w14:checkedState w14:val="2612" w14:font="MS Gothic"/>
                  <w14:uncheckedState w14:val="2610" w14:font="MS Gothic"/>
                </w14:checkbox>
              </w:sdtPr>
              <w:sdtEndPr/>
              <w:sdtContent>
                <w:r w:rsidR="00CA0473">
                  <w:rPr>
                    <w:rFonts w:ascii="MS Gothic" w:eastAsia="MS Gothic" w:hAnsi="MS Gothic" w:hint="eastAsia"/>
                  </w:rPr>
                  <w:t>☒</w:t>
                </w:r>
              </w:sdtContent>
            </w:sdt>
            <w:r w:rsidR="00E361C9">
              <w:t xml:space="preserve">                  </w:t>
            </w:r>
            <w:r w:rsidR="00E361C9" w:rsidRPr="00E361C9">
              <w:rPr>
                <w:b/>
              </w:rPr>
              <w:t>Co</w:t>
            </w:r>
            <w:r w:rsidR="00E775E4" w:rsidRPr="00E361C9">
              <w:rPr>
                <w:b/>
              </w:rPr>
              <w:t>ntractor</w:t>
            </w:r>
            <w:r w:rsidR="00E361C9" w:rsidRPr="00E361C9">
              <w:rPr>
                <w:b/>
              </w:rPr>
              <w:t xml:space="preserve"> </w:t>
            </w:r>
            <w:r w:rsidR="00E361C9">
              <w:t xml:space="preserve">   </w:t>
            </w:r>
            <w:sdt>
              <w:sdtPr>
                <w:id w:val="-1970728052"/>
                <w14:checkbox>
                  <w14:checked w14:val="0"/>
                  <w14:checkedState w14:val="2612" w14:font="MS Gothic"/>
                  <w14:uncheckedState w14:val="2610" w14:font="MS Gothic"/>
                </w14:checkbox>
              </w:sdtPr>
              <w:sdtEndPr/>
              <w:sdtContent>
                <w:r w:rsidR="00CA0473">
                  <w:rPr>
                    <w:rFonts w:ascii="MS Gothic" w:eastAsia="MS Gothic" w:hAnsi="MS Gothic" w:hint="eastAsia"/>
                  </w:rPr>
                  <w:t>☐</w:t>
                </w:r>
              </w:sdtContent>
            </w:sdt>
          </w:p>
        </w:tc>
      </w:tr>
      <w:tr w:rsidR="006A6D2F" w14:paraId="3715E3C3" w14:textId="77777777" w:rsidTr="008D0FA5">
        <w:tc>
          <w:tcPr>
            <w:tcW w:w="3652" w:type="dxa"/>
            <w:shd w:val="clear" w:color="auto" w:fill="D9D9D9" w:themeFill="background1" w:themeFillShade="D9"/>
          </w:tcPr>
          <w:p w14:paraId="642597ED" w14:textId="77777777" w:rsidR="006A6D2F" w:rsidRPr="00155BA6" w:rsidRDefault="00155BA6">
            <w:pPr>
              <w:rPr>
                <w:b/>
              </w:rPr>
            </w:pPr>
            <w:r w:rsidRPr="00155BA6">
              <w:rPr>
                <w:b/>
              </w:rPr>
              <w:t>Date</w:t>
            </w:r>
          </w:p>
        </w:tc>
        <w:tc>
          <w:tcPr>
            <w:tcW w:w="5590" w:type="dxa"/>
          </w:tcPr>
          <w:p w14:paraId="114249CC" w14:textId="76B98904" w:rsidR="006A6D2F" w:rsidRDefault="001019E6" w:rsidP="00CA0473">
            <w:r>
              <w:t>11 July 2018</w:t>
            </w:r>
          </w:p>
        </w:tc>
      </w:tr>
      <w:tr w:rsidR="006A6D2F" w14:paraId="6DD10BDF" w14:textId="77777777" w:rsidTr="008D0FA5">
        <w:tc>
          <w:tcPr>
            <w:tcW w:w="3652" w:type="dxa"/>
            <w:shd w:val="clear" w:color="auto" w:fill="D9D9D9" w:themeFill="background1" w:themeFillShade="D9"/>
          </w:tcPr>
          <w:p w14:paraId="5DCF82B6" w14:textId="77777777" w:rsidR="006A6D2F" w:rsidRPr="00155BA6" w:rsidRDefault="00155BA6">
            <w:pPr>
              <w:rPr>
                <w:b/>
              </w:rPr>
            </w:pPr>
            <w:r w:rsidRPr="00155BA6">
              <w:rPr>
                <w:b/>
              </w:rPr>
              <w:t>Reason for Variation</w:t>
            </w:r>
          </w:p>
        </w:tc>
        <w:tc>
          <w:tcPr>
            <w:tcW w:w="5590" w:type="dxa"/>
          </w:tcPr>
          <w:p w14:paraId="1EFC1333" w14:textId="7BF68285" w:rsidR="0055723C" w:rsidRPr="00490CCB" w:rsidRDefault="0055723C" w:rsidP="00E165B6">
            <w:pPr>
              <w:pStyle w:val="NumberedNormal"/>
              <w:numPr>
                <w:ilvl w:val="0"/>
                <w:numId w:val="0"/>
              </w:numPr>
              <w:rPr>
                <w:sz w:val="22"/>
                <w:szCs w:val="22"/>
              </w:rPr>
            </w:pPr>
            <w:r w:rsidRPr="00490CCB">
              <w:rPr>
                <w:sz w:val="22"/>
                <w:szCs w:val="22"/>
              </w:rPr>
              <w:t xml:space="preserve">The first round of the Teaching and Leadership Innovation </w:t>
            </w:r>
            <w:r w:rsidR="008E54D9">
              <w:rPr>
                <w:sz w:val="22"/>
                <w:szCs w:val="22"/>
              </w:rPr>
              <w:t>Fund (TLIF)</w:t>
            </w:r>
            <w:r w:rsidR="008E54D9" w:rsidRPr="00490CCB">
              <w:rPr>
                <w:sz w:val="22"/>
                <w:szCs w:val="22"/>
              </w:rPr>
              <w:t xml:space="preserve"> </w:t>
            </w:r>
            <w:r w:rsidRPr="00490CCB">
              <w:rPr>
                <w:sz w:val="22"/>
                <w:szCs w:val="22"/>
              </w:rPr>
              <w:t xml:space="preserve">was launched in </w:t>
            </w:r>
            <w:r w:rsidR="003B7F35">
              <w:rPr>
                <w:sz w:val="22"/>
                <w:szCs w:val="22"/>
              </w:rPr>
              <w:t>Spring 2</w:t>
            </w:r>
            <w:r w:rsidRPr="00490CCB">
              <w:rPr>
                <w:sz w:val="22"/>
                <w:szCs w:val="22"/>
              </w:rPr>
              <w:t xml:space="preserve">017. Following a competitive procurement process, </w:t>
            </w:r>
            <w:r w:rsidR="008E54D9">
              <w:rPr>
                <w:sz w:val="22"/>
                <w:szCs w:val="22"/>
              </w:rPr>
              <w:t>the Contractor</w:t>
            </w:r>
            <w:r w:rsidRPr="00490CCB">
              <w:rPr>
                <w:sz w:val="22"/>
                <w:szCs w:val="22"/>
              </w:rPr>
              <w:t xml:space="preserve"> w</w:t>
            </w:r>
            <w:r w:rsidR="008E54D9">
              <w:rPr>
                <w:sz w:val="22"/>
                <w:szCs w:val="22"/>
              </w:rPr>
              <w:t>as</w:t>
            </w:r>
            <w:r w:rsidRPr="00490CCB">
              <w:rPr>
                <w:sz w:val="22"/>
                <w:szCs w:val="22"/>
              </w:rPr>
              <w:t xml:space="preserve"> awarded a contract in September 2017 to deliver a whole school literacy professional development programme to support systematic synthetic phonics teaching. </w:t>
            </w:r>
          </w:p>
          <w:p w14:paraId="11C9DBAD" w14:textId="3AFA1064" w:rsidR="0049455D" w:rsidRDefault="008E54D9" w:rsidP="00527505">
            <w:pPr>
              <w:pStyle w:val="NumberedNormal"/>
              <w:numPr>
                <w:ilvl w:val="0"/>
                <w:numId w:val="0"/>
              </w:numPr>
              <w:rPr>
                <w:sz w:val="22"/>
                <w:szCs w:val="22"/>
              </w:rPr>
            </w:pPr>
            <w:r>
              <w:rPr>
                <w:sz w:val="22"/>
                <w:szCs w:val="22"/>
              </w:rPr>
              <w:t>The Contractor</w:t>
            </w:r>
            <w:r w:rsidR="003B7F35" w:rsidRPr="003B7F35">
              <w:rPr>
                <w:sz w:val="22"/>
                <w:szCs w:val="22"/>
              </w:rPr>
              <w:t xml:space="preserve"> have achieved early their contracted recruitment target of 72 priority schools in priority areas. Recruitment of the first cohort of 36 schools was achieved in January 2018, with the second cohort</w:t>
            </w:r>
            <w:r w:rsidR="003B7F35">
              <w:rPr>
                <w:sz w:val="22"/>
                <w:szCs w:val="22"/>
              </w:rPr>
              <w:t xml:space="preserve"> </w:t>
            </w:r>
            <w:r w:rsidR="003B7F35" w:rsidRPr="003B7F35">
              <w:rPr>
                <w:sz w:val="22"/>
                <w:szCs w:val="22"/>
              </w:rPr>
              <w:t xml:space="preserve">of 36 priority schools due to start the programme </w:t>
            </w:r>
            <w:r w:rsidR="003B7F35">
              <w:rPr>
                <w:sz w:val="22"/>
                <w:szCs w:val="22"/>
              </w:rPr>
              <w:t xml:space="preserve">no later than the end of September 2018. </w:t>
            </w:r>
          </w:p>
          <w:p w14:paraId="14B7E4CB" w14:textId="721EB37F" w:rsidR="006A6D2F" w:rsidRPr="00490CCB" w:rsidRDefault="007F430B" w:rsidP="008E54D9">
            <w:pPr>
              <w:pStyle w:val="NumberedNormal"/>
              <w:numPr>
                <w:ilvl w:val="0"/>
                <w:numId w:val="0"/>
              </w:numPr>
              <w:rPr>
                <w:sz w:val="22"/>
                <w:szCs w:val="22"/>
              </w:rPr>
            </w:pPr>
            <w:r w:rsidRPr="00490CCB">
              <w:rPr>
                <w:sz w:val="22"/>
                <w:szCs w:val="22"/>
              </w:rPr>
              <w:t>Current data suggests there are approximately 750 TLIF eligible schools (priority schools in priority areas) that could benefit now from phonics provision. These are schools that are below average with reading</w:t>
            </w:r>
            <w:r w:rsidR="00E96DB6" w:rsidRPr="00490CCB">
              <w:rPr>
                <w:sz w:val="22"/>
                <w:szCs w:val="22"/>
              </w:rPr>
              <w:t xml:space="preserve"> and writing at KS2. Under the</w:t>
            </w:r>
            <w:r w:rsidRPr="00490CCB">
              <w:rPr>
                <w:sz w:val="22"/>
                <w:szCs w:val="22"/>
              </w:rPr>
              <w:t xml:space="preserve"> current contract, </w:t>
            </w:r>
            <w:r w:rsidR="008E54D9">
              <w:rPr>
                <w:sz w:val="22"/>
                <w:szCs w:val="22"/>
              </w:rPr>
              <w:t>the Contractor</w:t>
            </w:r>
            <w:r w:rsidRPr="00490CCB">
              <w:rPr>
                <w:sz w:val="22"/>
                <w:szCs w:val="22"/>
              </w:rPr>
              <w:t xml:space="preserve"> ha</w:t>
            </w:r>
            <w:r w:rsidR="008E54D9">
              <w:rPr>
                <w:sz w:val="22"/>
                <w:szCs w:val="22"/>
              </w:rPr>
              <w:t>s</w:t>
            </w:r>
            <w:r w:rsidRPr="00490CCB">
              <w:rPr>
                <w:sz w:val="22"/>
                <w:szCs w:val="22"/>
              </w:rPr>
              <w:t xml:space="preserve"> targeted 9.6% (72 schools) of these eligible schools. Offering a fu</w:t>
            </w:r>
            <w:r w:rsidR="007A637F" w:rsidRPr="00490CCB">
              <w:rPr>
                <w:sz w:val="22"/>
                <w:szCs w:val="22"/>
              </w:rPr>
              <w:t>rther cohort of 36 schools will</w:t>
            </w:r>
            <w:r w:rsidRPr="00490CCB">
              <w:rPr>
                <w:sz w:val="22"/>
                <w:szCs w:val="22"/>
              </w:rPr>
              <w:t xml:space="preserve"> enable </w:t>
            </w:r>
            <w:r w:rsidR="008E54D9">
              <w:rPr>
                <w:sz w:val="22"/>
                <w:szCs w:val="22"/>
              </w:rPr>
              <w:t>the Contractor</w:t>
            </w:r>
            <w:r w:rsidRPr="00490CCB">
              <w:rPr>
                <w:sz w:val="22"/>
                <w:szCs w:val="22"/>
              </w:rPr>
              <w:t xml:space="preserve"> to target an additional 4.7% schools, helping to further meet the need for phonics provision. </w:t>
            </w:r>
          </w:p>
        </w:tc>
      </w:tr>
      <w:tr w:rsidR="006A6D2F" w14:paraId="607ABC32" w14:textId="77777777" w:rsidTr="008D0FA5">
        <w:tc>
          <w:tcPr>
            <w:tcW w:w="3652" w:type="dxa"/>
            <w:shd w:val="clear" w:color="auto" w:fill="D9D9D9" w:themeFill="background1" w:themeFillShade="D9"/>
          </w:tcPr>
          <w:p w14:paraId="07C158D6" w14:textId="77777777" w:rsidR="006A6D2F" w:rsidRDefault="00155BA6">
            <w:pPr>
              <w:rPr>
                <w:b/>
              </w:rPr>
            </w:pPr>
            <w:r w:rsidRPr="00155BA6">
              <w:rPr>
                <w:b/>
              </w:rPr>
              <w:t>Summary of Variation</w:t>
            </w:r>
          </w:p>
          <w:p w14:paraId="1F79AFBC" w14:textId="77777777" w:rsidR="00872DA7" w:rsidRDefault="00872DA7">
            <w:pPr>
              <w:rPr>
                <w:b/>
              </w:rPr>
            </w:pPr>
          </w:p>
          <w:p w14:paraId="1A57764C" w14:textId="77777777" w:rsidR="00872DA7" w:rsidRPr="00155BA6" w:rsidRDefault="00872DA7">
            <w:pPr>
              <w:rPr>
                <w:b/>
              </w:rPr>
            </w:pPr>
            <w:r>
              <w:rPr>
                <w:b/>
              </w:rPr>
              <w:t>(e.g. specification, finances, contract period)</w:t>
            </w:r>
          </w:p>
        </w:tc>
        <w:tc>
          <w:tcPr>
            <w:tcW w:w="5590" w:type="dxa"/>
          </w:tcPr>
          <w:p w14:paraId="0DFB7F54" w14:textId="1ED9084C" w:rsidR="0011197D" w:rsidRPr="00490CCB" w:rsidRDefault="0011197D" w:rsidP="00E165B6">
            <w:pPr>
              <w:spacing w:after="240"/>
              <w:rPr>
                <w:rFonts w:cstheme="minorHAnsi"/>
              </w:rPr>
            </w:pPr>
            <w:r w:rsidRPr="00490CCB">
              <w:rPr>
                <w:rFonts w:cstheme="minorHAnsi"/>
                <w:color w:val="000000"/>
              </w:rPr>
              <w:t xml:space="preserve">In order to meet </w:t>
            </w:r>
            <w:r w:rsidR="00615938">
              <w:rPr>
                <w:rFonts w:cstheme="minorHAnsi"/>
                <w:color w:val="000000"/>
              </w:rPr>
              <w:t xml:space="preserve">a proportion of </w:t>
            </w:r>
            <w:r w:rsidR="002202E0">
              <w:rPr>
                <w:rFonts w:cstheme="minorHAnsi"/>
                <w:color w:val="000000"/>
              </w:rPr>
              <w:t xml:space="preserve">unmet </w:t>
            </w:r>
            <w:r w:rsidRPr="00490CCB">
              <w:rPr>
                <w:rFonts w:cstheme="minorHAnsi"/>
                <w:color w:val="000000"/>
              </w:rPr>
              <w:t>deman</w:t>
            </w:r>
            <w:r w:rsidR="00C01506" w:rsidRPr="00490CCB">
              <w:rPr>
                <w:rFonts w:cstheme="minorHAnsi"/>
                <w:color w:val="000000"/>
              </w:rPr>
              <w:t xml:space="preserve">d for </w:t>
            </w:r>
            <w:r w:rsidR="00995085">
              <w:rPr>
                <w:rFonts w:cstheme="minorHAnsi"/>
                <w:color w:val="000000"/>
              </w:rPr>
              <w:t xml:space="preserve">Continuous Professional Development in </w:t>
            </w:r>
            <w:r w:rsidR="00C01506" w:rsidRPr="00490CCB">
              <w:rPr>
                <w:rFonts w:cstheme="minorHAnsi"/>
                <w:color w:val="000000"/>
              </w:rPr>
              <w:t>s</w:t>
            </w:r>
            <w:r w:rsidRPr="00490CCB">
              <w:rPr>
                <w:rFonts w:cstheme="minorHAnsi"/>
                <w:color w:val="000000"/>
              </w:rPr>
              <w:t xml:space="preserve">ystematic </w:t>
            </w:r>
            <w:r w:rsidR="00594A52" w:rsidRPr="00490CCB">
              <w:rPr>
                <w:rFonts w:cstheme="minorHAnsi"/>
                <w:color w:val="000000"/>
              </w:rPr>
              <w:t>synthetic</w:t>
            </w:r>
            <w:r w:rsidRPr="00490CCB">
              <w:rPr>
                <w:rFonts w:cstheme="minorHAnsi"/>
                <w:color w:val="000000"/>
              </w:rPr>
              <w:t xml:space="preserve"> phonics</w:t>
            </w:r>
            <w:r w:rsidR="00995085">
              <w:rPr>
                <w:rFonts w:cstheme="minorHAnsi"/>
                <w:color w:val="000000"/>
              </w:rPr>
              <w:t xml:space="preserve">, </w:t>
            </w:r>
            <w:r w:rsidR="008E54D9">
              <w:rPr>
                <w:rFonts w:cstheme="minorHAnsi"/>
                <w:color w:val="000000"/>
              </w:rPr>
              <w:t>the Contractor</w:t>
            </w:r>
            <w:r w:rsidRPr="00490CCB">
              <w:rPr>
                <w:rFonts w:cstheme="minorHAnsi"/>
                <w:color w:val="000000"/>
              </w:rPr>
              <w:t xml:space="preserve"> will recruit a </w:t>
            </w:r>
            <w:r w:rsidR="00995085">
              <w:rPr>
                <w:rFonts w:cstheme="minorHAnsi"/>
                <w:color w:val="000000"/>
              </w:rPr>
              <w:t xml:space="preserve">third cohort of </w:t>
            </w:r>
            <w:r w:rsidRPr="00490CCB">
              <w:rPr>
                <w:rFonts w:cstheme="minorHAnsi"/>
                <w:color w:val="000000"/>
              </w:rPr>
              <w:t>36 schools</w:t>
            </w:r>
            <w:r w:rsidR="00654DAE" w:rsidRPr="00490CCB">
              <w:rPr>
                <w:rFonts w:cstheme="minorHAnsi"/>
                <w:color w:val="000000"/>
              </w:rPr>
              <w:t xml:space="preserve"> (1044 </w:t>
            </w:r>
            <w:r w:rsidR="00527505">
              <w:rPr>
                <w:rFonts w:cstheme="minorHAnsi"/>
                <w:color w:val="000000"/>
              </w:rPr>
              <w:t>teachers and leaders</w:t>
            </w:r>
            <w:r w:rsidR="00654DAE" w:rsidRPr="00490CCB">
              <w:rPr>
                <w:rFonts w:cstheme="minorHAnsi"/>
                <w:color w:val="000000"/>
              </w:rPr>
              <w:t>)</w:t>
            </w:r>
            <w:r w:rsidRPr="00490CCB">
              <w:rPr>
                <w:rFonts w:cstheme="minorHAnsi"/>
                <w:color w:val="000000"/>
              </w:rPr>
              <w:t xml:space="preserve"> to the</w:t>
            </w:r>
            <w:r w:rsidR="00B67C8A" w:rsidRPr="00490CCB">
              <w:rPr>
                <w:rFonts w:cstheme="minorHAnsi"/>
                <w:color w:val="000000"/>
              </w:rPr>
              <w:t xml:space="preserve">ir Read Write </w:t>
            </w:r>
            <w:proofErr w:type="spellStart"/>
            <w:r w:rsidR="00B67C8A" w:rsidRPr="00490CCB">
              <w:rPr>
                <w:rFonts w:cstheme="minorHAnsi"/>
                <w:color w:val="000000"/>
              </w:rPr>
              <w:t>Inc</w:t>
            </w:r>
            <w:proofErr w:type="spellEnd"/>
            <w:r w:rsidR="00654DAE" w:rsidRPr="00490CCB">
              <w:rPr>
                <w:rFonts w:cstheme="minorHAnsi"/>
                <w:color w:val="000000"/>
              </w:rPr>
              <w:t xml:space="preserve"> </w:t>
            </w:r>
            <w:r w:rsidRPr="00490CCB">
              <w:rPr>
                <w:rFonts w:cstheme="minorHAnsi"/>
                <w:color w:val="000000"/>
              </w:rPr>
              <w:t xml:space="preserve">TLIF programme. </w:t>
            </w:r>
            <w:r w:rsidR="00995085">
              <w:rPr>
                <w:rFonts w:cstheme="minorHAnsi"/>
                <w:color w:val="000000"/>
              </w:rPr>
              <w:t xml:space="preserve">Recruitment of schools will commence from Summer 2018 with all 36 schools recruited by </w:t>
            </w:r>
            <w:r w:rsidRPr="00490CCB">
              <w:rPr>
                <w:rFonts w:cstheme="minorHAnsi"/>
                <w:color w:val="000000"/>
              </w:rPr>
              <w:t>31 December 2018</w:t>
            </w:r>
            <w:r w:rsidR="00995085">
              <w:rPr>
                <w:rFonts w:cstheme="minorHAnsi"/>
                <w:color w:val="000000"/>
              </w:rPr>
              <w:t xml:space="preserve"> </w:t>
            </w:r>
            <w:r w:rsidR="00527505">
              <w:rPr>
                <w:rFonts w:cstheme="minorHAnsi"/>
                <w:color w:val="000000"/>
              </w:rPr>
              <w:t>and</w:t>
            </w:r>
            <w:r w:rsidR="00995085">
              <w:rPr>
                <w:rFonts w:cstheme="minorHAnsi"/>
                <w:color w:val="000000"/>
              </w:rPr>
              <w:t xml:space="preserve"> delivery</w:t>
            </w:r>
            <w:r w:rsidR="009B4B45">
              <w:rPr>
                <w:rFonts w:cstheme="minorHAnsi"/>
                <w:color w:val="000000"/>
              </w:rPr>
              <w:t xml:space="preserve"> of the training </w:t>
            </w:r>
            <w:r w:rsidR="00527505">
              <w:rPr>
                <w:rFonts w:cstheme="minorHAnsi"/>
                <w:color w:val="000000"/>
              </w:rPr>
              <w:t xml:space="preserve">completed </w:t>
            </w:r>
            <w:r w:rsidR="00995085">
              <w:rPr>
                <w:rFonts w:cstheme="minorHAnsi"/>
                <w:color w:val="000000"/>
              </w:rPr>
              <w:t xml:space="preserve">in full by </w:t>
            </w:r>
            <w:r w:rsidRPr="00490CCB">
              <w:rPr>
                <w:rFonts w:cstheme="minorHAnsi"/>
                <w:color w:val="000000"/>
              </w:rPr>
              <w:t>31 March 2020.</w:t>
            </w:r>
          </w:p>
          <w:p w14:paraId="091326D3" w14:textId="07201A83" w:rsidR="0011197D" w:rsidRPr="00490CCB" w:rsidRDefault="009B4B45" w:rsidP="0011197D">
            <w:pPr>
              <w:autoSpaceDE w:val="0"/>
              <w:autoSpaceDN w:val="0"/>
              <w:adjustRightInd w:val="0"/>
              <w:rPr>
                <w:rFonts w:cstheme="minorHAnsi"/>
              </w:rPr>
            </w:pPr>
            <w:r>
              <w:rPr>
                <w:rFonts w:cstheme="minorHAnsi"/>
              </w:rPr>
              <w:t xml:space="preserve">In line with their current contract, </w:t>
            </w:r>
            <w:r w:rsidR="008E54D9">
              <w:rPr>
                <w:rFonts w:cstheme="minorHAnsi"/>
              </w:rPr>
              <w:t>the Contractor</w:t>
            </w:r>
            <w:r>
              <w:rPr>
                <w:rFonts w:cstheme="minorHAnsi"/>
              </w:rPr>
              <w:t xml:space="preserve"> </w:t>
            </w:r>
            <w:r w:rsidR="0011197D" w:rsidRPr="00490CCB">
              <w:rPr>
                <w:rFonts w:cstheme="minorHAnsi"/>
              </w:rPr>
              <w:t>will provide each school</w:t>
            </w:r>
            <w:r>
              <w:rPr>
                <w:rFonts w:cstheme="minorHAnsi"/>
              </w:rPr>
              <w:t xml:space="preserve"> with</w:t>
            </w:r>
            <w:r w:rsidR="0011197D" w:rsidRPr="00490CCB">
              <w:rPr>
                <w:rFonts w:cstheme="minorHAnsi"/>
              </w:rPr>
              <w:t>:</w:t>
            </w:r>
          </w:p>
          <w:p w14:paraId="7E61F3BA" w14:textId="77777777" w:rsidR="0011197D" w:rsidRPr="00490CCB" w:rsidRDefault="0011197D" w:rsidP="0011197D">
            <w:pPr>
              <w:autoSpaceDE w:val="0"/>
              <w:autoSpaceDN w:val="0"/>
              <w:adjustRightInd w:val="0"/>
              <w:rPr>
                <w:rFonts w:cstheme="minorHAnsi"/>
              </w:rPr>
            </w:pPr>
          </w:p>
          <w:p w14:paraId="2D798C20" w14:textId="02EB569F" w:rsidR="0011197D" w:rsidRPr="009B4B45" w:rsidRDefault="0011197D" w:rsidP="009B4B45">
            <w:pPr>
              <w:pStyle w:val="ListParagraph"/>
              <w:numPr>
                <w:ilvl w:val="0"/>
                <w:numId w:val="6"/>
              </w:numPr>
              <w:autoSpaceDE w:val="0"/>
              <w:autoSpaceDN w:val="0"/>
              <w:adjustRightInd w:val="0"/>
              <w:rPr>
                <w:rFonts w:cstheme="minorHAnsi"/>
              </w:rPr>
            </w:pPr>
            <w:r w:rsidRPr="009B4B45">
              <w:rPr>
                <w:rFonts w:cstheme="minorHAnsi"/>
              </w:rPr>
              <w:t>Two-day literacy training for the Reading Leader prior to in-school training</w:t>
            </w:r>
            <w:r w:rsidR="009B4B45">
              <w:rPr>
                <w:rFonts w:cstheme="minorHAnsi"/>
              </w:rPr>
              <w:t>,</w:t>
            </w:r>
            <w:r w:rsidRPr="009B4B45">
              <w:rPr>
                <w:rFonts w:cstheme="minorHAnsi"/>
              </w:rPr>
              <w:t xml:space="preserve"> to provide knowledge </w:t>
            </w:r>
            <w:r w:rsidRPr="009B4B45">
              <w:rPr>
                <w:rFonts w:cstheme="minorHAnsi"/>
              </w:rPr>
              <w:lastRenderedPageBreak/>
              <w:t>of assessment processes and implementation plans.</w:t>
            </w:r>
          </w:p>
          <w:p w14:paraId="5E387726" w14:textId="77777777" w:rsidR="0011197D" w:rsidRPr="00490CCB" w:rsidRDefault="0011197D" w:rsidP="0011197D">
            <w:pPr>
              <w:autoSpaceDE w:val="0"/>
              <w:autoSpaceDN w:val="0"/>
              <w:adjustRightInd w:val="0"/>
              <w:rPr>
                <w:rFonts w:cstheme="minorHAnsi"/>
              </w:rPr>
            </w:pPr>
          </w:p>
          <w:p w14:paraId="7094A925" w14:textId="6843CE97" w:rsidR="0011197D" w:rsidRPr="009B4B45" w:rsidRDefault="0011197D" w:rsidP="009B4B45">
            <w:pPr>
              <w:pStyle w:val="ListParagraph"/>
              <w:numPr>
                <w:ilvl w:val="0"/>
                <w:numId w:val="6"/>
              </w:numPr>
              <w:autoSpaceDE w:val="0"/>
              <w:autoSpaceDN w:val="0"/>
              <w:adjustRightInd w:val="0"/>
              <w:rPr>
                <w:rFonts w:cstheme="minorHAnsi"/>
              </w:rPr>
            </w:pPr>
            <w:r w:rsidRPr="009B4B45">
              <w:rPr>
                <w:rFonts w:cstheme="minorHAnsi"/>
              </w:rPr>
              <w:t xml:space="preserve">Two-day literacy (phonics and early reading) training for all staff, including teaching assistants and </w:t>
            </w:r>
            <w:proofErr w:type="spellStart"/>
            <w:r w:rsidRPr="009B4B45">
              <w:rPr>
                <w:rFonts w:cstheme="minorHAnsi"/>
              </w:rPr>
              <w:t>Headteacher</w:t>
            </w:r>
            <w:proofErr w:type="spellEnd"/>
            <w:r w:rsidRPr="009B4B45">
              <w:rPr>
                <w:rFonts w:cstheme="minorHAnsi"/>
              </w:rPr>
              <w:t>.</w:t>
            </w:r>
          </w:p>
          <w:p w14:paraId="58453B28" w14:textId="77777777" w:rsidR="0011197D" w:rsidRPr="00490CCB" w:rsidRDefault="0011197D" w:rsidP="0011197D">
            <w:pPr>
              <w:autoSpaceDE w:val="0"/>
              <w:autoSpaceDN w:val="0"/>
              <w:adjustRightInd w:val="0"/>
              <w:rPr>
                <w:rFonts w:cstheme="minorHAnsi"/>
              </w:rPr>
            </w:pPr>
          </w:p>
          <w:p w14:paraId="1229EDCD" w14:textId="7A158D2A" w:rsidR="0011197D" w:rsidRPr="009B4B45" w:rsidRDefault="009B4B45" w:rsidP="009B4B45">
            <w:pPr>
              <w:pStyle w:val="ListParagraph"/>
              <w:numPr>
                <w:ilvl w:val="0"/>
                <w:numId w:val="6"/>
              </w:numPr>
              <w:autoSpaceDE w:val="0"/>
              <w:autoSpaceDN w:val="0"/>
              <w:adjustRightInd w:val="0"/>
              <w:rPr>
                <w:rFonts w:cstheme="minorHAnsi"/>
              </w:rPr>
            </w:pPr>
            <w:r>
              <w:rPr>
                <w:rFonts w:cstheme="minorHAnsi"/>
              </w:rPr>
              <w:t xml:space="preserve">Two one-day leadership professional development </w:t>
            </w:r>
            <w:r w:rsidR="0011197D" w:rsidRPr="009B4B45">
              <w:rPr>
                <w:rFonts w:cstheme="minorHAnsi"/>
              </w:rPr>
              <w:t xml:space="preserve">training for </w:t>
            </w:r>
            <w:r>
              <w:rPr>
                <w:rFonts w:cstheme="minorHAnsi"/>
              </w:rPr>
              <w:t xml:space="preserve">the </w:t>
            </w:r>
            <w:proofErr w:type="spellStart"/>
            <w:r w:rsidR="0011197D" w:rsidRPr="009B4B45">
              <w:rPr>
                <w:rFonts w:cstheme="minorHAnsi"/>
              </w:rPr>
              <w:t>Headteacher</w:t>
            </w:r>
            <w:proofErr w:type="spellEnd"/>
            <w:r w:rsidR="0011197D" w:rsidRPr="009B4B45">
              <w:rPr>
                <w:rFonts w:cstheme="minorHAnsi"/>
              </w:rPr>
              <w:t xml:space="preserve"> and Reading Leader.</w:t>
            </w:r>
          </w:p>
          <w:p w14:paraId="6D94809A" w14:textId="6AFD3EE4" w:rsidR="0011197D" w:rsidRPr="00490CCB" w:rsidRDefault="0011197D" w:rsidP="0011197D">
            <w:pPr>
              <w:autoSpaceDE w:val="0"/>
              <w:autoSpaceDN w:val="0"/>
              <w:adjustRightInd w:val="0"/>
              <w:rPr>
                <w:rFonts w:cstheme="minorHAnsi"/>
              </w:rPr>
            </w:pPr>
          </w:p>
          <w:p w14:paraId="7C229ACE" w14:textId="7B4C2931" w:rsidR="0011197D" w:rsidRPr="009B4B45" w:rsidRDefault="0011197D" w:rsidP="009B4B45">
            <w:pPr>
              <w:pStyle w:val="ListParagraph"/>
              <w:numPr>
                <w:ilvl w:val="0"/>
                <w:numId w:val="6"/>
              </w:numPr>
              <w:autoSpaceDE w:val="0"/>
              <w:autoSpaceDN w:val="0"/>
              <w:adjustRightInd w:val="0"/>
              <w:rPr>
                <w:rFonts w:cstheme="minorHAnsi"/>
              </w:rPr>
            </w:pPr>
            <w:r w:rsidRPr="009B4B45">
              <w:rPr>
                <w:rFonts w:cstheme="minorHAnsi"/>
              </w:rPr>
              <w:t xml:space="preserve">16 in-school </w:t>
            </w:r>
            <w:r w:rsidR="009B4B45">
              <w:rPr>
                <w:rFonts w:cstheme="minorHAnsi"/>
              </w:rPr>
              <w:t xml:space="preserve">professional development </w:t>
            </w:r>
            <w:r w:rsidRPr="009B4B45">
              <w:rPr>
                <w:rFonts w:cstheme="minorHAnsi"/>
              </w:rPr>
              <w:t>days with the leadership team and reading teachers to ensure high quality data-driven teaching with a focus on the slowest progress 20% of children and to establish a weekly coaching cycle to drive effective teaching.</w:t>
            </w:r>
          </w:p>
          <w:p w14:paraId="19FF42F0" w14:textId="1E802F50" w:rsidR="00654DAE" w:rsidRPr="00490CCB" w:rsidRDefault="00654DAE" w:rsidP="00E165B6">
            <w:pPr>
              <w:autoSpaceDE w:val="0"/>
              <w:autoSpaceDN w:val="0"/>
              <w:adjustRightInd w:val="0"/>
              <w:rPr>
                <w:rFonts w:cstheme="minorHAnsi"/>
              </w:rPr>
            </w:pPr>
          </w:p>
          <w:p w14:paraId="02896DAE" w14:textId="3B932878" w:rsidR="0011197D" w:rsidRDefault="00B5711E" w:rsidP="00E165B6">
            <w:pPr>
              <w:autoSpaceDE w:val="0"/>
              <w:autoSpaceDN w:val="0"/>
              <w:adjustRightInd w:val="0"/>
              <w:rPr>
                <w:rFonts w:cstheme="minorHAnsi"/>
                <w:b/>
              </w:rPr>
            </w:pPr>
            <w:r>
              <w:rPr>
                <w:rFonts w:cstheme="minorHAnsi"/>
                <w:b/>
              </w:rPr>
              <w:t>Key Performance Indicators (KPIs)</w:t>
            </w:r>
          </w:p>
          <w:p w14:paraId="3BA3881C" w14:textId="77777777" w:rsidR="00B5711E" w:rsidRPr="00B5711E" w:rsidRDefault="00B5711E" w:rsidP="00E165B6">
            <w:pPr>
              <w:autoSpaceDE w:val="0"/>
              <w:autoSpaceDN w:val="0"/>
              <w:adjustRightInd w:val="0"/>
              <w:rPr>
                <w:rFonts w:cstheme="minorHAnsi"/>
                <w:b/>
              </w:rPr>
            </w:pPr>
          </w:p>
          <w:p w14:paraId="165B87A0" w14:textId="687247E4" w:rsidR="00E165B6" w:rsidRPr="00490CCB" w:rsidRDefault="00E165B6" w:rsidP="00AA7FFB">
            <w:pPr>
              <w:pStyle w:val="OutlinePara"/>
              <w:jc w:val="left"/>
              <w:rPr>
                <w:rFonts w:asciiTheme="minorHAnsi" w:hAnsiTheme="minorHAnsi" w:cstheme="minorHAnsi"/>
                <w:szCs w:val="22"/>
              </w:rPr>
            </w:pPr>
            <w:r w:rsidRPr="00490CCB">
              <w:rPr>
                <w:rFonts w:asciiTheme="minorHAnsi" w:hAnsiTheme="minorHAnsi" w:cstheme="minorHAnsi"/>
                <w:szCs w:val="22"/>
              </w:rPr>
              <w:t xml:space="preserve">KPIs will be measured in line with </w:t>
            </w:r>
            <w:r w:rsidR="00AA7FFB" w:rsidRPr="00490CCB">
              <w:rPr>
                <w:rFonts w:asciiTheme="minorHAnsi" w:hAnsiTheme="minorHAnsi" w:cstheme="minorHAnsi"/>
                <w:szCs w:val="22"/>
              </w:rPr>
              <w:t xml:space="preserve">the </w:t>
            </w:r>
            <w:r w:rsidR="00B5711E">
              <w:rPr>
                <w:rFonts w:asciiTheme="minorHAnsi" w:hAnsiTheme="minorHAnsi" w:cstheme="minorHAnsi"/>
                <w:szCs w:val="22"/>
              </w:rPr>
              <w:t xml:space="preserve">current contract and </w:t>
            </w:r>
            <w:r w:rsidR="00AA7FFB" w:rsidRPr="00490CCB">
              <w:rPr>
                <w:rFonts w:asciiTheme="minorHAnsi" w:hAnsiTheme="minorHAnsi" w:cstheme="minorHAnsi"/>
                <w:szCs w:val="22"/>
              </w:rPr>
              <w:t>agreed</w:t>
            </w:r>
            <w:r w:rsidRPr="00490CCB">
              <w:rPr>
                <w:rFonts w:asciiTheme="minorHAnsi" w:hAnsiTheme="minorHAnsi" w:cstheme="minorHAnsi"/>
                <w:szCs w:val="22"/>
              </w:rPr>
              <w:t xml:space="preserve"> structure in place for the first </w:t>
            </w:r>
            <w:r w:rsidR="00B5711E">
              <w:rPr>
                <w:rFonts w:asciiTheme="minorHAnsi" w:hAnsiTheme="minorHAnsi" w:cstheme="minorHAnsi"/>
                <w:szCs w:val="22"/>
              </w:rPr>
              <w:t xml:space="preserve">two </w:t>
            </w:r>
            <w:r w:rsidRPr="00490CCB">
              <w:rPr>
                <w:rFonts w:asciiTheme="minorHAnsi" w:hAnsiTheme="minorHAnsi" w:cstheme="minorHAnsi"/>
                <w:szCs w:val="22"/>
              </w:rPr>
              <w:t>cohorts.</w:t>
            </w:r>
          </w:p>
          <w:p w14:paraId="6468AA82" w14:textId="75A5D154" w:rsidR="000A0BD0" w:rsidRPr="00490CCB" w:rsidRDefault="00E165B6" w:rsidP="00AA7FFB">
            <w:pPr>
              <w:pStyle w:val="OutlinePara"/>
              <w:jc w:val="left"/>
              <w:rPr>
                <w:rFonts w:asciiTheme="minorHAnsi" w:hAnsiTheme="minorHAnsi" w:cstheme="minorHAnsi"/>
                <w:szCs w:val="22"/>
              </w:rPr>
            </w:pPr>
            <w:r w:rsidRPr="00490CCB">
              <w:rPr>
                <w:rFonts w:asciiTheme="minorHAnsi" w:hAnsiTheme="minorHAnsi" w:cstheme="minorHAnsi"/>
                <w:szCs w:val="22"/>
              </w:rPr>
              <w:t>Schedule 4 table 3</w:t>
            </w:r>
            <w:r w:rsidR="00B5711E">
              <w:rPr>
                <w:rFonts w:asciiTheme="minorHAnsi" w:hAnsiTheme="minorHAnsi" w:cstheme="minorHAnsi"/>
                <w:szCs w:val="22"/>
              </w:rPr>
              <w:t xml:space="preserve"> </w:t>
            </w:r>
            <w:r w:rsidRPr="00490CCB">
              <w:rPr>
                <w:rFonts w:asciiTheme="minorHAnsi" w:hAnsiTheme="minorHAnsi" w:cstheme="minorHAnsi"/>
                <w:szCs w:val="22"/>
              </w:rPr>
              <w:t>has been updated</w:t>
            </w:r>
            <w:r w:rsidR="000A0BD0" w:rsidRPr="00490CCB">
              <w:rPr>
                <w:rFonts w:asciiTheme="minorHAnsi" w:hAnsiTheme="minorHAnsi" w:cstheme="minorHAnsi"/>
                <w:szCs w:val="22"/>
              </w:rPr>
              <w:t xml:space="preserve"> to reflect the </w:t>
            </w:r>
            <w:r w:rsidR="00B5711E">
              <w:rPr>
                <w:rFonts w:asciiTheme="minorHAnsi" w:hAnsiTheme="minorHAnsi" w:cstheme="minorHAnsi"/>
                <w:szCs w:val="22"/>
              </w:rPr>
              <w:t xml:space="preserve">recruitment of an </w:t>
            </w:r>
            <w:r w:rsidR="000A0BD0" w:rsidRPr="00490CCB">
              <w:rPr>
                <w:rFonts w:asciiTheme="minorHAnsi" w:hAnsiTheme="minorHAnsi" w:cstheme="minorHAnsi"/>
                <w:szCs w:val="22"/>
              </w:rPr>
              <w:t xml:space="preserve">additional </w:t>
            </w:r>
            <w:r w:rsidR="00B5711E">
              <w:rPr>
                <w:rFonts w:asciiTheme="minorHAnsi" w:hAnsiTheme="minorHAnsi" w:cstheme="minorHAnsi"/>
                <w:szCs w:val="22"/>
              </w:rPr>
              <w:t xml:space="preserve">third </w:t>
            </w:r>
            <w:r w:rsidR="000A0BD0" w:rsidRPr="00490CCB">
              <w:rPr>
                <w:rFonts w:asciiTheme="minorHAnsi" w:hAnsiTheme="minorHAnsi" w:cstheme="minorHAnsi"/>
                <w:szCs w:val="22"/>
              </w:rPr>
              <w:t>cohort of 36 schools.</w:t>
            </w:r>
            <w:r w:rsidR="00E2665D" w:rsidRPr="00490CCB">
              <w:rPr>
                <w:rFonts w:asciiTheme="minorHAnsi" w:hAnsiTheme="minorHAnsi" w:cstheme="minorHAnsi"/>
                <w:szCs w:val="22"/>
              </w:rPr>
              <w:t xml:space="preserve"> </w:t>
            </w:r>
            <w:r w:rsidR="00AA7FFB" w:rsidRPr="00490CCB">
              <w:rPr>
                <w:rFonts w:asciiTheme="minorHAnsi" w:hAnsiTheme="minorHAnsi" w:cstheme="minorHAnsi"/>
                <w:szCs w:val="22"/>
              </w:rPr>
              <w:t>Amendments to the KPI table can be found below in the supporting documentation.</w:t>
            </w:r>
          </w:p>
          <w:p w14:paraId="28620186" w14:textId="40E28BEF" w:rsidR="00A137FA" w:rsidRPr="00490CCB" w:rsidRDefault="00F1003F" w:rsidP="00A137FA">
            <w:pPr>
              <w:pStyle w:val="OutlinePara"/>
              <w:rPr>
                <w:rFonts w:asciiTheme="minorHAnsi" w:hAnsiTheme="minorHAnsi" w:cstheme="minorHAnsi"/>
                <w:b/>
                <w:szCs w:val="22"/>
              </w:rPr>
            </w:pPr>
            <w:r w:rsidRPr="00490CCB">
              <w:rPr>
                <w:rFonts w:asciiTheme="minorHAnsi" w:hAnsiTheme="minorHAnsi" w:cstheme="minorHAnsi"/>
                <w:b/>
                <w:szCs w:val="22"/>
              </w:rPr>
              <w:t>Milestone</w:t>
            </w:r>
            <w:r w:rsidR="00C214AE" w:rsidRPr="00490CCB">
              <w:rPr>
                <w:rFonts w:asciiTheme="minorHAnsi" w:hAnsiTheme="minorHAnsi" w:cstheme="minorHAnsi"/>
                <w:b/>
                <w:szCs w:val="22"/>
              </w:rPr>
              <w:t xml:space="preserve"> Plan</w:t>
            </w:r>
          </w:p>
          <w:p w14:paraId="66E6669F" w14:textId="4727F7BA" w:rsidR="00AA7FFB" w:rsidRPr="00490CCB" w:rsidRDefault="00F1003F" w:rsidP="00A137FA">
            <w:pPr>
              <w:rPr>
                <w:rFonts w:cstheme="minorHAnsi"/>
              </w:rPr>
            </w:pPr>
            <w:r w:rsidRPr="00490CCB">
              <w:rPr>
                <w:rFonts w:cstheme="minorHAnsi"/>
              </w:rPr>
              <w:t xml:space="preserve">A </w:t>
            </w:r>
            <w:r w:rsidR="00E2665D" w:rsidRPr="00490CCB">
              <w:rPr>
                <w:rFonts w:cstheme="minorHAnsi"/>
              </w:rPr>
              <w:t>revised</w:t>
            </w:r>
            <w:r w:rsidRPr="00490CCB">
              <w:rPr>
                <w:rFonts w:cstheme="minorHAnsi"/>
              </w:rPr>
              <w:t xml:space="preserve"> </w:t>
            </w:r>
            <w:r w:rsidR="00B5711E">
              <w:rPr>
                <w:rFonts w:cstheme="minorHAnsi"/>
              </w:rPr>
              <w:t>m</w:t>
            </w:r>
            <w:r w:rsidRPr="00490CCB">
              <w:rPr>
                <w:rFonts w:cstheme="minorHAnsi"/>
              </w:rPr>
              <w:t>ilestone</w:t>
            </w:r>
            <w:r w:rsidR="00A137FA" w:rsidRPr="00490CCB">
              <w:rPr>
                <w:rFonts w:cstheme="minorHAnsi"/>
              </w:rPr>
              <w:t xml:space="preserve"> </w:t>
            </w:r>
            <w:r w:rsidR="00B5711E">
              <w:rPr>
                <w:rFonts w:cstheme="minorHAnsi"/>
              </w:rPr>
              <w:t>p</w:t>
            </w:r>
            <w:r w:rsidR="00A137FA" w:rsidRPr="00490CCB">
              <w:rPr>
                <w:rFonts w:cstheme="minorHAnsi"/>
              </w:rPr>
              <w:t xml:space="preserve">lan will replace </w:t>
            </w:r>
            <w:r w:rsidR="00A21DFE" w:rsidRPr="00490CCB">
              <w:rPr>
                <w:rFonts w:cstheme="minorHAnsi"/>
              </w:rPr>
              <w:t xml:space="preserve">the </w:t>
            </w:r>
            <w:r w:rsidR="00B5711E">
              <w:rPr>
                <w:rFonts w:cstheme="minorHAnsi"/>
              </w:rPr>
              <w:t>m</w:t>
            </w:r>
            <w:r w:rsidRPr="00490CCB">
              <w:rPr>
                <w:rFonts w:cstheme="minorHAnsi"/>
              </w:rPr>
              <w:t>ilestone</w:t>
            </w:r>
            <w:r w:rsidR="00A137FA" w:rsidRPr="00490CCB">
              <w:rPr>
                <w:rFonts w:cstheme="minorHAnsi"/>
              </w:rPr>
              <w:t xml:space="preserve"> </w:t>
            </w:r>
            <w:r w:rsidR="00B5711E">
              <w:rPr>
                <w:rFonts w:cstheme="minorHAnsi"/>
              </w:rPr>
              <w:t>p</w:t>
            </w:r>
            <w:r w:rsidR="00A137FA" w:rsidRPr="00490CCB">
              <w:rPr>
                <w:rFonts w:cstheme="minorHAnsi"/>
              </w:rPr>
              <w:t xml:space="preserve">lan </w:t>
            </w:r>
            <w:r w:rsidR="00B5711E">
              <w:rPr>
                <w:rFonts w:cstheme="minorHAnsi"/>
              </w:rPr>
              <w:t xml:space="preserve">at Schedule 5, </w:t>
            </w:r>
            <w:r w:rsidR="00A137FA" w:rsidRPr="00490CCB">
              <w:rPr>
                <w:rFonts w:cstheme="minorHAnsi"/>
              </w:rPr>
              <w:t xml:space="preserve">Paragraph 4 </w:t>
            </w:r>
            <w:r w:rsidR="00B5711E">
              <w:rPr>
                <w:rFonts w:cstheme="minorHAnsi"/>
              </w:rPr>
              <w:t xml:space="preserve">of the current contract to reflect </w:t>
            </w:r>
            <w:r w:rsidR="00A137FA" w:rsidRPr="00490CCB">
              <w:rPr>
                <w:rFonts w:cstheme="minorHAnsi"/>
              </w:rPr>
              <w:t>the inclusion of a</w:t>
            </w:r>
            <w:r w:rsidR="0073195A" w:rsidRPr="00490CCB">
              <w:rPr>
                <w:rFonts w:cstheme="minorHAnsi"/>
              </w:rPr>
              <w:t xml:space="preserve">n additional </w:t>
            </w:r>
            <w:r w:rsidR="00B5711E">
              <w:rPr>
                <w:rFonts w:cstheme="minorHAnsi"/>
              </w:rPr>
              <w:t xml:space="preserve">third </w:t>
            </w:r>
            <w:r w:rsidR="0073195A" w:rsidRPr="00490CCB">
              <w:rPr>
                <w:rFonts w:cstheme="minorHAnsi"/>
              </w:rPr>
              <w:t>cohort of</w:t>
            </w:r>
            <w:r w:rsidR="003E1C60" w:rsidRPr="00490CCB">
              <w:rPr>
                <w:rFonts w:cstheme="minorHAnsi"/>
              </w:rPr>
              <w:t xml:space="preserve"> 36 schools</w:t>
            </w:r>
            <w:r w:rsidR="00A137FA" w:rsidRPr="00490CCB">
              <w:rPr>
                <w:rFonts w:cstheme="minorHAnsi"/>
              </w:rPr>
              <w:t>.</w:t>
            </w:r>
            <w:r w:rsidR="00E2665D" w:rsidRPr="00490CCB">
              <w:rPr>
                <w:rFonts w:cstheme="minorHAnsi"/>
              </w:rPr>
              <w:t xml:space="preserve"> </w:t>
            </w:r>
            <w:r w:rsidR="00AA7FFB" w:rsidRPr="00490CCB">
              <w:rPr>
                <w:rFonts w:cstheme="minorHAnsi"/>
              </w:rPr>
              <w:t xml:space="preserve">This reflects </w:t>
            </w:r>
            <w:r w:rsidR="00490CCB" w:rsidRPr="00490CCB">
              <w:rPr>
                <w:rFonts w:cstheme="minorHAnsi"/>
              </w:rPr>
              <w:t xml:space="preserve">a contract </w:t>
            </w:r>
            <w:r w:rsidR="00B5711E">
              <w:rPr>
                <w:rFonts w:cstheme="minorHAnsi"/>
              </w:rPr>
              <w:t xml:space="preserve">variation </w:t>
            </w:r>
            <w:r w:rsidR="00490CCB" w:rsidRPr="00490CCB">
              <w:rPr>
                <w:rFonts w:cstheme="minorHAnsi"/>
              </w:rPr>
              <w:t xml:space="preserve">award date of </w:t>
            </w:r>
            <w:r w:rsidR="00B5711E">
              <w:rPr>
                <w:rFonts w:cstheme="minorHAnsi"/>
              </w:rPr>
              <w:t xml:space="preserve">no later than </w:t>
            </w:r>
            <w:r w:rsidR="001019E6">
              <w:rPr>
                <w:rFonts w:cstheme="minorHAnsi"/>
              </w:rPr>
              <w:t>31</w:t>
            </w:r>
            <w:r w:rsidR="00490CCB" w:rsidRPr="00490CCB">
              <w:rPr>
                <w:rFonts w:cstheme="minorHAnsi"/>
              </w:rPr>
              <w:t xml:space="preserve"> Aug 2018 with delivery </w:t>
            </w:r>
            <w:r w:rsidR="00B5711E">
              <w:rPr>
                <w:rFonts w:cstheme="minorHAnsi"/>
              </w:rPr>
              <w:t xml:space="preserve">of the programme </w:t>
            </w:r>
            <w:r w:rsidR="00490CCB" w:rsidRPr="00490CCB">
              <w:rPr>
                <w:rFonts w:cstheme="minorHAnsi"/>
              </w:rPr>
              <w:t xml:space="preserve">to commence no later than 31 Jan 2019 and end by </w:t>
            </w:r>
            <w:r w:rsidR="00B5711E">
              <w:rPr>
                <w:rFonts w:cstheme="minorHAnsi"/>
              </w:rPr>
              <w:t xml:space="preserve">31 March </w:t>
            </w:r>
            <w:r w:rsidR="00490CCB" w:rsidRPr="00490CCB">
              <w:rPr>
                <w:rFonts w:cstheme="minorHAnsi"/>
              </w:rPr>
              <w:t>2020</w:t>
            </w:r>
            <w:r w:rsidR="00B5711E">
              <w:rPr>
                <w:rFonts w:cstheme="minorHAnsi"/>
              </w:rPr>
              <w:t xml:space="preserve">, in line with </w:t>
            </w:r>
            <w:r w:rsidR="00527505">
              <w:rPr>
                <w:rFonts w:cstheme="minorHAnsi"/>
              </w:rPr>
              <w:t>the expiry date</w:t>
            </w:r>
            <w:r w:rsidR="00B5711E">
              <w:rPr>
                <w:rFonts w:cstheme="minorHAnsi"/>
              </w:rPr>
              <w:t xml:space="preserve"> of the current contract</w:t>
            </w:r>
            <w:r w:rsidR="00490CCB" w:rsidRPr="00490CCB">
              <w:rPr>
                <w:rFonts w:cstheme="minorHAnsi"/>
              </w:rPr>
              <w:t xml:space="preserve">. </w:t>
            </w:r>
          </w:p>
          <w:p w14:paraId="67E88E26" w14:textId="77777777" w:rsidR="00AA7FFB" w:rsidRPr="00490CCB" w:rsidRDefault="00AA7FFB" w:rsidP="00A137FA">
            <w:pPr>
              <w:rPr>
                <w:rFonts w:cstheme="minorHAnsi"/>
              </w:rPr>
            </w:pPr>
          </w:p>
          <w:p w14:paraId="60ED5279" w14:textId="6323DFAD" w:rsidR="003E1C60" w:rsidRPr="00490CCB" w:rsidRDefault="00490CCB" w:rsidP="00A137FA">
            <w:pPr>
              <w:rPr>
                <w:rFonts w:cstheme="minorHAnsi"/>
              </w:rPr>
            </w:pPr>
            <w:r w:rsidRPr="00490CCB">
              <w:rPr>
                <w:rFonts w:cstheme="minorHAnsi"/>
              </w:rPr>
              <w:t xml:space="preserve">Amendments to the Milestone Plan </w:t>
            </w:r>
            <w:r w:rsidR="002211E5">
              <w:rPr>
                <w:rFonts w:cstheme="minorHAnsi"/>
              </w:rPr>
              <w:t>are included</w:t>
            </w:r>
            <w:r w:rsidRPr="00490CCB">
              <w:rPr>
                <w:rFonts w:cstheme="minorHAnsi"/>
              </w:rPr>
              <w:t xml:space="preserve"> in the supporting documentation</w:t>
            </w:r>
            <w:r w:rsidR="002211E5">
              <w:rPr>
                <w:rFonts w:cstheme="minorHAnsi"/>
              </w:rPr>
              <w:t xml:space="preserve"> section below</w:t>
            </w:r>
            <w:r w:rsidRPr="00490CCB">
              <w:rPr>
                <w:rFonts w:cstheme="minorHAnsi"/>
              </w:rPr>
              <w:t>.</w:t>
            </w:r>
          </w:p>
          <w:p w14:paraId="0A4359EB" w14:textId="77777777" w:rsidR="00490CCB" w:rsidRPr="00490CCB" w:rsidRDefault="00490CCB" w:rsidP="00A137FA">
            <w:pPr>
              <w:rPr>
                <w:rFonts w:cstheme="minorHAnsi"/>
              </w:rPr>
            </w:pPr>
          </w:p>
          <w:p w14:paraId="542E36B0" w14:textId="30B98654" w:rsidR="0027578C" w:rsidRPr="00490CCB" w:rsidRDefault="00B5711E" w:rsidP="0027578C">
            <w:pPr>
              <w:pStyle w:val="OutlinePara"/>
              <w:rPr>
                <w:rFonts w:asciiTheme="minorHAnsi" w:hAnsiTheme="minorHAnsi" w:cstheme="minorHAnsi"/>
                <w:b/>
                <w:szCs w:val="22"/>
              </w:rPr>
            </w:pPr>
            <w:r>
              <w:rPr>
                <w:rFonts w:asciiTheme="minorHAnsi" w:hAnsiTheme="minorHAnsi" w:cstheme="minorHAnsi"/>
                <w:b/>
                <w:szCs w:val="22"/>
              </w:rPr>
              <w:t xml:space="preserve">Cost Matrix </w:t>
            </w:r>
          </w:p>
          <w:p w14:paraId="11C1F0ED" w14:textId="4B3AE07F" w:rsidR="00B5711E" w:rsidRPr="00B5711E" w:rsidRDefault="00E2665D" w:rsidP="00B5711E">
            <w:pPr>
              <w:rPr>
                <w:rFonts w:cstheme="minorHAnsi"/>
              </w:rPr>
            </w:pPr>
            <w:r w:rsidRPr="00B5711E">
              <w:rPr>
                <w:rFonts w:cstheme="minorHAnsi"/>
              </w:rPr>
              <w:t>A revised</w:t>
            </w:r>
            <w:r w:rsidR="0064696B" w:rsidRPr="00B5711E">
              <w:rPr>
                <w:rFonts w:cstheme="minorHAnsi"/>
              </w:rPr>
              <w:t xml:space="preserve"> </w:t>
            </w:r>
            <w:r w:rsidRPr="00B5711E">
              <w:rPr>
                <w:rFonts w:cstheme="minorHAnsi"/>
              </w:rPr>
              <w:t>c</w:t>
            </w:r>
            <w:r w:rsidR="0064696B" w:rsidRPr="00B5711E">
              <w:rPr>
                <w:rFonts w:cstheme="minorHAnsi"/>
              </w:rPr>
              <w:t xml:space="preserve">ost </w:t>
            </w:r>
            <w:r w:rsidRPr="00B5711E">
              <w:rPr>
                <w:rFonts w:cstheme="minorHAnsi"/>
              </w:rPr>
              <w:t>m</w:t>
            </w:r>
            <w:r w:rsidR="0064696B" w:rsidRPr="00B5711E">
              <w:rPr>
                <w:rFonts w:cstheme="minorHAnsi"/>
              </w:rPr>
              <w:t xml:space="preserve">atrix </w:t>
            </w:r>
            <w:r w:rsidR="003E1C60" w:rsidRPr="00B5711E">
              <w:rPr>
                <w:rFonts w:cstheme="minorHAnsi"/>
              </w:rPr>
              <w:t>re</w:t>
            </w:r>
            <w:r w:rsidR="00490CCB" w:rsidRPr="00B5711E">
              <w:rPr>
                <w:rFonts w:cstheme="minorHAnsi"/>
              </w:rPr>
              <w:t xml:space="preserve">flecting the additional cost </w:t>
            </w:r>
            <w:r w:rsidR="00B5711E" w:rsidRPr="00B5711E">
              <w:rPr>
                <w:rFonts w:cstheme="minorHAnsi"/>
              </w:rPr>
              <w:t>of £516,820</w:t>
            </w:r>
            <w:r w:rsidR="00B5711E">
              <w:rPr>
                <w:rFonts w:cstheme="minorHAnsi"/>
              </w:rPr>
              <w:t xml:space="preserve">, </w:t>
            </w:r>
            <w:r w:rsidR="00B5711E" w:rsidRPr="00B5711E">
              <w:rPr>
                <w:rFonts w:cstheme="minorHAnsi"/>
              </w:rPr>
              <w:t xml:space="preserve">for the recruitment and delivery of a third cohort of 36 schools </w:t>
            </w:r>
            <w:r w:rsidRPr="00B5711E">
              <w:rPr>
                <w:rFonts w:cstheme="minorHAnsi"/>
              </w:rPr>
              <w:t xml:space="preserve">will replace the </w:t>
            </w:r>
            <w:r w:rsidR="00B5711E" w:rsidRPr="00B5711E">
              <w:rPr>
                <w:rFonts w:cstheme="minorHAnsi"/>
              </w:rPr>
              <w:t>existing</w:t>
            </w:r>
            <w:r w:rsidRPr="00B5711E">
              <w:rPr>
                <w:rFonts w:cstheme="minorHAnsi"/>
              </w:rPr>
              <w:t xml:space="preserve"> cost matrix</w:t>
            </w:r>
            <w:r w:rsidR="00B5711E" w:rsidRPr="00B5711E">
              <w:rPr>
                <w:rFonts w:cstheme="minorHAnsi"/>
              </w:rPr>
              <w:t xml:space="preserve"> at Schedule 9 of the current contract. </w:t>
            </w:r>
            <w:r w:rsidR="00816380">
              <w:rPr>
                <w:rFonts w:cstheme="minorHAnsi"/>
              </w:rPr>
              <w:t>This will bring the total contract spend to £1,573,110.</w:t>
            </w:r>
          </w:p>
          <w:p w14:paraId="0BF4E6EA" w14:textId="5CFBD545" w:rsidR="0027578C" w:rsidRPr="00B5711E" w:rsidRDefault="0027578C" w:rsidP="0027578C">
            <w:pPr>
              <w:rPr>
                <w:rFonts w:cstheme="minorHAnsi"/>
              </w:rPr>
            </w:pPr>
          </w:p>
          <w:p w14:paraId="1220080B" w14:textId="13AC3FA8" w:rsidR="00490CCB" w:rsidRPr="00B5711E" w:rsidRDefault="00B5711E" w:rsidP="0027578C">
            <w:pPr>
              <w:rPr>
                <w:rFonts w:cstheme="minorHAnsi"/>
              </w:rPr>
            </w:pPr>
            <w:r>
              <w:rPr>
                <w:rFonts w:cstheme="minorHAnsi"/>
              </w:rPr>
              <w:t>The revised cost m</w:t>
            </w:r>
            <w:r w:rsidR="00490CCB" w:rsidRPr="00B5711E">
              <w:rPr>
                <w:rFonts w:cstheme="minorHAnsi"/>
              </w:rPr>
              <w:t xml:space="preserve">atrix </w:t>
            </w:r>
            <w:r w:rsidR="002211E5">
              <w:rPr>
                <w:rFonts w:cstheme="minorHAnsi"/>
              </w:rPr>
              <w:t>is included</w:t>
            </w:r>
            <w:r w:rsidR="00490CCB" w:rsidRPr="00B5711E">
              <w:rPr>
                <w:rFonts w:cstheme="minorHAnsi"/>
              </w:rPr>
              <w:t xml:space="preserve"> in the supporting documentation</w:t>
            </w:r>
            <w:r w:rsidR="002211E5">
              <w:rPr>
                <w:rFonts w:cstheme="minorHAnsi"/>
              </w:rPr>
              <w:t xml:space="preserve"> section below</w:t>
            </w:r>
            <w:r w:rsidR="00490CCB" w:rsidRPr="00B5711E">
              <w:rPr>
                <w:rFonts w:cstheme="minorHAnsi"/>
              </w:rPr>
              <w:t>.</w:t>
            </w:r>
          </w:p>
          <w:p w14:paraId="5DB1862C" w14:textId="5BE4E6D7" w:rsidR="003E1C60" w:rsidRPr="00B5711E" w:rsidRDefault="003E1C60" w:rsidP="0027578C">
            <w:pPr>
              <w:rPr>
                <w:rFonts w:cstheme="minorHAnsi"/>
              </w:rPr>
            </w:pPr>
          </w:p>
          <w:p w14:paraId="60687108" w14:textId="3A96CC51" w:rsidR="00F93A1C" w:rsidRPr="00490CCB" w:rsidRDefault="00DA7580" w:rsidP="00F93A1C">
            <w:pPr>
              <w:pStyle w:val="General1"/>
              <w:numPr>
                <w:ilvl w:val="0"/>
                <w:numId w:val="0"/>
              </w:numPr>
              <w:rPr>
                <w:rFonts w:asciiTheme="minorHAnsi" w:hAnsiTheme="minorHAnsi" w:cstheme="minorHAnsi"/>
                <w:b/>
                <w:szCs w:val="22"/>
              </w:rPr>
            </w:pPr>
            <w:r w:rsidRPr="00490CCB">
              <w:rPr>
                <w:rFonts w:asciiTheme="minorHAnsi" w:hAnsiTheme="minorHAnsi" w:cstheme="minorHAnsi"/>
                <w:b/>
                <w:szCs w:val="22"/>
              </w:rPr>
              <w:t>The Contractor’s Solut</w:t>
            </w:r>
            <w:r w:rsidR="00F1003F" w:rsidRPr="00490CCB">
              <w:rPr>
                <w:rFonts w:asciiTheme="minorHAnsi" w:hAnsiTheme="minorHAnsi" w:cstheme="minorHAnsi"/>
                <w:b/>
                <w:szCs w:val="22"/>
              </w:rPr>
              <w:t>ion</w:t>
            </w:r>
            <w:r w:rsidR="0071258E">
              <w:rPr>
                <w:rFonts w:asciiTheme="minorHAnsi" w:hAnsiTheme="minorHAnsi" w:cstheme="minorHAnsi"/>
                <w:b/>
                <w:szCs w:val="22"/>
              </w:rPr>
              <w:t xml:space="preserve"> - </w:t>
            </w:r>
            <w:r w:rsidR="00F1003F" w:rsidRPr="00490CCB">
              <w:rPr>
                <w:rFonts w:asciiTheme="minorHAnsi" w:hAnsiTheme="minorHAnsi" w:cstheme="minorHAnsi"/>
                <w:b/>
                <w:szCs w:val="22"/>
              </w:rPr>
              <w:t>RMT Variation Proposal</w:t>
            </w:r>
            <w:r w:rsidR="00F93A1C" w:rsidRPr="00490CCB">
              <w:rPr>
                <w:rFonts w:asciiTheme="minorHAnsi" w:hAnsiTheme="minorHAnsi" w:cstheme="minorHAnsi"/>
                <w:b/>
                <w:szCs w:val="22"/>
              </w:rPr>
              <w:t xml:space="preserve"> </w:t>
            </w:r>
          </w:p>
          <w:p w14:paraId="12D069E2" w14:textId="4D0CFC0B" w:rsidR="006A6D2F" w:rsidRPr="00490CCB" w:rsidRDefault="0071258E" w:rsidP="002211E5">
            <w:pPr>
              <w:pStyle w:val="General1"/>
              <w:numPr>
                <w:ilvl w:val="0"/>
                <w:numId w:val="0"/>
              </w:numPr>
              <w:rPr>
                <w:rFonts w:cstheme="minorHAnsi"/>
              </w:rPr>
            </w:pPr>
            <w:r>
              <w:rPr>
                <w:rFonts w:asciiTheme="minorHAnsi" w:hAnsiTheme="minorHAnsi" w:cstheme="minorHAnsi"/>
                <w:szCs w:val="22"/>
              </w:rPr>
              <w:t xml:space="preserve">The variation proposal </w:t>
            </w:r>
            <w:r w:rsidR="00F1003F" w:rsidRPr="00490CCB">
              <w:rPr>
                <w:rFonts w:asciiTheme="minorHAnsi" w:hAnsiTheme="minorHAnsi" w:cstheme="minorHAnsi"/>
                <w:szCs w:val="22"/>
              </w:rPr>
              <w:t xml:space="preserve">will </w:t>
            </w:r>
            <w:r w:rsidR="0038287B" w:rsidRPr="00490CCB">
              <w:rPr>
                <w:rFonts w:asciiTheme="minorHAnsi" w:hAnsiTheme="minorHAnsi" w:cstheme="minorHAnsi"/>
                <w:szCs w:val="22"/>
              </w:rPr>
              <w:t xml:space="preserve">be </w:t>
            </w:r>
            <w:r w:rsidR="00F1003F" w:rsidRPr="00490CCB">
              <w:rPr>
                <w:rFonts w:asciiTheme="minorHAnsi" w:hAnsiTheme="minorHAnsi" w:cstheme="minorHAnsi"/>
                <w:szCs w:val="22"/>
              </w:rPr>
              <w:t>added</w:t>
            </w:r>
            <w:r>
              <w:rPr>
                <w:rFonts w:asciiTheme="minorHAnsi" w:hAnsiTheme="minorHAnsi" w:cstheme="minorHAnsi"/>
                <w:szCs w:val="22"/>
              </w:rPr>
              <w:t xml:space="preserve"> as an annex to Schedule 10 of the current contract,</w:t>
            </w:r>
            <w:r w:rsidR="00F1003F" w:rsidRPr="00490CCB">
              <w:rPr>
                <w:rFonts w:asciiTheme="minorHAnsi" w:hAnsiTheme="minorHAnsi" w:cstheme="minorHAnsi"/>
                <w:szCs w:val="22"/>
              </w:rPr>
              <w:t xml:space="preserve"> to reflect the </w:t>
            </w:r>
            <w:r w:rsidR="0038287B" w:rsidRPr="00490CCB">
              <w:rPr>
                <w:rFonts w:asciiTheme="minorHAnsi" w:hAnsiTheme="minorHAnsi" w:cstheme="minorHAnsi"/>
                <w:szCs w:val="22"/>
              </w:rPr>
              <w:t xml:space="preserve">detail of the proposal to recruit a </w:t>
            </w:r>
            <w:r>
              <w:rPr>
                <w:rFonts w:asciiTheme="minorHAnsi" w:hAnsiTheme="minorHAnsi" w:cstheme="minorHAnsi"/>
                <w:szCs w:val="22"/>
              </w:rPr>
              <w:t xml:space="preserve">third cohort of </w:t>
            </w:r>
            <w:r w:rsidR="0038287B" w:rsidRPr="00490CCB">
              <w:rPr>
                <w:rFonts w:asciiTheme="minorHAnsi" w:hAnsiTheme="minorHAnsi" w:cstheme="minorHAnsi"/>
                <w:szCs w:val="22"/>
              </w:rPr>
              <w:t>36 schools</w:t>
            </w:r>
            <w:r w:rsidR="003E1C60" w:rsidRPr="00490CCB">
              <w:rPr>
                <w:rFonts w:asciiTheme="minorHAnsi" w:hAnsiTheme="minorHAnsi" w:cstheme="minorHAnsi"/>
                <w:szCs w:val="22"/>
              </w:rPr>
              <w:t>.</w:t>
            </w:r>
            <w:r w:rsidR="00E2665D" w:rsidRPr="00490CCB">
              <w:rPr>
                <w:rFonts w:asciiTheme="minorHAnsi" w:hAnsiTheme="minorHAnsi" w:cstheme="minorHAnsi"/>
                <w:szCs w:val="22"/>
              </w:rPr>
              <w:t xml:space="preserve"> </w:t>
            </w:r>
            <w:r>
              <w:rPr>
                <w:rFonts w:asciiTheme="minorHAnsi" w:hAnsiTheme="minorHAnsi" w:cstheme="minorHAnsi"/>
                <w:szCs w:val="22"/>
              </w:rPr>
              <w:t xml:space="preserve">The proposal </w:t>
            </w:r>
            <w:r w:rsidR="002211E5">
              <w:rPr>
                <w:rFonts w:asciiTheme="minorHAnsi" w:hAnsiTheme="minorHAnsi" w:cstheme="minorHAnsi"/>
                <w:szCs w:val="22"/>
              </w:rPr>
              <w:t>is included</w:t>
            </w:r>
            <w:r>
              <w:rPr>
                <w:rFonts w:asciiTheme="minorHAnsi" w:hAnsiTheme="minorHAnsi" w:cstheme="minorHAnsi"/>
                <w:szCs w:val="22"/>
              </w:rPr>
              <w:t xml:space="preserve"> in the supporting documentation</w:t>
            </w:r>
            <w:r w:rsidR="002211E5">
              <w:rPr>
                <w:rFonts w:asciiTheme="minorHAnsi" w:hAnsiTheme="minorHAnsi" w:cstheme="minorHAnsi"/>
                <w:szCs w:val="22"/>
              </w:rPr>
              <w:t xml:space="preserve"> section below</w:t>
            </w:r>
            <w:r>
              <w:rPr>
                <w:rFonts w:asciiTheme="minorHAnsi" w:hAnsiTheme="minorHAnsi" w:cstheme="minorHAnsi"/>
                <w:szCs w:val="22"/>
              </w:rPr>
              <w:t>.</w:t>
            </w:r>
          </w:p>
        </w:tc>
      </w:tr>
      <w:tr w:rsidR="006A6D2F" w14:paraId="7A8DEBB2" w14:textId="77777777" w:rsidTr="008D0FA5">
        <w:tc>
          <w:tcPr>
            <w:tcW w:w="3652" w:type="dxa"/>
            <w:shd w:val="clear" w:color="auto" w:fill="D9D9D9" w:themeFill="background1" w:themeFillShade="D9"/>
          </w:tcPr>
          <w:p w14:paraId="5F92B3BD" w14:textId="77777777" w:rsidR="006A6D2F" w:rsidRPr="00872DA7" w:rsidRDefault="00872DA7">
            <w:pPr>
              <w:rPr>
                <w:b/>
              </w:rPr>
            </w:pPr>
            <w:r w:rsidRPr="00872DA7">
              <w:rPr>
                <w:b/>
              </w:rPr>
              <w:lastRenderedPageBreak/>
              <w:t>Date of Variation commencement</w:t>
            </w:r>
          </w:p>
        </w:tc>
        <w:tc>
          <w:tcPr>
            <w:tcW w:w="5590" w:type="dxa"/>
          </w:tcPr>
          <w:p w14:paraId="1A0630E1" w14:textId="26180B84" w:rsidR="006A6D2F" w:rsidRDefault="006A6D2F" w:rsidP="00CA0473"/>
        </w:tc>
      </w:tr>
      <w:tr w:rsidR="006A6D2F" w14:paraId="34886ABF" w14:textId="77777777" w:rsidTr="008D0FA5">
        <w:tc>
          <w:tcPr>
            <w:tcW w:w="3652" w:type="dxa"/>
            <w:shd w:val="clear" w:color="auto" w:fill="D9D9D9" w:themeFill="background1" w:themeFillShade="D9"/>
          </w:tcPr>
          <w:p w14:paraId="31980234" w14:textId="77777777" w:rsidR="006A6D2F" w:rsidRPr="00872DA7" w:rsidRDefault="00872DA7">
            <w:pPr>
              <w:rPr>
                <w:b/>
              </w:rPr>
            </w:pPr>
            <w:r w:rsidRPr="00872DA7">
              <w:rPr>
                <w:b/>
              </w:rPr>
              <w:t>Date of Variation expiry</w:t>
            </w:r>
          </w:p>
          <w:p w14:paraId="2F994628" w14:textId="77777777" w:rsidR="00872DA7" w:rsidRPr="00872DA7" w:rsidRDefault="00872DA7">
            <w:pPr>
              <w:rPr>
                <w:b/>
              </w:rPr>
            </w:pPr>
          </w:p>
          <w:p w14:paraId="26252807" w14:textId="77777777" w:rsidR="00872DA7" w:rsidRDefault="00872DA7">
            <w:r w:rsidRPr="00872DA7">
              <w:rPr>
                <w:b/>
              </w:rPr>
              <w:t>(if applicable)</w:t>
            </w:r>
          </w:p>
        </w:tc>
        <w:tc>
          <w:tcPr>
            <w:tcW w:w="5590" w:type="dxa"/>
          </w:tcPr>
          <w:p w14:paraId="7A7D508F" w14:textId="23A9D48F" w:rsidR="006A6D2F" w:rsidRDefault="003550D3" w:rsidP="0071258E">
            <w:r>
              <w:t>31 March 2020.</w:t>
            </w:r>
          </w:p>
        </w:tc>
      </w:tr>
      <w:tr w:rsidR="006A6D2F" w14:paraId="3A30D8B6" w14:textId="77777777" w:rsidTr="008D0FA5">
        <w:tc>
          <w:tcPr>
            <w:tcW w:w="3652" w:type="dxa"/>
            <w:shd w:val="clear" w:color="auto" w:fill="D9D9D9" w:themeFill="background1" w:themeFillShade="D9"/>
          </w:tcPr>
          <w:p w14:paraId="7073F155" w14:textId="77777777" w:rsidR="006A6D2F" w:rsidRPr="00872DA7" w:rsidRDefault="00872DA7">
            <w:pPr>
              <w:rPr>
                <w:b/>
              </w:rPr>
            </w:pPr>
            <w:r w:rsidRPr="00872DA7">
              <w:rPr>
                <w:b/>
              </w:rPr>
              <w:t>Total Value of Variation £</w:t>
            </w:r>
          </w:p>
        </w:tc>
        <w:tc>
          <w:tcPr>
            <w:tcW w:w="5590" w:type="dxa"/>
          </w:tcPr>
          <w:p w14:paraId="2AFE42D1" w14:textId="6C93D37D" w:rsidR="006A6D2F" w:rsidRPr="00DC3C8A" w:rsidRDefault="00B74C4A">
            <w:r w:rsidRPr="00DC3C8A">
              <w:t>£</w:t>
            </w:r>
            <w:r w:rsidR="00DC3C8A" w:rsidRPr="00DC3C8A">
              <w:t>516,820</w:t>
            </w:r>
          </w:p>
          <w:p w14:paraId="775605FE" w14:textId="77777777" w:rsidR="0036749E" w:rsidRPr="003550D3" w:rsidRDefault="0036749E">
            <w:pPr>
              <w:rPr>
                <w:b/>
              </w:rPr>
            </w:pPr>
          </w:p>
        </w:tc>
      </w:tr>
      <w:tr w:rsidR="006A6D2F" w14:paraId="3030396B" w14:textId="77777777" w:rsidTr="008D0FA5">
        <w:tc>
          <w:tcPr>
            <w:tcW w:w="3652" w:type="dxa"/>
            <w:shd w:val="clear" w:color="auto" w:fill="D9D9D9" w:themeFill="background1" w:themeFillShade="D9"/>
          </w:tcPr>
          <w:p w14:paraId="7EF68645" w14:textId="77777777" w:rsidR="006A6D2F" w:rsidRPr="00872DA7" w:rsidRDefault="00872DA7">
            <w:pPr>
              <w:rPr>
                <w:b/>
              </w:rPr>
            </w:pPr>
            <w:r w:rsidRPr="00872DA7">
              <w:rPr>
                <w:b/>
              </w:rPr>
              <w:t>Payment Profile (if applicable)</w:t>
            </w:r>
          </w:p>
          <w:p w14:paraId="528A0232" w14:textId="77777777" w:rsidR="00872DA7" w:rsidRPr="00872DA7" w:rsidRDefault="00872DA7">
            <w:pPr>
              <w:rPr>
                <w:b/>
              </w:rPr>
            </w:pPr>
          </w:p>
          <w:p w14:paraId="13831F32" w14:textId="77777777" w:rsidR="00872DA7" w:rsidRDefault="00872DA7">
            <w:r w:rsidRPr="00872DA7">
              <w:rPr>
                <w:b/>
              </w:rPr>
              <w:t>e.g. milestone payments</w:t>
            </w:r>
          </w:p>
        </w:tc>
        <w:tc>
          <w:tcPr>
            <w:tcW w:w="5590" w:type="dxa"/>
          </w:tcPr>
          <w:p w14:paraId="28506B47" w14:textId="57732007" w:rsidR="006A6D2F" w:rsidRDefault="001A07E8" w:rsidP="001A07E8">
            <w:r>
              <w:t>See cost matrix below for details of payment amounts and dates</w:t>
            </w:r>
          </w:p>
        </w:tc>
      </w:tr>
      <w:tr w:rsidR="006A6D2F" w14:paraId="72E85B76" w14:textId="77777777" w:rsidTr="008D0FA5">
        <w:tc>
          <w:tcPr>
            <w:tcW w:w="3652" w:type="dxa"/>
            <w:shd w:val="clear" w:color="auto" w:fill="D9D9D9" w:themeFill="background1" w:themeFillShade="D9"/>
          </w:tcPr>
          <w:p w14:paraId="4517814E" w14:textId="77777777" w:rsidR="006A6D2F" w:rsidRPr="00872DA7" w:rsidRDefault="00872DA7">
            <w:pPr>
              <w:rPr>
                <w:b/>
              </w:rPr>
            </w:pPr>
            <w:r w:rsidRPr="00872DA7">
              <w:rPr>
                <w:b/>
              </w:rPr>
              <w:t>Revised daily rate (if applicable)</w:t>
            </w:r>
          </w:p>
        </w:tc>
        <w:tc>
          <w:tcPr>
            <w:tcW w:w="5590" w:type="dxa"/>
          </w:tcPr>
          <w:p w14:paraId="31C87975" w14:textId="1815F42E" w:rsidR="006A6D2F" w:rsidRDefault="00DC3C8A" w:rsidP="00B56947">
            <w:r w:rsidRPr="00DC3C8A">
              <w:t>N/A</w:t>
            </w:r>
          </w:p>
        </w:tc>
      </w:tr>
      <w:tr w:rsidR="00D46BDD" w14:paraId="25AE219B" w14:textId="77777777" w:rsidTr="008D0FA5">
        <w:tc>
          <w:tcPr>
            <w:tcW w:w="3652" w:type="dxa"/>
            <w:shd w:val="clear" w:color="auto" w:fill="D9D9D9" w:themeFill="background1" w:themeFillShade="D9"/>
          </w:tcPr>
          <w:p w14:paraId="5709B587" w14:textId="77777777" w:rsidR="00D46BDD" w:rsidRDefault="00D46BDD">
            <w:pPr>
              <w:rPr>
                <w:b/>
              </w:rPr>
            </w:pPr>
            <w:r>
              <w:rPr>
                <w:b/>
              </w:rPr>
              <w:t>Impact on original contract</w:t>
            </w:r>
          </w:p>
          <w:p w14:paraId="2A85D908" w14:textId="77777777" w:rsidR="00D46BDD" w:rsidRDefault="00D46BDD">
            <w:pPr>
              <w:rPr>
                <w:b/>
              </w:rPr>
            </w:pPr>
          </w:p>
          <w:p w14:paraId="6BE3CB57" w14:textId="77777777" w:rsidR="00D46BDD" w:rsidRPr="00872DA7" w:rsidRDefault="00D46BDD">
            <w:pPr>
              <w:rPr>
                <w:b/>
              </w:rPr>
            </w:pPr>
            <w:r>
              <w:rPr>
                <w:b/>
              </w:rPr>
              <w:t>(If applicable)</w:t>
            </w:r>
          </w:p>
        </w:tc>
        <w:tc>
          <w:tcPr>
            <w:tcW w:w="5590" w:type="dxa"/>
          </w:tcPr>
          <w:p w14:paraId="734822CB" w14:textId="755C7721" w:rsidR="0049455D" w:rsidRDefault="008E54D9" w:rsidP="002202E0">
            <w:r>
              <w:t>T</w:t>
            </w:r>
            <w:r w:rsidR="00B16F18">
              <w:t xml:space="preserve">his variation allows for </w:t>
            </w:r>
            <w:r w:rsidR="001703B4">
              <w:t xml:space="preserve">the recruitment </w:t>
            </w:r>
            <w:r w:rsidR="00B16F18">
              <w:t xml:space="preserve">and delivery of the Read, Write, </w:t>
            </w:r>
            <w:proofErr w:type="spellStart"/>
            <w:r w:rsidR="00B16F18">
              <w:t>Inc</w:t>
            </w:r>
            <w:proofErr w:type="spellEnd"/>
            <w:r w:rsidR="00B16F18">
              <w:t xml:space="preserve"> programme to a </w:t>
            </w:r>
            <w:r w:rsidR="001703B4">
              <w:t>third cohort of 36 schools</w:t>
            </w:r>
            <w:r w:rsidR="00B16F18">
              <w:t xml:space="preserve"> by 31 March 2020. </w:t>
            </w:r>
            <w:r w:rsidR="001703B4">
              <w:t xml:space="preserve"> </w:t>
            </w:r>
          </w:p>
          <w:p w14:paraId="1CFCB4BB" w14:textId="4E15FBA6" w:rsidR="0098374B" w:rsidRPr="00451B39" w:rsidRDefault="002202E0" w:rsidP="002211E5">
            <w:r>
              <w:t xml:space="preserve">The recruitment and delivery of a third cohort of schools through this variation </w:t>
            </w:r>
            <w:r w:rsidR="002211E5">
              <w:t>will</w:t>
            </w:r>
            <w:r w:rsidR="008E54D9">
              <w:t xml:space="preserve"> not impact on the</w:t>
            </w:r>
            <w:r>
              <w:t xml:space="preserve"> </w:t>
            </w:r>
            <w:r w:rsidR="000C14B9">
              <w:t xml:space="preserve">delivery model </w:t>
            </w:r>
            <w:r w:rsidR="0057366C">
              <w:t xml:space="preserve">for cohorts </w:t>
            </w:r>
            <w:r>
              <w:t>one and two</w:t>
            </w:r>
            <w:r w:rsidR="008E54D9">
              <w:t>.</w:t>
            </w:r>
          </w:p>
        </w:tc>
      </w:tr>
      <w:tr w:rsidR="00D46BDD" w14:paraId="4E978D8A" w14:textId="77777777" w:rsidTr="008D0FA5">
        <w:tc>
          <w:tcPr>
            <w:tcW w:w="3652" w:type="dxa"/>
            <w:shd w:val="clear" w:color="auto" w:fill="D9D9D9" w:themeFill="background1" w:themeFillShade="D9"/>
          </w:tcPr>
          <w:p w14:paraId="244C0F93" w14:textId="77777777" w:rsidR="00D46BDD" w:rsidRDefault="004E74AC">
            <w:pPr>
              <w:rPr>
                <w:b/>
              </w:rPr>
            </w:pPr>
            <w:r>
              <w:rPr>
                <w:b/>
              </w:rPr>
              <w:t>Supporting Information</w:t>
            </w:r>
          </w:p>
          <w:p w14:paraId="14FE5332" w14:textId="77777777" w:rsidR="004E74AC" w:rsidRDefault="004E74AC">
            <w:pPr>
              <w:rPr>
                <w:b/>
              </w:rPr>
            </w:pPr>
          </w:p>
          <w:p w14:paraId="7BCA6201" w14:textId="77777777" w:rsidR="004E74AC" w:rsidRDefault="004E74AC">
            <w:pPr>
              <w:rPr>
                <w:b/>
              </w:rPr>
            </w:pPr>
            <w:r>
              <w:rPr>
                <w:b/>
              </w:rPr>
              <w:t>(Please attach all supporting documentation for this Change Control)</w:t>
            </w:r>
          </w:p>
        </w:tc>
        <w:tc>
          <w:tcPr>
            <w:tcW w:w="5590" w:type="dxa"/>
          </w:tcPr>
          <w:p w14:paraId="1E1EAD16" w14:textId="494AD106" w:rsidR="00D46BDD" w:rsidRDefault="0036749E" w:rsidP="0036749E">
            <w:r w:rsidRPr="0036749E">
              <w:t xml:space="preserve">Please refer to </w:t>
            </w:r>
            <w:r w:rsidR="002211E5">
              <w:t xml:space="preserve">the </w:t>
            </w:r>
            <w:r w:rsidR="00ED66A7">
              <w:t>supporting documents inserted below</w:t>
            </w:r>
            <w:r w:rsidRPr="0036749E">
              <w:t>.</w:t>
            </w:r>
          </w:p>
          <w:p w14:paraId="19E2EE0D" w14:textId="77777777" w:rsidR="00D94E1F" w:rsidRDefault="00D94E1F" w:rsidP="0036749E"/>
          <w:p w14:paraId="68A91FAB" w14:textId="033CEB3F" w:rsidR="000A0BD0" w:rsidRDefault="000A0BD0" w:rsidP="000A0BD0">
            <w:pPr>
              <w:pStyle w:val="OutlinePara"/>
              <w:rPr>
                <w:rFonts w:asciiTheme="minorHAnsi" w:hAnsiTheme="minorHAnsi"/>
                <w:b/>
              </w:rPr>
            </w:pPr>
            <w:r>
              <w:rPr>
                <w:rFonts w:asciiTheme="minorHAnsi" w:hAnsiTheme="minorHAnsi"/>
                <w:b/>
              </w:rPr>
              <w:t>Schedule 4</w:t>
            </w:r>
            <w:r w:rsidRPr="00A137FA">
              <w:rPr>
                <w:rFonts w:asciiTheme="minorHAnsi" w:hAnsiTheme="minorHAnsi"/>
                <w:b/>
              </w:rPr>
              <w:t xml:space="preserve"> </w:t>
            </w:r>
            <w:r>
              <w:rPr>
                <w:rFonts w:asciiTheme="minorHAnsi" w:hAnsiTheme="minorHAnsi"/>
                <w:b/>
              </w:rPr>
              <w:t>– Table 3 KPIs</w:t>
            </w:r>
          </w:p>
          <w:bookmarkStart w:id="0" w:name="_MON_1590395111"/>
          <w:bookmarkEnd w:id="0"/>
          <w:p w14:paraId="082246AD" w14:textId="2B09FBDA" w:rsidR="000A0BD0" w:rsidRDefault="002B649B" w:rsidP="009B1062">
            <w:pPr>
              <w:pStyle w:val="OutlinePara"/>
              <w:rPr>
                <w:rFonts w:asciiTheme="minorHAnsi" w:hAnsiTheme="minorHAnsi"/>
                <w:b/>
              </w:rPr>
            </w:pPr>
            <w:r>
              <w:rPr>
                <w:rFonts w:asciiTheme="minorHAnsi" w:hAnsiTheme="minorHAnsi"/>
                <w:b/>
              </w:rPr>
              <w:object w:dxaOrig="1327" w:dyaOrig="874" w14:anchorId="6589D0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43.5pt" o:ole="">
                  <v:imagedata r:id="rId11" o:title=""/>
                </v:shape>
                <o:OLEObject Type="Embed" ProgID="Word.Document.12" ShapeID="_x0000_i1025" DrawAspect="Icon" ObjectID="_1598439727" r:id="rId12">
                  <o:FieldCodes>\s</o:FieldCodes>
                </o:OLEObject>
              </w:object>
            </w:r>
          </w:p>
          <w:p w14:paraId="31D32005" w14:textId="02DD5B5A" w:rsidR="009B1062" w:rsidRDefault="009B1062" w:rsidP="009B1062">
            <w:pPr>
              <w:pStyle w:val="OutlinePara"/>
              <w:rPr>
                <w:rFonts w:asciiTheme="minorHAnsi" w:hAnsiTheme="minorHAnsi"/>
                <w:b/>
              </w:rPr>
            </w:pPr>
            <w:r w:rsidRPr="00A137FA">
              <w:rPr>
                <w:rFonts w:asciiTheme="minorHAnsi" w:hAnsiTheme="minorHAnsi"/>
                <w:b/>
              </w:rPr>
              <w:t xml:space="preserve">Schedule 5 </w:t>
            </w:r>
            <w:r>
              <w:rPr>
                <w:rFonts w:asciiTheme="minorHAnsi" w:hAnsiTheme="minorHAnsi"/>
                <w:b/>
              </w:rPr>
              <w:t xml:space="preserve">- Paragraph 4 of the </w:t>
            </w:r>
            <w:r w:rsidR="00FA7CDD">
              <w:rPr>
                <w:rFonts w:asciiTheme="minorHAnsi" w:hAnsiTheme="minorHAnsi"/>
                <w:b/>
              </w:rPr>
              <w:t>Milestone</w:t>
            </w:r>
            <w:r w:rsidRPr="00A137FA">
              <w:rPr>
                <w:rFonts w:asciiTheme="minorHAnsi" w:hAnsiTheme="minorHAnsi"/>
                <w:b/>
              </w:rPr>
              <w:t xml:space="preserve"> Plan</w:t>
            </w:r>
          </w:p>
          <w:bookmarkStart w:id="1" w:name="_MON_1592805491"/>
          <w:bookmarkEnd w:id="1"/>
          <w:p w14:paraId="3377AED8" w14:textId="296A2095" w:rsidR="008B4841" w:rsidRDefault="001019E6" w:rsidP="008B4841">
            <w:r>
              <w:object w:dxaOrig="1478" w:dyaOrig="973" w14:anchorId="594E4819">
                <v:shape id="_x0000_i1026" type="#_x0000_t75" style="width:73.5pt;height:48.6pt" o:ole="">
                  <v:imagedata r:id="rId13" o:title=""/>
                </v:shape>
                <o:OLEObject Type="Embed" ProgID="Excel.Sheet.12" ShapeID="_x0000_i1026" DrawAspect="Icon" ObjectID="_1598439728" r:id="rId14"/>
              </w:object>
            </w:r>
          </w:p>
          <w:p w14:paraId="117B7129" w14:textId="77777777" w:rsidR="008B4841" w:rsidRDefault="008B4841" w:rsidP="008B4841"/>
          <w:p w14:paraId="6A314179" w14:textId="64D33704" w:rsidR="00F1003F" w:rsidRDefault="00D94E1F" w:rsidP="00663E1A">
            <w:pPr>
              <w:pStyle w:val="OutlinePara"/>
            </w:pPr>
            <w:r>
              <w:rPr>
                <w:rFonts w:asciiTheme="minorHAnsi" w:hAnsiTheme="minorHAnsi"/>
                <w:b/>
              </w:rPr>
              <w:t>Schedule 9 – Commerc</w:t>
            </w:r>
            <w:r w:rsidR="00CA0473">
              <w:rPr>
                <w:rFonts w:asciiTheme="minorHAnsi" w:hAnsiTheme="minorHAnsi"/>
                <w:b/>
              </w:rPr>
              <w:t>ially Sensitive Information, RMT</w:t>
            </w:r>
            <w:r>
              <w:rPr>
                <w:rFonts w:asciiTheme="minorHAnsi" w:hAnsiTheme="minorHAnsi"/>
                <w:b/>
              </w:rPr>
              <w:t xml:space="preserve"> Revised Cost Matrix</w:t>
            </w:r>
          </w:p>
          <w:p w14:paraId="5811C010" w14:textId="2103711F" w:rsidR="008B4841" w:rsidRDefault="009E334B" w:rsidP="008B4841">
            <w:r w:rsidRPr="009E334B">
              <w:rPr>
                <w:highlight w:val="black"/>
              </w:rPr>
              <w:t>Redacted</w:t>
            </w:r>
          </w:p>
          <w:p w14:paraId="1C176477" w14:textId="77777777" w:rsidR="009E334B" w:rsidRDefault="009E334B" w:rsidP="008B4841"/>
          <w:p w14:paraId="108BD874" w14:textId="3657CD05" w:rsidR="0036749E" w:rsidRDefault="00D94E1F" w:rsidP="00D94E1F">
            <w:pPr>
              <w:pStyle w:val="General1"/>
              <w:numPr>
                <w:ilvl w:val="0"/>
                <w:numId w:val="0"/>
              </w:numPr>
              <w:rPr>
                <w:rFonts w:asciiTheme="minorHAnsi" w:hAnsiTheme="minorHAnsi"/>
                <w:b/>
              </w:rPr>
            </w:pPr>
            <w:r w:rsidRPr="00F93A1C">
              <w:rPr>
                <w:rFonts w:asciiTheme="minorHAnsi" w:hAnsiTheme="minorHAnsi"/>
                <w:b/>
              </w:rPr>
              <w:t>Schedule 10</w:t>
            </w:r>
            <w:r>
              <w:rPr>
                <w:rFonts w:asciiTheme="minorHAnsi" w:hAnsiTheme="minorHAnsi"/>
                <w:b/>
              </w:rPr>
              <w:t xml:space="preserve"> – The Contractor’s Solution, </w:t>
            </w:r>
            <w:r w:rsidR="0038287B">
              <w:rPr>
                <w:rFonts w:asciiTheme="minorHAnsi" w:hAnsiTheme="minorHAnsi"/>
                <w:b/>
              </w:rPr>
              <w:t>RMT Variation Proposal</w:t>
            </w:r>
            <w:r w:rsidR="0038287B" w:rsidRPr="00F93A1C">
              <w:rPr>
                <w:rFonts w:asciiTheme="minorHAnsi" w:hAnsiTheme="minorHAnsi"/>
                <w:b/>
              </w:rPr>
              <w:t>:</w:t>
            </w:r>
          </w:p>
          <w:p w14:paraId="6146E908" w14:textId="76FD7F01" w:rsidR="0038287B" w:rsidRDefault="009E334B" w:rsidP="008B4841">
            <w:r w:rsidRPr="009E334B">
              <w:rPr>
                <w:highlight w:val="black"/>
              </w:rPr>
              <w:t>Redacted</w:t>
            </w:r>
            <w:bookmarkStart w:id="2" w:name="_GoBack"/>
            <w:bookmarkEnd w:id="2"/>
          </w:p>
          <w:p w14:paraId="5FFB812D" w14:textId="681B1391" w:rsidR="0036749E" w:rsidRPr="00CC641F" w:rsidRDefault="0036749E" w:rsidP="0038287B">
            <w:pPr>
              <w:rPr>
                <w:b/>
              </w:rPr>
            </w:pPr>
          </w:p>
        </w:tc>
      </w:tr>
      <w:tr w:rsidR="004E74AC" w14:paraId="3921D770" w14:textId="77777777" w:rsidTr="008D0FA5">
        <w:tc>
          <w:tcPr>
            <w:tcW w:w="3652" w:type="dxa"/>
            <w:tcBorders>
              <w:bottom w:val="single" w:sz="4" w:space="0" w:color="auto"/>
            </w:tcBorders>
            <w:shd w:val="clear" w:color="auto" w:fill="D9D9D9" w:themeFill="background1" w:themeFillShade="D9"/>
          </w:tcPr>
          <w:p w14:paraId="271DBA15" w14:textId="77777777" w:rsidR="004E74AC" w:rsidRDefault="004E74AC">
            <w:pPr>
              <w:rPr>
                <w:b/>
              </w:rPr>
            </w:pPr>
            <w:r>
              <w:rPr>
                <w:b/>
              </w:rPr>
              <w:t>Terms and Conditions</w:t>
            </w:r>
          </w:p>
        </w:tc>
        <w:tc>
          <w:tcPr>
            <w:tcW w:w="5590" w:type="dxa"/>
            <w:tcBorders>
              <w:bottom w:val="single" w:sz="4" w:space="0" w:color="auto"/>
            </w:tcBorders>
          </w:tcPr>
          <w:p w14:paraId="3A786E07" w14:textId="77777777" w:rsidR="004E74AC" w:rsidRDefault="004E74AC">
            <w:r>
              <w:t>Save as herein amended all other terms and conditions of the Original Contract shall remain in full force and effect.</w:t>
            </w:r>
          </w:p>
        </w:tc>
      </w:tr>
      <w:tr w:rsidR="004453DC" w14:paraId="44059CDD" w14:textId="77777777" w:rsidTr="008D0FA5">
        <w:tc>
          <w:tcPr>
            <w:tcW w:w="3652" w:type="dxa"/>
            <w:tcBorders>
              <w:right w:val="nil"/>
            </w:tcBorders>
            <w:shd w:val="clear" w:color="auto" w:fill="D9D9D9" w:themeFill="background1" w:themeFillShade="D9"/>
          </w:tcPr>
          <w:p w14:paraId="6252B5CF" w14:textId="77777777" w:rsidR="004453DC" w:rsidRDefault="008D0FA5">
            <w:pPr>
              <w:rPr>
                <w:b/>
              </w:rPr>
            </w:pPr>
            <w:r>
              <w:rPr>
                <w:b/>
              </w:rPr>
              <w:lastRenderedPageBreak/>
              <w:t>Variation Agreed</w:t>
            </w:r>
          </w:p>
          <w:p w14:paraId="1A15A30A" w14:textId="77777777" w:rsidR="008D0FA5" w:rsidRDefault="008D0FA5">
            <w:pPr>
              <w:rPr>
                <w:b/>
              </w:rPr>
            </w:pPr>
          </w:p>
          <w:p w14:paraId="4B1C6C22" w14:textId="77777777" w:rsidR="008D0FA5" w:rsidRDefault="008D0FA5">
            <w:pPr>
              <w:rPr>
                <w:b/>
              </w:rPr>
            </w:pPr>
            <w:r>
              <w:rPr>
                <w:b/>
              </w:rPr>
              <w:t>For the Contractor:</w:t>
            </w:r>
          </w:p>
          <w:p w14:paraId="1C6D225B" w14:textId="77777777" w:rsidR="008D0FA5" w:rsidRDefault="008D0FA5">
            <w:pPr>
              <w:rPr>
                <w:b/>
              </w:rPr>
            </w:pPr>
          </w:p>
          <w:p w14:paraId="21CBB3E9" w14:textId="77777777" w:rsidR="008D0FA5" w:rsidRDefault="008D0FA5">
            <w:pPr>
              <w:rPr>
                <w:b/>
              </w:rPr>
            </w:pPr>
            <w:r>
              <w:rPr>
                <w:b/>
              </w:rPr>
              <w:t>Signature..............................</w:t>
            </w:r>
          </w:p>
          <w:p w14:paraId="1EC1A3A0" w14:textId="77777777" w:rsidR="008D0FA5" w:rsidRDefault="008D0FA5">
            <w:pPr>
              <w:rPr>
                <w:b/>
              </w:rPr>
            </w:pPr>
          </w:p>
          <w:p w14:paraId="05AEEA86" w14:textId="77777777" w:rsidR="008D0FA5" w:rsidRDefault="008D0FA5">
            <w:pPr>
              <w:rPr>
                <w:b/>
              </w:rPr>
            </w:pPr>
            <w:r>
              <w:rPr>
                <w:b/>
              </w:rPr>
              <w:t>Full Name.............................</w:t>
            </w:r>
          </w:p>
          <w:p w14:paraId="2267CF67" w14:textId="77777777" w:rsidR="008D0FA5" w:rsidRDefault="008D0FA5">
            <w:pPr>
              <w:rPr>
                <w:b/>
              </w:rPr>
            </w:pPr>
          </w:p>
          <w:p w14:paraId="038C6927" w14:textId="77777777" w:rsidR="008D0FA5" w:rsidRDefault="008D0FA5">
            <w:pPr>
              <w:rPr>
                <w:b/>
              </w:rPr>
            </w:pPr>
            <w:r>
              <w:rPr>
                <w:b/>
              </w:rPr>
              <w:t>Title......................................</w:t>
            </w:r>
          </w:p>
          <w:p w14:paraId="3CAAC2A1" w14:textId="77777777" w:rsidR="008D0FA5" w:rsidRDefault="008D0FA5">
            <w:pPr>
              <w:rPr>
                <w:b/>
              </w:rPr>
            </w:pPr>
          </w:p>
          <w:p w14:paraId="7DF95C92" w14:textId="77777777" w:rsidR="008D0FA5" w:rsidRDefault="008D0FA5" w:rsidP="008D0FA5">
            <w:pPr>
              <w:rPr>
                <w:b/>
              </w:rPr>
            </w:pPr>
            <w:r>
              <w:rPr>
                <w:b/>
              </w:rPr>
              <w:t>Date.....................................</w:t>
            </w:r>
          </w:p>
          <w:p w14:paraId="6261552F" w14:textId="77777777" w:rsidR="008D0FA5" w:rsidRDefault="008D0FA5">
            <w:pPr>
              <w:rPr>
                <w:b/>
              </w:rPr>
            </w:pPr>
          </w:p>
        </w:tc>
        <w:tc>
          <w:tcPr>
            <w:tcW w:w="5590" w:type="dxa"/>
            <w:tcBorders>
              <w:left w:val="nil"/>
            </w:tcBorders>
            <w:shd w:val="clear" w:color="auto" w:fill="D9D9D9" w:themeFill="background1" w:themeFillShade="D9"/>
          </w:tcPr>
          <w:p w14:paraId="4B0DC790" w14:textId="77777777" w:rsidR="004453DC" w:rsidRDefault="004453DC"/>
          <w:p w14:paraId="6AADB0D5" w14:textId="77777777" w:rsidR="008D0FA5" w:rsidRDefault="008D0FA5"/>
          <w:p w14:paraId="2465CD32" w14:textId="77777777" w:rsidR="008D0FA5" w:rsidRDefault="008D0FA5">
            <w:pPr>
              <w:rPr>
                <w:b/>
              </w:rPr>
            </w:pPr>
            <w:r w:rsidRPr="008D0FA5">
              <w:rPr>
                <w:b/>
              </w:rPr>
              <w:t>For the DFE:</w:t>
            </w:r>
          </w:p>
          <w:p w14:paraId="707DCDA1" w14:textId="77777777" w:rsidR="008D0FA5" w:rsidRDefault="008D0FA5">
            <w:pPr>
              <w:rPr>
                <w:b/>
              </w:rPr>
            </w:pPr>
          </w:p>
          <w:p w14:paraId="25468ADB" w14:textId="77777777" w:rsidR="008D0FA5" w:rsidRDefault="008D0FA5" w:rsidP="008D0FA5">
            <w:pPr>
              <w:rPr>
                <w:b/>
              </w:rPr>
            </w:pPr>
            <w:r>
              <w:rPr>
                <w:b/>
              </w:rPr>
              <w:t>Signature..............................</w:t>
            </w:r>
          </w:p>
          <w:p w14:paraId="1E49C6A8" w14:textId="77777777" w:rsidR="008D0FA5" w:rsidRDefault="008D0FA5" w:rsidP="008D0FA5">
            <w:pPr>
              <w:rPr>
                <w:b/>
              </w:rPr>
            </w:pPr>
          </w:p>
          <w:p w14:paraId="0F56DF5F" w14:textId="77777777" w:rsidR="008D0FA5" w:rsidRDefault="008D0FA5" w:rsidP="008D0FA5">
            <w:pPr>
              <w:rPr>
                <w:b/>
              </w:rPr>
            </w:pPr>
            <w:r>
              <w:rPr>
                <w:b/>
              </w:rPr>
              <w:t>Full Name.............................</w:t>
            </w:r>
          </w:p>
          <w:p w14:paraId="12C3E5CE" w14:textId="77777777" w:rsidR="008D0FA5" w:rsidRDefault="008D0FA5" w:rsidP="008D0FA5">
            <w:pPr>
              <w:rPr>
                <w:b/>
              </w:rPr>
            </w:pPr>
          </w:p>
          <w:p w14:paraId="0053BC59" w14:textId="77777777" w:rsidR="008D0FA5" w:rsidRDefault="008D0FA5" w:rsidP="008D0FA5">
            <w:pPr>
              <w:rPr>
                <w:b/>
              </w:rPr>
            </w:pPr>
            <w:r>
              <w:rPr>
                <w:b/>
              </w:rPr>
              <w:t>Title......................................</w:t>
            </w:r>
          </w:p>
          <w:p w14:paraId="276D51C3" w14:textId="77777777" w:rsidR="008D0FA5" w:rsidRDefault="008D0FA5" w:rsidP="008D0FA5">
            <w:pPr>
              <w:rPr>
                <w:b/>
              </w:rPr>
            </w:pPr>
          </w:p>
          <w:p w14:paraId="27E67EDC" w14:textId="77777777" w:rsidR="008D0FA5" w:rsidRDefault="008D0FA5" w:rsidP="008D0FA5">
            <w:pPr>
              <w:rPr>
                <w:b/>
              </w:rPr>
            </w:pPr>
            <w:r>
              <w:rPr>
                <w:b/>
              </w:rPr>
              <w:t>Date.....................................</w:t>
            </w:r>
          </w:p>
          <w:p w14:paraId="509D77B1" w14:textId="77777777" w:rsidR="008D0FA5" w:rsidRPr="008D0FA5" w:rsidRDefault="008D0FA5" w:rsidP="008D0FA5">
            <w:pPr>
              <w:rPr>
                <w:b/>
              </w:rPr>
            </w:pPr>
          </w:p>
        </w:tc>
      </w:tr>
    </w:tbl>
    <w:p w14:paraId="265FA2C7" w14:textId="77777777" w:rsidR="00D46BDD" w:rsidRDefault="00D46BDD"/>
    <w:p w14:paraId="3DF473A0" w14:textId="77777777" w:rsidR="006A6D2F" w:rsidRPr="00D46BDD" w:rsidRDefault="00D46BDD">
      <w:pPr>
        <w:rPr>
          <w:b/>
        </w:rPr>
      </w:pPr>
      <w:r w:rsidRPr="00D46BDD">
        <w:rPr>
          <w:b/>
        </w:rPr>
        <w:t>Please note that no works/services described in this form should be undertaken, and no invoices will be paid until both copies of the CCN are signed, returned and counter-signed.</w:t>
      </w:r>
    </w:p>
    <w:tbl>
      <w:tblPr>
        <w:tblStyle w:val="TableGrid"/>
        <w:tblW w:w="0" w:type="auto"/>
        <w:shd w:val="clear" w:color="auto" w:fill="D9D9D9" w:themeFill="background1" w:themeFillShade="D9"/>
        <w:tblLook w:val="04A0" w:firstRow="1" w:lastRow="0" w:firstColumn="1" w:lastColumn="0" w:noHBand="0" w:noVBand="1"/>
      </w:tblPr>
      <w:tblGrid>
        <w:gridCol w:w="2274"/>
        <w:gridCol w:w="2236"/>
        <w:gridCol w:w="2269"/>
        <w:gridCol w:w="2237"/>
      </w:tblGrid>
      <w:tr w:rsidR="006A6D2F" w14:paraId="5946CC93" w14:textId="77777777" w:rsidTr="004E74AC">
        <w:tc>
          <w:tcPr>
            <w:tcW w:w="9242" w:type="dxa"/>
            <w:gridSpan w:val="4"/>
            <w:shd w:val="clear" w:color="auto" w:fill="D9D9D9" w:themeFill="background1" w:themeFillShade="D9"/>
          </w:tcPr>
          <w:p w14:paraId="660497F7" w14:textId="77777777" w:rsidR="006A6D2F" w:rsidRPr="004E74AC" w:rsidRDefault="004E74AC">
            <w:pPr>
              <w:rPr>
                <w:b/>
              </w:rPr>
            </w:pPr>
            <w:r w:rsidRPr="004E74AC">
              <w:rPr>
                <w:b/>
              </w:rPr>
              <w:t>To be entered by the Commercial department:</w:t>
            </w:r>
          </w:p>
        </w:tc>
      </w:tr>
      <w:tr w:rsidR="006A6D2F" w14:paraId="7B43D42F" w14:textId="77777777" w:rsidTr="004E74AC">
        <w:tc>
          <w:tcPr>
            <w:tcW w:w="2310" w:type="dxa"/>
            <w:shd w:val="clear" w:color="auto" w:fill="D9D9D9" w:themeFill="background1" w:themeFillShade="D9"/>
          </w:tcPr>
          <w:p w14:paraId="0C23082F" w14:textId="77777777" w:rsidR="006A6D2F" w:rsidRPr="004E74AC" w:rsidRDefault="004E74AC">
            <w:pPr>
              <w:rPr>
                <w:b/>
              </w:rPr>
            </w:pPr>
            <w:r w:rsidRPr="004E74AC">
              <w:rPr>
                <w:b/>
              </w:rPr>
              <w:t>Commercial Contact</w:t>
            </w:r>
          </w:p>
        </w:tc>
        <w:tc>
          <w:tcPr>
            <w:tcW w:w="2310" w:type="dxa"/>
            <w:shd w:val="clear" w:color="auto" w:fill="FFFFFF" w:themeFill="background1"/>
          </w:tcPr>
          <w:p w14:paraId="36FDB251" w14:textId="77777777" w:rsidR="006A6D2F" w:rsidRDefault="006A6D2F"/>
        </w:tc>
        <w:tc>
          <w:tcPr>
            <w:tcW w:w="2311" w:type="dxa"/>
            <w:shd w:val="clear" w:color="auto" w:fill="D9D9D9" w:themeFill="background1" w:themeFillShade="D9"/>
          </w:tcPr>
          <w:p w14:paraId="3DAE8C97" w14:textId="77777777" w:rsidR="006A6D2F" w:rsidRPr="004E74AC" w:rsidRDefault="004E74AC">
            <w:pPr>
              <w:rPr>
                <w:b/>
              </w:rPr>
            </w:pPr>
            <w:r w:rsidRPr="004E74AC">
              <w:rPr>
                <w:b/>
              </w:rPr>
              <w:t>Reference Number</w:t>
            </w:r>
          </w:p>
        </w:tc>
        <w:tc>
          <w:tcPr>
            <w:tcW w:w="2311" w:type="dxa"/>
            <w:shd w:val="clear" w:color="auto" w:fill="FFFFFF" w:themeFill="background1"/>
          </w:tcPr>
          <w:p w14:paraId="6C545B6A" w14:textId="77777777" w:rsidR="006A6D2F" w:rsidRDefault="006A6D2F"/>
        </w:tc>
      </w:tr>
      <w:tr w:rsidR="006A6D2F" w14:paraId="6B4BDAC4" w14:textId="77777777" w:rsidTr="004E74AC">
        <w:tc>
          <w:tcPr>
            <w:tcW w:w="2310" w:type="dxa"/>
            <w:shd w:val="clear" w:color="auto" w:fill="D9D9D9" w:themeFill="background1" w:themeFillShade="D9"/>
          </w:tcPr>
          <w:p w14:paraId="743017D1" w14:textId="77777777" w:rsidR="006A6D2F" w:rsidRPr="004E74AC" w:rsidRDefault="004E74AC">
            <w:pPr>
              <w:rPr>
                <w:b/>
              </w:rPr>
            </w:pPr>
            <w:r w:rsidRPr="004E74AC">
              <w:rPr>
                <w:b/>
              </w:rPr>
              <w:t>Date received</w:t>
            </w:r>
          </w:p>
        </w:tc>
        <w:tc>
          <w:tcPr>
            <w:tcW w:w="2310" w:type="dxa"/>
            <w:shd w:val="clear" w:color="auto" w:fill="FFFFFF" w:themeFill="background1"/>
          </w:tcPr>
          <w:p w14:paraId="740E99CB" w14:textId="77777777" w:rsidR="006A6D2F" w:rsidRDefault="006A6D2F"/>
        </w:tc>
        <w:tc>
          <w:tcPr>
            <w:tcW w:w="2311" w:type="dxa"/>
            <w:shd w:val="clear" w:color="auto" w:fill="D9D9D9" w:themeFill="background1" w:themeFillShade="D9"/>
          </w:tcPr>
          <w:p w14:paraId="6F2EFE19" w14:textId="77777777" w:rsidR="006A6D2F" w:rsidRPr="004E74AC" w:rsidRDefault="004E74AC">
            <w:pPr>
              <w:rPr>
                <w:b/>
              </w:rPr>
            </w:pPr>
            <w:r w:rsidRPr="004E74AC">
              <w:rPr>
                <w:b/>
              </w:rPr>
              <w:t>EC Reference</w:t>
            </w:r>
          </w:p>
        </w:tc>
        <w:tc>
          <w:tcPr>
            <w:tcW w:w="2311" w:type="dxa"/>
            <w:shd w:val="clear" w:color="auto" w:fill="FFFFFF" w:themeFill="background1"/>
          </w:tcPr>
          <w:p w14:paraId="78D700EF" w14:textId="77777777" w:rsidR="006A6D2F" w:rsidRDefault="006A6D2F"/>
        </w:tc>
      </w:tr>
    </w:tbl>
    <w:p w14:paraId="58147A7A" w14:textId="77777777" w:rsidR="006A6D2F" w:rsidRDefault="006A6D2F"/>
    <w:sectPr w:rsidR="006A6D2F" w:rsidSect="008D0FA5">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CE5229" w14:textId="77777777" w:rsidR="00F371B8" w:rsidRDefault="00F371B8" w:rsidP="006A6D2F">
      <w:pPr>
        <w:spacing w:after="0" w:line="240" w:lineRule="auto"/>
      </w:pPr>
      <w:r>
        <w:separator/>
      </w:r>
    </w:p>
  </w:endnote>
  <w:endnote w:type="continuationSeparator" w:id="0">
    <w:p w14:paraId="2400E955" w14:textId="77777777" w:rsidR="00F371B8" w:rsidRDefault="00F371B8" w:rsidP="006A6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FB14B4" w14:textId="77777777" w:rsidR="00F371B8" w:rsidRDefault="00F371B8" w:rsidP="006A6D2F">
      <w:pPr>
        <w:spacing w:after="0" w:line="240" w:lineRule="auto"/>
      </w:pPr>
      <w:r>
        <w:separator/>
      </w:r>
    </w:p>
  </w:footnote>
  <w:footnote w:type="continuationSeparator" w:id="0">
    <w:p w14:paraId="1B1E46A0" w14:textId="77777777" w:rsidR="00F371B8" w:rsidRDefault="00F371B8" w:rsidP="006A6D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7BACB" w14:textId="1A007F08" w:rsidR="006A6D2F" w:rsidRPr="006A6D2F" w:rsidRDefault="00AF448B" w:rsidP="006A6D2F">
    <w:pPr>
      <w:pStyle w:val="Header"/>
      <w:jc w:val="center"/>
      <w:rPr>
        <w:b/>
      </w:rPr>
    </w:pPr>
    <w:r>
      <w:rPr>
        <w:b/>
      </w:rPr>
      <w:t>Change Control Notice – Ref: TLIF / RD100084</w:t>
    </w:r>
    <w:r w:rsidR="00CA0473">
      <w:rPr>
        <w:b/>
      </w:rPr>
      <w:t>5 / CNN / 002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B4EA8"/>
    <w:multiLevelType w:val="hybridMultilevel"/>
    <w:tmpl w:val="8F845B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96E0DBA"/>
    <w:multiLevelType w:val="hybridMultilevel"/>
    <w:tmpl w:val="7088A8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5A2D41CE"/>
    <w:multiLevelType w:val="multilevel"/>
    <w:tmpl w:val="89982964"/>
    <w:lvl w:ilvl="0">
      <w:start w:val="1"/>
      <w:numFmt w:val="decimal"/>
      <w:pStyle w:val="General1"/>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3" w15:restartNumberingAfterBreak="0">
    <w:nsid w:val="60821D0E"/>
    <w:multiLevelType w:val="hybridMultilevel"/>
    <w:tmpl w:val="4448D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6F579E"/>
    <w:multiLevelType w:val="hybridMultilevel"/>
    <w:tmpl w:val="1F86A426"/>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5" w15:restartNumberingAfterBreak="0">
    <w:nsid w:val="7B6C3075"/>
    <w:multiLevelType w:val="hybridMultilevel"/>
    <w:tmpl w:val="83D4E8FC"/>
    <w:lvl w:ilvl="0" w:tplc="8F149414">
      <w:start w:val="1"/>
      <w:numFmt w:val="decimal"/>
      <w:pStyle w:val="NumberedNormal"/>
      <w:lvlText w:val="%1."/>
      <w:lvlJc w:val="left"/>
      <w:pPr>
        <w:ind w:left="360" w:hanging="360"/>
      </w:pPr>
      <w:rPr>
        <w:rFonts w:ascii="Arial" w:hAnsi="Arial" w:cs="Arial" w:hint="default"/>
        <w:color w:val="000000" w:themeColor="text1"/>
      </w:rPr>
    </w:lvl>
    <w:lvl w:ilvl="1" w:tplc="1DACCAB2">
      <w:start w:val="1"/>
      <w:numFmt w:val="lowerLetter"/>
      <w:lvlText w:val="%2."/>
      <w:lvlJc w:val="left"/>
      <w:pPr>
        <w:ind w:left="1440" w:hanging="360"/>
      </w:pPr>
    </w:lvl>
    <w:lvl w:ilvl="2" w:tplc="C94043BA" w:tentative="1">
      <w:start w:val="1"/>
      <w:numFmt w:val="lowerRoman"/>
      <w:lvlText w:val="%3."/>
      <w:lvlJc w:val="right"/>
      <w:pPr>
        <w:ind w:left="2160" w:hanging="180"/>
      </w:pPr>
    </w:lvl>
    <w:lvl w:ilvl="3" w:tplc="CD3C238A" w:tentative="1">
      <w:start w:val="1"/>
      <w:numFmt w:val="decimal"/>
      <w:lvlText w:val="%4."/>
      <w:lvlJc w:val="left"/>
      <w:pPr>
        <w:ind w:left="2880" w:hanging="360"/>
      </w:pPr>
    </w:lvl>
    <w:lvl w:ilvl="4" w:tplc="E93C43C8" w:tentative="1">
      <w:start w:val="1"/>
      <w:numFmt w:val="lowerLetter"/>
      <w:lvlText w:val="%5."/>
      <w:lvlJc w:val="left"/>
      <w:pPr>
        <w:ind w:left="3600" w:hanging="360"/>
      </w:pPr>
    </w:lvl>
    <w:lvl w:ilvl="5" w:tplc="D22CA256" w:tentative="1">
      <w:start w:val="1"/>
      <w:numFmt w:val="lowerRoman"/>
      <w:lvlText w:val="%6."/>
      <w:lvlJc w:val="right"/>
      <w:pPr>
        <w:ind w:left="4320" w:hanging="180"/>
      </w:pPr>
    </w:lvl>
    <w:lvl w:ilvl="6" w:tplc="56821910" w:tentative="1">
      <w:start w:val="1"/>
      <w:numFmt w:val="decimal"/>
      <w:lvlText w:val="%7."/>
      <w:lvlJc w:val="left"/>
      <w:pPr>
        <w:ind w:left="5040" w:hanging="360"/>
      </w:pPr>
    </w:lvl>
    <w:lvl w:ilvl="7" w:tplc="B9C42BDC" w:tentative="1">
      <w:start w:val="1"/>
      <w:numFmt w:val="lowerLetter"/>
      <w:lvlText w:val="%8."/>
      <w:lvlJc w:val="left"/>
      <w:pPr>
        <w:ind w:left="5760" w:hanging="360"/>
      </w:pPr>
    </w:lvl>
    <w:lvl w:ilvl="8" w:tplc="229AF54C"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D2F"/>
    <w:rsid w:val="00004E39"/>
    <w:rsid w:val="00005038"/>
    <w:rsid w:val="00016CB6"/>
    <w:rsid w:val="00045B06"/>
    <w:rsid w:val="000911E3"/>
    <w:rsid w:val="000A0BD0"/>
    <w:rsid w:val="000C14B9"/>
    <w:rsid w:val="000E7EFB"/>
    <w:rsid w:val="001019E6"/>
    <w:rsid w:val="0011197D"/>
    <w:rsid w:val="00112A4B"/>
    <w:rsid w:val="00134096"/>
    <w:rsid w:val="00143521"/>
    <w:rsid w:val="0014651D"/>
    <w:rsid w:val="00150146"/>
    <w:rsid w:val="00155BA6"/>
    <w:rsid w:val="001703B4"/>
    <w:rsid w:val="001A07E8"/>
    <w:rsid w:val="001A39D1"/>
    <w:rsid w:val="001A70DB"/>
    <w:rsid w:val="001B6A81"/>
    <w:rsid w:val="001E2433"/>
    <w:rsid w:val="00215FE2"/>
    <w:rsid w:val="002202E0"/>
    <w:rsid w:val="002211E5"/>
    <w:rsid w:val="0024603D"/>
    <w:rsid w:val="00273D85"/>
    <w:rsid w:val="0027578C"/>
    <w:rsid w:val="00281B71"/>
    <w:rsid w:val="002A077B"/>
    <w:rsid w:val="002B649B"/>
    <w:rsid w:val="002C523B"/>
    <w:rsid w:val="002F4A83"/>
    <w:rsid w:val="003550D3"/>
    <w:rsid w:val="0036749E"/>
    <w:rsid w:val="0038287B"/>
    <w:rsid w:val="00392655"/>
    <w:rsid w:val="003B7F35"/>
    <w:rsid w:val="003C3C35"/>
    <w:rsid w:val="003E1C60"/>
    <w:rsid w:val="003F3C08"/>
    <w:rsid w:val="00401943"/>
    <w:rsid w:val="004453DC"/>
    <w:rsid w:val="00451B39"/>
    <w:rsid w:val="0048596A"/>
    <w:rsid w:val="00490CCB"/>
    <w:rsid w:val="0049455D"/>
    <w:rsid w:val="004A2313"/>
    <w:rsid w:val="004C3A5B"/>
    <w:rsid w:val="004C5CD2"/>
    <w:rsid w:val="004E74AC"/>
    <w:rsid w:val="00500233"/>
    <w:rsid w:val="00522FE2"/>
    <w:rsid w:val="00527505"/>
    <w:rsid w:val="005438B3"/>
    <w:rsid w:val="00555ACB"/>
    <w:rsid w:val="0055723C"/>
    <w:rsid w:val="00565B80"/>
    <w:rsid w:val="00566DC6"/>
    <w:rsid w:val="0057366C"/>
    <w:rsid w:val="00594A52"/>
    <w:rsid w:val="005B30F1"/>
    <w:rsid w:val="005C52E0"/>
    <w:rsid w:val="005D2CDB"/>
    <w:rsid w:val="005E27E7"/>
    <w:rsid w:val="005E4D57"/>
    <w:rsid w:val="00615938"/>
    <w:rsid w:val="006363DE"/>
    <w:rsid w:val="0064696B"/>
    <w:rsid w:val="00654DAE"/>
    <w:rsid w:val="00663E1A"/>
    <w:rsid w:val="00696113"/>
    <w:rsid w:val="006967F5"/>
    <w:rsid w:val="006A4E2A"/>
    <w:rsid w:val="006A6D2F"/>
    <w:rsid w:val="006C2AB7"/>
    <w:rsid w:val="006C75CE"/>
    <w:rsid w:val="0071258E"/>
    <w:rsid w:val="007135AC"/>
    <w:rsid w:val="00713FB9"/>
    <w:rsid w:val="00715E5C"/>
    <w:rsid w:val="0073195A"/>
    <w:rsid w:val="007A637F"/>
    <w:rsid w:val="007F430B"/>
    <w:rsid w:val="00816380"/>
    <w:rsid w:val="008728FF"/>
    <w:rsid w:val="00872DA7"/>
    <w:rsid w:val="0087598D"/>
    <w:rsid w:val="008B4841"/>
    <w:rsid w:val="008D0FA5"/>
    <w:rsid w:val="008E54D9"/>
    <w:rsid w:val="008F02EC"/>
    <w:rsid w:val="0090157A"/>
    <w:rsid w:val="0098374B"/>
    <w:rsid w:val="00995085"/>
    <w:rsid w:val="009A5240"/>
    <w:rsid w:val="009B1062"/>
    <w:rsid w:val="009B4B45"/>
    <w:rsid w:val="009E334B"/>
    <w:rsid w:val="00A137FA"/>
    <w:rsid w:val="00A21DFE"/>
    <w:rsid w:val="00A23D78"/>
    <w:rsid w:val="00A5079D"/>
    <w:rsid w:val="00A57323"/>
    <w:rsid w:val="00AA02C2"/>
    <w:rsid w:val="00AA7FFB"/>
    <w:rsid w:val="00AC2C06"/>
    <w:rsid w:val="00AF41D6"/>
    <w:rsid w:val="00AF448B"/>
    <w:rsid w:val="00B16F18"/>
    <w:rsid w:val="00B17CD7"/>
    <w:rsid w:val="00B2546A"/>
    <w:rsid w:val="00B56947"/>
    <w:rsid w:val="00B5711E"/>
    <w:rsid w:val="00B67C8A"/>
    <w:rsid w:val="00B74C4A"/>
    <w:rsid w:val="00B80CEA"/>
    <w:rsid w:val="00B9158F"/>
    <w:rsid w:val="00C01506"/>
    <w:rsid w:val="00C214AE"/>
    <w:rsid w:val="00CA0473"/>
    <w:rsid w:val="00CA51FF"/>
    <w:rsid w:val="00CC641F"/>
    <w:rsid w:val="00D46BDD"/>
    <w:rsid w:val="00D53B55"/>
    <w:rsid w:val="00D83892"/>
    <w:rsid w:val="00D94E1F"/>
    <w:rsid w:val="00D979DF"/>
    <w:rsid w:val="00DA2105"/>
    <w:rsid w:val="00DA7580"/>
    <w:rsid w:val="00DA7657"/>
    <w:rsid w:val="00DC3C8A"/>
    <w:rsid w:val="00DC6A29"/>
    <w:rsid w:val="00E165B6"/>
    <w:rsid w:val="00E2665D"/>
    <w:rsid w:val="00E361C9"/>
    <w:rsid w:val="00E42159"/>
    <w:rsid w:val="00E54D7D"/>
    <w:rsid w:val="00E554B9"/>
    <w:rsid w:val="00E63155"/>
    <w:rsid w:val="00E775E4"/>
    <w:rsid w:val="00E9214B"/>
    <w:rsid w:val="00E96DB6"/>
    <w:rsid w:val="00EA0EE4"/>
    <w:rsid w:val="00EB0797"/>
    <w:rsid w:val="00EC7E62"/>
    <w:rsid w:val="00ED66A7"/>
    <w:rsid w:val="00EE5CCF"/>
    <w:rsid w:val="00F1003F"/>
    <w:rsid w:val="00F23C89"/>
    <w:rsid w:val="00F26AF7"/>
    <w:rsid w:val="00F371B8"/>
    <w:rsid w:val="00F93A1C"/>
    <w:rsid w:val="00FA7CDD"/>
    <w:rsid w:val="00FB3CA2"/>
    <w:rsid w:val="00FB44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33945"/>
  <w15:docId w15:val="{C8926F60-89C5-4E0C-8A27-760CEC9DF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6D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6D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6D2F"/>
  </w:style>
  <w:style w:type="paragraph" w:styleId="Footer">
    <w:name w:val="footer"/>
    <w:basedOn w:val="Normal"/>
    <w:link w:val="FooterChar"/>
    <w:uiPriority w:val="99"/>
    <w:unhideWhenUsed/>
    <w:rsid w:val="006A6D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6D2F"/>
  </w:style>
  <w:style w:type="paragraph" w:styleId="ListParagraph">
    <w:name w:val="List Paragraph"/>
    <w:basedOn w:val="Normal"/>
    <w:uiPriority w:val="34"/>
    <w:qFormat/>
    <w:rsid w:val="00E361C9"/>
    <w:pPr>
      <w:ind w:left="720"/>
      <w:contextualSpacing/>
    </w:pPr>
  </w:style>
  <w:style w:type="paragraph" w:styleId="BalloonText">
    <w:name w:val="Balloon Text"/>
    <w:basedOn w:val="Normal"/>
    <w:link w:val="BalloonTextChar"/>
    <w:uiPriority w:val="99"/>
    <w:semiHidden/>
    <w:unhideWhenUsed/>
    <w:rsid w:val="00E361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1C9"/>
    <w:rPr>
      <w:rFonts w:ascii="Tahoma" w:hAnsi="Tahoma" w:cs="Tahoma"/>
      <w:sz w:val="16"/>
      <w:szCs w:val="16"/>
    </w:rPr>
  </w:style>
  <w:style w:type="paragraph" w:customStyle="1" w:styleId="OutlinePara">
    <w:name w:val="Outline Para"/>
    <w:basedOn w:val="Normal"/>
    <w:rsid w:val="00A137FA"/>
    <w:pPr>
      <w:spacing w:after="240" w:line="240" w:lineRule="auto"/>
      <w:jc w:val="both"/>
    </w:pPr>
    <w:rPr>
      <w:rFonts w:ascii="Arial" w:eastAsia="Times New Roman" w:hAnsi="Arial" w:cs="Times New Roman"/>
      <w:szCs w:val="20"/>
      <w:lang w:eastAsia="en-GB"/>
    </w:rPr>
  </w:style>
  <w:style w:type="paragraph" w:customStyle="1" w:styleId="General1">
    <w:name w:val="General 1"/>
    <w:basedOn w:val="Normal"/>
    <w:rsid w:val="00A137FA"/>
    <w:pPr>
      <w:numPr>
        <w:numId w:val="2"/>
      </w:numPr>
      <w:spacing w:after="240" w:line="240" w:lineRule="auto"/>
      <w:jc w:val="both"/>
    </w:pPr>
    <w:rPr>
      <w:rFonts w:ascii="Arial" w:eastAsia="Times New Roman" w:hAnsi="Arial" w:cs="Times New Roman"/>
      <w:szCs w:val="20"/>
      <w:lang w:eastAsia="en-GB"/>
    </w:rPr>
  </w:style>
  <w:style w:type="paragraph" w:customStyle="1" w:styleId="General2">
    <w:name w:val="General 2"/>
    <w:basedOn w:val="Normal"/>
    <w:rsid w:val="00A137FA"/>
    <w:pPr>
      <w:numPr>
        <w:ilvl w:val="1"/>
        <w:numId w:val="2"/>
      </w:numPr>
      <w:spacing w:after="240" w:line="240" w:lineRule="auto"/>
      <w:jc w:val="both"/>
    </w:pPr>
    <w:rPr>
      <w:rFonts w:ascii="Arial" w:eastAsia="Times New Roman" w:hAnsi="Arial" w:cs="Times New Roman"/>
      <w:szCs w:val="20"/>
      <w:lang w:eastAsia="en-GB"/>
    </w:rPr>
  </w:style>
  <w:style w:type="paragraph" w:customStyle="1" w:styleId="General3">
    <w:name w:val="General 3"/>
    <w:basedOn w:val="Normal"/>
    <w:rsid w:val="00A137FA"/>
    <w:pPr>
      <w:numPr>
        <w:ilvl w:val="2"/>
        <w:numId w:val="2"/>
      </w:numPr>
      <w:spacing w:after="240" w:line="240" w:lineRule="auto"/>
      <w:jc w:val="both"/>
    </w:pPr>
    <w:rPr>
      <w:rFonts w:ascii="Arial" w:eastAsia="Times New Roman" w:hAnsi="Arial" w:cs="Times New Roman"/>
      <w:szCs w:val="20"/>
      <w:lang w:eastAsia="en-GB"/>
    </w:rPr>
  </w:style>
  <w:style w:type="paragraph" w:customStyle="1" w:styleId="General4">
    <w:name w:val="General 4"/>
    <w:basedOn w:val="Normal"/>
    <w:rsid w:val="00A137FA"/>
    <w:pPr>
      <w:numPr>
        <w:ilvl w:val="3"/>
        <w:numId w:val="2"/>
      </w:numPr>
      <w:spacing w:after="240" w:line="240" w:lineRule="auto"/>
      <w:jc w:val="both"/>
    </w:pPr>
    <w:rPr>
      <w:rFonts w:ascii="Arial" w:eastAsia="Times New Roman" w:hAnsi="Arial" w:cs="Times New Roman"/>
      <w:szCs w:val="20"/>
      <w:lang w:eastAsia="en-GB"/>
    </w:rPr>
  </w:style>
  <w:style w:type="paragraph" w:customStyle="1" w:styleId="General5">
    <w:name w:val="General 5"/>
    <w:basedOn w:val="Normal"/>
    <w:rsid w:val="00A137FA"/>
    <w:pPr>
      <w:numPr>
        <w:ilvl w:val="4"/>
        <w:numId w:val="2"/>
      </w:numPr>
      <w:tabs>
        <w:tab w:val="left" w:pos="2835"/>
      </w:tabs>
      <w:spacing w:after="240" w:line="240" w:lineRule="auto"/>
      <w:jc w:val="both"/>
    </w:pPr>
    <w:rPr>
      <w:rFonts w:ascii="Arial" w:eastAsia="Times New Roman" w:hAnsi="Arial" w:cs="Times New Roman"/>
      <w:szCs w:val="20"/>
      <w:lang w:eastAsia="en-GB"/>
    </w:rPr>
  </w:style>
  <w:style w:type="paragraph" w:customStyle="1" w:styleId="GeneralInd2">
    <w:name w:val="General Ind 2"/>
    <w:basedOn w:val="Normal"/>
    <w:rsid w:val="00A137FA"/>
    <w:pPr>
      <w:numPr>
        <w:ilvl w:val="5"/>
        <w:numId w:val="2"/>
      </w:numPr>
      <w:spacing w:after="240" w:line="240" w:lineRule="auto"/>
      <w:jc w:val="both"/>
    </w:pPr>
    <w:rPr>
      <w:rFonts w:ascii="Arial" w:eastAsia="Times New Roman" w:hAnsi="Arial" w:cs="Times New Roman"/>
      <w:szCs w:val="20"/>
      <w:lang w:eastAsia="en-GB"/>
    </w:rPr>
  </w:style>
  <w:style w:type="paragraph" w:customStyle="1" w:styleId="GeneralInd3">
    <w:name w:val="General Ind 3"/>
    <w:basedOn w:val="Normal"/>
    <w:rsid w:val="00A137FA"/>
    <w:pPr>
      <w:numPr>
        <w:ilvl w:val="6"/>
        <w:numId w:val="2"/>
      </w:numPr>
      <w:spacing w:after="240" w:line="240" w:lineRule="auto"/>
      <w:jc w:val="both"/>
    </w:pPr>
    <w:rPr>
      <w:rFonts w:ascii="Arial" w:eastAsia="Times New Roman" w:hAnsi="Arial" w:cs="Times New Roman"/>
      <w:szCs w:val="20"/>
      <w:lang w:eastAsia="en-GB"/>
    </w:rPr>
  </w:style>
  <w:style w:type="paragraph" w:customStyle="1" w:styleId="GeneralInd4">
    <w:name w:val="General Ind 4"/>
    <w:basedOn w:val="Normal"/>
    <w:rsid w:val="00A137FA"/>
    <w:pPr>
      <w:numPr>
        <w:ilvl w:val="7"/>
        <w:numId w:val="2"/>
      </w:numPr>
      <w:spacing w:after="240" w:line="240" w:lineRule="auto"/>
      <w:jc w:val="both"/>
    </w:pPr>
    <w:rPr>
      <w:rFonts w:ascii="Arial" w:eastAsia="Times New Roman" w:hAnsi="Arial" w:cs="Times New Roman"/>
      <w:szCs w:val="20"/>
      <w:lang w:eastAsia="en-GB"/>
    </w:rPr>
  </w:style>
  <w:style w:type="paragraph" w:customStyle="1" w:styleId="GeneralInd5">
    <w:name w:val="General Ind 5"/>
    <w:basedOn w:val="Normal"/>
    <w:rsid w:val="00A137FA"/>
    <w:pPr>
      <w:numPr>
        <w:ilvl w:val="8"/>
        <w:numId w:val="2"/>
      </w:numPr>
      <w:tabs>
        <w:tab w:val="left" w:pos="3686"/>
      </w:tabs>
      <w:spacing w:after="240" w:line="240" w:lineRule="auto"/>
      <w:jc w:val="both"/>
    </w:pPr>
    <w:rPr>
      <w:rFonts w:ascii="Arial" w:eastAsia="Times New Roman" w:hAnsi="Arial" w:cs="Times New Roman"/>
      <w:szCs w:val="20"/>
      <w:lang w:eastAsia="en-GB"/>
    </w:rPr>
  </w:style>
  <w:style w:type="character" w:styleId="CommentReference">
    <w:name w:val="annotation reference"/>
    <w:basedOn w:val="DefaultParagraphFont"/>
    <w:uiPriority w:val="99"/>
    <w:semiHidden/>
    <w:unhideWhenUsed/>
    <w:rsid w:val="006C2AB7"/>
    <w:rPr>
      <w:sz w:val="16"/>
      <w:szCs w:val="16"/>
    </w:rPr>
  </w:style>
  <w:style w:type="paragraph" w:styleId="CommentText">
    <w:name w:val="annotation text"/>
    <w:basedOn w:val="Normal"/>
    <w:link w:val="CommentTextChar"/>
    <w:uiPriority w:val="99"/>
    <w:semiHidden/>
    <w:unhideWhenUsed/>
    <w:rsid w:val="006C2AB7"/>
    <w:pPr>
      <w:spacing w:line="240" w:lineRule="auto"/>
    </w:pPr>
    <w:rPr>
      <w:sz w:val="20"/>
      <w:szCs w:val="20"/>
    </w:rPr>
  </w:style>
  <w:style w:type="character" w:customStyle="1" w:styleId="CommentTextChar">
    <w:name w:val="Comment Text Char"/>
    <w:basedOn w:val="DefaultParagraphFont"/>
    <w:link w:val="CommentText"/>
    <w:uiPriority w:val="99"/>
    <w:semiHidden/>
    <w:rsid w:val="006C2AB7"/>
    <w:rPr>
      <w:sz w:val="20"/>
      <w:szCs w:val="20"/>
    </w:rPr>
  </w:style>
  <w:style w:type="paragraph" w:styleId="CommentSubject">
    <w:name w:val="annotation subject"/>
    <w:basedOn w:val="CommentText"/>
    <w:next w:val="CommentText"/>
    <w:link w:val="CommentSubjectChar"/>
    <w:uiPriority w:val="99"/>
    <w:semiHidden/>
    <w:unhideWhenUsed/>
    <w:rsid w:val="006C2AB7"/>
    <w:rPr>
      <w:b/>
      <w:bCs/>
    </w:rPr>
  </w:style>
  <w:style w:type="character" w:customStyle="1" w:styleId="CommentSubjectChar">
    <w:name w:val="Comment Subject Char"/>
    <w:basedOn w:val="CommentTextChar"/>
    <w:link w:val="CommentSubject"/>
    <w:uiPriority w:val="99"/>
    <w:semiHidden/>
    <w:rsid w:val="006C2AB7"/>
    <w:rPr>
      <w:b/>
      <w:bCs/>
      <w:sz w:val="20"/>
      <w:szCs w:val="20"/>
    </w:rPr>
  </w:style>
  <w:style w:type="paragraph" w:customStyle="1" w:styleId="NumberedNormal">
    <w:name w:val="Numbered Normal"/>
    <w:basedOn w:val="ListParagraph"/>
    <w:uiPriority w:val="1"/>
    <w:qFormat/>
    <w:rsid w:val="0055723C"/>
    <w:pPr>
      <w:numPr>
        <w:numId w:val="5"/>
      </w:numPr>
      <w:spacing w:after="240" w:line="240" w:lineRule="auto"/>
      <w:contextualSpacing w:val="0"/>
    </w:pPr>
    <w:rPr>
      <w:rFonts w:eastAsia="Times New Roman" w:cstheme="minorHAnsi"/>
      <w:sz w:val="24"/>
      <w:szCs w:val="24"/>
      <w:lang w:eastAsia="en-GB"/>
    </w:rPr>
  </w:style>
  <w:style w:type="paragraph" w:styleId="FootnoteText">
    <w:name w:val="footnote text"/>
    <w:aliases w:val=" Char Char Char,Char,Char Char Char"/>
    <w:basedOn w:val="Normal"/>
    <w:link w:val="FootnoteTextChar"/>
    <w:uiPriority w:val="99"/>
    <w:unhideWhenUsed/>
    <w:rsid w:val="007F430B"/>
    <w:pPr>
      <w:spacing w:after="0" w:line="240" w:lineRule="auto"/>
    </w:pPr>
    <w:rPr>
      <w:rFonts w:eastAsia="Times New Roman" w:cstheme="minorHAnsi"/>
      <w:sz w:val="20"/>
      <w:szCs w:val="20"/>
      <w:lang w:eastAsia="en-GB"/>
    </w:rPr>
  </w:style>
  <w:style w:type="character" w:customStyle="1" w:styleId="FootnoteTextChar">
    <w:name w:val="Footnote Text Char"/>
    <w:aliases w:val=" Char Char Char Char,Char Char,Char Char Char Char"/>
    <w:basedOn w:val="DefaultParagraphFont"/>
    <w:link w:val="FootnoteText"/>
    <w:uiPriority w:val="99"/>
    <w:rsid w:val="007F430B"/>
    <w:rPr>
      <w:rFonts w:eastAsia="Times New Roman" w:cstheme="minorHAnsi"/>
      <w:sz w:val="20"/>
      <w:szCs w:val="20"/>
      <w:lang w:eastAsia="en-GB"/>
    </w:rPr>
  </w:style>
  <w:style w:type="character" w:styleId="FootnoteReference">
    <w:name w:val="footnote reference"/>
    <w:aliases w:val="SUPERS,Footnote symbol,Footnote reference number,Times 10 Point,Exposant 3 Point,Ref,de nota al pie,note TESI,EN Footnote Reference,stylish"/>
    <w:basedOn w:val="DefaultParagraphFont"/>
    <w:uiPriority w:val="99"/>
    <w:unhideWhenUsed/>
    <w:rsid w:val="007F430B"/>
    <w:rPr>
      <w:vertAlign w:val="superscript"/>
    </w:rPr>
  </w:style>
  <w:style w:type="character" w:styleId="Hyperlink">
    <w:name w:val="Hyperlink"/>
    <w:basedOn w:val="DefaultParagraphFont"/>
    <w:uiPriority w:val="99"/>
    <w:unhideWhenUsed/>
    <w:rsid w:val="007F43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52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Programme and Project Management" ma:contentTypeID="0x010100CFE476C955408F45BA24E7B6C388C2BF0A00417B3068689D8447BFED85C14CDDED07" ma:contentTypeVersion="19" ma:contentTypeDescription="For programme or project documents. Records retained for 10 years." ma:contentTypeScope="" ma:versionID="0b34886cdc8916e5a267a4a6addd0cf2">
  <xsd:schema xmlns:xsd="http://www.w3.org/2001/XMLSchema" xmlns:xs="http://www.w3.org/2001/XMLSchema" xmlns:p="http://schemas.microsoft.com/office/2006/metadata/properties" xmlns:ns1="http://schemas.microsoft.com/sharepoint/v3" xmlns:ns2="ace8ffd0-feb9-48b1-81ce-f6c65c51f051" xmlns:ns3="http://schemas.microsoft.com/sharepoint/v3/fields" xmlns:ns4="9e57245d-c556-4221-b4d1-92e72f99238c" targetNamespace="http://schemas.microsoft.com/office/2006/metadata/properties" ma:root="true" ma:fieldsID="570b5e38cff3e6272527f8c1bcc886a8" ns1:_="" ns2:_="" ns3:_="" ns4:_="">
    <xsd:import namespace="http://schemas.microsoft.com/sharepoint/v3"/>
    <xsd:import namespace="ace8ffd0-feb9-48b1-81ce-f6c65c51f051"/>
    <xsd:import namespace="http://schemas.microsoft.com/sharepoint/v3/fields"/>
    <xsd:import namespace="9e57245d-c556-4221-b4d1-92e72f99238c"/>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2:TaxCatchAll" minOccurs="0"/>
                <xsd:element ref="ns2:TaxCatchAllLabel" minOccurs="0"/>
                <xsd:element ref="ns1:_vti_ItemDeclaredRecord" minOccurs="0"/>
                <xsd:element ref="ns2:gedb51506b6d498799e08446ffbc09f0" minOccurs="0"/>
                <xsd:element ref="ns2:p7e55034306b45b5a27afee9b58bae4f" minOccurs="0"/>
                <xsd:element ref="ns2:f467489c0b4644e2b95a0b94d5ae95b5" minOccurs="0"/>
                <xsd:element ref="ns2:g5d2d71714e541da89ec852092c2a9ad" minOccurs="0"/>
                <xsd:element ref="ns2:baede809254040a48bfb5d23df3b8c1a"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p5052e757f0a4472a1f4ea80f6a8dea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Comments" ma:internalName="Comments" ma:readOnly="false">
      <xsd:simpleType>
        <xsd:restriction base="dms:Note">
          <xsd:maxLength value="255"/>
        </xsd:restriction>
      </xsd:simpleType>
    </xsd:element>
    <xsd:element name="_vti_ItemDeclaredRecord" ma:index="20" nillable="true" ma:displayName="Declared Record" ma:hidden="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ce8ffd0-feb9-48b1-81ce-f6c65c51f05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list="{61522307-223f-4542-84ef-dd51d85b2738}" ma:internalName="TaxCatchAll" ma:readOnly="false" ma:showField="CatchAllData" ma:web="ace8ffd0-feb9-48b1-81ce-f6c65c51f051">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list="{61522307-223f-4542-84ef-dd51d85b2738}" ma:internalName="TaxCatchAllLabel" ma:readOnly="false" ma:showField="CatchAllDataLabel" ma:web="ace8ffd0-feb9-48b1-81ce-f6c65c51f051">
      <xsd:complexType>
        <xsd:complexContent>
          <xsd:extension base="dms:MultiChoiceLookup">
            <xsd:sequence>
              <xsd:element name="Value" type="dms:Lookup" maxOccurs="unbounded" minOccurs="0" nillable="true"/>
            </xsd:sequence>
          </xsd:extension>
        </xsd:complexContent>
      </xsd:complexType>
    </xsd:element>
    <xsd:element name="gedb51506b6d498799e08446ffbc09f0" ma:index="24" nillable="true" ma:taxonomy="true" ma:internalName="gedb51506b6d498799e08446ffbc09f0" ma:taxonomyFieldName="IWPFunction" ma:displayName="Function" ma:readOnly="false" ma:fieldId="{0edb5150-6b6d-4987-99e0-8446ffbc09f0}"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p7e55034306b45b5a27afee9b58bae4f" ma:index="25" ma:taxonomy="true" ma:internalName="p7e55034306b45b5a27afee9b58bae4f" ma:taxonomyFieldName="IWPOwner" ma:displayName="Owner" ma:readOnly="false" ma:default="4;#DfE|a484111e-5b24-4ad9-9778-c536c8c88985" ma:fieldId="{97e55034-306b-45b5-a27a-fee9b58bae4f}"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f467489c0b4644e2b95a0b94d5ae95b5" ma:index="26" ma:taxonomy="true" ma:internalName="f467489c0b4644e2b95a0b94d5ae95b5" ma:taxonomyFieldName="IWPRightsProtectiveMarking" ma:displayName="Rights: Protective Marking" ma:readOnly="false" ma:default="1;#Official|0884c477-2e62-47ea-b19c-5af6e91124c5" ma:fieldId="{f467489c-0b46-44e2-b95a-0b94d5ae95b5}"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5d2d71714e541da89ec852092c2a9ad" ma:index="27" nillable="true" ma:taxonomy="true" ma:internalName="g5d2d71714e541da89ec852092c2a9ad" ma:taxonomyFieldName="IWPSiteType" ma:displayName="Site Type" ma:readOnly="false" ma:fieldId="{05d2d717-14e5-41da-89ec-852092c2a9a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baede809254040a48bfb5d23df3b8c1a" ma:index="28" ma:taxonomy="true" ma:internalName="baede809254040a48bfb5d23df3b8c1a" ma:taxonomyFieldName="IWPOrganisationalUnit" ma:displayName="Organisational Unit" ma:readOnly="false" ma:default="6;#Education Standards Directorate|0bb1b330-0f80-45f3-9dcd-af0b6ab04a85" ma:fieldId="{baede809-2540-40a4-8bfb-5d23df3b8c1a}"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IWPContributor" ma:index="12"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57245d-c556-4221-b4d1-92e72f99238c"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MediaServiceAutoTags" ma:internalName="MediaServiceAutoTags" ma:readOnly="true">
      <xsd:simpleType>
        <xsd:restriction base="dms:Text"/>
      </xsd:simpleType>
    </xsd:element>
    <xsd:element name="MediaServiceLocation" ma:index="33" nillable="true" ma:displayName="MediaServiceLocation" ma:internalName="MediaServiceLocation" ma:readOnly="true">
      <xsd:simpleType>
        <xsd:restriction base="dms:Text"/>
      </xsd:simpleType>
    </xsd:element>
    <xsd:element name="MediaServiceOCR" ma:index="34" nillable="true" ma:displayName="MediaServiceOCR" ma:internalName="MediaServiceOCR" ma:readOnly="true">
      <xsd:simpleType>
        <xsd:restriction base="dms:Note">
          <xsd:maxLength value="255"/>
        </xsd:restriction>
      </xsd:simpleType>
    </xsd:element>
    <xsd:element name="p5052e757f0a4472a1f4ea80f6a8dea3" ma:index="35" nillable="true" ma:displayName="Subject_0" ma:hidden="true" ma:internalName="p5052e757f0a4472a1f4ea80f6a8dea3">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gedb51506b6d498799e08446ffbc09f0 xmlns="ace8ffd0-feb9-48b1-81ce-f6c65c51f051">
      <Terms xmlns="http://schemas.microsoft.com/office/infopath/2007/PartnerControls"/>
    </gedb51506b6d498799e08446ffbc09f0>
    <p7e55034306b45b5a27afee9b58bae4f xmlns="ace8ffd0-feb9-48b1-81ce-f6c65c51f051">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p7e55034306b45b5a27afee9b58bae4f>
    <TaxCatchAll xmlns="ace8ffd0-feb9-48b1-81ce-f6c65c51f051">
      <Value>6</Value>
      <Value>4</Value>
      <Value>1</Value>
    </TaxCatchAll>
    <g5d2d71714e541da89ec852092c2a9ad xmlns="ace8ffd0-feb9-48b1-81ce-f6c65c51f051">
      <Terms xmlns="http://schemas.microsoft.com/office/infopath/2007/PartnerControls"/>
    </g5d2d71714e541da89ec852092c2a9ad>
    <IWPContributor xmlns="http://schemas.microsoft.com/sharepoint/v3/fields">
      <UserInfo>
        <DisplayName/>
        <AccountId xsi:nil="true"/>
        <AccountType/>
      </UserInfo>
    </IWPContributor>
    <baede809254040a48bfb5d23df3b8c1a xmlns="ace8ffd0-feb9-48b1-81ce-f6c65c51f051">
      <Terms xmlns="http://schemas.microsoft.com/office/infopath/2007/PartnerControls">
        <TermInfo xmlns="http://schemas.microsoft.com/office/infopath/2007/PartnerControls">
          <TermName xmlns="http://schemas.microsoft.com/office/infopath/2007/PartnerControls">Education Standards Directorate</TermName>
          <TermId xmlns="http://schemas.microsoft.com/office/infopath/2007/PartnerControls">0bb1b330-0f80-45f3-9dcd-af0b6ab04a85</TermId>
        </TermInfo>
      </Terms>
    </baede809254040a48bfb5d23df3b8c1a>
    <TaxCatchAllLabel xmlns="ace8ffd0-feb9-48b1-81ce-f6c65c51f051"/>
    <_vti_ItemDeclaredRecord xmlns="http://schemas.microsoft.com/sharepoint/v3" xsi:nil="true"/>
    <f467489c0b4644e2b95a0b94d5ae95b5 xmlns="ace8ffd0-feb9-48b1-81ce-f6c65c51f05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f467489c0b4644e2b95a0b94d5ae95b5>
    <Comments xmlns="http://schemas.microsoft.com/sharepoint/v3" xsi:nil="true"/>
    <_dlc_DocId xmlns="ace8ffd0-feb9-48b1-81ce-f6c65c51f051">AQNW2QK3NUJQ-879543173-33316</_dlc_DocId>
    <_dlc_DocIdUrl xmlns="ace8ffd0-feb9-48b1-81ce-f6c65c51f051">
      <Url>https://educationgovuk.sharepoint.com/sites/sldd/_layouts/15/DocIdRedir.aspx?ID=AQNW2QK3NUJQ-879543173-33316</Url>
      <Description>AQNW2QK3NUJQ-879543173-33316</Description>
    </_dlc_DocIdUrl>
    <p5052e757f0a4472a1f4ea80f6a8dea3 xmlns="9e57245d-c556-4221-b4d1-92e72f99238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81738C-D3DA-48A6-8CA5-70318FC47B63}">
  <ds:schemaRefs>
    <ds:schemaRef ds:uri="http://schemas.microsoft.com/sharepoint/events"/>
  </ds:schemaRefs>
</ds:datastoreItem>
</file>

<file path=customXml/itemProps2.xml><?xml version="1.0" encoding="utf-8"?>
<ds:datastoreItem xmlns:ds="http://schemas.openxmlformats.org/officeDocument/2006/customXml" ds:itemID="{AB58B19D-CEA9-4025-8F2C-036D727A8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e8ffd0-feb9-48b1-81ce-f6c65c51f051"/>
    <ds:schemaRef ds:uri="http://schemas.microsoft.com/sharepoint/v3/fields"/>
    <ds:schemaRef ds:uri="9e57245d-c556-4221-b4d1-92e72f9923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5489A7-C124-4B5F-AE2C-4B7EB6582C8A}">
  <ds:schemaRefs>
    <ds:schemaRef ds:uri="http://schemas.microsoft.com/office/2006/metadata/properties"/>
    <ds:schemaRef ds:uri="http://schemas.microsoft.com/office/infopath/2007/PartnerControls"/>
    <ds:schemaRef ds:uri="ace8ffd0-feb9-48b1-81ce-f6c65c51f051"/>
    <ds:schemaRef ds:uri="http://schemas.microsoft.com/sharepoint/v3/fields"/>
    <ds:schemaRef ds:uri="http://schemas.microsoft.com/sharepoint/v3"/>
    <ds:schemaRef ds:uri="9e57245d-c556-4221-b4d1-92e72f99238c"/>
  </ds:schemaRefs>
</ds:datastoreItem>
</file>

<file path=customXml/itemProps4.xml><?xml version="1.0" encoding="utf-8"?>
<ds:datastoreItem xmlns:ds="http://schemas.openxmlformats.org/officeDocument/2006/customXml" ds:itemID="{3AE6F0D2-B6F4-44F1-B70C-EE9D31B51B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915</Words>
  <Characters>5219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RMT Draft Change Control Notice 002</vt:lpstr>
    </vt:vector>
  </TitlesOfParts>
  <Company>Institute of Physics</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RMT Draft Change Control Notice 002</dc:title>
  <dc:creator>Claire Aspinall</dc:creator>
  <cp:lastModifiedBy>DURRANS, Barry</cp:lastModifiedBy>
  <cp:revision>2</cp:revision>
  <dcterms:created xsi:type="dcterms:W3CDTF">2018-09-14T13:16:00Z</dcterms:created>
  <dcterms:modified xsi:type="dcterms:W3CDTF">2018-09-14T13:16:00Z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0x010100CFE476C955408F45BA24E7B6C388C2BF0A00417B3068689D8447BFED85C14CDDED07</vt:lpwstr>
  </property>
  <property fmtid="{D5CDD505-2E9C-101B-9397-08002B2CF9AE}" pid="3" name="_dlc_DocIdItemGuid">
    <vt:lpwstr>b92463c4-6f39-4699-b355-6ac6f80a3e3f</vt:lpwstr>
  </property>
  <property fmtid="{D5CDD505-2E9C-101B-9397-08002B2CF9AE}" pid="4" name="IWPOrganisationalUnit">
    <vt:lpwstr>6;#Education Standards Directorate|0bb1b330-0f80-45f3-9dcd-af0b6ab04a85</vt:lpwstr>
  </property>
  <property fmtid="{D5CDD505-2E9C-101B-9397-08002B2CF9AE}" pid="5" name="IWPOwner">
    <vt:lpwstr>4;#DfE|a484111e-5b24-4ad9-9778-c536c8c88985</vt:lpwstr>
  </property>
  <property fmtid="{D5CDD505-2E9C-101B-9397-08002B2CF9AE}" pid="6" name="IWPFunction">
    <vt:lpwstr/>
  </property>
  <property fmtid="{D5CDD505-2E9C-101B-9397-08002B2CF9AE}" pid="7" name="IWPSiteType">
    <vt:lpwstr/>
  </property>
  <property fmtid="{D5CDD505-2E9C-101B-9397-08002B2CF9AE}" pid="8" name="IWPRightsProtectiveMarking">
    <vt:lpwstr>1;#Official|0884c477-2e62-47ea-b19c-5af6e91124c5</vt:lpwstr>
  </property>
  <property fmtid="{D5CDD505-2E9C-101B-9397-08002B2CF9AE}" pid="9" name="IWPSubject">
    <vt:lpwstr/>
  </property>
</Properties>
</file>