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04F0" w14:textId="77777777" w:rsidR="00DC05FC" w:rsidRDefault="00DC05FC" w:rsidP="007E4A31">
      <w:pPr>
        <w:pStyle w:val="Title"/>
        <w:rPr>
          <w:color w:val="7F7F7F" w:themeColor="text1" w:themeTint="80"/>
        </w:rPr>
      </w:pPr>
    </w:p>
    <w:p w14:paraId="63AECB68" w14:textId="2A1F63A1" w:rsidR="00480057" w:rsidRPr="005D62BB" w:rsidRDefault="00797E3B" w:rsidP="007E4A31">
      <w:pPr>
        <w:pStyle w:val="Title"/>
        <w:rPr>
          <w:color w:val="7F7F7F" w:themeColor="text1" w:themeTint="80"/>
        </w:rPr>
      </w:pPr>
      <w:r w:rsidRPr="005D62BB">
        <w:rPr>
          <w:color w:val="7F7F7F" w:themeColor="text1" w:themeTint="80"/>
        </w:rPr>
        <w:t xml:space="preserve">Request for </w:t>
      </w:r>
      <w:r w:rsidR="005A3850">
        <w:rPr>
          <w:color w:val="7F7F7F" w:themeColor="text1" w:themeTint="80"/>
        </w:rPr>
        <w:t>Tender</w:t>
      </w:r>
      <w:r w:rsidRPr="005D62BB">
        <w:rPr>
          <w:color w:val="7F7F7F" w:themeColor="text1" w:themeTint="80"/>
        </w:rPr>
        <w:t xml:space="preserve"> for</w:t>
      </w:r>
      <w:r w:rsidR="008E27FA" w:rsidRPr="005D62BB">
        <w:rPr>
          <w:color w:val="7F7F7F" w:themeColor="text1" w:themeTint="80"/>
        </w:rPr>
        <w:t>:</w:t>
      </w:r>
      <w:r w:rsidRPr="005D62BB">
        <w:rPr>
          <w:color w:val="7F7F7F" w:themeColor="text1" w:themeTint="80"/>
        </w:rPr>
        <w:t xml:space="preserve"> </w:t>
      </w:r>
    </w:p>
    <w:p w14:paraId="0C471FAD" w14:textId="5A24E1A1" w:rsidR="002F4A7A" w:rsidRPr="007E3548" w:rsidRDefault="00480057" w:rsidP="0019168F">
      <w:pPr>
        <w:pStyle w:val="Title"/>
      </w:pPr>
      <w:r w:rsidRPr="007E3548">
        <w:t>T</w:t>
      </w:r>
      <w:r w:rsidR="00797E3B" w:rsidRPr="007E3548">
        <w:t xml:space="preserve">he management </w:t>
      </w:r>
      <w:r w:rsidR="00F1385E">
        <w:t xml:space="preserve">and letting </w:t>
      </w:r>
      <w:r w:rsidR="00797E3B" w:rsidRPr="007E3548">
        <w:t>of</w:t>
      </w:r>
      <w:r w:rsidR="0067061E">
        <w:t xml:space="preserve"> </w:t>
      </w:r>
      <w:r w:rsidR="00B8528B">
        <w:t xml:space="preserve">residential apartments at </w:t>
      </w:r>
      <w:proofErr w:type="spellStart"/>
      <w:r w:rsidR="00B8528B">
        <w:t>Edenbrook</w:t>
      </w:r>
      <w:proofErr w:type="spellEnd"/>
      <w:r w:rsidR="00B8528B">
        <w:t>, Fleet, H</w:t>
      </w:r>
      <w:r w:rsidR="0067061E">
        <w:t>ampshire</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008E27FA">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75BCDF63" w:rsidR="0019168F" w:rsidRPr="007E3548" w:rsidRDefault="00FC0EBD" w:rsidP="00CC28DF">
            <w:r>
              <w:t>21 January 2021</w:t>
            </w:r>
          </w:p>
        </w:tc>
      </w:tr>
      <w:tr w:rsidR="0019168F" w14:paraId="7AACCC93" w14:textId="77777777" w:rsidTr="008E27FA">
        <w:trPr>
          <w:trHeight w:val="397"/>
        </w:trPr>
        <w:tc>
          <w:tcPr>
            <w:tcW w:w="3823" w:type="dxa"/>
            <w:vAlign w:val="center"/>
          </w:tcPr>
          <w:p w14:paraId="0C1B1785" w14:textId="0F462849" w:rsidR="0019168F" w:rsidRDefault="007E3548" w:rsidP="008E27FA">
            <w:r>
              <w:rPr>
                <w:rFonts w:ascii="Gill Sans MT" w:hAnsi="Gill Sans MT" w:cs="Arial"/>
                <w:szCs w:val="24"/>
              </w:rPr>
              <w:t xml:space="preserve">Last date for </w:t>
            </w:r>
            <w:r w:rsidR="00FA4AC0">
              <w:rPr>
                <w:rFonts w:ascii="Gill Sans MT" w:hAnsi="Gill Sans MT" w:cs="Arial"/>
                <w:szCs w:val="24"/>
              </w:rPr>
              <w:t>cla</w:t>
            </w:r>
            <w:r w:rsidR="00FA4AC0" w:rsidRPr="00480057">
              <w:rPr>
                <w:rFonts w:ascii="Gill Sans MT" w:hAnsi="Gill Sans MT" w:cs="Arial"/>
                <w:szCs w:val="24"/>
              </w:rPr>
              <w:t>rifications</w:t>
            </w:r>
          </w:p>
        </w:tc>
        <w:tc>
          <w:tcPr>
            <w:tcW w:w="5351" w:type="dxa"/>
            <w:vAlign w:val="center"/>
          </w:tcPr>
          <w:p w14:paraId="06620D81" w14:textId="42CA11A2" w:rsidR="0019168F" w:rsidRPr="007E3548" w:rsidRDefault="00FC0EBD" w:rsidP="008E27FA">
            <w:r>
              <w:t>17 February 2021</w:t>
            </w:r>
          </w:p>
        </w:tc>
      </w:tr>
      <w:tr w:rsidR="0019168F" w14:paraId="1004F8B8" w14:textId="77777777" w:rsidTr="008E27FA">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629A95F7" w:rsidR="0019168F" w:rsidRPr="00B8528B" w:rsidRDefault="00FC0EBD" w:rsidP="005D62BB">
            <w:pPr>
              <w:rPr>
                <w:bCs/>
              </w:rPr>
            </w:pPr>
            <w:r>
              <w:rPr>
                <w:rFonts w:ascii="Gill Sans MT" w:hAnsi="Gill Sans MT" w:cs="Arial"/>
                <w:bCs/>
                <w:szCs w:val="24"/>
              </w:rPr>
              <w:t>12pm 25 February 2021</w:t>
            </w:r>
          </w:p>
        </w:tc>
      </w:tr>
      <w:tr w:rsidR="0019168F" w14:paraId="682430E8" w14:textId="77777777" w:rsidTr="008E27FA">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008E27FA">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8A6871"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008E27FA">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3B66CE59" w:rsidR="0019168F" w:rsidRDefault="00AF2AB9" w:rsidP="008E27FA">
            <w:r w:rsidRPr="00AF2AB9">
              <w:rPr>
                <w:rFonts w:ascii="Gill Sans MT" w:hAnsi="Gill Sans MT" w:cs="Arial"/>
                <w:szCs w:val="24"/>
              </w:rPr>
              <w:t>HDC20210</w:t>
            </w:r>
            <w:r w:rsidR="00EF5660">
              <w:rPr>
                <w:rFonts w:ascii="Gill Sans MT" w:hAnsi="Gill Sans MT" w:cs="Arial"/>
                <w:szCs w:val="24"/>
              </w:rPr>
              <w:t>3</w:t>
            </w:r>
            <w:r w:rsidRPr="00AF2AB9">
              <w:rPr>
                <w:rFonts w:ascii="Gill Sans MT" w:hAnsi="Gill Sans MT" w:cs="Arial"/>
                <w:szCs w:val="24"/>
              </w:rPr>
              <w:t xml:space="preserve"> </w:t>
            </w:r>
            <w:r w:rsidR="008E27FA" w:rsidRPr="00480057">
              <w:rPr>
                <w:rFonts w:ascii="Gill Sans MT" w:hAnsi="Gill Sans MT" w:cs="Arial"/>
                <w:szCs w:val="24"/>
              </w:rPr>
              <w:t xml:space="preserve">Quotation for </w:t>
            </w:r>
            <w:r w:rsidR="00B8528B">
              <w:rPr>
                <w:rFonts w:ascii="Gill Sans MT" w:hAnsi="Gill Sans MT" w:cs="Arial"/>
                <w:szCs w:val="24"/>
              </w:rPr>
              <w:t xml:space="preserve">Management </w:t>
            </w:r>
            <w:r w:rsidR="00F1385E">
              <w:rPr>
                <w:rFonts w:ascii="Gill Sans MT" w:hAnsi="Gill Sans MT" w:cs="Arial"/>
                <w:szCs w:val="24"/>
              </w:rPr>
              <w:t xml:space="preserve">Letting </w:t>
            </w:r>
            <w:r w:rsidR="00B8528B">
              <w:rPr>
                <w:rFonts w:ascii="Gill Sans MT" w:hAnsi="Gill Sans MT" w:cs="Arial"/>
                <w:szCs w:val="24"/>
              </w:rPr>
              <w:t xml:space="preserve">of </w:t>
            </w:r>
            <w:proofErr w:type="spellStart"/>
            <w:r w:rsidR="00B8528B">
              <w:rPr>
                <w:rFonts w:ascii="Gill Sans MT" w:hAnsi="Gill Sans MT" w:cs="Arial"/>
                <w:szCs w:val="24"/>
              </w:rPr>
              <w:t>Edenbrook</w:t>
            </w:r>
            <w:proofErr w:type="spellEnd"/>
          </w:p>
        </w:tc>
      </w:tr>
      <w:tr w:rsidR="0019168F" w14:paraId="38AFAEFF" w14:textId="77777777" w:rsidTr="008E27FA">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312D7A0A" w14:textId="109E132E" w:rsidR="0019168F" w:rsidRDefault="00B8528B" w:rsidP="00B8528B">
            <w:pPr>
              <w:widowControl w:val="0"/>
              <w:spacing w:line="276" w:lineRule="auto"/>
              <w:ind w:left="3600" w:hanging="3600"/>
            </w:pPr>
            <w:r>
              <w:rPr>
                <w:rStyle w:val="Hyperlink"/>
                <w:rFonts w:ascii="Gill Sans MT" w:hAnsi="Gill Sans MT" w:cs="Arial"/>
                <w:color w:val="auto"/>
                <w:szCs w:val="24"/>
                <w:u w:val="none"/>
              </w:rPr>
              <w:t>glyn.lloyd</w:t>
            </w:r>
            <w:r w:rsidR="007E3548" w:rsidRPr="007E3548">
              <w:rPr>
                <w:rStyle w:val="Hyperlink"/>
                <w:rFonts w:ascii="Gill Sans MT" w:hAnsi="Gill Sans MT" w:cs="Arial"/>
                <w:color w:val="auto"/>
                <w:szCs w:val="24"/>
                <w:u w:val="none"/>
              </w:rPr>
              <w:t>@hart.gov.uk</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7B959158" w:rsidR="008E27FA" w:rsidRDefault="00A56B22" w:rsidP="00CB7E4E">
      <w:pPr>
        <w:pStyle w:val="ListParagraph"/>
        <w:numPr>
          <w:ilvl w:val="1"/>
          <w:numId w:val="1"/>
        </w:numPr>
      </w:pPr>
      <w:r>
        <w:t>The Council</w:t>
      </w:r>
      <w:r w:rsidR="000368DD">
        <w:t>,</w:t>
      </w:r>
      <w:r>
        <w:t xml:space="preserve"> </w:t>
      </w:r>
      <w:r w:rsidR="00952B8E">
        <w:t xml:space="preserve">on behalf of </w:t>
      </w:r>
      <w:r w:rsidR="000368DD">
        <w:t xml:space="preserve">its wholly </w:t>
      </w:r>
      <w:proofErr w:type="spellStart"/>
      <w:r w:rsidR="000368DD">
        <w:t>owed</w:t>
      </w:r>
      <w:proofErr w:type="spellEnd"/>
      <w:r w:rsidR="000368DD">
        <w:t xml:space="preserve"> company being formed</w:t>
      </w:r>
      <w:r w:rsidR="00494D08">
        <w:t>,</w:t>
      </w:r>
      <w:r w:rsidR="000368DD">
        <w:t xml:space="preserve"> </w:t>
      </w:r>
      <w:r>
        <w:t>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315C94">
        <w:t xml:space="preserve">and any Schedules </w:t>
      </w:r>
      <w:r w:rsidR="0017718E" w:rsidRPr="0017718E">
        <w:t>attached.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8A6871">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8A6871">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8A6871">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8A6871">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8A6871">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8A6871">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0D04503">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30264FC8" w:rsidR="000D1848" w:rsidRPr="002B4704" w:rsidRDefault="002B4704" w:rsidP="002B4704">
            <w:r w:rsidRPr="002B4704">
              <w:rPr>
                <w:rFonts w:ascii="Gill Sans MT" w:hAnsi="Gill Sans MT" w:cs="Arial"/>
                <w:szCs w:val="24"/>
              </w:rPr>
              <w:t xml:space="preserve">1 </w:t>
            </w:r>
            <w:r w:rsidR="00FC0EBD">
              <w:rPr>
                <w:rFonts w:ascii="Gill Sans MT" w:hAnsi="Gill Sans MT" w:cs="Arial"/>
                <w:szCs w:val="24"/>
              </w:rPr>
              <w:t>April</w:t>
            </w:r>
            <w:r w:rsidRPr="002B4704">
              <w:rPr>
                <w:rFonts w:ascii="Gill Sans MT" w:hAnsi="Gill Sans MT" w:cs="Arial"/>
                <w:szCs w:val="24"/>
              </w:rPr>
              <w:t xml:space="preserve"> 202</w:t>
            </w:r>
            <w:r w:rsidR="00B8528B">
              <w:rPr>
                <w:rFonts w:ascii="Gill Sans MT" w:hAnsi="Gill Sans MT" w:cs="Arial"/>
                <w:szCs w:val="24"/>
              </w:rPr>
              <w:t>1</w:t>
            </w:r>
          </w:p>
        </w:tc>
      </w:tr>
      <w:tr w:rsidR="000D1848" w14:paraId="6106E704" w14:textId="77777777" w:rsidTr="00D04503">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1CEA0DC7" w14:textId="57944AA5" w:rsidR="004C5D8D" w:rsidRDefault="00CF03DC" w:rsidP="004C5D8D">
            <w:pPr>
              <w:pStyle w:val="ListParagraph"/>
              <w:numPr>
                <w:ilvl w:val="0"/>
                <w:numId w:val="16"/>
              </w:numPr>
              <w:spacing w:after="0"/>
              <w:ind w:left="714" w:hanging="357"/>
              <w:rPr>
                <w:rFonts w:ascii="Gill Sans MT" w:hAnsi="Gill Sans MT" w:cs="Arial"/>
                <w:szCs w:val="24"/>
              </w:rPr>
            </w:pPr>
            <w:r>
              <w:rPr>
                <w:rFonts w:ascii="Gill Sans MT" w:hAnsi="Gill Sans MT" w:cs="Arial"/>
                <w:szCs w:val="24"/>
              </w:rPr>
              <w:t xml:space="preserve">Lot 1 - </w:t>
            </w:r>
            <w:r w:rsidR="00E14F1D" w:rsidRPr="004C5D8D">
              <w:rPr>
                <w:rFonts w:ascii="Gill Sans MT" w:hAnsi="Gill Sans MT" w:cs="Arial"/>
                <w:szCs w:val="24"/>
              </w:rPr>
              <w:t xml:space="preserve">Management Contract - </w:t>
            </w:r>
            <w:r w:rsidR="002B4704" w:rsidRPr="004C5D8D">
              <w:rPr>
                <w:rFonts w:ascii="Gill Sans MT" w:hAnsi="Gill Sans MT" w:cs="Arial"/>
                <w:szCs w:val="24"/>
              </w:rPr>
              <w:t>3 Years</w:t>
            </w:r>
          </w:p>
          <w:p w14:paraId="34D81769" w14:textId="61B2102C" w:rsidR="00E14F1D" w:rsidRPr="004C5D8D" w:rsidRDefault="00CF03DC" w:rsidP="004C5D8D">
            <w:pPr>
              <w:pStyle w:val="ListParagraph"/>
              <w:numPr>
                <w:ilvl w:val="0"/>
                <w:numId w:val="16"/>
              </w:numPr>
              <w:spacing w:after="0"/>
              <w:ind w:left="714" w:hanging="357"/>
              <w:rPr>
                <w:rFonts w:ascii="Gill Sans MT" w:hAnsi="Gill Sans MT" w:cs="Arial"/>
                <w:szCs w:val="24"/>
              </w:rPr>
            </w:pPr>
            <w:r>
              <w:rPr>
                <w:rFonts w:ascii="Gill Sans MT" w:hAnsi="Gill Sans MT" w:cs="Arial"/>
                <w:szCs w:val="24"/>
              </w:rPr>
              <w:t xml:space="preserve">Lot 2 - </w:t>
            </w:r>
            <w:r w:rsidR="00E14F1D" w:rsidRPr="004C5D8D">
              <w:rPr>
                <w:rFonts w:ascii="Gill Sans MT" w:hAnsi="Gill Sans MT" w:cs="Arial"/>
                <w:szCs w:val="24"/>
              </w:rPr>
              <w:t xml:space="preserve">Letting Contract </w:t>
            </w:r>
            <w:r w:rsidR="004C5D8D" w:rsidRPr="004C5D8D">
              <w:rPr>
                <w:rFonts w:ascii="Gill Sans MT" w:hAnsi="Gill Sans MT" w:cs="Arial"/>
                <w:szCs w:val="24"/>
              </w:rPr>
              <w:t>–12 months</w:t>
            </w:r>
          </w:p>
        </w:tc>
      </w:tr>
      <w:tr w:rsidR="000D1848" w14:paraId="60A3258D" w14:textId="77777777" w:rsidTr="00D04503">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7E305685" w14:textId="3F2D5C34" w:rsidR="000D1848" w:rsidRPr="00AB7EDC" w:rsidRDefault="00CF03DC" w:rsidP="00AB7EDC">
            <w:pPr>
              <w:pStyle w:val="ListParagraph"/>
              <w:numPr>
                <w:ilvl w:val="0"/>
                <w:numId w:val="16"/>
              </w:numPr>
              <w:spacing w:after="0"/>
              <w:ind w:left="714" w:hanging="357"/>
            </w:pPr>
            <w:r>
              <w:rPr>
                <w:rFonts w:ascii="Gill Sans MT" w:hAnsi="Gill Sans MT" w:cs="Arial"/>
                <w:szCs w:val="24"/>
              </w:rPr>
              <w:t xml:space="preserve">Lot 1 - </w:t>
            </w:r>
            <w:r w:rsidR="004C5D8D" w:rsidRPr="00AB7EDC">
              <w:rPr>
                <w:rFonts w:ascii="Gill Sans MT" w:hAnsi="Gill Sans MT" w:cs="Arial"/>
                <w:szCs w:val="24"/>
              </w:rPr>
              <w:t xml:space="preserve">Management </w:t>
            </w:r>
            <w:r w:rsidR="00AB7EDC" w:rsidRPr="00AB7EDC">
              <w:rPr>
                <w:rFonts w:ascii="Gill Sans MT" w:hAnsi="Gill Sans MT" w:cs="Arial"/>
                <w:szCs w:val="24"/>
              </w:rPr>
              <w:t xml:space="preserve">Contract </w:t>
            </w:r>
            <w:r w:rsidR="00455C82" w:rsidRPr="00AB7EDC">
              <w:rPr>
                <w:rFonts w:ascii="Gill Sans MT" w:hAnsi="Gill Sans MT" w:cs="Arial"/>
                <w:szCs w:val="24"/>
              </w:rPr>
              <w:t>28 February</w:t>
            </w:r>
            <w:r w:rsidR="002B4704" w:rsidRPr="00AB7EDC">
              <w:rPr>
                <w:rFonts w:ascii="Gill Sans MT" w:hAnsi="Gill Sans MT" w:cs="Arial"/>
                <w:szCs w:val="24"/>
              </w:rPr>
              <w:t xml:space="preserve"> </w:t>
            </w:r>
            <w:r w:rsidR="000D1848" w:rsidRPr="00AB7EDC">
              <w:rPr>
                <w:rFonts w:ascii="Gill Sans MT" w:hAnsi="Gill Sans MT" w:cs="Arial"/>
                <w:szCs w:val="24"/>
              </w:rPr>
              <w:t>20</w:t>
            </w:r>
            <w:r w:rsidR="002B4704" w:rsidRPr="00AB7EDC">
              <w:rPr>
                <w:rFonts w:ascii="Gill Sans MT" w:hAnsi="Gill Sans MT" w:cs="Arial"/>
                <w:szCs w:val="24"/>
              </w:rPr>
              <w:t>2</w:t>
            </w:r>
            <w:r w:rsidR="00B8528B" w:rsidRPr="00AB7EDC">
              <w:rPr>
                <w:rFonts w:ascii="Gill Sans MT" w:hAnsi="Gill Sans MT" w:cs="Arial"/>
                <w:szCs w:val="24"/>
              </w:rPr>
              <w:t>4</w:t>
            </w:r>
          </w:p>
          <w:p w14:paraId="11A0CB47" w14:textId="5CC2FB3E" w:rsidR="00AB7EDC" w:rsidRPr="002B4704" w:rsidRDefault="00CF03DC" w:rsidP="00AB7EDC">
            <w:pPr>
              <w:pStyle w:val="ListParagraph"/>
              <w:numPr>
                <w:ilvl w:val="0"/>
                <w:numId w:val="16"/>
              </w:numPr>
              <w:spacing w:after="0"/>
              <w:ind w:left="714" w:hanging="357"/>
            </w:pPr>
            <w:r>
              <w:t xml:space="preserve">Lot 2 - </w:t>
            </w:r>
            <w:r w:rsidR="00AB7EDC">
              <w:t>Letting Contract 28 February 2022 or longer by arrangement</w:t>
            </w:r>
          </w:p>
        </w:tc>
      </w:tr>
      <w:tr w:rsidR="000D1848" w14:paraId="5A717C63" w14:textId="77777777" w:rsidTr="00D04503">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2CC66FE6" w:rsidR="000D1848" w:rsidRPr="002B4704" w:rsidRDefault="002B4704" w:rsidP="00E272E9">
            <w:r w:rsidRPr="002B4704">
              <w:rPr>
                <w:rFonts w:ascii="Gill Sans MT" w:hAnsi="Gill Sans MT" w:cs="Arial"/>
                <w:szCs w:val="24"/>
              </w:rPr>
              <w:t xml:space="preserve">Option to extend </w:t>
            </w:r>
            <w:r w:rsidR="006A4F3C">
              <w:rPr>
                <w:rFonts w:ascii="Gill Sans MT" w:hAnsi="Gill Sans MT" w:cs="Arial"/>
                <w:szCs w:val="24"/>
              </w:rPr>
              <w:t xml:space="preserve">for </w:t>
            </w:r>
            <w:r w:rsidR="00266AC1">
              <w:rPr>
                <w:rFonts w:ascii="Gill Sans MT" w:hAnsi="Gill Sans MT" w:cs="Arial"/>
                <w:szCs w:val="24"/>
              </w:rPr>
              <w:t xml:space="preserve">up to </w:t>
            </w:r>
            <w:r w:rsidRPr="002B4704">
              <w:rPr>
                <w:rFonts w:ascii="Gill Sans MT" w:hAnsi="Gill Sans MT" w:cs="Arial"/>
                <w:szCs w:val="24"/>
              </w:rPr>
              <w:t>a further 2 years</w:t>
            </w:r>
            <w:r w:rsidR="00266AC1">
              <w:rPr>
                <w:rFonts w:ascii="Gill Sans MT" w:hAnsi="Gill Sans MT" w:cs="Arial"/>
                <w:szCs w:val="24"/>
              </w:rPr>
              <w:t xml:space="preserve"> for both lots</w:t>
            </w:r>
            <w:r>
              <w:rPr>
                <w:rFonts w:ascii="Gill Sans MT" w:hAnsi="Gill Sans MT" w:cs="Arial"/>
                <w:szCs w:val="24"/>
              </w:rPr>
              <w:t>,</w:t>
            </w:r>
            <w:r w:rsidRPr="002B4704">
              <w:rPr>
                <w:rFonts w:ascii="Gill Sans MT" w:hAnsi="Gill Sans MT" w:cs="Arial"/>
                <w:szCs w:val="24"/>
              </w:rPr>
              <w:t xml:space="preserve"> by mut</w:t>
            </w:r>
            <w:r w:rsidR="006A4F3C">
              <w:rPr>
                <w:rFonts w:ascii="Gill Sans MT" w:hAnsi="Gill Sans MT" w:cs="Arial"/>
                <w:szCs w:val="24"/>
              </w:rPr>
              <w:t>u</w:t>
            </w:r>
            <w:r w:rsidRPr="002B4704">
              <w:rPr>
                <w:rFonts w:ascii="Gill Sans MT" w:hAnsi="Gill Sans MT" w:cs="Arial"/>
                <w:szCs w:val="24"/>
              </w:rPr>
              <w:t>al agreement</w:t>
            </w:r>
            <w:r w:rsidR="00B8528B">
              <w:rPr>
                <w:rFonts w:ascii="Gill Sans MT" w:hAnsi="Gill Sans MT" w:cs="Arial"/>
                <w:szCs w:val="24"/>
              </w:rPr>
              <w:t xml:space="preserve"> and subject to performance</w:t>
            </w:r>
          </w:p>
        </w:tc>
      </w:tr>
    </w:tbl>
    <w:p w14:paraId="0C0F1723" w14:textId="64851DCD" w:rsidR="000D1848" w:rsidRDefault="000D1848" w:rsidP="000D1848"/>
    <w:p w14:paraId="77D09AF6" w14:textId="77777777" w:rsidR="000D1848" w:rsidRPr="00BC090C" w:rsidRDefault="000D1848" w:rsidP="000D1848">
      <w:pPr>
        <w:pStyle w:val="ListParagraph"/>
        <w:numPr>
          <w:ilvl w:val="1"/>
          <w:numId w:val="1"/>
        </w:numPr>
        <w:rPr>
          <w:b/>
          <w:bCs/>
        </w:rPr>
      </w:pPr>
      <w:r w:rsidRPr="00BC090C">
        <w:rPr>
          <w:b/>
          <w:bCs/>
        </w:rPr>
        <w:t>Aim:</w:t>
      </w:r>
    </w:p>
    <w:p w14:paraId="18D5CB14" w14:textId="07EE8586" w:rsidR="000D1848" w:rsidRDefault="000D1848" w:rsidP="000D1848">
      <w:pPr>
        <w:pStyle w:val="ListParagraph"/>
        <w:numPr>
          <w:ilvl w:val="2"/>
          <w:numId w:val="1"/>
        </w:numPr>
      </w:pPr>
      <w:r>
        <w:t>The Council is seeking a partner</w:t>
      </w:r>
      <w:r w:rsidR="00AB7EDC">
        <w:t>(s)</w:t>
      </w:r>
      <w:r>
        <w:t xml:space="preserve"> to carry out the management</w:t>
      </w:r>
      <w:r w:rsidR="00AB7EDC">
        <w:t xml:space="preserve"> and letting</w:t>
      </w:r>
      <w:r>
        <w:t xml:space="preserve"> of </w:t>
      </w:r>
      <w:r w:rsidR="001D3057">
        <w:t xml:space="preserve">41 1&amp;2 bed residential apartments at </w:t>
      </w:r>
      <w:proofErr w:type="spellStart"/>
      <w:r w:rsidR="001D3057">
        <w:t>Edenbrook</w:t>
      </w:r>
      <w:proofErr w:type="spellEnd"/>
      <w:r w:rsidR="001D3057">
        <w:t xml:space="preserve">, Fleet. </w:t>
      </w:r>
      <w:r w:rsidR="00952B8E">
        <w:t xml:space="preserve">This tender is on </w:t>
      </w:r>
      <w:r w:rsidR="00494D08" w:rsidRPr="00494D08">
        <w:t xml:space="preserve">behalf of </w:t>
      </w:r>
      <w:r w:rsidR="00494D08">
        <w:t>the Council’s</w:t>
      </w:r>
      <w:r w:rsidR="00494D08" w:rsidRPr="00494D08">
        <w:t xml:space="preserve"> wholly </w:t>
      </w:r>
      <w:proofErr w:type="spellStart"/>
      <w:r w:rsidR="00494D08" w:rsidRPr="00494D08">
        <w:t>owed</w:t>
      </w:r>
      <w:proofErr w:type="spellEnd"/>
      <w:r w:rsidR="00494D08" w:rsidRPr="00494D08">
        <w:t xml:space="preserve"> company being formed</w:t>
      </w:r>
      <w:r w:rsidR="00494D08">
        <w:t>.</w:t>
      </w:r>
    </w:p>
    <w:p w14:paraId="18F530A7" w14:textId="0E9B191E" w:rsidR="0067061E" w:rsidRDefault="0067061E" w:rsidP="000D1848">
      <w:pPr>
        <w:pStyle w:val="ListParagraph"/>
        <w:numPr>
          <w:ilvl w:val="2"/>
          <w:numId w:val="1"/>
        </w:numPr>
      </w:pPr>
      <w:r>
        <w:t xml:space="preserve">The apartments are new build, due to complete in April 2021. A specification list is appended to this tender. </w:t>
      </w:r>
    </w:p>
    <w:p w14:paraId="5CDC6D8B" w14:textId="77777777" w:rsidR="000D1848" w:rsidRPr="00BC090C" w:rsidRDefault="000D1848" w:rsidP="000D1848">
      <w:pPr>
        <w:pStyle w:val="ListParagraph"/>
        <w:numPr>
          <w:ilvl w:val="1"/>
          <w:numId w:val="1"/>
        </w:numPr>
        <w:rPr>
          <w:b/>
          <w:bCs/>
        </w:rPr>
      </w:pPr>
      <w:r w:rsidRPr="00BC090C">
        <w:rPr>
          <w:b/>
          <w:bCs/>
        </w:rPr>
        <w:t>Objectives:</w:t>
      </w:r>
    </w:p>
    <w:p w14:paraId="088F4666" w14:textId="2AB55158" w:rsidR="000D1848" w:rsidRDefault="000D1848" w:rsidP="004E1F43">
      <w:pPr>
        <w:pStyle w:val="ListParagraph"/>
        <w:numPr>
          <w:ilvl w:val="2"/>
          <w:numId w:val="1"/>
        </w:numPr>
      </w:pPr>
      <w:r>
        <w:t>The Council’s main objectives in</w:t>
      </w:r>
      <w:r w:rsidR="002056BD">
        <w:t xml:space="preserve"> contracting with a </w:t>
      </w:r>
      <w:r w:rsidR="001D3057">
        <w:t xml:space="preserve">residential managing </w:t>
      </w:r>
      <w:r w:rsidR="0065016A">
        <w:t xml:space="preserve">and letting </w:t>
      </w:r>
      <w:r w:rsidR="001D3057">
        <w:t>agent</w:t>
      </w:r>
      <w:r w:rsidR="006C4B95">
        <w:t>(s)</w:t>
      </w:r>
      <w:r w:rsidR="001D3057">
        <w:t xml:space="preserve"> </w:t>
      </w:r>
      <w:r>
        <w:t xml:space="preserve">are to: </w:t>
      </w:r>
    </w:p>
    <w:p w14:paraId="582EBDA3" w14:textId="323975EC" w:rsidR="000D1848" w:rsidRPr="000D1848" w:rsidRDefault="001D3057" w:rsidP="000D1848">
      <w:pPr>
        <w:pStyle w:val="ListParagraph"/>
        <w:numPr>
          <w:ilvl w:val="0"/>
          <w:numId w:val="2"/>
        </w:numPr>
      </w:pPr>
      <w:r>
        <w:t xml:space="preserve">Ensure the apartments are managed appropriately in line with latest RICS and NAEA </w:t>
      </w:r>
      <w:proofErr w:type="spellStart"/>
      <w:r>
        <w:t>propertymark</w:t>
      </w:r>
      <w:proofErr w:type="spellEnd"/>
      <w:r>
        <w:t xml:space="preserve"> best </w:t>
      </w:r>
      <w:proofErr w:type="gramStart"/>
      <w:r>
        <w:t>practice</w:t>
      </w:r>
      <w:r w:rsidR="006A4F3C">
        <w:t>;</w:t>
      </w:r>
      <w:proofErr w:type="gramEnd"/>
    </w:p>
    <w:p w14:paraId="3371B295" w14:textId="0A6EDF9E" w:rsidR="000D1848" w:rsidRPr="000D1848" w:rsidRDefault="001D3057" w:rsidP="000D1848">
      <w:pPr>
        <w:pStyle w:val="ListParagraph"/>
        <w:numPr>
          <w:ilvl w:val="0"/>
          <w:numId w:val="2"/>
        </w:numPr>
      </w:pPr>
      <w:r>
        <w:t xml:space="preserve">Ensure all tenants are provided with excellent high levels of customer service as would be expected of the </w:t>
      </w:r>
      <w:proofErr w:type="gramStart"/>
      <w:r>
        <w:t>Council</w:t>
      </w:r>
      <w:r w:rsidR="006A4F3C">
        <w:t>;</w:t>
      </w:r>
      <w:proofErr w:type="gramEnd"/>
    </w:p>
    <w:p w14:paraId="364C21C7" w14:textId="173DCA66" w:rsidR="000D1848" w:rsidRPr="000D1848" w:rsidRDefault="001D3057" w:rsidP="000D1848">
      <w:pPr>
        <w:pStyle w:val="ListParagraph"/>
        <w:numPr>
          <w:ilvl w:val="0"/>
          <w:numId w:val="2"/>
        </w:numPr>
      </w:pPr>
      <w:r>
        <w:t>The apartments are appropriately maintained to ensure longevity and quality of product</w:t>
      </w:r>
      <w:r w:rsidR="006A4F3C">
        <w:t xml:space="preserve">; and </w:t>
      </w:r>
    </w:p>
    <w:p w14:paraId="0F635EF1" w14:textId="08FE6C2C" w:rsidR="000D1848" w:rsidRDefault="00CB4D57" w:rsidP="000D1848">
      <w:pPr>
        <w:pStyle w:val="ListParagraph"/>
        <w:numPr>
          <w:ilvl w:val="0"/>
          <w:numId w:val="2"/>
        </w:numPr>
      </w:pPr>
      <w:r>
        <w:t>E</w:t>
      </w:r>
      <w:r w:rsidR="000D1848" w:rsidRPr="000D1848">
        <w:t xml:space="preserve">nsure advertisement content is in keeping with the Council’s policy and where feasible </w:t>
      </w:r>
      <w:r w:rsidR="001D3057">
        <w:t xml:space="preserve">encourages key worker occupation, in line with the Council business plan. </w:t>
      </w:r>
    </w:p>
    <w:p w14:paraId="2388873D" w14:textId="751B8783" w:rsidR="006C4B95" w:rsidRDefault="006C4B95" w:rsidP="000D1848">
      <w:pPr>
        <w:pStyle w:val="ListParagraph"/>
        <w:numPr>
          <w:ilvl w:val="0"/>
          <w:numId w:val="2"/>
        </w:numPr>
      </w:pPr>
      <w:r>
        <w:t xml:space="preserve">Ensure the letting </w:t>
      </w:r>
      <w:r w:rsidR="008268CB">
        <w:t xml:space="preserve">project is engaging, comprehensive and innovative to attract tenants to the </w:t>
      </w:r>
      <w:r w:rsidR="007A57BF">
        <w:t xml:space="preserve">properties and to ensure any voids are minimised. </w:t>
      </w:r>
    </w:p>
    <w:p w14:paraId="3C2AB197" w14:textId="6739C36A" w:rsidR="006D5B5E" w:rsidRDefault="006D5B5E" w:rsidP="006D5B5E">
      <w:pPr>
        <w:pStyle w:val="ListParagraph"/>
        <w:ind w:left="1211"/>
      </w:pPr>
    </w:p>
    <w:p w14:paraId="2E0AA7CE" w14:textId="77777777" w:rsidR="00671867" w:rsidRDefault="00671867" w:rsidP="006D5B5E">
      <w:pPr>
        <w:pStyle w:val="ListParagraph"/>
        <w:ind w:left="1211"/>
      </w:pPr>
    </w:p>
    <w:p w14:paraId="60B1505F" w14:textId="77777777" w:rsidR="000D1848" w:rsidRPr="00BC090C" w:rsidRDefault="000D1848" w:rsidP="000D1848">
      <w:pPr>
        <w:pStyle w:val="ListParagraph"/>
        <w:numPr>
          <w:ilvl w:val="1"/>
          <w:numId w:val="1"/>
        </w:numPr>
        <w:rPr>
          <w:b/>
          <w:bCs/>
        </w:rPr>
      </w:pPr>
      <w:r w:rsidRPr="00BC090C">
        <w:rPr>
          <w:b/>
          <w:bCs/>
        </w:rPr>
        <w:t>Timetable:</w:t>
      </w:r>
    </w:p>
    <w:p w14:paraId="0D653830" w14:textId="31736933" w:rsidR="000D1848" w:rsidRDefault="000D1848" w:rsidP="002056BD">
      <w:pPr>
        <w:pStyle w:val="ListParagraph"/>
        <w:numPr>
          <w:ilvl w:val="2"/>
          <w:numId w:val="1"/>
        </w:numPr>
      </w:pPr>
      <w:r>
        <w:t xml:space="preserve">The contract </w:t>
      </w:r>
      <w:r w:rsidR="005303A8">
        <w:t>is to</w:t>
      </w:r>
      <w:r>
        <w:t xml:space="preserve"> start from the</w:t>
      </w:r>
      <w:r w:rsidR="005303A8">
        <w:t xml:space="preserve"> </w:t>
      </w:r>
      <w:r w:rsidR="00455C82">
        <w:t xml:space="preserve">1 </w:t>
      </w:r>
      <w:r w:rsidR="00FC0EBD">
        <w:t>April</w:t>
      </w:r>
      <w:r w:rsidR="00455C82">
        <w:t xml:space="preserve"> 2021</w:t>
      </w:r>
      <w:r w:rsidR="00FF013E">
        <w:t xml:space="preserve"> as per 2.1</w:t>
      </w:r>
      <w:r w:rsidR="005303A8">
        <w:t xml:space="preserve">. </w:t>
      </w:r>
      <w:r w:rsidR="00455C82">
        <w:t xml:space="preserve">The Council will take formal ownership of the apartment blocks by no later than 30 April 2021. </w:t>
      </w:r>
    </w:p>
    <w:p w14:paraId="7F293D96" w14:textId="77F56F6B" w:rsidR="000D1848" w:rsidRPr="00BC090C" w:rsidRDefault="000D1848" w:rsidP="000D1848">
      <w:pPr>
        <w:pStyle w:val="ListParagraph"/>
        <w:numPr>
          <w:ilvl w:val="1"/>
          <w:numId w:val="1"/>
        </w:numPr>
        <w:rPr>
          <w:b/>
          <w:bCs/>
        </w:rPr>
      </w:pPr>
      <w:r w:rsidRPr="00BC090C">
        <w:rPr>
          <w:b/>
          <w:bCs/>
        </w:rPr>
        <w:t>Scope:</w:t>
      </w:r>
    </w:p>
    <w:p w14:paraId="1CAB17A9" w14:textId="46B73FC2" w:rsidR="00DA06C3" w:rsidRDefault="00683D0E" w:rsidP="004E1F43">
      <w:pPr>
        <w:pStyle w:val="ListParagraph"/>
        <w:numPr>
          <w:ilvl w:val="2"/>
          <w:numId w:val="1"/>
        </w:numPr>
      </w:pPr>
      <w:r>
        <w:t xml:space="preserve">This </w:t>
      </w:r>
      <w:r w:rsidR="00706733">
        <w:t>opportunity</w:t>
      </w:r>
      <w:r>
        <w:t xml:space="preserve"> is presented in two lots. R</w:t>
      </w:r>
      <w:r w:rsidR="00DA06C3">
        <w:t>espondents are requested to confirm in their submission whether they are tendering for the management only</w:t>
      </w:r>
      <w:r w:rsidR="0032192D">
        <w:t xml:space="preserve"> (Lot 1)</w:t>
      </w:r>
      <w:r w:rsidR="00DA06C3">
        <w:t xml:space="preserve">, letting only </w:t>
      </w:r>
      <w:r w:rsidR="0032192D">
        <w:t xml:space="preserve">(Lot 2) </w:t>
      </w:r>
      <w:r w:rsidR="00DA06C3">
        <w:t xml:space="preserve">or both services. </w:t>
      </w:r>
    </w:p>
    <w:p w14:paraId="5EF79323" w14:textId="47884C4D" w:rsidR="00896E58" w:rsidRPr="00896E58" w:rsidRDefault="00896E58" w:rsidP="00896E58">
      <w:pPr>
        <w:pStyle w:val="ListParagraph"/>
        <w:ind w:left="851"/>
      </w:pPr>
      <w:r>
        <w:rPr>
          <w:i/>
          <w:iCs/>
          <w:u w:val="single"/>
        </w:rPr>
        <w:t>Management</w:t>
      </w:r>
      <w:r w:rsidR="0032192D">
        <w:rPr>
          <w:i/>
          <w:iCs/>
          <w:u w:val="single"/>
        </w:rPr>
        <w:t xml:space="preserve"> - Lot 1</w:t>
      </w:r>
    </w:p>
    <w:p w14:paraId="06AE4A60" w14:textId="312E035B" w:rsidR="007232C7" w:rsidRDefault="000D1848" w:rsidP="005C52A9">
      <w:pPr>
        <w:pStyle w:val="ListParagraph"/>
        <w:numPr>
          <w:ilvl w:val="2"/>
          <w:numId w:val="1"/>
        </w:numPr>
      </w:pPr>
      <w:r>
        <w:t xml:space="preserve">The Council </w:t>
      </w:r>
      <w:r w:rsidR="00455C82">
        <w:t xml:space="preserve">require the managing agent to ensure the </w:t>
      </w:r>
      <w:r w:rsidR="00BB28CE">
        <w:t xml:space="preserve">properties, </w:t>
      </w:r>
      <w:r w:rsidR="00455C82">
        <w:t xml:space="preserve">external landscaping areas and car parking are </w:t>
      </w:r>
      <w:r w:rsidR="00896E58">
        <w:t xml:space="preserve">appropriately managed and </w:t>
      </w:r>
      <w:r w:rsidR="00455C82">
        <w:t xml:space="preserve">maintained to a high standard. </w:t>
      </w:r>
      <w:r w:rsidR="00C8588F">
        <w:t xml:space="preserve">The managing agent will have full discretion on any subcontractors used for the ongoing </w:t>
      </w:r>
      <w:r w:rsidR="005B3E35">
        <w:t>maintenance of the properties</w:t>
      </w:r>
      <w:r w:rsidR="005C52A9">
        <w:t xml:space="preserve"> subject to prior approval of the service charge budget. Exceptional expenditure items will require consent of the Council. </w:t>
      </w:r>
    </w:p>
    <w:p w14:paraId="043DDBB2" w14:textId="2227DB0D" w:rsidR="000D1848" w:rsidRDefault="000D1848" w:rsidP="004E1F43">
      <w:pPr>
        <w:pStyle w:val="ListParagraph"/>
        <w:numPr>
          <w:ilvl w:val="2"/>
          <w:numId w:val="1"/>
        </w:numPr>
      </w:pPr>
      <w:r>
        <w:t xml:space="preserve">The </w:t>
      </w:r>
      <w:r w:rsidR="00455C82">
        <w:t xml:space="preserve">appointed managing agent will have to produce a service charge budget; advise </w:t>
      </w:r>
      <w:r w:rsidR="007335AA">
        <w:t xml:space="preserve">and agree </w:t>
      </w:r>
      <w:r w:rsidR="00455C82">
        <w:t>a suitable reporting process</w:t>
      </w:r>
      <w:r w:rsidR="007335AA">
        <w:t xml:space="preserve"> with the Council</w:t>
      </w:r>
      <w:r w:rsidR="00455C82">
        <w:t xml:space="preserve">; set up client accounts including tenancy deposit protection scheme. </w:t>
      </w:r>
    </w:p>
    <w:p w14:paraId="6E0B5245" w14:textId="1AF6BD91" w:rsidR="00111FE4" w:rsidRDefault="00111FE4" w:rsidP="004E1F43">
      <w:pPr>
        <w:pStyle w:val="ListParagraph"/>
        <w:numPr>
          <w:ilvl w:val="2"/>
          <w:numId w:val="1"/>
        </w:numPr>
      </w:pPr>
      <w:r>
        <w:t xml:space="preserve">The managing agent will work collaboratively with officers ensuring </w:t>
      </w:r>
      <w:r w:rsidR="006C648A">
        <w:t xml:space="preserve">all pertinent information is available in a timely fashion. For example, preparation of year end </w:t>
      </w:r>
      <w:r w:rsidR="00540976">
        <w:t xml:space="preserve">service charge </w:t>
      </w:r>
      <w:r w:rsidR="007B4AA4">
        <w:t>accounts</w:t>
      </w:r>
      <w:r w:rsidR="00540976">
        <w:t xml:space="preserve"> &amp; reconciliations</w:t>
      </w:r>
      <w:r w:rsidR="007B4AA4">
        <w:t>, assisting external auditors</w:t>
      </w:r>
      <w:r w:rsidR="00E20C3C">
        <w:t xml:space="preserve"> and preparation of management report for annual AGM meeting. </w:t>
      </w:r>
    </w:p>
    <w:p w14:paraId="06D33487" w14:textId="241F82E2" w:rsidR="00DA7FC6" w:rsidRPr="00320ABC" w:rsidRDefault="00DA7FC6" w:rsidP="00DA7FC6">
      <w:pPr>
        <w:pStyle w:val="ListParagraph"/>
        <w:ind w:left="851"/>
      </w:pPr>
      <w:r w:rsidRPr="00320ABC">
        <w:rPr>
          <w:i/>
          <w:iCs/>
          <w:u w:val="single"/>
        </w:rPr>
        <w:t>Letting</w:t>
      </w:r>
      <w:r w:rsidR="0032192D">
        <w:rPr>
          <w:i/>
          <w:iCs/>
          <w:u w:val="single"/>
        </w:rPr>
        <w:t xml:space="preserve"> - Lot 2</w:t>
      </w:r>
    </w:p>
    <w:p w14:paraId="781F0E3B" w14:textId="47954582" w:rsidR="00C96702" w:rsidRDefault="003010F5" w:rsidP="00C96702">
      <w:pPr>
        <w:pStyle w:val="ListParagraph"/>
        <w:numPr>
          <w:ilvl w:val="2"/>
          <w:numId w:val="1"/>
        </w:numPr>
      </w:pPr>
      <w:r>
        <w:t>The</w:t>
      </w:r>
      <w:r w:rsidR="006E3501">
        <w:t xml:space="preserve"> marketing </w:t>
      </w:r>
      <w:r w:rsidR="0014172D">
        <w:t>agent</w:t>
      </w:r>
      <w:r w:rsidR="00DA60C2">
        <w:t xml:space="preserve">(s) will be required to ensure the </w:t>
      </w:r>
      <w:r w:rsidR="006E3501">
        <w:t xml:space="preserve">leasing process is </w:t>
      </w:r>
      <w:proofErr w:type="spellStart"/>
      <w:r w:rsidR="006E3501">
        <w:t>arms length</w:t>
      </w:r>
      <w:proofErr w:type="spellEnd"/>
      <w:r w:rsidR="006E3501">
        <w:t>, managed and executed with utmost professionalism and in line with latest RICS and NAEA</w:t>
      </w:r>
      <w:r w:rsidR="00735619">
        <w:t>/ARLA</w:t>
      </w:r>
      <w:r w:rsidR="006E3501">
        <w:t xml:space="preserve"> </w:t>
      </w:r>
      <w:proofErr w:type="spellStart"/>
      <w:r w:rsidR="006E3501">
        <w:t>propertymark</w:t>
      </w:r>
      <w:proofErr w:type="spellEnd"/>
      <w:r w:rsidR="006E3501">
        <w:t xml:space="preserve"> best </w:t>
      </w:r>
      <w:proofErr w:type="gramStart"/>
      <w:r w:rsidR="006E3501">
        <w:t>practice;</w:t>
      </w:r>
      <w:proofErr w:type="gramEnd"/>
    </w:p>
    <w:p w14:paraId="6937C260" w14:textId="77777777" w:rsidR="00C96702" w:rsidRDefault="006E3501" w:rsidP="00C96702">
      <w:pPr>
        <w:pStyle w:val="ListParagraph"/>
        <w:numPr>
          <w:ilvl w:val="2"/>
          <w:numId w:val="1"/>
        </w:numPr>
      </w:pPr>
      <w:r>
        <w:t xml:space="preserve">Ensure all apartments are leased as quickly as possible, and where appropriate pre agreed targets are </w:t>
      </w:r>
      <w:proofErr w:type="gramStart"/>
      <w:r>
        <w:t>met;</w:t>
      </w:r>
      <w:proofErr w:type="gramEnd"/>
    </w:p>
    <w:p w14:paraId="6DD9D9AB" w14:textId="77777777" w:rsidR="00C96702" w:rsidRDefault="006E3501" w:rsidP="00C96702">
      <w:pPr>
        <w:pStyle w:val="ListParagraph"/>
        <w:numPr>
          <w:ilvl w:val="2"/>
          <w:numId w:val="1"/>
        </w:numPr>
      </w:pPr>
      <w:r>
        <w:t xml:space="preserve">Work alongside the managing agent (or as solely appointed agent for both management and letting) to ensure a smooth transaction process to allow tenants a ‘stress free’ move into a specific apartment. If future voids occur, ensure the apartment is marketed swiftly and prior to vacancy to ensure any voids are reduced to a minimum. </w:t>
      </w:r>
    </w:p>
    <w:p w14:paraId="2AF2A983" w14:textId="5CA22F0A" w:rsidR="00496D3D" w:rsidRPr="00320ABC" w:rsidRDefault="006E3501" w:rsidP="00C96702">
      <w:pPr>
        <w:pStyle w:val="ListParagraph"/>
        <w:numPr>
          <w:ilvl w:val="2"/>
          <w:numId w:val="1"/>
        </w:numPr>
      </w:pPr>
      <w:r>
        <w:lastRenderedPageBreak/>
        <w:t>E</w:t>
      </w:r>
      <w:r w:rsidRPr="000D1848">
        <w:t>nsure advertisement content</w:t>
      </w:r>
      <w:r>
        <w:t xml:space="preserve"> and marketing</w:t>
      </w:r>
      <w:r w:rsidRPr="000D1848">
        <w:t xml:space="preserve"> is in keeping with the Council’s policy and where feasible </w:t>
      </w:r>
      <w:r>
        <w:t xml:space="preserve">encourages key worker occupation, in line with the Council business plan. </w:t>
      </w:r>
    </w:p>
    <w:p w14:paraId="34B20BD2" w14:textId="77777777" w:rsidR="000D1848" w:rsidRPr="00BC090C" w:rsidRDefault="000D1848" w:rsidP="000D1848">
      <w:pPr>
        <w:pStyle w:val="ListParagraph"/>
        <w:numPr>
          <w:ilvl w:val="1"/>
          <w:numId w:val="1"/>
        </w:numPr>
        <w:rPr>
          <w:b/>
          <w:bCs/>
        </w:rPr>
      </w:pPr>
      <w:r w:rsidRPr="00BC090C">
        <w:rPr>
          <w:b/>
          <w:bCs/>
        </w:rPr>
        <w:t>Deliverables:</w:t>
      </w:r>
    </w:p>
    <w:p w14:paraId="5C43BD48" w14:textId="788B3F08" w:rsidR="00DD43FC" w:rsidRPr="00DD43FC" w:rsidRDefault="00DD43FC" w:rsidP="004E1F43">
      <w:pPr>
        <w:pStyle w:val="ListParagraph"/>
        <w:numPr>
          <w:ilvl w:val="2"/>
          <w:numId w:val="1"/>
        </w:numPr>
        <w:rPr>
          <w:i/>
          <w:iCs/>
          <w:u w:val="single"/>
        </w:rPr>
      </w:pPr>
      <w:r w:rsidRPr="00DD43FC">
        <w:rPr>
          <w:i/>
          <w:iCs/>
          <w:u w:val="single"/>
        </w:rPr>
        <w:t>Management</w:t>
      </w:r>
      <w:r w:rsidR="00FC0CAB">
        <w:rPr>
          <w:i/>
          <w:iCs/>
          <w:u w:val="single"/>
        </w:rPr>
        <w:t xml:space="preserve"> – Lot 1</w:t>
      </w:r>
    </w:p>
    <w:p w14:paraId="3DDE41CC" w14:textId="5519DD18" w:rsidR="000D1848" w:rsidRDefault="000D1848" w:rsidP="00DD43FC">
      <w:pPr>
        <w:pStyle w:val="ListParagraph"/>
        <w:ind w:left="851"/>
      </w:pPr>
      <w:r w:rsidRPr="00DD43FC">
        <w:t>The</w:t>
      </w:r>
      <w:r>
        <w:t xml:space="preserve"> successful </w:t>
      </w:r>
      <w:r w:rsidR="002056BD">
        <w:t>bidder</w:t>
      </w:r>
      <w:r w:rsidR="00906445">
        <w:t>(s)</w:t>
      </w:r>
      <w:r>
        <w:t xml:space="preserve"> must: </w:t>
      </w:r>
    </w:p>
    <w:p w14:paraId="24247C78" w14:textId="439C7739" w:rsidR="00E256C2" w:rsidRDefault="00455C82" w:rsidP="00330ACD">
      <w:pPr>
        <w:pStyle w:val="ListParagraph"/>
        <w:numPr>
          <w:ilvl w:val="0"/>
          <w:numId w:val="5"/>
        </w:numPr>
      </w:pPr>
      <w:r>
        <w:t xml:space="preserve">Be registered with the Royal Institution of Chartered Surveyors </w:t>
      </w:r>
      <w:r w:rsidR="00906445">
        <w:t xml:space="preserve">(RICS) </w:t>
      </w:r>
      <w:r>
        <w:t>and/or NAEA</w:t>
      </w:r>
      <w:r w:rsidR="00001FAB">
        <w:t xml:space="preserve">/ARLA </w:t>
      </w:r>
      <w:proofErr w:type="spellStart"/>
      <w:r>
        <w:t>propertymark</w:t>
      </w:r>
      <w:proofErr w:type="spellEnd"/>
      <w:r w:rsidR="0074346A">
        <w:t xml:space="preserve"> (or other appropriate industry body, please provide full details).</w:t>
      </w:r>
      <w:r w:rsidR="003A1377">
        <w:t xml:space="preserve"> </w:t>
      </w:r>
    </w:p>
    <w:p w14:paraId="26C7D6B8" w14:textId="07B40FDD" w:rsidR="00E256C2" w:rsidRDefault="00455C82" w:rsidP="00330ACD">
      <w:pPr>
        <w:pStyle w:val="ListParagraph"/>
        <w:numPr>
          <w:ilvl w:val="0"/>
          <w:numId w:val="5"/>
        </w:numPr>
      </w:pPr>
      <w:r>
        <w:t>Produce a service charge budget</w:t>
      </w:r>
      <w:r w:rsidR="00212C96">
        <w:t xml:space="preserve"> appropriate for the scheme </w:t>
      </w:r>
      <w:proofErr w:type="gramStart"/>
      <w:r w:rsidR="00212C96">
        <w:t>taking into account</w:t>
      </w:r>
      <w:proofErr w:type="gramEnd"/>
      <w:r w:rsidR="00212C96">
        <w:t xml:space="preserve"> the mix of apartments, communal areas, car park, </w:t>
      </w:r>
      <w:r w:rsidR="0004779E">
        <w:t xml:space="preserve">electric car charging points, </w:t>
      </w:r>
      <w:r w:rsidR="00212C96">
        <w:t xml:space="preserve">landscaping, cycle and bin stores. </w:t>
      </w:r>
      <w:r w:rsidR="006F79CC">
        <w:t xml:space="preserve">This service charge will be pre agreed with the Council. </w:t>
      </w:r>
    </w:p>
    <w:p w14:paraId="5B85237D" w14:textId="504FB419" w:rsidR="00E256C2" w:rsidRDefault="00455C82" w:rsidP="00330ACD">
      <w:pPr>
        <w:pStyle w:val="ListParagraph"/>
        <w:numPr>
          <w:ilvl w:val="0"/>
          <w:numId w:val="5"/>
        </w:numPr>
      </w:pPr>
      <w:r>
        <w:t>Provide examples of other live residential management instructions</w:t>
      </w:r>
      <w:r w:rsidR="00212C96">
        <w:t xml:space="preserve"> relevant to this opportunity</w:t>
      </w:r>
    </w:p>
    <w:p w14:paraId="0F229CE0" w14:textId="6E77B01B" w:rsidR="00212C96" w:rsidRDefault="00212C96" w:rsidP="00330ACD">
      <w:pPr>
        <w:pStyle w:val="ListParagraph"/>
        <w:numPr>
          <w:ilvl w:val="0"/>
          <w:numId w:val="5"/>
        </w:numPr>
      </w:pPr>
      <w:r>
        <w:t xml:space="preserve">Produce quarterly management report </w:t>
      </w:r>
      <w:r w:rsidR="00F92934">
        <w:t>including rent and service charge payment overview; arrears; material issues for consideration</w:t>
      </w:r>
      <w:r w:rsidR="00A020A9">
        <w:t xml:space="preserve"> to the Directors</w:t>
      </w:r>
    </w:p>
    <w:p w14:paraId="7F34273D" w14:textId="6B03A680" w:rsidR="00F92934" w:rsidRDefault="006F79CC" w:rsidP="00330ACD">
      <w:pPr>
        <w:pStyle w:val="ListParagraph"/>
        <w:numPr>
          <w:ilvl w:val="0"/>
          <w:numId w:val="5"/>
        </w:numPr>
      </w:pPr>
      <w:r>
        <w:t xml:space="preserve">Manage all financial matters with the </w:t>
      </w:r>
      <w:r w:rsidR="00F952D1">
        <w:t>t</w:t>
      </w:r>
      <w:r>
        <w:t>enants including setting up standing orders, holding rent deposits in the appropriate way, t</w:t>
      </w:r>
      <w:r w:rsidR="003D278C">
        <w:t>r</w:t>
      </w:r>
      <w:r w:rsidR="00F92934">
        <w:t>ansfer rent income on a quarterly basis in an orderly fashion and subject to pre agreed instructions</w:t>
      </w:r>
      <w:r>
        <w:t xml:space="preserve">. </w:t>
      </w:r>
    </w:p>
    <w:p w14:paraId="1DAF59AA" w14:textId="04CFF13A" w:rsidR="00E256C2" w:rsidRDefault="00FF013E" w:rsidP="00330ACD">
      <w:pPr>
        <w:pStyle w:val="ListParagraph"/>
        <w:numPr>
          <w:ilvl w:val="0"/>
          <w:numId w:val="5"/>
        </w:numPr>
      </w:pPr>
      <w:r>
        <w:t>Handle all communication with</w:t>
      </w:r>
      <w:r w:rsidR="00E256C2">
        <w:t xml:space="preserve"> </w:t>
      </w:r>
      <w:r w:rsidR="00F92934">
        <w:t xml:space="preserve">tenants and react to any issues swiftly and in an appropriate manner. </w:t>
      </w:r>
    </w:p>
    <w:p w14:paraId="1A455B38" w14:textId="42849FBD" w:rsidR="00307E74" w:rsidRDefault="00F92934" w:rsidP="00135621">
      <w:pPr>
        <w:pStyle w:val="ListParagraph"/>
        <w:numPr>
          <w:ilvl w:val="0"/>
          <w:numId w:val="5"/>
        </w:numPr>
      </w:pPr>
      <w:r>
        <w:t>Be responsible for all maintenance items</w:t>
      </w:r>
      <w:r w:rsidR="00E256C2">
        <w:t>.</w:t>
      </w:r>
    </w:p>
    <w:p w14:paraId="74F0F2A5" w14:textId="7A14A5D5" w:rsidR="00135621" w:rsidRDefault="00135621" w:rsidP="00135621">
      <w:pPr>
        <w:pStyle w:val="ListParagraph"/>
        <w:numPr>
          <w:ilvl w:val="0"/>
          <w:numId w:val="5"/>
        </w:numPr>
      </w:pPr>
      <w:r>
        <w:t>Instruct solicitors and or debt collection agents on behalf of the Council in the event of any significant arrears</w:t>
      </w:r>
      <w:r w:rsidR="00CB4D57">
        <w:t>, to be pre agreed with the Council.</w:t>
      </w:r>
    </w:p>
    <w:p w14:paraId="052AE4AD" w14:textId="30D10005" w:rsidR="00CB4D57" w:rsidRDefault="00CB4D57" w:rsidP="00135621">
      <w:pPr>
        <w:pStyle w:val="ListParagraph"/>
        <w:numPr>
          <w:ilvl w:val="0"/>
          <w:numId w:val="5"/>
        </w:numPr>
      </w:pPr>
      <w:r>
        <w:t xml:space="preserve">Prepare all draft occupational Licences / Leases and maintain appropriate records. </w:t>
      </w:r>
    </w:p>
    <w:p w14:paraId="4EBEB58D" w14:textId="62A27D6E" w:rsidR="00E256C2" w:rsidRDefault="00CB4D57" w:rsidP="00CB4D57">
      <w:pPr>
        <w:pStyle w:val="ListParagraph"/>
        <w:numPr>
          <w:ilvl w:val="0"/>
          <w:numId w:val="5"/>
        </w:numPr>
      </w:pPr>
      <w:r>
        <w:t>Advise the Council on best practice for allocation of car parking spaces.</w:t>
      </w:r>
    </w:p>
    <w:p w14:paraId="0547CD26" w14:textId="0EB2E22B" w:rsidR="00E256C2" w:rsidRDefault="00E256C2" w:rsidP="00330ACD">
      <w:pPr>
        <w:pStyle w:val="ListParagraph"/>
        <w:numPr>
          <w:ilvl w:val="0"/>
          <w:numId w:val="5"/>
        </w:numPr>
      </w:pPr>
      <w:r>
        <w:t>Comply with all data recording and GDPR regulations.</w:t>
      </w:r>
    </w:p>
    <w:p w14:paraId="7F9B5319" w14:textId="00ABF6FF" w:rsidR="00CB4D57" w:rsidRDefault="00CB4D57" w:rsidP="00330ACD">
      <w:pPr>
        <w:pStyle w:val="ListParagraph"/>
        <w:numPr>
          <w:ilvl w:val="0"/>
          <w:numId w:val="5"/>
        </w:numPr>
      </w:pPr>
      <w:r>
        <w:lastRenderedPageBreak/>
        <w:t xml:space="preserve">Advising and supporting all tenants’ in ensuring they are aware of </w:t>
      </w:r>
      <w:proofErr w:type="gramStart"/>
      <w:r>
        <w:t>all of</w:t>
      </w:r>
      <w:proofErr w:type="gramEnd"/>
      <w:r>
        <w:t xml:space="preserve"> their liabilities under the Licences / Leases.</w:t>
      </w:r>
    </w:p>
    <w:p w14:paraId="602F396D" w14:textId="598E91EB" w:rsidR="00A020A9" w:rsidRDefault="00A020A9" w:rsidP="00330ACD">
      <w:pPr>
        <w:pStyle w:val="ListParagraph"/>
        <w:numPr>
          <w:ilvl w:val="0"/>
          <w:numId w:val="5"/>
        </w:numPr>
      </w:pPr>
      <w:r>
        <w:t xml:space="preserve">Liaising with Accountants for the preparation of annual accounts. Liaising with the Directors on the content of the prepared annual accounts. </w:t>
      </w:r>
    </w:p>
    <w:p w14:paraId="4D80D117" w14:textId="5C44742E" w:rsidR="00A020A9" w:rsidRDefault="00A020A9" w:rsidP="00330ACD">
      <w:pPr>
        <w:pStyle w:val="ListParagraph"/>
        <w:numPr>
          <w:ilvl w:val="0"/>
          <w:numId w:val="5"/>
        </w:numPr>
      </w:pPr>
      <w:r>
        <w:t>Meet with the Company Directors at an appropriate and pre agreed recurrence, either on site or at the Council offices in Fleet. The managing agent will be required to take minutes, circulate to the Directors and perform any action points decided.</w:t>
      </w:r>
    </w:p>
    <w:p w14:paraId="2E95E600" w14:textId="22F42A75" w:rsidR="00E256C2" w:rsidRDefault="00A020A9" w:rsidP="00330ACD">
      <w:pPr>
        <w:pStyle w:val="ListParagraph"/>
        <w:numPr>
          <w:ilvl w:val="0"/>
          <w:numId w:val="5"/>
        </w:numPr>
      </w:pPr>
      <w:r>
        <w:t xml:space="preserve">On behalf of the Council, appoint any contractors required to carry out the service required to ensure all maintenance items are completed in a timely fashion. </w:t>
      </w:r>
    </w:p>
    <w:p w14:paraId="2733275C" w14:textId="70B21F69" w:rsidR="000D1848" w:rsidRDefault="00A020A9" w:rsidP="00EB6A61">
      <w:pPr>
        <w:pStyle w:val="ListParagraph"/>
        <w:numPr>
          <w:ilvl w:val="0"/>
          <w:numId w:val="5"/>
        </w:numPr>
      </w:pPr>
      <w:r>
        <w:t>Attend site meetings with the Directors if / when required at a pre agreed time and date.</w:t>
      </w:r>
    </w:p>
    <w:p w14:paraId="7C6BF54E" w14:textId="7173FAE1" w:rsidR="00DD43FC" w:rsidRDefault="00DD43FC" w:rsidP="00DD43FC">
      <w:pPr>
        <w:pStyle w:val="ListParagraph"/>
        <w:numPr>
          <w:ilvl w:val="2"/>
          <w:numId w:val="1"/>
        </w:numPr>
      </w:pPr>
      <w:r w:rsidRPr="00DD43FC">
        <w:rPr>
          <w:i/>
          <w:iCs/>
          <w:u w:val="single"/>
        </w:rPr>
        <w:t>Letting</w:t>
      </w:r>
      <w:r w:rsidR="00FC0CAB">
        <w:rPr>
          <w:i/>
          <w:iCs/>
          <w:u w:val="single"/>
        </w:rPr>
        <w:t xml:space="preserve"> – Lot 2</w:t>
      </w:r>
    </w:p>
    <w:p w14:paraId="5FC6F7EA" w14:textId="4DEEE31C" w:rsidR="00DD43FC" w:rsidRDefault="00D60FFB" w:rsidP="00D60FFB">
      <w:pPr>
        <w:pStyle w:val="ListParagraph"/>
        <w:ind w:left="851"/>
      </w:pPr>
      <w:r>
        <w:t xml:space="preserve">The successful bidder(s) must: </w:t>
      </w:r>
    </w:p>
    <w:p w14:paraId="20A68B9F" w14:textId="0D495A4C" w:rsidR="00263047" w:rsidRDefault="00263047" w:rsidP="00263047">
      <w:pPr>
        <w:pStyle w:val="ListParagraph"/>
        <w:numPr>
          <w:ilvl w:val="0"/>
          <w:numId w:val="17"/>
        </w:numPr>
      </w:pPr>
      <w:r>
        <w:t>Be registered with the Royal Institution of Chartered Surveyors and/or NAEA</w:t>
      </w:r>
      <w:r w:rsidR="00AA4DA0">
        <w:t>/ARLA</w:t>
      </w:r>
      <w:r>
        <w:t xml:space="preserve"> </w:t>
      </w:r>
      <w:proofErr w:type="spellStart"/>
      <w:r>
        <w:t>propertymark</w:t>
      </w:r>
      <w:proofErr w:type="spellEnd"/>
      <w:r>
        <w:t xml:space="preserve"> </w:t>
      </w:r>
      <w:bookmarkStart w:id="2" w:name="_Hlk51332857"/>
      <w:r>
        <w:t xml:space="preserve">(or other appropriate industry body, please provide full details). </w:t>
      </w:r>
      <w:bookmarkEnd w:id="2"/>
    </w:p>
    <w:p w14:paraId="30470590" w14:textId="77777777" w:rsidR="00263047" w:rsidRDefault="00263047" w:rsidP="00263047">
      <w:pPr>
        <w:pStyle w:val="ListParagraph"/>
        <w:numPr>
          <w:ilvl w:val="0"/>
          <w:numId w:val="17"/>
        </w:numPr>
      </w:pPr>
      <w:r>
        <w:t xml:space="preserve">Produce a full marketing plan </w:t>
      </w:r>
      <w:proofErr w:type="spellStart"/>
      <w:r>
        <w:t>outling</w:t>
      </w:r>
      <w:proofErr w:type="spellEnd"/>
      <w:r>
        <w:t xml:space="preserve"> the approach to launch and market the apartments to the open market. Please advise on what platforms will be required such as social media, independent website, marketing literature, database available to you and customer engagement plan. </w:t>
      </w:r>
    </w:p>
    <w:p w14:paraId="2FAD44FF" w14:textId="77777777" w:rsidR="00263047" w:rsidRDefault="00263047" w:rsidP="00263047">
      <w:pPr>
        <w:pStyle w:val="ListParagraph"/>
        <w:numPr>
          <w:ilvl w:val="0"/>
          <w:numId w:val="17"/>
        </w:numPr>
      </w:pPr>
      <w:r>
        <w:t xml:space="preserve">Provide a market overview detailing current local market trends, market rental levels for </w:t>
      </w:r>
      <w:proofErr w:type="gramStart"/>
      <w:r>
        <w:t>1 &amp; 2 bedroom</w:t>
      </w:r>
      <w:proofErr w:type="gramEnd"/>
      <w:r>
        <w:t xml:space="preserve"> apartments and examples of competing properties. </w:t>
      </w:r>
    </w:p>
    <w:p w14:paraId="253CC2C1" w14:textId="77777777" w:rsidR="00263047" w:rsidRDefault="00263047" w:rsidP="00263047">
      <w:pPr>
        <w:pStyle w:val="ListParagraph"/>
        <w:numPr>
          <w:ilvl w:val="0"/>
          <w:numId w:val="17"/>
        </w:numPr>
      </w:pPr>
      <w:r>
        <w:t xml:space="preserve">Provide examples of other live residential letting instructions relevant to this opportunity, including results of these other instructions. Comparison can be by either % leased within 3, 6, 12 or 18 months or by rental income achieved against market benchmark pricing. </w:t>
      </w:r>
    </w:p>
    <w:p w14:paraId="270830F8" w14:textId="77777777" w:rsidR="00263047" w:rsidRDefault="00263047" w:rsidP="00263047">
      <w:pPr>
        <w:pStyle w:val="ListParagraph"/>
        <w:numPr>
          <w:ilvl w:val="0"/>
          <w:numId w:val="17"/>
        </w:numPr>
      </w:pPr>
      <w:r>
        <w:t>Produce a monthly marketing report detailing viewing levels, vacancies, offers and any other pertinent information for consideration by the Directors.</w:t>
      </w:r>
    </w:p>
    <w:p w14:paraId="004B5F2F" w14:textId="77777777" w:rsidR="00263047" w:rsidRDefault="00263047" w:rsidP="00263047">
      <w:pPr>
        <w:pStyle w:val="ListParagraph"/>
        <w:numPr>
          <w:ilvl w:val="0"/>
          <w:numId w:val="17"/>
        </w:numPr>
      </w:pPr>
      <w:r>
        <w:t xml:space="preserve">Confirmation of security arrangements regarding holding of keys / access cards. </w:t>
      </w:r>
    </w:p>
    <w:p w14:paraId="668F2D51" w14:textId="77777777" w:rsidR="00263047" w:rsidRDefault="00263047" w:rsidP="00263047">
      <w:pPr>
        <w:pStyle w:val="ListParagraph"/>
        <w:numPr>
          <w:ilvl w:val="0"/>
          <w:numId w:val="17"/>
        </w:numPr>
      </w:pPr>
      <w:r>
        <w:lastRenderedPageBreak/>
        <w:t xml:space="preserve">Handle all communication with prospective tenants and react to any issues swiftly and in an appropriate manner. </w:t>
      </w:r>
    </w:p>
    <w:p w14:paraId="1DCA72D1" w14:textId="77777777" w:rsidR="00263047" w:rsidRDefault="00263047" w:rsidP="00263047">
      <w:pPr>
        <w:pStyle w:val="ListParagraph"/>
        <w:numPr>
          <w:ilvl w:val="0"/>
          <w:numId w:val="17"/>
        </w:numPr>
      </w:pPr>
      <w:r>
        <w:t>Be responsible for all viewings / inspections / negotiations.</w:t>
      </w:r>
    </w:p>
    <w:p w14:paraId="7AA37D7C" w14:textId="77777777" w:rsidR="00263047" w:rsidRDefault="00263047" w:rsidP="00263047">
      <w:pPr>
        <w:pStyle w:val="ListParagraph"/>
        <w:numPr>
          <w:ilvl w:val="0"/>
          <w:numId w:val="17"/>
        </w:numPr>
      </w:pPr>
      <w:r>
        <w:t>Advise the Council on best practice for allocation of car parking spaces.</w:t>
      </w:r>
    </w:p>
    <w:p w14:paraId="6D11FBC6" w14:textId="77777777" w:rsidR="00263047" w:rsidRDefault="00263047" w:rsidP="00263047">
      <w:pPr>
        <w:pStyle w:val="ListParagraph"/>
        <w:numPr>
          <w:ilvl w:val="0"/>
          <w:numId w:val="17"/>
        </w:numPr>
      </w:pPr>
      <w:r>
        <w:t>Comply with all data recording and GDPR regulations.</w:t>
      </w:r>
    </w:p>
    <w:p w14:paraId="65F4D356" w14:textId="77777777" w:rsidR="00263047" w:rsidRDefault="00263047" w:rsidP="00263047">
      <w:pPr>
        <w:pStyle w:val="ListParagraph"/>
        <w:numPr>
          <w:ilvl w:val="0"/>
          <w:numId w:val="17"/>
        </w:numPr>
      </w:pPr>
      <w:r>
        <w:t xml:space="preserve">Advising and supporting all tenants’ in ensuring they are aware of </w:t>
      </w:r>
      <w:proofErr w:type="gramStart"/>
      <w:r>
        <w:t>all of</w:t>
      </w:r>
      <w:proofErr w:type="gramEnd"/>
      <w:r>
        <w:t xml:space="preserve"> their liabilities under the Licences / Leases.</w:t>
      </w:r>
    </w:p>
    <w:p w14:paraId="556F4CBA" w14:textId="77777777" w:rsidR="0081014F" w:rsidRDefault="00263047" w:rsidP="0081014F">
      <w:pPr>
        <w:pStyle w:val="ListParagraph"/>
        <w:numPr>
          <w:ilvl w:val="0"/>
          <w:numId w:val="17"/>
        </w:numPr>
      </w:pPr>
      <w:r>
        <w:t>Meet with the Company Directors at an appropriate and pre agreed recurrence, either on site or at the Council offices in Fleet. The letting agent will be required to take minutes, circulate to the Directors and perform any action points decided.</w:t>
      </w:r>
    </w:p>
    <w:p w14:paraId="608B8867" w14:textId="79ABF8A8" w:rsidR="00D60FFB" w:rsidRPr="00DD43FC" w:rsidRDefault="00263047" w:rsidP="0081014F">
      <w:pPr>
        <w:pStyle w:val="ListParagraph"/>
        <w:numPr>
          <w:ilvl w:val="0"/>
          <w:numId w:val="17"/>
        </w:numPr>
      </w:pPr>
      <w:r>
        <w:t>Attend site meetings with the Directors if / when required at a pre agreed time and date.</w:t>
      </w:r>
      <w:r>
        <w:br/>
      </w:r>
    </w:p>
    <w:p w14:paraId="127E25E1" w14:textId="77777777" w:rsidR="002056BD" w:rsidRDefault="000D1848" w:rsidP="002056BD">
      <w:pPr>
        <w:pStyle w:val="ListParagraph"/>
        <w:numPr>
          <w:ilvl w:val="1"/>
          <w:numId w:val="1"/>
        </w:numPr>
      </w:pPr>
      <w:r>
        <w:t>Monitoring arrangements:</w:t>
      </w:r>
    </w:p>
    <w:p w14:paraId="612C4853" w14:textId="42A2677E" w:rsidR="00DE6664" w:rsidRPr="00DE6664" w:rsidRDefault="00DE6664" w:rsidP="00DE6664">
      <w:pPr>
        <w:pStyle w:val="ListParagraph"/>
        <w:numPr>
          <w:ilvl w:val="2"/>
          <w:numId w:val="1"/>
        </w:numPr>
      </w:pPr>
      <w:r w:rsidRPr="00DE6664">
        <w:t xml:space="preserve">The Council </w:t>
      </w:r>
      <w:r w:rsidR="00307E74">
        <w:t>will</w:t>
      </w:r>
      <w:r w:rsidRPr="00DE6664">
        <w:t xml:space="preserve"> monitor the performance of the Services by the Supplier. </w:t>
      </w:r>
    </w:p>
    <w:p w14:paraId="46013F94" w14:textId="085B150E" w:rsidR="00480057" w:rsidRPr="00A237F7" w:rsidRDefault="00BE35CD" w:rsidP="00CB7E4E">
      <w:pPr>
        <w:pStyle w:val="Heading1"/>
        <w:numPr>
          <w:ilvl w:val="0"/>
          <w:numId w:val="1"/>
        </w:numPr>
      </w:pPr>
      <w:bookmarkStart w:id="3" w:name="_Toc22814575"/>
      <w:r w:rsidRPr="007E4A31">
        <w:t xml:space="preserve">Information for </w:t>
      </w:r>
      <w:r w:rsidR="005973E0">
        <w:t>Bidders</w:t>
      </w:r>
      <w:bookmarkEnd w:id="3"/>
    </w:p>
    <w:p w14:paraId="11694B02" w14:textId="46B0A474"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01A1D0F5" w14:textId="67F7D568" w:rsidR="0067061E" w:rsidRDefault="0067061E" w:rsidP="00CB7E4E">
      <w:pPr>
        <w:pStyle w:val="ListParagraph"/>
        <w:numPr>
          <w:ilvl w:val="1"/>
          <w:numId w:val="1"/>
        </w:numPr>
      </w:pPr>
      <w:r>
        <w:t xml:space="preserve">The following documents will be available: </w:t>
      </w:r>
    </w:p>
    <w:p w14:paraId="0420D8D3" w14:textId="5DA3CFF2" w:rsidR="0067061E" w:rsidRDefault="0067061E" w:rsidP="0067061E">
      <w:pPr>
        <w:pStyle w:val="ListParagraph"/>
        <w:numPr>
          <w:ilvl w:val="2"/>
          <w:numId w:val="1"/>
        </w:numPr>
      </w:pPr>
      <w:r>
        <w:t xml:space="preserve">Floor plans </w:t>
      </w:r>
      <w:r w:rsidR="00E43958">
        <w:t xml:space="preserve">and site plan </w:t>
      </w:r>
    </w:p>
    <w:p w14:paraId="19338166" w14:textId="451A567F" w:rsidR="0067061E" w:rsidRDefault="00E43958" w:rsidP="0067061E">
      <w:pPr>
        <w:pStyle w:val="ListParagraph"/>
        <w:numPr>
          <w:ilvl w:val="2"/>
          <w:numId w:val="1"/>
        </w:numPr>
      </w:pPr>
      <w:r>
        <w:t>Outline specification of each apartment and block</w:t>
      </w:r>
    </w:p>
    <w:p w14:paraId="2183935E" w14:textId="0295A8ED" w:rsidR="006D6302" w:rsidRDefault="006D6302" w:rsidP="0067061E">
      <w:pPr>
        <w:pStyle w:val="ListParagraph"/>
        <w:numPr>
          <w:ilvl w:val="2"/>
          <w:numId w:val="1"/>
        </w:numPr>
      </w:pPr>
      <w:r>
        <w:t>Lettings Plan</w:t>
      </w:r>
    </w:p>
    <w:p w14:paraId="3BA6CBCD" w14:textId="31CA8016"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lastRenderedPageBreak/>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50D6142B" w:rsidR="001C7E14" w:rsidRDefault="001C7E14" w:rsidP="001C7E14">
      <w:pPr>
        <w:pStyle w:val="ListParagraph"/>
        <w:numPr>
          <w:ilvl w:val="1"/>
          <w:numId w:val="1"/>
        </w:numPr>
      </w:pPr>
      <w:r w:rsidRPr="00871595">
        <w:t xml:space="preserve">If the Council considers a query may have a material effect on quotation responses,  all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71C8273C"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Tender. </w:t>
      </w:r>
    </w:p>
    <w:p w14:paraId="581D38BA" w14:textId="2533EFD8" w:rsidR="005973E0" w:rsidRPr="00062156" w:rsidRDefault="00F770CB" w:rsidP="00062156">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686E33FB" w14:textId="7A0F0F19" w:rsidR="002845D5" w:rsidRDefault="002845D5" w:rsidP="00CB7E4E">
      <w:pPr>
        <w:pStyle w:val="Heading1"/>
        <w:numPr>
          <w:ilvl w:val="0"/>
          <w:numId w:val="1"/>
        </w:numPr>
      </w:pPr>
      <w:bookmarkStart w:id="4" w:name="_Toc22814576"/>
      <w:r>
        <w:lastRenderedPageBreak/>
        <w:t xml:space="preserve">Evaluation and </w:t>
      </w:r>
      <w:r w:rsidR="005973E0">
        <w:t>a</w:t>
      </w:r>
      <w:r>
        <w:t>ward</w:t>
      </w:r>
      <w:r w:rsidR="005973E0">
        <w:t xml:space="preserve"> process</w:t>
      </w:r>
      <w:bookmarkEnd w:id="4"/>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2FB2283F" w:rsidR="0035714E" w:rsidRPr="0035714E" w:rsidRDefault="0035714E" w:rsidP="007708B1">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r w:rsidR="00EB6A61" w:rsidRPr="00EB6A61">
              <w:rPr>
                <w:rFonts w:asciiTheme="majorHAnsi" w:hAnsiTheme="majorHAnsi" w:cs="Arial"/>
                <w:bCs/>
                <w:i/>
                <w:iCs/>
                <w:sz w:val="22"/>
                <w:szCs w:val="22"/>
              </w:rPr>
              <w:t>(Measured as a cost to the Council)</w:t>
            </w:r>
          </w:p>
        </w:tc>
        <w:tc>
          <w:tcPr>
            <w:tcW w:w="702" w:type="pct"/>
            <w:tcBorders>
              <w:left w:val="single" w:sz="4" w:space="0" w:color="FFFFFF" w:themeColor="background1"/>
            </w:tcBorders>
            <w:shd w:val="clear" w:color="auto" w:fill="auto"/>
            <w:noWrap/>
            <w:vAlign w:val="center"/>
          </w:tcPr>
          <w:p w14:paraId="316C0743" w14:textId="1F23D6C0" w:rsidR="0035714E" w:rsidRPr="001F0050" w:rsidRDefault="004444F1" w:rsidP="00EA5C74">
            <w:pPr>
              <w:jc w:val="center"/>
              <w:rPr>
                <w:rFonts w:asciiTheme="majorHAnsi" w:hAnsiTheme="majorHAnsi" w:cs="Arial"/>
                <w:b/>
                <w:sz w:val="22"/>
                <w:szCs w:val="22"/>
              </w:rPr>
            </w:pPr>
            <w:r>
              <w:rPr>
                <w:rFonts w:asciiTheme="majorHAnsi" w:hAnsiTheme="majorHAnsi" w:cs="Arial"/>
                <w:b/>
                <w:sz w:val="22"/>
                <w:szCs w:val="22"/>
              </w:rPr>
              <w:t>4</w:t>
            </w:r>
            <w:r w:rsidR="0035714E" w:rsidRPr="001F0050">
              <w:rPr>
                <w:rFonts w:asciiTheme="majorHAnsi" w:hAnsiTheme="majorHAnsi" w:cs="Arial"/>
                <w:b/>
                <w:sz w:val="22"/>
                <w:szCs w:val="22"/>
              </w:rPr>
              <w:t>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3468704B" w:rsidR="0035714E" w:rsidRPr="001F0050" w:rsidRDefault="004444F1" w:rsidP="0035714E">
            <w:pPr>
              <w:jc w:val="center"/>
              <w:rPr>
                <w:rFonts w:asciiTheme="majorHAnsi" w:hAnsiTheme="majorHAnsi" w:cs="Arial"/>
                <w:b/>
                <w:sz w:val="22"/>
                <w:szCs w:val="22"/>
              </w:rPr>
            </w:pPr>
            <w:r>
              <w:rPr>
                <w:rFonts w:asciiTheme="majorHAnsi" w:hAnsiTheme="majorHAnsi" w:cs="Arial"/>
                <w:b/>
                <w:sz w:val="22"/>
                <w:szCs w:val="22"/>
              </w:rPr>
              <w:t>6</w:t>
            </w:r>
            <w:r w:rsidR="0035714E" w:rsidRPr="001F0050">
              <w:rPr>
                <w:rFonts w:asciiTheme="majorHAnsi" w:hAnsiTheme="majorHAnsi" w:cs="Arial"/>
                <w:b/>
                <w:sz w:val="22"/>
                <w:szCs w:val="22"/>
              </w:rPr>
              <w:t>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819F39D" w:rsidR="0035714E" w:rsidRPr="001F0050" w:rsidRDefault="006A176F" w:rsidP="0035714E">
            <w:pPr>
              <w:jc w:val="center"/>
              <w:rPr>
                <w:rFonts w:asciiTheme="majorHAnsi" w:hAnsiTheme="majorHAnsi" w:cs="Arial"/>
                <w:i/>
                <w:sz w:val="22"/>
                <w:szCs w:val="22"/>
              </w:rPr>
            </w:pPr>
            <w:r>
              <w:rPr>
                <w:rFonts w:asciiTheme="majorHAnsi" w:hAnsiTheme="majorHAnsi" w:cs="Arial"/>
                <w:i/>
                <w:sz w:val="22"/>
                <w:szCs w:val="22"/>
              </w:rPr>
              <w:t>3</w:t>
            </w:r>
            <w:r w:rsidR="0035714E">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326308FC" w:rsidR="0035714E" w:rsidRPr="001F0050" w:rsidRDefault="00EB6A61"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7E8FEA3B" w:rsidR="0035714E" w:rsidRPr="001F0050" w:rsidRDefault="00997CCC"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1A32E1E0" w:rsidR="00E01F1B" w:rsidRDefault="007708B1" w:rsidP="007708B1">
            <w:pPr>
              <w:pStyle w:val="ListParagraph"/>
              <w:spacing w:after="0"/>
              <w:ind w:left="0"/>
              <w:jc w:val="center"/>
            </w:pPr>
            <w:r>
              <w:t>Highest</w:t>
            </w:r>
            <w:r w:rsidR="00E01F1B" w:rsidRPr="00B40C95">
              <w:t xml:space="preserve"> </w:t>
            </w:r>
            <w:r>
              <w:t>percent share</w:t>
            </w:r>
          </w:p>
        </w:tc>
      </w:tr>
      <w:tr w:rsidR="00E01F1B" w14:paraId="4CE9D818" w14:textId="77777777" w:rsidTr="007708B1">
        <w:trPr>
          <w:trHeight w:val="300"/>
        </w:trPr>
        <w:tc>
          <w:tcPr>
            <w:tcW w:w="4942" w:type="dxa"/>
            <w:vAlign w:val="center"/>
          </w:tcPr>
          <w:p w14:paraId="1809D981" w14:textId="7EE594EF" w:rsidR="00E01F1B" w:rsidRDefault="00E01F1B" w:rsidP="00E01F1B">
            <w:pPr>
              <w:pStyle w:val="ListParagraph"/>
              <w:spacing w:after="0"/>
              <w:ind w:left="0"/>
              <w:jc w:val="center"/>
            </w:pPr>
            <w:r w:rsidRPr="00B40C95">
              <w:t>P</w:t>
            </w:r>
            <w:r w:rsidR="007708B1">
              <w:t>ercent share</w:t>
            </w:r>
            <w:r w:rsidRPr="00B40C95">
              <w:t xml:space="preserve"> of next </w:t>
            </w:r>
            <w:r>
              <w:t>quote</w:t>
            </w:r>
            <w:r w:rsidRPr="00B40C95">
              <w:t xml:space="preserve"> 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facilities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7C472130" w14:textId="5A8A3339" w:rsidR="008D22D2" w:rsidRPr="002B68D8" w:rsidRDefault="008D22D2" w:rsidP="008E363D">
      <w:pPr>
        <w:pStyle w:val="ListParagraph"/>
        <w:numPr>
          <w:ilvl w:val="1"/>
          <w:numId w:val="1"/>
        </w:numPr>
      </w:pPr>
      <w:r>
        <w:t>The Council may, at its discretion, invite Bidders to clarify any elements of the</w:t>
      </w:r>
      <w:r w:rsidR="003B1B67">
        <w:t>ir</w:t>
      </w:r>
      <w:r>
        <w:t xml:space="preserve"> quotation.</w:t>
      </w:r>
      <w:r w:rsidR="003B1B67">
        <w:t xml:space="preserve"> This may include an interview in order to help the Council arrive at its final mark. </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5" w:name="_Hlt491676697"/>
      <w:bookmarkEnd w:id="5"/>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6"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6"/>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7C86D992" w14:textId="77777777" w:rsidR="006036F8" w:rsidRDefault="006036F8" w:rsidP="006036F8">
      <w:r>
        <w:t>Please indicate by ticking the box(es) below which service line you are bidding for:</w:t>
      </w:r>
    </w:p>
    <w:p w14:paraId="5C55C05B" w14:textId="77777777" w:rsidR="006036F8" w:rsidRDefault="006036F8" w:rsidP="006036F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6036F8" w:rsidRPr="004B2F24" w14:paraId="511F59F7" w14:textId="77777777" w:rsidTr="007923D4">
        <w:trPr>
          <w:trHeight w:val="350"/>
        </w:trPr>
        <w:tc>
          <w:tcPr>
            <w:tcW w:w="2547" w:type="dxa"/>
          </w:tcPr>
          <w:p w14:paraId="60C148E2" w14:textId="152335B0" w:rsidR="006036F8" w:rsidRPr="004B2F24" w:rsidRDefault="006036F8" w:rsidP="007923D4">
            <w:pPr>
              <w:jc w:val="both"/>
              <w:rPr>
                <w:rFonts w:ascii="Gill Sans MT" w:hAnsi="Gill Sans MT" w:cs="Arial"/>
                <w:b/>
                <w:bCs/>
                <w:szCs w:val="24"/>
              </w:rPr>
            </w:pPr>
            <w:r>
              <w:rPr>
                <w:rFonts w:ascii="Gill Sans MT" w:hAnsi="Gill Sans MT" w:cs="Arial"/>
                <w:szCs w:val="24"/>
              </w:rPr>
              <w:t>Management</w:t>
            </w:r>
            <w:r w:rsidR="000B1FE6">
              <w:rPr>
                <w:rFonts w:ascii="Gill Sans MT" w:hAnsi="Gill Sans MT" w:cs="Arial"/>
                <w:szCs w:val="24"/>
              </w:rPr>
              <w:t xml:space="preserve"> (Lot 1):</w:t>
            </w:r>
          </w:p>
        </w:tc>
        <w:tc>
          <w:tcPr>
            <w:tcW w:w="6627" w:type="dxa"/>
          </w:tcPr>
          <w:p w14:paraId="72160088" w14:textId="77777777" w:rsidR="006036F8" w:rsidRPr="004B2F24" w:rsidRDefault="006036F8" w:rsidP="007923D4">
            <w:pPr>
              <w:jc w:val="both"/>
              <w:rPr>
                <w:rFonts w:ascii="Gill Sans MT" w:hAnsi="Gill Sans MT" w:cs="Arial"/>
                <w:b/>
                <w:bCs/>
                <w:szCs w:val="24"/>
              </w:rPr>
            </w:pPr>
          </w:p>
        </w:tc>
      </w:tr>
      <w:tr w:rsidR="006036F8" w:rsidRPr="004B2F24" w14:paraId="517E78DB" w14:textId="77777777" w:rsidTr="007923D4">
        <w:trPr>
          <w:trHeight w:val="216"/>
        </w:trPr>
        <w:tc>
          <w:tcPr>
            <w:tcW w:w="2547" w:type="dxa"/>
          </w:tcPr>
          <w:p w14:paraId="3ACB3C9C" w14:textId="7BBEC410" w:rsidR="006036F8" w:rsidRPr="004B2F24" w:rsidRDefault="006036F8" w:rsidP="007923D4">
            <w:pPr>
              <w:jc w:val="both"/>
              <w:rPr>
                <w:rFonts w:ascii="Gill Sans MT" w:hAnsi="Gill Sans MT" w:cs="Arial"/>
                <w:b/>
                <w:bCs/>
                <w:szCs w:val="24"/>
              </w:rPr>
            </w:pPr>
            <w:r>
              <w:rPr>
                <w:rFonts w:ascii="Gill Sans MT" w:hAnsi="Gill Sans MT" w:cs="Arial"/>
                <w:szCs w:val="24"/>
              </w:rPr>
              <w:t>Letting</w:t>
            </w:r>
            <w:r w:rsidR="000B1FE6">
              <w:rPr>
                <w:rFonts w:ascii="Gill Sans MT" w:hAnsi="Gill Sans MT" w:cs="Arial"/>
                <w:szCs w:val="24"/>
              </w:rPr>
              <w:t xml:space="preserve"> (Lot 2)</w:t>
            </w:r>
            <w:r>
              <w:rPr>
                <w:rFonts w:ascii="Gill Sans MT" w:hAnsi="Gill Sans MT" w:cs="Arial"/>
                <w:szCs w:val="24"/>
              </w:rPr>
              <w:t>:</w:t>
            </w:r>
          </w:p>
        </w:tc>
        <w:tc>
          <w:tcPr>
            <w:tcW w:w="6627" w:type="dxa"/>
          </w:tcPr>
          <w:p w14:paraId="21E10B62" w14:textId="77777777" w:rsidR="006036F8" w:rsidRPr="004B2F24" w:rsidRDefault="006036F8" w:rsidP="007923D4">
            <w:pPr>
              <w:jc w:val="both"/>
              <w:rPr>
                <w:rFonts w:ascii="Gill Sans MT" w:hAnsi="Gill Sans MT" w:cs="Arial"/>
                <w:b/>
                <w:bCs/>
                <w:szCs w:val="24"/>
              </w:rPr>
            </w:pPr>
          </w:p>
        </w:tc>
      </w:tr>
    </w:tbl>
    <w:p w14:paraId="5AC26BF9" w14:textId="6A95DAB9"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7" w:name="_Toc22814578"/>
      <w:r w:rsidRPr="00050FE3">
        <w:lastRenderedPageBreak/>
        <w:t>Quotation response</w:t>
      </w:r>
      <w:r>
        <w:t xml:space="preserve">: </w:t>
      </w:r>
      <w:r w:rsidRPr="00050FE3">
        <w:t xml:space="preserve">Bidder </w:t>
      </w:r>
      <w:r>
        <w:t>s</w:t>
      </w:r>
      <w:r w:rsidR="004B2F24">
        <w:t>ubmission</w:t>
      </w:r>
      <w:bookmarkEnd w:id="7"/>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D34A78" w:rsidRPr="004B2F24" w14:paraId="4B78DD66" w14:textId="77777777" w:rsidTr="00D34A78">
        <w:tc>
          <w:tcPr>
            <w:tcW w:w="5240" w:type="dxa"/>
          </w:tcPr>
          <w:p w14:paraId="48ABFB4A" w14:textId="66136175" w:rsidR="00D34A78" w:rsidRPr="003A3D90" w:rsidRDefault="003A3D90" w:rsidP="00C20FA0">
            <w:pPr>
              <w:jc w:val="both"/>
              <w:rPr>
                <w:rFonts w:ascii="Gill Sans MT" w:hAnsi="Gill Sans MT" w:cs="Arial"/>
                <w:szCs w:val="24"/>
              </w:rPr>
            </w:pPr>
            <w:r>
              <w:rPr>
                <w:rFonts w:ascii="Gill Sans MT" w:hAnsi="Gill Sans MT" w:cs="Arial"/>
                <w:szCs w:val="24"/>
              </w:rPr>
              <w:t xml:space="preserve">The total annual fee payable by the Council for the management services detailed in this tender </w:t>
            </w:r>
            <w:r w:rsidR="00E51AF3">
              <w:rPr>
                <w:rFonts w:ascii="Gill Sans MT" w:hAnsi="Gill Sans MT" w:cs="Arial"/>
                <w:szCs w:val="24"/>
              </w:rPr>
              <w:t>(if any)</w:t>
            </w:r>
          </w:p>
        </w:tc>
        <w:tc>
          <w:tcPr>
            <w:tcW w:w="546" w:type="dxa"/>
            <w:tcBorders>
              <w:right w:val="single" w:sz="4" w:space="0" w:color="808080" w:themeColor="background1" w:themeShade="80"/>
            </w:tcBorders>
          </w:tcPr>
          <w:p w14:paraId="2D8E96F5" w14:textId="2D918575" w:rsidR="00D34A78" w:rsidRPr="004B2F24" w:rsidRDefault="00D34A78" w:rsidP="00EA5C74">
            <w:pPr>
              <w:jc w:val="both"/>
              <w:rPr>
                <w:rFonts w:ascii="Gill Sans MT" w:hAnsi="Gill Sans MT" w:cs="Arial"/>
                <w:b/>
                <w:bCs/>
                <w:szCs w:val="24"/>
              </w:rPr>
            </w:pPr>
          </w:p>
        </w:tc>
        <w:tc>
          <w:tcPr>
            <w:tcW w:w="3388" w:type="dxa"/>
            <w:tcBorders>
              <w:left w:val="single" w:sz="4" w:space="0" w:color="808080" w:themeColor="background1" w:themeShade="80"/>
            </w:tcBorders>
          </w:tcPr>
          <w:p w14:paraId="08D416BC" w14:textId="2DABA967" w:rsidR="00D34A78" w:rsidRPr="00387A29" w:rsidRDefault="00D34A78" w:rsidP="00EA5C74">
            <w:pPr>
              <w:jc w:val="both"/>
              <w:rPr>
                <w:rFonts w:ascii="Gill Sans MT" w:hAnsi="Gill Sans MT" w:cs="Arial"/>
                <w:bCs/>
                <w:szCs w:val="24"/>
              </w:rPr>
            </w:pPr>
          </w:p>
        </w:tc>
      </w:tr>
      <w:tr w:rsidR="003A3D90" w:rsidRPr="004B2F24" w14:paraId="1DCDB5D4" w14:textId="77777777" w:rsidTr="006974B0">
        <w:trPr>
          <w:trHeight w:val="726"/>
        </w:trPr>
        <w:tc>
          <w:tcPr>
            <w:tcW w:w="5240" w:type="dxa"/>
          </w:tcPr>
          <w:p w14:paraId="51D1AF53" w14:textId="4BB300AB" w:rsidR="006974B0" w:rsidRDefault="003A3D90" w:rsidP="00C20FA0">
            <w:pPr>
              <w:jc w:val="both"/>
              <w:rPr>
                <w:rFonts w:ascii="Gill Sans MT" w:hAnsi="Gill Sans MT" w:cs="Arial"/>
                <w:szCs w:val="24"/>
              </w:rPr>
            </w:pPr>
            <w:r>
              <w:rPr>
                <w:rFonts w:ascii="Gill Sans MT" w:hAnsi="Gill Sans MT" w:cs="Arial"/>
                <w:szCs w:val="24"/>
              </w:rPr>
              <w:t xml:space="preserve">The </w:t>
            </w:r>
            <w:r w:rsidR="00E51AF3">
              <w:rPr>
                <w:rFonts w:ascii="Gill Sans MT" w:hAnsi="Gill Sans MT" w:cs="Arial"/>
                <w:szCs w:val="24"/>
              </w:rPr>
              <w:t>total annual fee payable by the Council for the letting services detailed in this tender</w:t>
            </w:r>
            <w:r w:rsidR="00921B52">
              <w:rPr>
                <w:rFonts w:ascii="Gill Sans MT" w:hAnsi="Gill Sans MT" w:cs="Arial"/>
                <w:szCs w:val="24"/>
              </w:rPr>
              <w:t xml:space="preserve"> (either £ value or % of headline rent, per letting) </w:t>
            </w:r>
          </w:p>
        </w:tc>
        <w:tc>
          <w:tcPr>
            <w:tcW w:w="546" w:type="dxa"/>
            <w:tcBorders>
              <w:right w:val="single" w:sz="4" w:space="0" w:color="808080" w:themeColor="background1" w:themeShade="80"/>
            </w:tcBorders>
          </w:tcPr>
          <w:p w14:paraId="743FD3C6" w14:textId="77777777" w:rsidR="003A3D90" w:rsidRPr="004B2F24" w:rsidRDefault="003A3D90" w:rsidP="00EA5C74">
            <w:pPr>
              <w:jc w:val="both"/>
              <w:rPr>
                <w:rFonts w:ascii="Gill Sans MT" w:hAnsi="Gill Sans MT" w:cs="Arial"/>
                <w:b/>
                <w:bCs/>
                <w:szCs w:val="24"/>
              </w:rPr>
            </w:pPr>
          </w:p>
        </w:tc>
        <w:tc>
          <w:tcPr>
            <w:tcW w:w="3388" w:type="dxa"/>
            <w:tcBorders>
              <w:left w:val="single" w:sz="4" w:space="0" w:color="808080" w:themeColor="background1" w:themeShade="80"/>
            </w:tcBorders>
          </w:tcPr>
          <w:p w14:paraId="4FAC3DDA" w14:textId="77777777" w:rsidR="003A3D90" w:rsidRPr="00387A29" w:rsidRDefault="003A3D90" w:rsidP="00EA5C74">
            <w:pPr>
              <w:jc w:val="both"/>
              <w:rPr>
                <w:rFonts w:ascii="Gill Sans MT" w:hAnsi="Gill Sans MT" w:cs="Arial"/>
                <w:bCs/>
                <w:szCs w:val="24"/>
              </w:rPr>
            </w:pPr>
          </w:p>
        </w:tc>
      </w:tr>
      <w:tr w:rsidR="00E958A5" w:rsidRPr="004B2F24" w14:paraId="0A5FF5C9" w14:textId="77777777" w:rsidTr="006974B0">
        <w:trPr>
          <w:trHeight w:val="726"/>
        </w:trPr>
        <w:tc>
          <w:tcPr>
            <w:tcW w:w="5240" w:type="dxa"/>
          </w:tcPr>
          <w:p w14:paraId="71F3F279" w14:textId="21A8B139" w:rsidR="00E958A5" w:rsidRDefault="00E958A5" w:rsidP="00C20FA0">
            <w:pPr>
              <w:jc w:val="both"/>
              <w:rPr>
                <w:rFonts w:ascii="Gill Sans MT" w:hAnsi="Gill Sans MT" w:cs="Arial"/>
                <w:szCs w:val="24"/>
              </w:rPr>
            </w:pPr>
            <w:r>
              <w:rPr>
                <w:rFonts w:ascii="Gill Sans MT" w:hAnsi="Gill Sans MT" w:cs="Arial"/>
                <w:szCs w:val="24"/>
              </w:rPr>
              <w:t xml:space="preserve">The total annual fee payable by the Council for both management and letting services as detailed in this tender </w:t>
            </w:r>
          </w:p>
        </w:tc>
        <w:tc>
          <w:tcPr>
            <w:tcW w:w="546" w:type="dxa"/>
            <w:tcBorders>
              <w:right w:val="single" w:sz="4" w:space="0" w:color="808080" w:themeColor="background1" w:themeShade="80"/>
            </w:tcBorders>
          </w:tcPr>
          <w:p w14:paraId="36AA0F02" w14:textId="77777777" w:rsidR="00E958A5" w:rsidRPr="004B2F24" w:rsidRDefault="00E958A5" w:rsidP="00EA5C74">
            <w:pPr>
              <w:jc w:val="both"/>
              <w:rPr>
                <w:rFonts w:ascii="Gill Sans MT" w:hAnsi="Gill Sans MT" w:cs="Arial"/>
                <w:b/>
                <w:bCs/>
                <w:szCs w:val="24"/>
              </w:rPr>
            </w:pPr>
          </w:p>
        </w:tc>
        <w:tc>
          <w:tcPr>
            <w:tcW w:w="3388" w:type="dxa"/>
            <w:tcBorders>
              <w:left w:val="single" w:sz="4" w:space="0" w:color="808080" w:themeColor="background1" w:themeShade="80"/>
            </w:tcBorders>
          </w:tcPr>
          <w:p w14:paraId="350E8DBA" w14:textId="77777777" w:rsidR="00E958A5" w:rsidRPr="00387A29" w:rsidRDefault="00E958A5" w:rsidP="00EA5C7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0387A29">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004A3259">
        <w:tc>
          <w:tcPr>
            <w:tcW w:w="9174" w:type="dxa"/>
            <w:vAlign w:val="center"/>
          </w:tcPr>
          <w:p w14:paraId="5A030A50" w14:textId="07ECF418" w:rsidR="009F21C9" w:rsidRPr="004B31F4" w:rsidRDefault="002056BD" w:rsidP="00330ACD">
            <w:pPr>
              <w:pStyle w:val="ListParagraph"/>
              <w:numPr>
                <w:ilvl w:val="0"/>
                <w:numId w:val="8"/>
              </w:numPr>
            </w:pPr>
            <w:r w:rsidRPr="004B31F4">
              <w:t xml:space="preserve">Please provide examples of previous experience of managing </w:t>
            </w:r>
            <w:r w:rsidR="006974B0">
              <w:t xml:space="preserve">residential apartment blocks. Where possible please provide examples of any previous work with local authorities. </w:t>
            </w:r>
          </w:p>
          <w:p w14:paraId="63612DCD" w14:textId="77777777" w:rsidR="009F21C9" w:rsidRPr="004B31F4" w:rsidRDefault="009F21C9" w:rsidP="009F21C9">
            <w:pPr>
              <w:pStyle w:val="ListParagraph"/>
              <w:ind w:left="360"/>
            </w:pPr>
          </w:p>
          <w:p w14:paraId="147DB267" w14:textId="6A14BD54" w:rsidR="009F21C9" w:rsidRPr="004B31F4" w:rsidRDefault="002056BD" w:rsidP="00330ACD">
            <w:pPr>
              <w:pStyle w:val="ListParagraph"/>
              <w:numPr>
                <w:ilvl w:val="0"/>
                <w:numId w:val="8"/>
              </w:numPr>
            </w:pPr>
            <w:r w:rsidRPr="004B31F4">
              <w:t>Provide suitable liability insurance</w:t>
            </w:r>
            <w:r w:rsidR="00982663">
              <w:t xml:space="preserve">, as set out in clause </w:t>
            </w:r>
            <w:r w:rsidR="004D5035">
              <w:t xml:space="preserve">15 of the Terms and </w:t>
            </w:r>
            <w:r w:rsidR="00FA4AC0">
              <w:t>Conditions</w:t>
            </w:r>
            <w:r w:rsidR="004D5035">
              <w:t xml:space="preserve"> of Contract for Services</w:t>
            </w:r>
          </w:p>
          <w:p w14:paraId="5DDF8794" w14:textId="77777777" w:rsidR="009F21C9" w:rsidRPr="004B31F4" w:rsidRDefault="009F21C9" w:rsidP="009F21C9">
            <w:pPr>
              <w:pStyle w:val="ListParagraph"/>
              <w:ind w:left="360"/>
            </w:pPr>
          </w:p>
          <w:p w14:paraId="0C7214C5" w14:textId="683C2CBE" w:rsidR="009F21C9" w:rsidRPr="004B31F4" w:rsidRDefault="002056BD" w:rsidP="00330ACD">
            <w:pPr>
              <w:pStyle w:val="ListParagraph"/>
              <w:numPr>
                <w:ilvl w:val="0"/>
                <w:numId w:val="8"/>
              </w:numPr>
            </w:pPr>
            <w:r w:rsidRPr="004B31F4">
              <w:t xml:space="preserve">Using benchmarking against other </w:t>
            </w:r>
            <w:r w:rsidR="006974B0">
              <w:t xml:space="preserve">residential apartment blocks; provide an estimate of the likely service charge and / or a range of potential costs on a per month and per annum basis. </w:t>
            </w:r>
          </w:p>
          <w:p w14:paraId="1202B1F7" w14:textId="77777777" w:rsidR="009F21C9" w:rsidRPr="004B31F4" w:rsidRDefault="009F21C9" w:rsidP="009F21C9">
            <w:pPr>
              <w:pStyle w:val="ListParagraph"/>
              <w:ind w:left="360"/>
            </w:pPr>
          </w:p>
          <w:p w14:paraId="5C007DA4" w14:textId="77777777" w:rsidR="009F21C9" w:rsidRDefault="009F21C9" w:rsidP="009F21C9"/>
          <w:p w14:paraId="52F08CA1" w14:textId="77777777" w:rsidR="00C87268" w:rsidRDefault="00C87268" w:rsidP="009F21C9"/>
          <w:p w14:paraId="20D52F8F" w14:textId="77777777" w:rsidR="00C87268" w:rsidRDefault="00C87268" w:rsidP="009F21C9"/>
          <w:p w14:paraId="67A964CB" w14:textId="714FE370" w:rsidR="00C87268" w:rsidRPr="004B31F4" w:rsidRDefault="00C87268" w:rsidP="009F21C9"/>
        </w:tc>
      </w:tr>
      <w:tr w:rsidR="00F01E6B" w:rsidRPr="00F01E6B" w14:paraId="08FCC801" w14:textId="77777777" w:rsidTr="00387A29">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lastRenderedPageBreak/>
              <w:t>Method Statement and approach</w:t>
            </w:r>
          </w:p>
        </w:tc>
      </w:tr>
      <w:tr w:rsidR="00F01E6B" w:rsidRPr="00F01E6B" w14:paraId="3B127F17" w14:textId="77777777" w:rsidTr="00F01E6B">
        <w:tc>
          <w:tcPr>
            <w:tcW w:w="9174" w:type="dxa"/>
          </w:tcPr>
          <w:p w14:paraId="607BC96B" w14:textId="77777777" w:rsidR="009F21C9" w:rsidRPr="004B31F4" w:rsidRDefault="00387A29" w:rsidP="00330ACD">
            <w:pPr>
              <w:pStyle w:val="ListParagraph"/>
              <w:numPr>
                <w:ilvl w:val="0"/>
                <w:numId w:val="13"/>
              </w:numPr>
              <w:ind w:left="360"/>
              <w:rPr>
                <w:rFonts w:ascii="Gill Sans MT" w:hAnsi="Gill Sans MT" w:cs="Arial"/>
                <w:szCs w:val="24"/>
              </w:rPr>
            </w:pPr>
            <w:r w:rsidRPr="004B31F4">
              <w:rPr>
                <w:rFonts w:ascii="Gill Sans MT" w:hAnsi="Gill Sans MT" w:cs="Arial"/>
                <w:szCs w:val="24"/>
              </w:rPr>
              <w:t>Please supply a comprehensive method statement outlining your approach to meeting each of our requirements as listed in the specification</w:t>
            </w:r>
            <w:r w:rsidR="009F21C9" w:rsidRPr="004B31F4">
              <w:rPr>
                <w:rFonts w:ascii="Gill Sans MT" w:hAnsi="Gill Sans MT" w:cs="Arial"/>
                <w:szCs w:val="24"/>
              </w:rPr>
              <w:t>.</w:t>
            </w:r>
          </w:p>
          <w:p w14:paraId="2FE7BB27" w14:textId="77777777" w:rsidR="004B31F4" w:rsidRPr="004B31F4" w:rsidRDefault="004B31F4" w:rsidP="004B31F4">
            <w:pPr>
              <w:pStyle w:val="ListParagraph"/>
              <w:ind w:left="0"/>
              <w:rPr>
                <w:rFonts w:ascii="Gill Sans MT" w:hAnsi="Gill Sans MT" w:cs="Arial"/>
                <w:szCs w:val="24"/>
              </w:rPr>
            </w:pPr>
          </w:p>
          <w:p w14:paraId="647A02AF" w14:textId="2D8E3BC5" w:rsidR="004B31F4" w:rsidRDefault="004B31F4" w:rsidP="00330ACD">
            <w:pPr>
              <w:pStyle w:val="ListParagraph"/>
              <w:numPr>
                <w:ilvl w:val="0"/>
                <w:numId w:val="13"/>
              </w:numPr>
              <w:ind w:left="360"/>
            </w:pPr>
            <w:r w:rsidRPr="004B31F4">
              <w:t xml:space="preserve">Please also </w:t>
            </w:r>
            <w:r w:rsidR="002056BD" w:rsidRPr="004B31F4">
              <w:t xml:space="preserve">suggest any other </w:t>
            </w:r>
            <w:r w:rsidRPr="004B31F4">
              <w:t xml:space="preserve">added value that your submission offers such as </w:t>
            </w:r>
            <w:r w:rsidR="006974B0">
              <w:t xml:space="preserve">dual management and letting, local expertise or innovative ways you suggest we employ to ensure a modern and efficient way of managing the blocks. </w:t>
            </w:r>
          </w:p>
          <w:p w14:paraId="0C77B8BF" w14:textId="77777777" w:rsidR="00C87268" w:rsidRDefault="00C87268" w:rsidP="00C87268">
            <w:pPr>
              <w:pStyle w:val="ListParagraph"/>
            </w:pPr>
          </w:p>
          <w:p w14:paraId="4497BE98" w14:textId="78DEC415" w:rsidR="00C87268" w:rsidRPr="004B31F4" w:rsidRDefault="00FA5092" w:rsidP="00330ACD">
            <w:pPr>
              <w:pStyle w:val="ListParagraph"/>
              <w:numPr>
                <w:ilvl w:val="0"/>
                <w:numId w:val="13"/>
              </w:numPr>
              <w:ind w:left="360"/>
            </w:pPr>
            <w:r>
              <w:t xml:space="preserve">Please provide details of proposed monitoring arrangements for the contract, including Service Level Agreements, Key Performance Indicators and Management information. </w:t>
            </w:r>
            <w:r w:rsidR="00F22034">
              <w:t xml:space="preserve">Please note the Council intends to agree monitoring arrangements with any successful supplier in advance of contract commencement. </w:t>
            </w:r>
          </w:p>
          <w:p w14:paraId="58F2772F" w14:textId="6856C96B" w:rsidR="002056BD" w:rsidRPr="004B31F4" w:rsidRDefault="002056BD" w:rsidP="009F21C9">
            <w:pPr>
              <w:pStyle w:val="ListParagraph"/>
              <w:ind w:left="0"/>
              <w:rPr>
                <w:rFonts w:ascii="Gill Sans MT" w:hAnsi="Gill Sans MT" w:cs="Arial"/>
                <w:szCs w:val="24"/>
              </w:rPr>
            </w:pPr>
          </w:p>
          <w:p w14:paraId="0ED5269E" w14:textId="77777777" w:rsidR="00387A29" w:rsidRPr="004B31F4" w:rsidRDefault="00387A29" w:rsidP="00F01E6B">
            <w:pPr>
              <w:jc w:val="both"/>
              <w:rPr>
                <w:rFonts w:ascii="Gill Sans MT" w:hAnsi="Gill Sans MT" w:cs="Arial"/>
                <w:szCs w:val="24"/>
              </w:rPr>
            </w:pPr>
          </w:p>
          <w:p w14:paraId="649173C0" w14:textId="77777777" w:rsidR="00387A29" w:rsidRPr="004B31F4" w:rsidRDefault="00387A29" w:rsidP="00F01E6B">
            <w:pPr>
              <w:jc w:val="both"/>
              <w:rPr>
                <w:rFonts w:ascii="Gill Sans MT" w:hAnsi="Gill Sans MT" w:cs="Arial"/>
                <w:szCs w:val="24"/>
              </w:rPr>
            </w:pPr>
          </w:p>
        </w:tc>
      </w:tr>
      <w:tr w:rsidR="00F01E6B" w:rsidRPr="00F01E6B" w14:paraId="269ED6AE" w14:textId="77777777" w:rsidTr="00387A29">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00F01E6B">
        <w:tc>
          <w:tcPr>
            <w:tcW w:w="9174" w:type="dxa"/>
          </w:tcPr>
          <w:p w14:paraId="6CF98FA5" w14:textId="20DC0B3D" w:rsidR="00387A29" w:rsidRDefault="00F85896" w:rsidP="00330ACD">
            <w:pPr>
              <w:pStyle w:val="ListParagraph"/>
              <w:numPr>
                <w:ilvl w:val="0"/>
                <w:numId w:val="14"/>
              </w:numPr>
              <w:jc w:val="both"/>
              <w:rPr>
                <w:rFonts w:ascii="Gill Sans MT" w:hAnsi="Gill Sans MT" w:cs="Arial"/>
                <w:szCs w:val="24"/>
              </w:rPr>
            </w:pPr>
            <w:r w:rsidRPr="004B31F4">
              <w:rPr>
                <w:rFonts w:ascii="Gill Sans MT" w:hAnsi="Gill Sans MT" w:cs="Arial"/>
                <w:szCs w:val="24"/>
              </w:rPr>
              <w:t xml:space="preserve">Please provide two case studies that support the detail provided in the Experience </w:t>
            </w:r>
            <w:r w:rsidR="00467DF2">
              <w:rPr>
                <w:rFonts w:ascii="Gill Sans MT" w:hAnsi="Gill Sans MT" w:cs="Arial"/>
                <w:szCs w:val="24"/>
              </w:rPr>
              <w:t xml:space="preserve">and/or Method Statement </w:t>
            </w:r>
            <w:r w:rsidRPr="004B31F4">
              <w:rPr>
                <w:rFonts w:ascii="Gill Sans MT" w:hAnsi="Gill Sans MT" w:cs="Arial"/>
                <w:szCs w:val="24"/>
              </w:rPr>
              <w:t>section.</w:t>
            </w:r>
          </w:p>
          <w:p w14:paraId="34A7DE0E" w14:textId="47C7D0EC" w:rsidR="006974B0" w:rsidRPr="006974B0" w:rsidRDefault="006974B0" w:rsidP="006974B0">
            <w:pPr>
              <w:jc w:val="both"/>
              <w:rPr>
                <w:rFonts w:ascii="Gill Sans MT" w:hAnsi="Gill Sans MT" w:cs="Arial"/>
                <w:szCs w:val="24"/>
              </w:rPr>
            </w:pPr>
            <w:r>
              <w:rPr>
                <w:rFonts w:ascii="Gill Sans MT" w:hAnsi="Gill Sans MT" w:cs="Arial"/>
                <w:szCs w:val="24"/>
              </w:rPr>
              <w:t xml:space="preserve">*References may be sought from the successful bidder and prior to agreement of the Contract. </w:t>
            </w:r>
          </w:p>
          <w:p w14:paraId="3D089D1C" w14:textId="77777777" w:rsidR="00387A29" w:rsidRPr="004B31F4" w:rsidRDefault="00387A29" w:rsidP="00F01E6B">
            <w:pPr>
              <w:jc w:val="both"/>
              <w:rPr>
                <w:rFonts w:ascii="Gill Sans MT" w:hAnsi="Gill Sans MT" w:cs="Arial"/>
                <w:szCs w:val="24"/>
              </w:rPr>
            </w:pPr>
          </w:p>
          <w:p w14:paraId="3CE589A3" w14:textId="77777777" w:rsidR="00387A29" w:rsidRPr="004B31F4" w:rsidRDefault="00387A29" w:rsidP="00F01E6B">
            <w:pPr>
              <w:jc w:val="both"/>
              <w:rPr>
                <w:rFonts w:ascii="Gill Sans MT" w:hAnsi="Gill Sans MT" w:cs="Arial"/>
                <w:szCs w:val="24"/>
              </w:rPr>
            </w:pPr>
          </w:p>
          <w:p w14:paraId="0E8011DE" w14:textId="77777777" w:rsidR="00387A29" w:rsidRPr="004B31F4" w:rsidRDefault="00387A29" w:rsidP="00F01E6B">
            <w:pPr>
              <w:jc w:val="both"/>
              <w:rPr>
                <w:rFonts w:ascii="Gill Sans MT" w:hAnsi="Gill Sans MT" w:cs="Arial"/>
                <w:szCs w:val="24"/>
              </w:rPr>
            </w:pPr>
          </w:p>
          <w:p w14:paraId="369EA6DB" w14:textId="77777777" w:rsidR="00387A29" w:rsidRPr="004B31F4" w:rsidRDefault="00387A29" w:rsidP="00F01E6B">
            <w:pPr>
              <w:jc w:val="both"/>
              <w:rPr>
                <w:rFonts w:ascii="Gill Sans MT" w:hAnsi="Gill Sans MT" w:cs="Arial"/>
                <w:szCs w:val="24"/>
              </w:rPr>
            </w:pPr>
          </w:p>
        </w:tc>
      </w:tr>
    </w:tbl>
    <w:p w14:paraId="62640194" w14:textId="468C5546" w:rsidR="2AA5A241" w:rsidRDefault="2AA5A241"/>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0BDB5BE0" w14:textId="476505E9" w:rsidR="009165D7" w:rsidRDefault="005D62BB" w:rsidP="009165D7">
      <w:pPr>
        <w:rPr>
          <w:rFonts w:asciiTheme="majorHAnsi" w:hAnsiTheme="majorHAnsi" w:cs="Arial"/>
          <w:szCs w:val="24"/>
        </w:rPr>
      </w:pPr>
      <w:r>
        <w:rPr>
          <w:rFonts w:asciiTheme="majorHAnsi" w:hAnsiTheme="majorHAnsi" w:cs="Arial"/>
          <w:szCs w:val="24"/>
        </w:rPr>
        <w:br w:type="page"/>
      </w:r>
    </w:p>
    <w:p w14:paraId="796068AD" w14:textId="5A38475C" w:rsidR="009165D7" w:rsidRDefault="009165D7" w:rsidP="009165D7">
      <w:pPr>
        <w:pStyle w:val="Heading1"/>
        <w:numPr>
          <w:ilvl w:val="0"/>
          <w:numId w:val="1"/>
        </w:numPr>
      </w:pPr>
      <w:bookmarkStart w:id="8" w:name="_Toc22814579"/>
      <w:r w:rsidRPr="009165D7">
        <w:lastRenderedPageBreak/>
        <w:t>Terms and Conditions of Contract for Services</w:t>
      </w:r>
      <w:bookmarkEnd w:id="8"/>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79042F3B"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FA4AC0">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6411574" w14:textId="026A5AF3" w:rsidR="2AA5A241" w:rsidRDefault="2AA5A241"/>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9" w:name="_Ref377050430"/>
      <w:r w:rsidRPr="005D62BB">
        <w:rPr>
          <w:rFonts w:asciiTheme="majorHAnsi" w:hAnsiTheme="majorHAnsi" w:cs="Arial"/>
          <w:sz w:val="24"/>
          <w:szCs w:val="24"/>
        </w:rPr>
        <w:t>Basis of Agreement</w:t>
      </w:r>
      <w:bookmarkEnd w:id="9"/>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0" w:name="_Ref377050437"/>
      <w:r w:rsidRPr="005D62BB">
        <w:rPr>
          <w:rFonts w:asciiTheme="majorHAnsi" w:hAnsiTheme="majorHAnsi" w:cs="Arial"/>
          <w:b w:val="0"/>
          <w:sz w:val="24"/>
          <w:szCs w:val="24"/>
        </w:rPr>
        <w:t>In supplying the Services, the Supplier shall:</w:t>
      </w:r>
      <w:bookmarkEnd w:id="10"/>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1" w:name="_Ref360039773"/>
      <w:r w:rsidRPr="005D62BB">
        <w:rPr>
          <w:rFonts w:asciiTheme="majorHAnsi" w:hAnsiTheme="majorHAnsi" w:cs="Arial"/>
          <w:sz w:val="24"/>
          <w:szCs w:val="24"/>
        </w:rPr>
        <w:t>provide all equipment, tools and vehicles and other items as are required to provide the Services.</w:t>
      </w:r>
      <w:bookmarkEnd w:id="11"/>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take effect on the date specified in Award Letter and shall expire on the Expiry Date, unless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 w:name="_Ref266710570"/>
      <w:bookmarkStart w:id="13"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of </w:t>
      </w:r>
      <w:r w:rsidR="008E34B0">
        <w:rPr>
          <w:rFonts w:asciiTheme="majorHAnsi" w:hAnsiTheme="majorHAnsi" w:cs="Arial"/>
          <w:b w:val="0"/>
          <w:sz w:val="24"/>
          <w:szCs w:val="24"/>
        </w:rPr>
        <w:t xml:space="preserve"> 2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2"/>
      <w:r w:rsidRPr="005D62BB">
        <w:rPr>
          <w:rFonts w:asciiTheme="majorHAnsi" w:hAnsiTheme="majorHAnsi" w:cs="Arial"/>
          <w:b w:val="0"/>
          <w:sz w:val="24"/>
          <w:szCs w:val="24"/>
        </w:rPr>
        <w:t>ded period.</w:t>
      </w:r>
      <w:bookmarkEnd w:id="13"/>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and  undisputed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5FE5DBE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FA4AC0">
        <w:rPr>
          <w:rFonts w:asciiTheme="majorHAnsi" w:hAnsiTheme="majorHAnsi" w:cs="Arial"/>
          <w:b w:val="0"/>
          <w:sz w:val="24"/>
          <w:szCs w:val="24"/>
        </w:rPr>
        <w:t xml:space="preserve">Council’s </w:t>
      </w:r>
      <w:r w:rsidR="00FA4AC0"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a provision requiring the counterparty to that sub-contract to include in any sub-contract which </w:t>
      </w:r>
      <w:proofErr w:type="gramStart"/>
      <w:r w:rsidRPr="005D62BB">
        <w:rPr>
          <w:rFonts w:asciiTheme="majorHAnsi" w:hAnsiTheme="majorHAnsi"/>
          <w:sz w:val="24"/>
          <w:szCs w:val="24"/>
        </w:rPr>
        <w:t>it</w:t>
      </w:r>
      <w:proofErr w:type="gramEnd"/>
      <w:r w:rsidRPr="005D62BB">
        <w:rPr>
          <w:rFonts w:asciiTheme="majorHAnsi" w:hAnsiTheme="majorHAnsi"/>
          <w:sz w:val="24"/>
          <w:szCs w:val="24"/>
        </w:rPr>
        <w:t xml:space="preserve">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by the Supplier or the Staff shall be at the Supplier’s risk.</w:t>
      </w:r>
      <w:bookmarkEnd w:id="14"/>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5"/>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manner in which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6"/>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7"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7"/>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8" w:name="_Ref377050486"/>
      <w:r w:rsidRPr="005D62BB">
        <w:rPr>
          <w:rFonts w:asciiTheme="majorHAnsi" w:hAnsiTheme="majorHAnsi" w:cs="Arial"/>
          <w:sz w:val="24"/>
          <w:szCs w:val="24"/>
        </w:rPr>
        <w:lastRenderedPageBreak/>
        <w:t>Staff and Key Personnel</w:t>
      </w:r>
      <w:bookmarkEnd w:id="18"/>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9" w:name="_Ref377050375"/>
      <w:r w:rsidRPr="005D62BB">
        <w:rPr>
          <w:rFonts w:asciiTheme="majorHAnsi" w:hAnsiTheme="majorHAnsi" w:cs="Arial"/>
          <w:b w:val="0"/>
          <w:sz w:val="24"/>
          <w:szCs w:val="24"/>
        </w:rPr>
        <w:t>The Supplier shall:</w:t>
      </w:r>
      <w:bookmarkEnd w:id="19"/>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0" w:name="_Ref377050494"/>
      <w:r w:rsidRPr="005D62BB">
        <w:rPr>
          <w:rFonts w:asciiTheme="majorHAnsi" w:hAnsiTheme="majorHAnsi" w:cs="Arial"/>
          <w:sz w:val="24"/>
          <w:szCs w:val="24"/>
        </w:rPr>
        <w:lastRenderedPageBreak/>
        <w:t>Intellectual Property Rights</w:t>
      </w:r>
      <w:bookmarkEnd w:id="20"/>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1"/>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any intellectual property rights created during the Term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2"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2"/>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3"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4" w:name="_DV_M163"/>
      <w:bookmarkStart w:id="25" w:name="_DV_M164"/>
      <w:bookmarkStart w:id="26" w:name="_DV_M974"/>
      <w:bookmarkEnd w:id="24"/>
      <w:bookmarkEnd w:id="25"/>
      <w:bookmarkEnd w:id="26"/>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7"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7"/>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8" w:name="_Ref377050387"/>
      <w:r w:rsidRPr="005D62BB">
        <w:rPr>
          <w:rFonts w:asciiTheme="majorHAnsi" w:hAnsiTheme="majorHAnsi" w:cs="Arial"/>
          <w:sz w:val="24"/>
          <w:szCs w:val="24"/>
        </w:rPr>
        <w:t>Confidentiality</w:t>
      </w:r>
      <w:bookmarkEnd w:id="23"/>
      <w:r w:rsidRPr="005D62BB">
        <w:rPr>
          <w:rFonts w:asciiTheme="majorHAnsi" w:hAnsiTheme="majorHAnsi" w:cs="Arial"/>
          <w:sz w:val="24"/>
          <w:szCs w:val="24"/>
        </w:rPr>
        <w:t>, Transparency and Publicity</w:t>
      </w:r>
      <w:bookmarkEnd w:id="28"/>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9"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9"/>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0"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30"/>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1"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1"/>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360043449"/>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2"/>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3" w:name="_Ref260825584"/>
      <w:r w:rsidRPr="005D62BB">
        <w:rPr>
          <w:rFonts w:asciiTheme="majorHAnsi" w:hAnsiTheme="majorHAnsi" w:cs="Arial"/>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3"/>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261004389"/>
      <w:r w:rsidRPr="005D62BB">
        <w:rPr>
          <w:rFonts w:asciiTheme="majorHAnsi" w:hAnsiTheme="majorHAnsi" w:cs="Arial"/>
          <w:sz w:val="24"/>
          <w:szCs w:val="24"/>
        </w:rPr>
        <w:t>Freedom of Information</w:t>
      </w:r>
      <w:bookmarkEnd w:id="34"/>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possession  or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5" w:name="_Ref377050406"/>
      <w:bookmarkStart w:id="36" w:name="_Ref260838253"/>
      <w:r w:rsidRPr="005D62BB">
        <w:rPr>
          <w:rFonts w:asciiTheme="majorHAnsi" w:hAnsiTheme="majorHAnsi" w:cs="Arial"/>
          <w:sz w:val="24"/>
          <w:szCs w:val="24"/>
        </w:rPr>
        <w:t>Protection of Personal Data and Security of Data</w:t>
      </w:r>
      <w:bookmarkEnd w:id="35"/>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7"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6"/>
      <w:bookmarkEnd w:id="37"/>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Controller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0422E9DF"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the Suppl</w:t>
      </w:r>
      <w:r w:rsidR="00FA4AC0">
        <w:rPr>
          <w:rFonts w:asciiTheme="majorHAnsi" w:hAnsiTheme="majorHAnsi" w:cs="Arial"/>
          <w:sz w:val="24"/>
          <w:szCs w:val="24"/>
        </w:rPr>
        <w:t>ier shall promptly notify the 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r w:rsidR="00D23F8F">
        <w:rPr>
          <w:rFonts w:asciiTheme="majorHAnsi" w:hAnsiTheme="majorHAnsi" w:cs="Arial"/>
          <w:sz w:val="24"/>
          <w:szCs w:val="24"/>
        </w:rPr>
        <w:t>Council</w:t>
      </w:r>
      <w:r w:rsidR="00054A79">
        <w:rPr>
          <w:rFonts w:asciiTheme="majorHAnsi" w:hAnsiTheme="majorHAnsi" w:cs="Arial"/>
          <w:sz w:val="24"/>
          <w:szCs w:val="24"/>
        </w:rPr>
        <w:t>;</w:t>
      </w:r>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8"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(whether or not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8"/>
    </w:p>
    <w:p w14:paraId="3C85C5F0" w14:textId="6F2BB50A"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third party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FA4AC0">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FA4AC0">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9" w:name="_Ref377050536"/>
      <w:r w:rsidRPr="005D62BB">
        <w:rPr>
          <w:rFonts w:asciiTheme="majorHAnsi" w:hAnsiTheme="majorHAnsi" w:cs="Arial"/>
          <w:sz w:val="24"/>
          <w:szCs w:val="24"/>
        </w:rPr>
        <w:t>Liability</w:t>
      </w:r>
      <w:bookmarkEnd w:id="39"/>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0"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40"/>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1"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1"/>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0"/>
      <w:r w:rsidRPr="005D62BB">
        <w:rPr>
          <w:rFonts w:asciiTheme="majorHAnsi" w:hAnsiTheme="majorHAnsi" w:cs="Arial"/>
          <w:b w:val="0"/>
          <w:sz w:val="24"/>
          <w:szCs w:val="24"/>
        </w:rPr>
        <w:t>Nothing in the Agreement shall be construed to limit or exclude either Party's liability for:</w:t>
      </w:r>
      <w:bookmarkEnd w:id="42"/>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3"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3"/>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Liability </w:t>
      </w:r>
      <w:r w:rsidR="00C139FC">
        <w:rPr>
          <w:rFonts w:asciiTheme="majorHAnsi" w:hAnsiTheme="majorHAnsi" w:cs="Arial"/>
          <w:b w:val="0"/>
          <w:sz w:val="24"/>
          <w:szCs w:val="24"/>
        </w:rPr>
        <w:t>,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60044784"/>
      <w:r w:rsidRPr="005D62BB">
        <w:rPr>
          <w:rFonts w:asciiTheme="majorHAnsi" w:hAnsiTheme="majorHAnsi" w:cs="Arial"/>
          <w:sz w:val="24"/>
          <w:szCs w:val="24"/>
        </w:rPr>
        <w:t>Force Majeure</w:t>
      </w:r>
      <w:bookmarkEnd w:id="44"/>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event </w:t>
      </w:r>
      <w:r w:rsidRPr="005D62BB">
        <w:rPr>
          <w:rFonts w:asciiTheme="majorHAnsi" w:hAnsiTheme="majorHAnsi" w:cs="Arial"/>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5" w:name="_Ref359655944"/>
      <w:bookmarkStart w:id="46" w:name="_Ref245529290"/>
      <w:r w:rsidRPr="005D62BB">
        <w:rPr>
          <w:rFonts w:asciiTheme="majorHAnsi" w:hAnsiTheme="majorHAnsi" w:cs="Arial"/>
          <w:sz w:val="24"/>
          <w:szCs w:val="24"/>
        </w:rPr>
        <w:lastRenderedPageBreak/>
        <w:t>Termination</w:t>
      </w:r>
      <w:bookmarkEnd w:id="45"/>
    </w:p>
    <w:bookmarkEnd w:id="46"/>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(without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8"/>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7"/>
      <w:bookmarkEnd w:id="49"/>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50"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fails to comply with legal obligations in the fields of environmental, social or labour law.</w:t>
      </w:r>
      <w:bookmarkEnd w:id="50"/>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1"/>
      <w:bookmarkEnd w:id="52"/>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3" w:name="_Ref377050546"/>
      <w:r w:rsidRPr="005D62BB">
        <w:rPr>
          <w:rFonts w:asciiTheme="majorHAnsi" w:hAnsiTheme="majorHAnsi" w:cs="Arial"/>
          <w:b w:val="0"/>
          <w:sz w:val="24"/>
          <w:szCs w:val="24"/>
        </w:rPr>
        <w:t>Upon termination or expiry of the Agreement, the Supplier shall:</w:t>
      </w:r>
      <w:bookmarkEnd w:id="53"/>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4" w:name="_Ref377050416"/>
      <w:r w:rsidRPr="005D62BB">
        <w:rPr>
          <w:rFonts w:asciiTheme="majorHAnsi" w:hAnsiTheme="majorHAnsi" w:cs="Arial"/>
          <w:sz w:val="24"/>
          <w:szCs w:val="24"/>
        </w:rPr>
        <w:lastRenderedPageBreak/>
        <w:t>Compliance</w:t>
      </w:r>
      <w:bookmarkEnd w:id="54"/>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5" w:name="_Ref261013166"/>
      <w:r w:rsidRPr="005D62BB">
        <w:rPr>
          <w:rFonts w:asciiTheme="majorHAnsi" w:hAnsiTheme="majorHAnsi" w:cs="Arial"/>
          <w:b w:val="0"/>
          <w:sz w:val="24"/>
          <w:szCs w:val="24"/>
        </w:rPr>
        <w:t xml:space="preserve">The Supplier </w:t>
      </w:r>
      <w:bookmarkEnd w:id="55"/>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6"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6"/>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7"/>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8" w:name="_Ref359607864"/>
      <w:bookmarkStart w:id="59"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0"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60"/>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D62BB">
        <w:rPr>
          <w:rFonts w:asciiTheme="majorHAnsi" w:hAnsiTheme="majorHAnsi" w:cs="Arial"/>
          <w:sz w:val="24"/>
          <w:szCs w:val="24"/>
        </w:rPr>
        <w:t>Dispute Resolution</w:t>
      </w:r>
      <w:bookmarkEnd w:id="84"/>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86"/>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7"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7"/>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643"/>
      <w:r w:rsidRPr="005D62BB">
        <w:rPr>
          <w:rFonts w:asciiTheme="majorHAnsi" w:hAnsiTheme="majorHAnsi" w:cs="Arial"/>
          <w:b w:val="0"/>
          <w:sz w:val="24"/>
          <w:szCs w:val="24"/>
        </w:rPr>
        <w:t>Notices served as above shall be deemed served on the Working Day of delivery provided delivery is before 5.00pm on a Working Day.  Otherwise delivery shall be deemed to occur on the next Working Day.</w:t>
      </w:r>
      <w:bookmarkEnd w:id="88"/>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9"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9"/>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2D20BBCE"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FA4AC0"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1748B" w14:textId="77777777" w:rsidR="008A6871" w:rsidRDefault="008A6871">
      <w:r>
        <w:separator/>
      </w:r>
    </w:p>
  </w:endnote>
  <w:endnote w:type="continuationSeparator" w:id="0">
    <w:p w14:paraId="706B86BA" w14:textId="77777777" w:rsidR="008A6871" w:rsidRDefault="008A6871">
      <w:r>
        <w:continuationSeparator/>
      </w:r>
    </w:p>
  </w:endnote>
  <w:endnote w:type="continuationNotice" w:id="1">
    <w:p w14:paraId="29E51D33" w14:textId="77777777" w:rsidR="008A6871" w:rsidRDefault="008A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A9C4" w14:textId="32A05112" w:rsidR="00F76CFC" w:rsidRPr="0027516E" w:rsidRDefault="00F76CFC"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9</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AC9A" w14:textId="2E26C619" w:rsidR="00F76CFC" w:rsidRPr="002362B2" w:rsidRDefault="00F76CFC"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A92CD" w14:textId="77777777" w:rsidR="008A6871" w:rsidRDefault="008A6871">
      <w:r>
        <w:separator/>
      </w:r>
    </w:p>
  </w:footnote>
  <w:footnote w:type="continuationSeparator" w:id="0">
    <w:p w14:paraId="34C1FF56" w14:textId="77777777" w:rsidR="008A6871" w:rsidRDefault="008A6871">
      <w:r>
        <w:continuationSeparator/>
      </w:r>
    </w:p>
  </w:footnote>
  <w:footnote w:type="continuationNotice" w:id="1">
    <w:p w14:paraId="28881FC8" w14:textId="77777777" w:rsidR="008A6871" w:rsidRDefault="008A6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3C920" w14:textId="0271228F" w:rsidR="00F76CFC" w:rsidRDefault="00F76CFC">
    <w:pPr>
      <w:pStyle w:val="Header"/>
      <w:tabs>
        <w:tab w:val="clear" w:pos="4153"/>
        <w:tab w:val="left" w:pos="6379"/>
      </w:tabs>
    </w:pPr>
    <w:r>
      <w:rPr>
        <w:noProof/>
      </w:rPr>
      <w:drawing>
        <wp:inline distT="0" distB="0" distL="0" distR="0" wp14:anchorId="5F25B641" wp14:editId="5E441AD0">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multilevel"/>
    <w:tmpl w:val="76B20EBE"/>
    <w:lvl w:ilvl="0">
      <w:start w:val="1"/>
      <w:numFmt w:val="decimal"/>
      <w:pStyle w:val="Schedule"/>
      <w:lvlText w:val="%1"/>
      <w:lvlJc w:val="center"/>
      <w:pPr>
        <w:tabs>
          <w:tab w:val="num" w:pos="0"/>
        </w:tabs>
        <w:ind w:left="0" w:firstLine="0"/>
      </w:pPr>
      <w:rPr>
        <w:rFonts w:hint="default"/>
        <w:vanis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F66C78"/>
    <w:multiLevelType w:val="hybridMultilevel"/>
    <w:tmpl w:val="DF822326"/>
    <w:lvl w:ilvl="0" w:tplc="FE0E19A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1E801D0"/>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086074"/>
    <w:multiLevelType w:val="hybridMultilevel"/>
    <w:tmpl w:val="7F66DE74"/>
    <w:lvl w:ilvl="0" w:tplc="9FA28E04">
      <w:start w:val="1"/>
      <w:numFmt w:val="decimal"/>
      <w:lvlText w:val="%1"/>
      <w:lvlJc w:val="left"/>
      <w:pPr>
        <w:ind w:left="851" w:hanging="851"/>
      </w:pPr>
      <w:rPr>
        <w:rFonts w:hint="default"/>
      </w:rPr>
    </w:lvl>
    <w:lvl w:ilvl="1" w:tplc="D0C6F2F4">
      <w:start w:val="1"/>
      <w:numFmt w:val="decimal"/>
      <w:lvlText w:val="%1.%2"/>
      <w:lvlJc w:val="left"/>
      <w:pPr>
        <w:ind w:left="851" w:hanging="851"/>
      </w:pPr>
      <w:rPr>
        <w:rFonts w:asciiTheme="majorHAnsi" w:hAnsiTheme="majorHAnsi" w:hint="default"/>
      </w:rPr>
    </w:lvl>
    <w:lvl w:ilvl="2" w:tplc="42BA28EC">
      <w:start w:val="1"/>
      <w:numFmt w:val="decimal"/>
      <w:lvlText w:val="%1.%2.%3"/>
      <w:lvlJc w:val="left"/>
      <w:pPr>
        <w:ind w:left="851" w:hanging="851"/>
      </w:pPr>
      <w:rPr>
        <w:rFonts w:hint="default"/>
      </w:rPr>
    </w:lvl>
    <w:lvl w:ilvl="3" w:tplc="499A2888">
      <w:start w:val="1"/>
      <w:numFmt w:val="decimal"/>
      <w:lvlText w:val="%1.%2.%3.%4"/>
      <w:lvlJc w:val="left"/>
      <w:pPr>
        <w:ind w:left="851" w:hanging="851"/>
      </w:pPr>
      <w:rPr>
        <w:rFonts w:hint="default"/>
      </w:rPr>
    </w:lvl>
    <w:lvl w:ilvl="4" w:tplc="39EA5994">
      <w:start w:val="1"/>
      <w:numFmt w:val="decimal"/>
      <w:lvlText w:val="%1.%2.%3.%4.%5."/>
      <w:lvlJc w:val="left"/>
      <w:pPr>
        <w:ind w:left="851" w:hanging="851"/>
      </w:pPr>
      <w:rPr>
        <w:rFonts w:hint="default"/>
      </w:rPr>
    </w:lvl>
    <w:lvl w:ilvl="5" w:tplc="073268E8">
      <w:start w:val="1"/>
      <w:numFmt w:val="decimal"/>
      <w:lvlText w:val="%1.%2.%3.%4.%5.%6."/>
      <w:lvlJc w:val="left"/>
      <w:pPr>
        <w:ind w:left="851" w:hanging="851"/>
      </w:pPr>
      <w:rPr>
        <w:rFonts w:hint="default"/>
      </w:rPr>
    </w:lvl>
    <w:lvl w:ilvl="6" w:tplc="0CF45318">
      <w:start w:val="1"/>
      <w:numFmt w:val="decimal"/>
      <w:lvlText w:val="%1.%2.%3.%4.%5.%6.%7."/>
      <w:lvlJc w:val="left"/>
      <w:pPr>
        <w:ind w:left="851" w:hanging="851"/>
      </w:pPr>
      <w:rPr>
        <w:rFonts w:hint="default"/>
      </w:rPr>
    </w:lvl>
    <w:lvl w:ilvl="7" w:tplc="31423AC0">
      <w:start w:val="1"/>
      <w:numFmt w:val="decimal"/>
      <w:lvlText w:val="%1.%2.%3.%4.%5.%6.%7.%8."/>
      <w:lvlJc w:val="left"/>
      <w:pPr>
        <w:ind w:left="851" w:hanging="851"/>
      </w:pPr>
      <w:rPr>
        <w:rFonts w:hint="default"/>
      </w:rPr>
    </w:lvl>
    <w:lvl w:ilvl="8" w:tplc="594668E8">
      <w:start w:val="1"/>
      <w:numFmt w:val="decimal"/>
      <w:lvlText w:val="%1.%2.%3.%4.%5.%6.%7.%8.%9."/>
      <w:lvlJc w:val="left"/>
      <w:pPr>
        <w:ind w:left="851" w:hanging="851"/>
      </w:pPr>
      <w:rPr>
        <w:rFonts w:hint="default"/>
      </w:rPr>
    </w:lvl>
  </w:abstractNum>
  <w:abstractNum w:abstractNumId="14" w15:restartNumberingAfterBreak="0">
    <w:nsid w:val="62787184"/>
    <w:multiLevelType w:val="hybridMultilevel"/>
    <w:tmpl w:val="52DC5476"/>
    <w:lvl w:ilvl="0" w:tplc="13C834B6">
      <w:start w:val="1"/>
      <w:numFmt w:val="decimal"/>
      <w:lvlText w:val="%1"/>
      <w:lvlJc w:val="left"/>
      <w:pPr>
        <w:tabs>
          <w:tab w:val="num" w:pos="360"/>
        </w:tabs>
        <w:ind w:left="360" w:hanging="360"/>
      </w:pPr>
      <w:rPr>
        <w:rFonts w:hint="default"/>
        <w:b w:val="0"/>
        <w:i w:val="0"/>
        <w:u w:val="none"/>
      </w:rPr>
    </w:lvl>
    <w:lvl w:ilvl="1" w:tplc="A4FA87B2">
      <w:start w:val="1"/>
      <w:numFmt w:val="decimal"/>
      <w:pStyle w:val="Level2"/>
      <w:lvlText w:val="%1.%2"/>
      <w:lvlJc w:val="left"/>
      <w:pPr>
        <w:tabs>
          <w:tab w:val="num" w:pos="951"/>
        </w:tabs>
        <w:ind w:left="951" w:hanging="851"/>
      </w:pPr>
      <w:rPr>
        <w:rFonts w:hint="default"/>
        <w:b w:val="0"/>
        <w:i w:val="0"/>
        <w:u w:val="none"/>
      </w:rPr>
    </w:lvl>
    <w:lvl w:ilvl="2" w:tplc="5A025276">
      <w:start w:val="1"/>
      <w:numFmt w:val="decimal"/>
      <w:pStyle w:val="Level3"/>
      <w:lvlText w:val="%1.%2.%3"/>
      <w:lvlJc w:val="left"/>
      <w:pPr>
        <w:tabs>
          <w:tab w:val="num" w:pos="2092"/>
        </w:tabs>
        <w:ind w:left="2092" w:hanging="992"/>
      </w:pPr>
      <w:rPr>
        <w:rFonts w:hint="default"/>
        <w:b w:val="0"/>
        <w:i w:val="0"/>
        <w:u w:val="none"/>
      </w:rPr>
    </w:lvl>
    <w:lvl w:ilvl="3" w:tplc="F47A76BA">
      <w:start w:val="1"/>
      <w:numFmt w:val="decimal"/>
      <w:pStyle w:val="Level4"/>
      <w:lvlText w:val="%1.%2.%3.%4"/>
      <w:lvlJc w:val="left"/>
      <w:pPr>
        <w:tabs>
          <w:tab w:val="num" w:pos="3176"/>
        </w:tabs>
        <w:ind w:left="3176" w:hanging="1276"/>
      </w:pPr>
      <w:rPr>
        <w:rFonts w:hint="default"/>
        <w:b w:val="0"/>
        <w:i w:val="0"/>
        <w:u w:val="none"/>
      </w:rPr>
    </w:lvl>
    <w:lvl w:ilvl="4" w:tplc="39909860">
      <w:start w:val="1"/>
      <w:numFmt w:val="lowerLetter"/>
      <w:pStyle w:val="Level5"/>
      <w:lvlText w:val="(%5)"/>
      <w:lvlJc w:val="left"/>
      <w:pPr>
        <w:tabs>
          <w:tab w:val="num" w:pos="3376"/>
        </w:tabs>
        <w:ind w:left="3376" w:hanging="1276"/>
      </w:pPr>
      <w:rPr>
        <w:rFonts w:hint="default"/>
        <w:b w:val="0"/>
        <w:i w:val="0"/>
        <w:u w:val="none"/>
      </w:rPr>
    </w:lvl>
    <w:lvl w:ilvl="5" w:tplc="347E1DF2">
      <w:start w:val="1"/>
      <w:numFmt w:val="none"/>
      <w:lvlText w:val="(Not Defined)"/>
      <w:lvlJc w:val="left"/>
      <w:pPr>
        <w:tabs>
          <w:tab w:val="num" w:pos="3240"/>
        </w:tabs>
        <w:ind w:left="2736" w:hanging="936"/>
      </w:pPr>
      <w:rPr>
        <w:rFonts w:hint="default"/>
      </w:rPr>
    </w:lvl>
    <w:lvl w:ilvl="6" w:tplc="459CC850">
      <w:start w:val="1"/>
      <w:numFmt w:val="none"/>
      <w:lvlText w:val="(Not Defined)"/>
      <w:lvlJc w:val="left"/>
      <w:pPr>
        <w:tabs>
          <w:tab w:val="num" w:pos="3600"/>
        </w:tabs>
        <w:ind w:left="3240" w:hanging="1080"/>
      </w:pPr>
      <w:rPr>
        <w:rFonts w:hint="default"/>
      </w:rPr>
    </w:lvl>
    <w:lvl w:ilvl="7" w:tplc="27A2BAE8">
      <w:start w:val="1"/>
      <w:numFmt w:val="none"/>
      <w:lvlText w:val="(Not Defined)"/>
      <w:lvlJc w:val="left"/>
      <w:pPr>
        <w:tabs>
          <w:tab w:val="num" w:pos="3960"/>
        </w:tabs>
        <w:ind w:left="3744" w:hanging="1224"/>
      </w:pPr>
      <w:rPr>
        <w:rFonts w:hint="default"/>
      </w:rPr>
    </w:lvl>
    <w:lvl w:ilvl="8" w:tplc="F7565FC0">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hybridMultilevel"/>
    <w:tmpl w:val="B1DE373C"/>
    <w:lvl w:ilvl="0" w:tplc="C48A91AC">
      <w:start w:val="1"/>
      <w:numFmt w:val="none"/>
      <w:pStyle w:val="Introheading"/>
      <w:lvlText w:val=""/>
      <w:lvlJc w:val="left"/>
      <w:pPr>
        <w:tabs>
          <w:tab w:val="num" w:pos="0"/>
        </w:tabs>
        <w:ind w:left="0" w:firstLine="0"/>
      </w:pPr>
      <w:rPr>
        <w:rFonts w:hint="default"/>
      </w:rPr>
    </w:lvl>
    <w:lvl w:ilvl="1" w:tplc="DC58DFF8">
      <w:start w:val="1"/>
      <w:numFmt w:val="decimal"/>
      <w:pStyle w:val="Parties1"/>
      <w:lvlText w:val="(%2)"/>
      <w:lvlJc w:val="left"/>
      <w:pPr>
        <w:tabs>
          <w:tab w:val="num" w:pos="709"/>
        </w:tabs>
        <w:ind w:left="709" w:hanging="709"/>
      </w:pPr>
      <w:rPr>
        <w:rFonts w:hint="default"/>
      </w:rPr>
    </w:lvl>
    <w:lvl w:ilvl="2" w:tplc="D694A93C">
      <w:start w:val="1"/>
      <w:numFmt w:val="upperLetter"/>
      <w:lvlRestart w:val="1"/>
      <w:pStyle w:val="Background1"/>
      <w:lvlText w:val="%3"/>
      <w:lvlJc w:val="left"/>
      <w:pPr>
        <w:tabs>
          <w:tab w:val="num" w:pos="709"/>
        </w:tabs>
        <w:ind w:left="709" w:hanging="709"/>
      </w:pPr>
      <w:rPr>
        <w:rFonts w:hint="default"/>
      </w:rPr>
    </w:lvl>
    <w:lvl w:ilvl="3" w:tplc="D9927918">
      <w:start w:val="1"/>
      <w:numFmt w:val="lowerLetter"/>
      <w:pStyle w:val="Background2"/>
      <w:lvlText w:val="(%4)"/>
      <w:lvlJc w:val="left"/>
      <w:pPr>
        <w:tabs>
          <w:tab w:val="num" w:pos="1418"/>
        </w:tabs>
        <w:ind w:left="1418" w:hanging="709"/>
      </w:pPr>
      <w:rPr>
        <w:rFonts w:hint="default"/>
      </w:rPr>
    </w:lvl>
    <w:lvl w:ilvl="4" w:tplc="1C426046">
      <w:start w:val="1"/>
      <w:numFmt w:val="none"/>
      <w:suff w:val="nothing"/>
      <w:lvlText w:val=""/>
      <w:lvlJc w:val="left"/>
      <w:pPr>
        <w:ind w:left="709" w:firstLine="0"/>
      </w:pPr>
      <w:rPr>
        <w:rFonts w:hint="default"/>
      </w:rPr>
    </w:lvl>
    <w:lvl w:ilvl="5" w:tplc="CD90C388">
      <w:start w:val="1"/>
      <w:numFmt w:val="none"/>
      <w:suff w:val="nothing"/>
      <w:lvlText w:val=""/>
      <w:lvlJc w:val="left"/>
      <w:pPr>
        <w:ind w:left="709" w:firstLine="0"/>
      </w:pPr>
      <w:rPr>
        <w:rFonts w:hint="default"/>
      </w:rPr>
    </w:lvl>
    <w:lvl w:ilvl="6" w:tplc="AAECA4F8">
      <w:start w:val="1"/>
      <w:numFmt w:val="none"/>
      <w:suff w:val="nothing"/>
      <w:lvlText w:val=""/>
      <w:lvlJc w:val="left"/>
      <w:pPr>
        <w:ind w:left="709" w:firstLine="0"/>
      </w:pPr>
      <w:rPr>
        <w:rFonts w:hint="default"/>
      </w:rPr>
    </w:lvl>
    <w:lvl w:ilvl="7" w:tplc="51163F00">
      <w:start w:val="1"/>
      <w:numFmt w:val="none"/>
      <w:suff w:val="nothing"/>
      <w:lvlText w:val=""/>
      <w:lvlJc w:val="left"/>
      <w:pPr>
        <w:ind w:left="709" w:firstLine="0"/>
      </w:pPr>
      <w:rPr>
        <w:rFonts w:hint="default"/>
      </w:rPr>
    </w:lvl>
    <w:lvl w:ilvl="8" w:tplc="645A6BAC">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3"/>
  </w:num>
  <w:num w:numId="2">
    <w:abstractNumId w:val="6"/>
  </w:num>
  <w:num w:numId="3">
    <w:abstractNumId w:val="14"/>
  </w:num>
  <w:num w:numId="4">
    <w:abstractNumId w:val="1"/>
  </w:num>
  <w:num w:numId="5">
    <w:abstractNumId w:val="9"/>
  </w:num>
  <w:num w:numId="6">
    <w:abstractNumId w:val="17"/>
  </w:num>
  <w:num w:numId="7">
    <w:abstractNumId w:val="7"/>
  </w:num>
  <w:num w:numId="8">
    <w:abstractNumId w:val="8"/>
  </w:num>
  <w:num w:numId="9">
    <w:abstractNumId w:val="15"/>
  </w:num>
  <w:num w:numId="10">
    <w:abstractNumId w:val="16"/>
  </w:num>
  <w:num w:numId="11">
    <w:abstractNumId w:val="12"/>
  </w:num>
  <w:num w:numId="12">
    <w:abstractNumId w:val="0"/>
  </w:num>
  <w:num w:numId="13">
    <w:abstractNumId w:val="5"/>
  </w:num>
  <w:num w:numId="14">
    <w:abstractNumId w:val="3"/>
  </w:num>
  <w:num w:numId="15">
    <w:abstractNumId w:val="11"/>
  </w:num>
  <w:num w:numId="16">
    <w:abstractNumId w:val="2"/>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1FAB"/>
    <w:rsid w:val="00002670"/>
    <w:rsid w:val="0000622C"/>
    <w:rsid w:val="00011107"/>
    <w:rsid w:val="00011E42"/>
    <w:rsid w:val="00011E75"/>
    <w:rsid w:val="00013786"/>
    <w:rsid w:val="00016C89"/>
    <w:rsid w:val="00025621"/>
    <w:rsid w:val="000258D0"/>
    <w:rsid w:val="00026F3F"/>
    <w:rsid w:val="00030685"/>
    <w:rsid w:val="0003477F"/>
    <w:rsid w:val="000368DD"/>
    <w:rsid w:val="00036AA6"/>
    <w:rsid w:val="00037724"/>
    <w:rsid w:val="0004518E"/>
    <w:rsid w:val="00047005"/>
    <w:rsid w:val="0004779E"/>
    <w:rsid w:val="00050FE3"/>
    <w:rsid w:val="00054A79"/>
    <w:rsid w:val="00056A94"/>
    <w:rsid w:val="00062156"/>
    <w:rsid w:val="00064800"/>
    <w:rsid w:val="000736C5"/>
    <w:rsid w:val="00073DDE"/>
    <w:rsid w:val="000916F3"/>
    <w:rsid w:val="000A0F3A"/>
    <w:rsid w:val="000A113B"/>
    <w:rsid w:val="000A5434"/>
    <w:rsid w:val="000B1FE6"/>
    <w:rsid w:val="000B5252"/>
    <w:rsid w:val="000B53EC"/>
    <w:rsid w:val="000B7DE8"/>
    <w:rsid w:val="000C13B9"/>
    <w:rsid w:val="000C7917"/>
    <w:rsid w:val="000D1848"/>
    <w:rsid w:val="000D34A1"/>
    <w:rsid w:val="000D5EB1"/>
    <w:rsid w:val="000D6296"/>
    <w:rsid w:val="000E0212"/>
    <w:rsid w:val="000E3977"/>
    <w:rsid w:val="000E535C"/>
    <w:rsid w:val="000F0D5B"/>
    <w:rsid w:val="000F4C13"/>
    <w:rsid w:val="000F508B"/>
    <w:rsid w:val="00106BB7"/>
    <w:rsid w:val="00107790"/>
    <w:rsid w:val="001103F3"/>
    <w:rsid w:val="00111FE4"/>
    <w:rsid w:val="001254EC"/>
    <w:rsid w:val="00135621"/>
    <w:rsid w:val="0013786B"/>
    <w:rsid w:val="0014172D"/>
    <w:rsid w:val="0014293F"/>
    <w:rsid w:val="0014374C"/>
    <w:rsid w:val="00145053"/>
    <w:rsid w:val="00146E12"/>
    <w:rsid w:val="00150043"/>
    <w:rsid w:val="00151D37"/>
    <w:rsid w:val="001534E0"/>
    <w:rsid w:val="00153B9E"/>
    <w:rsid w:val="001565CF"/>
    <w:rsid w:val="00161C6C"/>
    <w:rsid w:val="001656C2"/>
    <w:rsid w:val="00167C25"/>
    <w:rsid w:val="0017037A"/>
    <w:rsid w:val="001706BF"/>
    <w:rsid w:val="00172F05"/>
    <w:rsid w:val="001746F0"/>
    <w:rsid w:val="001759EE"/>
    <w:rsid w:val="001770EE"/>
    <w:rsid w:val="0017718E"/>
    <w:rsid w:val="00182B4B"/>
    <w:rsid w:val="00186AF2"/>
    <w:rsid w:val="001901A5"/>
    <w:rsid w:val="00190D69"/>
    <w:rsid w:val="0019168F"/>
    <w:rsid w:val="00191AB0"/>
    <w:rsid w:val="00192B8B"/>
    <w:rsid w:val="001A50CD"/>
    <w:rsid w:val="001A6CB6"/>
    <w:rsid w:val="001B4D46"/>
    <w:rsid w:val="001C12BC"/>
    <w:rsid w:val="001C2685"/>
    <w:rsid w:val="001C2D0C"/>
    <w:rsid w:val="001C4250"/>
    <w:rsid w:val="001C7E14"/>
    <w:rsid w:val="001D3057"/>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12C96"/>
    <w:rsid w:val="00225ECE"/>
    <w:rsid w:val="0023159E"/>
    <w:rsid w:val="00231836"/>
    <w:rsid w:val="002362B2"/>
    <w:rsid w:val="00236C04"/>
    <w:rsid w:val="00241D56"/>
    <w:rsid w:val="002506A7"/>
    <w:rsid w:val="00250EC2"/>
    <w:rsid w:val="002513DD"/>
    <w:rsid w:val="00251546"/>
    <w:rsid w:val="0025195E"/>
    <w:rsid w:val="00254D2F"/>
    <w:rsid w:val="00262991"/>
    <w:rsid w:val="00263047"/>
    <w:rsid w:val="00266AC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0F5"/>
    <w:rsid w:val="0030179D"/>
    <w:rsid w:val="0030240E"/>
    <w:rsid w:val="003047BF"/>
    <w:rsid w:val="00306DA8"/>
    <w:rsid w:val="00307E74"/>
    <w:rsid w:val="00312083"/>
    <w:rsid w:val="00314D89"/>
    <w:rsid w:val="00315C94"/>
    <w:rsid w:val="00320ABC"/>
    <w:rsid w:val="0032192D"/>
    <w:rsid w:val="0032205A"/>
    <w:rsid w:val="003231BD"/>
    <w:rsid w:val="00325686"/>
    <w:rsid w:val="00330A6A"/>
    <w:rsid w:val="00330ACD"/>
    <w:rsid w:val="003370A7"/>
    <w:rsid w:val="00337F20"/>
    <w:rsid w:val="003433DF"/>
    <w:rsid w:val="00344C7F"/>
    <w:rsid w:val="003462D1"/>
    <w:rsid w:val="003569BD"/>
    <w:rsid w:val="0035714E"/>
    <w:rsid w:val="00362ACE"/>
    <w:rsid w:val="00364654"/>
    <w:rsid w:val="00364C27"/>
    <w:rsid w:val="00365DB4"/>
    <w:rsid w:val="00370F3F"/>
    <w:rsid w:val="00371F48"/>
    <w:rsid w:val="00372CFF"/>
    <w:rsid w:val="00373DDD"/>
    <w:rsid w:val="00380002"/>
    <w:rsid w:val="00380BC1"/>
    <w:rsid w:val="00381898"/>
    <w:rsid w:val="003821AA"/>
    <w:rsid w:val="0038293C"/>
    <w:rsid w:val="00387A29"/>
    <w:rsid w:val="00387A4D"/>
    <w:rsid w:val="00393948"/>
    <w:rsid w:val="00394F05"/>
    <w:rsid w:val="00396817"/>
    <w:rsid w:val="003A1377"/>
    <w:rsid w:val="003A397A"/>
    <w:rsid w:val="003A3D90"/>
    <w:rsid w:val="003A66E4"/>
    <w:rsid w:val="003A69BD"/>
    <w:rsid w:val="003B1B67"/>
    <w:rsid w:val="003C1AD6"/>
    <w:rsid w:val="003C352A"/>
    <w:rsid w:val="003C79C8"/>
    <w:rsid w:val="003D278C"/>
    <w:rsid w:val="003D5288"/>
    <w:rsid w:val="003E27A2"/>
    <w:rsid w:val="003E5B3E"/>
    <w:rsid w:val="003F0D68"/>
    <w:rsid w:val="003F6190"/>
    <w:rsid w:val="003F636A"/>
    <w:rsid w:val="003F680C"/>
    <w:rsid w:val="00400140"/>
    <w:rsid w:val="00401061"/>
    <w:rsid w:val="00402CAA"/>
    <w:rsid w:val="00407383"/>
    <w:rsid w:val="00421E5F"/>
    <w:rsid w:val="00425054"/>
    <w:rsid w:val="00427FA7"/>
    <w:rsid w:val="00434C31"/>
    <w:rsid w:val="004358B7"/>
    <w:rsid w:val="00440028"/>
    <w:rsid w:val="00443F5E"/>
    <w:rsid w:val="004444F1"/>
    <w:rsid w:val="00450E62"/>
    <w:rsid w:val="0045314E"/>
    <w:rsid w:val="004544F1"/>
    <w:rsid w:val="004552BC"/>
    <w:rsid w:val="00455C82"/>
    <w:rsid w:val="004569F2"/>
    <w:rsid w:val="00456F02"/>
    <w:rsid w:val="00462D95"/>
    <w:rsid w:val="00463477"/>
    <w:rsid w:val="00464366"/>
    <w:rsid w:val="004650A7"/>
    <w:rsid w:val="00467DF2"/>
    <w:rsid w:val="00472839"/>
    <w:rsid w:val="00473DBF"/>
    <w:rsid w:val="00480057"/>
    <w:rsid w:val="00482214"/>
    <w:rsid w:val="00486245"/>
    <w:rsid w:val="00494767"/>
    <w:rsid w:val="00494D08"/>
    <w:rsid w:val="00495130"/>
    <w:rsid w:val="00496D3D"/>
    <w:rsid w:val="00497E17"/>
    <w:rsid w:val="004A1949"/>
    <w:rsid w:val="004A292F"/>
    <w:rsid w:val="004A3259"/>
    <w:rsid w:val="004A5AE3"/>
    <w:rsid w:val="004A6D89"/>
    <w:rsid w:val="004B2F24"/>
    <w:rsid w:val="004B31F4"/>
    <w:rsid w:val="004C0055"/>
    <w:rsid w:val="004C0632"/>
    <w:rsid w:val="004C3E9B"/>
    <w:rsid w:val="004C5D8D"/>
    <w:rsid w:val="004C694E"/>
    <w:rsid w:val="004C78C8"/>
    <w:rsid w:val="004D0711"/>
    <w:rsid w:val="004D5035"/>
    <w:rsid w:val="004D5B25"/>
    <w:rsid w:val="004E1F43"/>
    <w:rsid w:val="004E3150"/>
    <w:rsid w:val="00500715"/>
    <w:rsid w:val="00500799"/>
    <w:rsid w:val="005071BB"/>
    <w:rsid w:val="00510F9B"/>
    <w:rsid w:val="00512E36"/>
    <w:rsid w:val="00515015"/>
    <w:rsid w:val="00515CC6"/>
    <w:rsid w:val="005303A8"/>
    <w:rsid w:val="00530A36"/>
    <w:rsid w:val="005344E0"/>
    <w:rsid w:val="00534B9C"/>
    <w:rsid w:val="00535FAD"/>
    <w:rsid w:val="00536C2D"/>
    <w:rsid w:val="00540976"/>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2810"/>
    <w:rsid w:val="005A30C0"/>
    <w:rsid w:val="005A3850"/>
    <w:rsid w:val="005A3E51"/>
    <w:rsid w:val="005A7DA7"/>
    <w:rsid w:val="005B1546"/>
    <w:rsid w:val="005B2BD8"/>
    <w:rsid w:val="005B36B1"/>
    <w:rsid w:val="005B3E35"/>
    <w:rsid w:val="005C1347"/>
    <w:rsid w:val="005C2205"/>
    <w:rsid w:val="005C2A11"/>
    <w:rsid w:val="005C52A9"/>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036F8"/>
    <w:rsid w:val="0062406D"/>
    <w:rsid w:val="006275B1"/>
    <w:rsid w:val="0063012F"/>
    <w:rsid w:val="00632ED3"/>
    <w:rsid w:val="00640BB6"/>
    <w:rsid w:val="00647869"/>
    <w:rsid w:val="0065016A"/>
    <w:rsid w:val="00652158"/>
    <w:rsid w:val="0065570F"/>
    <w:rsid w:val="0065691D"/>
    <w:rsid w:val="00657DBF"/>
    <w:rsid w:val="00661D4B"/>
    <w:rsid w:val="00664BCB"/>
    <w:rsid w:val="00665160"/>
    <w:rsid w:val="00665E8B"/>
    <w:rsid w:val="0067061E"/>
    <w:rsid w:val="00671867"/>
    <w:rsid w:val="006730C8"/>
    <w:rsid w:val="00673BCF"/>
    <w:rsid w:val="006740FF"/>
    <w:rsid w:val="00675807"/>
    <w:rsid w:val="00677584"/>
    <w:rsid w:val="00677C89"/>
    <w:rsid w:val="00683D0E"/>
    <w:rsid w:val="00692262"/>
    <w:rsid w:val="00693D30"/>
    <w:rsid w:val="006974B0"/>
    <w:rsid w:val="006A1769"/>
    <w:rsid w:val="006A176F"/>
    <w:rsid w:val="006A4ECE"/>
    <w:rsid w:val="006A4F3C"/>
    <w:rsid w:val="006A5475"/>
    <w:rsid w:val="006A548F"/>
    <w:rsid w:val="006B2C3A"/>
    <w:rsid w:val="006B3ABA"/>
    <w:rsid w:val="006C4B95"/>
    <w:rsid w:val="006C648A"/>
    <w:rsid w:val="006C6783"/>
    <w:rsid w:val="006C736C"/>
    <w:rsid w:val="006D43F6"/>
    <w:rsid w:val="006D5B5E"/>
    <w:rsid w:val="006D6302"/>
    <w:rsid w:val="006D6C52"/>
    <w:rsid w:val="006E234C"/>
    <w:rsid w:val="006E3501"/>
    <w:rsid w:val="006E3BB4"/>
    <w:rsid w:val="006F14C7"/>
    <w:rsid w:val="006F35C9"/>
    <w:rsid w:val="006F79CC"/>
    <w:rsid w:val="007003A2"/>
    <w:rsid w:val="00701A8F"/>
    <w:rsid w:val="007026DD"/>
    <w:rsid w:val="0070514A"/>
    <w:rsid w:val="00706733"/>
    <w:rsid w:val="00706E06"/>
    <w:rsid w:val="0071158B"/>
    <w:rsid w:val="00711E32"/>
    <w:rsid w:val="00713204"/>
    <w:rsid w:val="00715F74"/>
    <w:rsid w:val="00717324"/>
    <w:rsid w:val="007175B3"/>
    <w:rsid w:val="00717BB7"/>
    <w:rsid w:val="00721753"/>
    <w:rsid w:val="007230D3"/>
    <w:rsid w:val="007232C7"/>
    <w:rsid w:val="00727F2B"/>
    <w:rsid w:val="007335AA"/>
    <w:rsid w:val="00734AB6"/>
    <w:rsid w:val="00735619"/>
    <w:rsid w:val="0074346A"/>
    <w:rsid w:val="00750424"/>
    <w:rsid w:val="00753ABB"/>
    <w:rsid w:val="00755076"/>
    <w:rsid w:val="0075550D"/>
    <w:rsid w:val="00757719"/>
    <w:rsid w:val="007708B1"/>
    <w:rsid w:val="007764B1"/>
    <w:rsid w:val="0078113A"/>
    <w:rsid w:val="007923D4"/>
    <w:rsid w:val="0079300C"/>
    <w:rsid w:val="00793A9C"/>
    <w:rsid w:val="00797A26"/>
    <w:rsid w:val="00797E3B"/>
    <w:rsid w:val="007A052D"/>
    <w:rsid w:val="007A0D8B"/>
    <w:rsid w:val="007A1619"/>
    <w:rsid w:val="007A4F67"/>
    <w:rsid w:val="007A57BF"/>
    <w:rsid w:val="007B17F3"/>
    <w:rsid w:val="007B1DF4"/>
    <w:rsid w:val="007B2BE8"/>
    <w:rsid w:val="007B4AA4"/>
    <w:rsid w:val="007B6EE4"/>
    <w:rsid w:val="007D1078"/>
    <w:rsid w:val="007D42F2"/>
    <w:rsid w:val="007E1ABD"/>
    <w:rsid w:val="007E3548"/>
    <w:rsid w:val="007E3908"/>
    <w:rsid w:val="007E4A31"/>
    <w:rsid w:val="007E618B"/>
    <w:rsid w:val="007F38FB"/>
    <w:rsid w:val="007F52E4"/>
    <w:rsid w:val="007F63F3"/>
    <w:rsid w:val="007F730F"/>
    <w:rsid w:val="00800B3B"/>
    <w:rsid w:val="008032A7"/>
    <w:rsid w:val="00807E01"/>
    <w:rsid w:val="0081014F"/>
    <w:rsid w:val="008101A1"/>
    <w:rsid w:val="00810F51"/>
    <w:rsid w:val="00811A0E"/>
    <w:rsid w:val="0081416F"/>
    <w:rsid w:val="008268CB"/>
    <w:rsid w:val="00827FEB"/>
    <w:rsid w:val="008302A9"/>
    <w:rsid w:val="00837CF7"/>
    <w:rsid w:val="008407D4"/>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96E58"/>
    <w:rsid w:val="008A0D89"/>
    <w:rsid w:val="008A0ED9"/>
    <w:rsid w:val="008A1B7A"/>
    <w:rsid w:val="008A4B29"/>
    <w:rsid w:val="008A6871"/>
    <w:rsid w:val="008B07D5"/>
    <w:rsid w:val="008B2A02"/>
    <w:rsid w:val="008B38FF"/>
    <w:rsid w:val="008B7BC2"/>
    <w:rsid w:val="008C372E"/>
    <w:rsid w:val="008C3CEA"/>
    <w:rsid w:val="008C4B55"/>
    <w:rsid w:val="008C779A"/>
    <w:rsid w:val="008D1405"/>
    <w:rsid w:val="008D22D2"/>
    <w:rsid w:val="008D22E8"/>
    <w:rsid w:val="008D3B86"/>
    <w:rsid w:val="008E0A1E"/>
    <w:rsid w:val="008E27FA"/>
    <w:rsid w:val="008E34B0"/>
    <w:rsid w:val="008E363D"/>
    <w:rsid w:val="008F3EB3"/>
    <w:rsid w:val="008F4954"/>
    <w:rsid w:val="008F4A61"/>
    <w:rsid w:val="00901122"/>
    <w:rsid w:val="009036D3"/>
    <w:rsid w:val="00904004"/>
    <w:rsid w:val="00906445"/>
    <w:rsid w:val="00906BCF"/>
    <w:rsid w:val="00910731"/>
    <w:rsid w:val="009131FC"/>
    <w:rsid w:val="00914FF4"/>
    <w:rsid w:val="009165D7"/>
    <w:rsid w:val="009174A6"/>
    <w:rsid w:val="00917D2E"/>
    <w:rsid w:val="00921B52"/>
    <w:rsid w:val="0092697B"/>
    <w:rsid w:val="00926A79"/>
    <w:rsid w:val="00927080"/>
    <w:rsid w:val="009274FD"/>
    <w:rsid w:val="009352C7"/>
    <w:rsid w:val="00935C56"/>
    <w:rsid w:val="00935E4C"/>
    <w:rsid w:val="0093673F"/>
    <w:rsid w:val="00944EFE"/>
    <w:rsid w:val="00945346"/>
    <w:rsid w:val="00945BAE"/>
    <w:rsid w:val="00952B5A"/>
    <w:rsid w:val="00952B8E"/>
    <w:rsid w:val="00956BB6"/>
    <w:rsid w:val="00960EBC"/>
    <w:rsid w:val="00961A42"/>
    <w:rsid w:val="00962167"/>
    <w:rsid w:val="009648A6"/>
    <w:rsid w:val="0096550B"/>
    <w:rsid w:val="0097681F"/>
    <w:rsid w:val="00977378"/>
    <w:rsid w:val="009820F5"/>
    <w:rsid w:val="00982663"/>
    <w:rsid w:val="00983499"/>
    <w:rsid w:val="00985838"/>
    <w:rsid w:val="00997CCC"/>
    <w:rsid w:val="009A187F"/>
    <w:rsid w:val="009B291D"/>
    <w:rsid w:val="009B4C53"/>
    <w:rsid w:val="009C0C91"/>
    <w:rsid w:val="009C4F67"/>
    <w:rsid w:val="009C6D96"/>
    <w:rsid w:val="009D22B7"/>
    <w:rsid w:val="009D373E"/>
    <w:rsid w:val="009E7150"/>
    <w:rsid w:val="009F083B"/>
    <w:rsid w:val="009F0FDA"/>
    <w:rsid w:val="009F21C9"/>
    <w:rsid w:val="009F319F"/>
    <w:rsid w:val="009F5C00"/>
    <w:rsid w:val="009F6721"/>
    <w:rsid w:val="00A017B2"/>
    <w:rsid w:val="00A020A9"/>
    <w:rsid w:val="00A03007"/>
    <w:rsid w:val="00A03FD9"/>
    <w:rsid w:val="00A06644"/>
    <w:rsid w:val="00A07251"/>
    <w:rsid w:val="00A11187"/>
    <w:rsid w:val="00A124BB"/>
    <w:rsid w:val="00A141FA"/>
    <w:rsid w:val="00A20A75"/>
    <w:rsid w:val="00A237F7"/>
    <w:rsid w:val="00A255F0"/>
    <w:rsid w:val="00A268C9"/>
    <w:rsid w:val="00A26C15"/>
    <w:rsid w:val="00A3361D"/>
    <w:rsid w:val="00A35916"/>
    <w:rsid w:val="00A36A85"/>
    <w:rsid w:val="00A436B6"/>
    <w:rsid w:val="00A46933"/>
    <w:rsid w:val="00A47802"/>
    <w:rsid w:val="00A51FCF"/>
    <w:rsid w:val="00A52D89"/>
    <w:rsid w:val="00A54B06"/>
    <w:rsid w:val="00A558C8"/>
    <w:rsid w:val="00A55F79"/>
    <w:rsid w:val="00A56B22"/>
    <w:rsid w:val="00A6725B"/>
    <w:rsid w:val="00A73BB2"/>
    <w:rsid w:val="00A75FC0"/>
    <w:rsid w:val="00A76249"/>
    <w:rsid w:val="00A7691D"/>
    <w:rsid w:val="00A82C3C"/>
    <w:rsid w:val="00A853A8"/>
    <w:rsid w:val="00A85FA8"/>
    <w:rsid w:val="00A94754"/>
    <w:rsid w:val="00A94861"/>
    <w:rsid w:val="00AA0DA7"/>
    <w:rsid w:val="00AA2B32"/>
    <w:rsid w:val="00AA4DA0"/>
    <w:rsid w:val="00AB5C27"/>
    <w:rsid w:val="00AB5FAC"/>
    <w:rsid w:val="00AB6505"/>
    <w:rsid w:val="00AB676E"/>
    <w:rsid w:val="00AB7EDC"/>
    <w:rsid w:val="00AC030B"/>
    <w:rsid w:val="00AC418E"/>
    <w:rsid w:val="00AC7F24"/>
    <w:rsid w:val="00AD01BE"/>
    <w:rsid w:val="00AD0638"/>
    <w:rsid w:val="00AD4EB9"/>
    <w:rsid w:val="00AD5A5A"/>
    <w:rsid w:val="00AE5248"/>
    <w:rsid w:val="00AF0117"/>
    <w:rsid w:val="00AF2AB9"/>
    <w:rsid w:val="00AF33AA"/>
    <w:rsid w:val="00AF6EC7"/>
    <w:rsid w:val="00B0018B"/>
    <w:rsid w:val="00B01196"/>
    <w:rsid w:val="00B05034"/>
    <w:rsid w:val="00B12A8C"/>
    <w:rsid w:val="00B16078"/>
    <w:rsid w:val="00B228A6"/>
    <w:rsid w:val="00B2467E"/>
    <w:rsid w:val="00B2642C"/>
    <w:rsid w:val="00B358CB"/>
    <w:rsid w:val="00B37715"/>
    <w:rsid w:val="00B379C3"/>
    <w:rsid w:val="00B40479"/>
    <w:rsid w:val="00B441E3"/>
    <w:rsid w:val="00B52A69"/>
    <w:rsid w:val="00B547C8"/>
    <w:rsid w:val="00B72ECC"/>
    <w:rsid w:val="00B73E12"/>
    <w:rsid w:val="00B802F8"/>
    <w:rsid w:val="00B80B60"/>
    <w:rsid w:val="00B84867"/>
    <w:rsid w:val="00B8528B"/>
    <w:rsid w:val="00B86E7C"/>
    <w:rsid w:val="00B930B1"/>
    <w:rsid w:val="00B963FD"/>
    <w:rsid w:val="00B96700"/>
    <w:rsid w:val="00BA4941"/>
    <w:rsid w:val="00BA7E7E"/>
    <w:rsid w:val="00BB1F56"/>
    <w:rsid w:val="00BB28CE"/>
    <w:rsid w:val="00BB34F5"/>
    <w:rsid w:val="00BB5FC6"/>
    <w:rsid w:val="00BC090C"/>
    <w:rsid w:val="00BC3113"/>
    <w:rsid w:val="00BC37E3"/>
    <w:rsid w:val="00BC65CD"/>
    <w:rsid w:val="00BC6AB6"/>
    <w:rsid w:val="00BD4013"/>
    <w:rsid w:val="00BD52F1"/>
    <w:rsid w:val="00BD6B01"/>
    <w:rsid w:val="00BD7D36"/>
    <w:rsid w:val="00BD7E0D"/>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1845"/>
    <w:rsid w:val="00C139FC"/>
    <w:rsid w:val="00C15F1E"/>
    <w:rsid w:val="00C20FA0"/>
    <w:rsid w:val="00C24691"/>
    <w:rsid w:val="00C25C5D"/>
    <w:rsid w:val="00C3214F"/>
    <w:rsid w:val="00C34510"/>
    <w:rsid w:val="00C3692A"/>
    <w:rsid w:val="00C41527"/>
    <w:rsid w:val="00C454DB"/>
    <w:rsid w:val="00C524D6"/>
    <w:rsid w:val="00C5593C"/>
    <w:rsid w:val="00C572D6"/>
    <w:rsid w:val="00C57752"/>
    <w:rsid w:val="00C62732"/>
    <w:rsid w:val="00C65E92"/>
    <w:rsid w:val="00C6642C"/>
    <w:rsid w:val="00C66BCB"/>
    <w:rsid w:val="00C67400"/>
    <w:rsid w:val="00C719D7"/>
    <w:rsid w:val="00C720FA"/>
    <w:rsid w:val="00C726E3"/>
    <w:rsid w:val="00C76916"/>
    <w:rsid w:val="00C80301"/>
    <w:rsid w:val="00C8346C"/>
    <w:rsid w:val="00C8588F"/>
    <w:rsid w:val="00C87268"/>
    <w:rsid w:val="00C910B3"/>
    <w:rsid w:val="00C93801"/>
    <w:rsid w:val="00C95DA5"/>
    <w:rsid w:val="00C96702"/>
    <w:rsid w:val="00CA388A"/>
    <w:rsid w:val="00CA5770"/>
    <w:rsid w:val="00CA6F4A"/>
    <w:rsid w:val="00CA780F"/>
    <w:rsid w:val="00CB032B"/>
    <w:rsid w:val="00CB0529"/>
    <w:rsid w:val="00CB1C7E"/>
    <w:rsid w:val="00CB4D57"/>
    <w:rsid w:val="00CB7E4E"/>
    <w:rsid w:val="00CB7F43"/>
    <w:rsid w:val="00CC1E22"/>
    <w:rsid w:val="00CC28DF"/>
    <w:rsid w:val="00CC7EF4"/>
    <w:rsid w:val="00CD0DD3"/>
    <w:rsid w:val="00CE36AB"/>
    <w:rsid w:val="00CE426D"/>
    <w:rsid w:val="00CE5758"/>
    <w:rsid w:val="00CF03DC"/>
    <w:rsid w:val="00CF0CF2"/>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0FFB"/>
    <w:rsid w:val="00D61FCF"/>
    <w:rsid w:val="00D628FF"/>
    <w:rsid w:val="00D645DA"/>
    <w:rsid w:val="00D6553F"/>
    <w:rsid w:val="00D72B8C"/>
    <w:rsid w:val="00D733C1"/>
    <w:rsid w:val="00D747B7"/>
    <w:rsid w:val="00D749FE"/>
    <w:rsid w:val="00D753A1"/>
    <w:rsid w:val="00D84C5C"/>
    <w:rsid w:val="00D917C5"/>
    <w:rsid w:val="00D974B2"/>
    <w:rsid w:val="00DA06C3"/>
    <w:rsid w:val="00DA2724"/>
    <w:rsid w:val="00DA60C1"/>
    <w:rsid w:val="00DA60C2"/>
    <w:rsid w:val="00DA7D28"/>
    <w:rsid w:val="00DA7FC6"/>
    <w:rsid w:val="00DB2592"/>
    <w:rsid w:val="00DB4AAD"/>
    <w:rsid w:val="00DB5EA6"/>
    <w:rsid w:val="00DC05FC"/>
    <w:rsid w:val="00DC319C"/>
    <w:rsid w:val="00DC3431"/>
    <w:rsid w:val="00DD43FC"/>
    <w:rsid w:val="00DD67A9"/>
    <w:rsid w:val="00DE1C15"/>
    <w:rsid w:val="00DE2E3C"/>
    <w:rsid w:val="00DE4D88"/>
    <w:rsid w:val="00DE6664"/>
    <w:rsid w:val="00DF16BC"/>
    <w:rsid w:val="00DF35A9"/>
    <w:rsid w:val="00DF503E"/>
    <w:rsid w:val="00E00A18"/>
    <w:rsid w:val="00E00A8E"/>
    <w:rsid w:val="00E01E03"/>
    <w:rsid w:val="00E01F1B"/>
    <w:rsid w:val="00E05827"/>
    <w:rsid w:val="00E05FEB"/>
    <w:rsid w:val="00E1022F"/>
    <w:rsid w:val="00E1067C"/>
    <w:rsid w:val="00E11BFA"/>
    <w:rsid w:val="00E14F1D"/>
    <w:rsid w:val="00E17ABD"/>
    <w:rsid w:val="00E20C3C"/>
    <w:rsid w:val="00E24E29"/>
    <w:rsid w:val="00E256C2"/>
    <w:rsid w:val="00E26AFC"/>
    <w:rsid w:val="00E272E9"/>
    <w:rsid w:val="00E3073B"/>
    <w:rsid w:val="00E423A8"/>
    <w:rsid w:val="00E425A1"/>
    <w:rsid w:val="00E42C29"/>
    <w:rsid w:val="00E432A7"/>
    <w:rsid w:val="00E43958"/>
    <w:rsid w:val="00E454B8"/>
    <w:rsid w:val="00E4655E"/>
    <w:rsid w:val="00E5086D"/>
    <w:rsid w:val="00E51AF3"/>
    <w:rsid w:val="00E576BA"/>
    <w:rsid w:val="00E632E1"/>
    <w:rsid w:val="00E634D3"/>
    <w:rsid w:val="00E75272"/>
    <w:rsid w:val="00E7775F"/>
    <w:rsid w:val="00E77EAE"/>
    <w:rsid w:val="00E806E6"/>
    <w:rsid w:val="00E86ACF"/>
    <w:rsid w:val="00E87F89"/>
    <w:rsid w:val="00E90A09"/>
    <w:rsid w:val="00E9298A"/>
    <w:rsid w:val="00E93331"/>
    <w:rsid w:val="00E95081"/>
    <w:rsid w:val="00E958A5"/>
    <w:rsid w:val="00EA1710"/>
    <w:rsid w:val="00EA2CAB"/>
    <w:rsid w:val="00EA369A"/>
    <w:rsid w:val="00EA49E6"/>
    <w:rsid w:val="00EA5C74"/>
    <w:rsid w:val="00EA63CC"/>
    <w:rsid w:val="00EA7364"/>
    <w:rsid w:val="00EB0995"/>
    <w:rsid w:val="00EB2164"/>
    <w:rsid w:val="00EB2B36"/>
    <w:rsid w:val="00EB2D05"/>
    <w:rsid w:val="00EB6A61"/>
    <w:rsid w:val="00EB79B1"/>
    <w:rsid w:val="00ED04B0"/>
    <w:rsid w:val="00ED3C42"/>
    <w:rsid w:val="00ED6F87"/>
    <w:rsid w:val="00ED7809"/>
    <w:rsid w:val="00EE607B"/>
    <w:rsid w:val="00EE7F92"/>
    <w:rsid w:val="00EF3672"/>
    <w:rsid w:val="00EF5660"/>
    <w:rsid w:val="00EF7838"/>
    <w:rsid w:val="00F003AB"/>
    <w:rsid w:val="00F00F2C"/>
    <w:rsid w:val="00F01E6B"/>
    <w:rsid w:val="00F03D54"/>
    <w:rsid w:val="00F04569"/>
    <w:rsid w:val="00F04D5C"/>
    <w:rsid w:val="00F1296F"/>
    <w:rsid w:val="00F1385E"/>
    <w:rsid w:val="00F14571"/>
    <w:rsid w:val="00F17439"/>
    <w:rsid w:val="00F20DDB"/>
    <w:rsid w:val="00F22034"/>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561F"/>
    <w:rsid w:val="00F6786E"/>
    <w:rsid w:val="00F71CD0"/>
    <w:rsid w:val="00F75B40"/>
    <w:rsid w:val="00F76CFC"/>
    <w:rsid w:val="00F770CB"/>
    <w:rsid w:val="00F8312A"/>
    <w:rsid w:val="00F84ADD"/>
    <w:rsid w:val="00F85896"/>
    <w:rsid w:val="00F92934"/>
    <w:rsid w:val="00F94A74"/>
    <w:rsid w:val="00F952D1"/>
    <w:rsid w:val="00FA4667"/>
    <w:rsid w:val="00FA4AC0"/>
    <w:rsid w:val="00FA5092"/>
    <w:rsid w:val="00FA7B76"/>
    <w:rsid w:val="00FC028E"/>
    <w:rsid w:val="00FC0CAB"/>
    <w:rsid w:val="00FC0EBD"/>
    <w:rsid w:val="00FC25CD"/>
    <w:rsid w:val="00FC266F"/>
    <w:rsid w:val="00FC63E8"/>
    <w:rsid w:val="00FD617D"/>
    <w:rsid w:val="00FE0228"/>
    <w:rsid w:val="00FF013E"/>
    <w:rsid w:val="00FF7064"/>
    <w:rsid w:val="2AA5A241"/>
    <w:rsid w:val="6B32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115F6E8C-9386-4CB0-A594-38A866AC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336240D6B0239E48A7A95A5E298CD16D" ma:contentTypeVersion="20" ma:contentTypeDescription="" ma:contentTypeScope="" ma:versionID="3639fe1c107677056102023554a2b6db">
  <xsd:schema xmlns:xsd="http://www.w3.org/2001/XMLSchema" xmlns:xs="http://www.w3.org/2001/XMLSchema" xmlns:p="http://schemas.microsoft.com/office/2006/metadata/properties" xmlns:ns2="0a93d58e-2750-4ecd-ac51-527884332560" xmlns:ns3="d1f73dea-e8bd-491a-bae6-f390e292abaf" targetNamespace="http://schemas.microsoft.com/office/2006/metadata/properties" ma:root="true" ma:fieldsID="f44ce0994d33e3d2337bcdc650cfdc8a" ns2:_="" ns3:_="">
    <xsd:import namespace="0a93d58e-2750-4ecd-ac51-527884332560"/>
    <xsd:import namespace="d1f73dea-e8bd-491a-bae6-f390e292abaf"/>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readOnly="fals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73dea-e8bd-491a-bae6-f390e292aba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KeywordTaxHTField xmlns="0a93d58e-2750-4ecd-ac51-527884332560">
      <Terms xmlns="http://schemas.microsoft.com/office/infopath/2007/PartnerControls"/>
    </TaxKeywordTaxHTField>
    <f9f7c4bcf78343dcb6b0e22788a9078c xmlns="0a93d58e-2750-4ecd-ac51-527884332560">
      <Terms xmlns="http://schemas.microsoft.com/office/infopath/2007/PartnerControls"/>
    </f9f7c4bcf78343dcb6b0e22788a9078c>
    <lbc41b8b18144c28ac59306069cd5a82 xmlns="0a93d58e-2750-4ecd-ac51-527884332560">
      <Terms xmlns="http://schemas.microsoft.com/office/infopath/2007/PartnerControls"/>
    </lbc41b8b18144c28ac59306069cd5a82>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c350606c0ebb4ccb87d46c55427aec54 xmlns="0a93d58e-2750-4ecd-ac51-527884332560">
      <Terms xmlns="http://schemas.microsoft.com/office/infopath/2007/PartnerControls"/>
    </c350606c0ebb4ccb87d46c55427aec54>
    <SharedWithUsers xmlns="0a93d58e-2750-4ecd-ac51-527884332560">
      <UserInfo>
        <DisplayName>Ashley Grist</DisplayName>
        <AccountId>30</AccountId>
        <AccountType/>
      </UserInfo>
      <UserInfo>
        <DisplayName>Emma Foy</DisplayName>
        <AccountId>2632</AccountId>
        <AccountType/>
      </UserInfo>
    </SharedWithUsers>
  </documentManagement>
</p:properties>
</file>

<file path=customXml/itemProps1.xml><?xml version="1.0" encoding="utf-8"?>
<ds:datastoreItem xmlns:ds="http://schemas.openxmlformats.org/officeDocument/2006/customXml" ds:itemID="{3A13EDAE-1E89-452F-B1DB-63ABD322EA68}">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E3414B31-72A4-4371-9DFB-7B4A91819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1f73dea-e8bd-491a-bae6-f390e292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27</Pages>
  <Words>9026</Words>
  <Characters>51452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60358</CharactersWithSpaces>
  <SharedDoc>false</SharedDoc>
  <HLinks>
    <vt:vector size="48" baseType="variant">
      <vt:variant>
        <vt:i4>1572921</vt:i4>
      </vt:variant>
      <vt:variant>
        <vt:i4>41</vt:i4>
      </vt:variant>
      <vt:variant>
        <vt:i4>0</vt:i4>
      </vt:variant>
      <vt:variant>
        <vt:i4>5</vt:i4>
      </vt:variant>
      <vt:variant>
        <vt:lpwstr/>
      </vt:variant>
      <vt:variant>
        <vt:lpwstr>_Toc22814579</vt:lpwstr>
      </vt:variant>
      <vt:variant>
        <vt:i4>1638457</vt:i4>
      </vt:variant>
      <vt:variant>
        <vt:i4>35</vt:i4>
      </vt:variant>
      <vt:variant>
        <vt:i4>0</vt:i4>
      </vt:variant>
      <vt:variant>
        <vt:i4>5</vt:i4>
      </vt:variant>
      <vt:variant>
        <vt:lpwstr/>
      </vt:variant>
      <vt:variant>
        <vt:lpwstr>_Toc22814578</vt:lpwstr>
      </vt:variant>
      <vt:variant>
        <vt:i4>1441849</vt:i4>
      </vt:variant>
      <vt:variant>
        <vt:i4>29</vt:i4>
      </vt:variant>
      <vt:variant>
        <vt:i4>0</vt:i4>
      </vt:variant>
      <vt:variant>
        <vt:i4>5</vt:i4>
      </vt:variant>
      <vt:variant>
        <vt:lpwstr/>
      </vt:variant>
      <vt:variant>
        <vt:lpwstr>_Toc22814577</vt:lpwstr>
      </vt:variant>
      <vt:variant>
        <vt:i4>1507385</vt:i4>
      </vt:variant>
      <vt:variant>
        <vt:i4>23</vt:i4>
      </vt:variant>
      <vt:variant>
        <vt:i4>0</vt:i4>
      </vt:variant>
      <vt:variant>
        <vt:i4>5</vt:i4>
      </vt:variant>
      <vt:variant>
        <vt:lpwstr/>
      </vt:variant>
      <vt:variant>
        <vt:lpwstr>_Toc22814576</vt:lpwstr>
      </vt:variant>
      <vt:variant>
        <vt:i4>1310777</vt:i4>
      </vt:variant>
      <vt:variant>
        <vt:i4>17</vt:i4>
      </vt:variant>
      <vt:variant>
        <vt:i4>0</vt:i4>
      </vt:variant>
      <vt:variant>
        <vt:i4>5</vt:i4>
      </vt:variant>
      <vt:variant>
        <vt:lpwstr/>
      </vt:variant>
      <vt:variant>
        <vt:lpwstr>_Toc22814575</vt:lpwstr>
      </vt:variant>
      <vt:variant>
        <vt:i4>1376313</vt:i4>
      </vt:variant>
      <vt:variant>
        <vt:i4>11</vt:i4>
      </vt:variant>
      <vt:variant>
        <vt:i4>0</vt:i4>
      </vt:variant>
      <vt:variant>
        <vt:i4>5</vt:i4>
      </vt:variant>
      <vt:variant>
        <vt:lpwstr/>
      </vt:variant>
      <vt:variant>
        <vt:lpwstr>_Toc22814574</vt:lpwstr>
      </vt:variant>
      <vt:variant>
        <vt:i4>1179705</vt:i4>
      </vt:variant>
      <vt:variant>
        <vt:i4>5</vt:i4>
      </vt:variant>
      <vt:variant>
        <vt:i4>0</vt:i4>
      </vt:variant>
      <vt:variant>
        <vt:i4>5</vt:i4>
      </vt:variant>
      <vt:variant>
        <vt:lpwstr/>
      </vt:variant>
      <vt:variant>
        <vt:lpwstr>_Toc22814573</vt:lpwstr>
      </vt:variant>
      <vt:variant>
        <vt:i4>6422555</vt:i4>
      </vt:variant>
      <vt:variant>
        <vt:i4>0</vt:i4>
      </vt:variant>
      <vt:variant>
        <vt:i4>0</vt:i4>
      </vt:variant>
      <vt:variant>
        <vt:i4>5</vt:i4>
      </vt:variant>
      <vt:variant>
        <vt:lpwstr>mailto:procurement@hart.gov.uk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Lloyd</dc:creator>
  <cp:keywords/>
  <dc:description/>
  <cp:lastModifiedBy>Ashley Grist</cp:lastModifiedBy>
  <cp:revision>2</cp:revision>
  <cp:lastPrinted>2019-10-29T16:31:00Z</cp:lastPrinted>
  <dcterms:created xsi:type="dcterms:W3CDTF">2020-09-16T08:50:00Z</dcterms:created>
  <dcterms:modified xsi:type="dcterms:W3CDTF">2021-01-21T17:26:00Z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0x010100E962F67EFA89224C91FDF48AD17F547200336240D6B0239E48A7A95A5E298CD16D</vt:lpwstr>
  </property>
  <property fmtid="{D5CDD505-2E9C-101B-9397-08002B2CF9AE}" pid="3" name="Privacy">
    <vt:lpwstr/>
  </property>
  <property fmtid="{D5CDD505-2E9C-101B-9397-08002B2CF9AE}" pid="4" name="TaxKeyword">
    <vt:lpwstr/>
  </property>
  <property fmtid="{D5CDD505-2E9C-101B-9397-08002B2CF9AE}" pid="5" name="Document Type">
    <vt:lpwstr/>
  </property>
  <property fmtid="{D5CDD505-2E9C-101B-9397-08002B2CF9AE}" pid="6" name="Hart Department">
    <vt:lpwstr/>
  </property>
  <property fmtid="{D5CDD505-2E9C-101B-9397-08002B2CF9AE}" pid="7" name="Subject Matter">
    <vt:lpwstr/>
  </property>
</Properties>
</file>