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180"/>
      </w:tblGrid>
      <w:tr w:rsidR="00B1530D" w:rsidTr="00B1530D">
        <w:tc>
          <w:tcPr>
            <w:tcW w:w="9180" w:type="dxa"/>
          </w:tcPr>
          <w:p w:rsidR="00B1530D" w:rsidRPr="00FB7ABD" w:rsidRDefault="00E052F3" w:rsidP="00B1530D">
            <w:pPr>
              <w:rPr>
                <w:rFonts w:cs="Arial"/>
                <w:sz w:val="22"/>
                <w:szCs w:val="24"/>
                <w:u w:val="single"/>
              </w:rPr>
            </w:pPr>
            <w:r>
              <w:rPr>
                <w:rFonts w:cs="Arial"/>
                <w:b/>
                <w:sz w:val="22"/>
                <w:szCs w:val="24"/>
                <w:u w:val="single"/>
              </w:rPr>
              <w:t>Regional Delivery</w:t>
            </w:r>
            <w:r w:rsidR="00B1530D" w:rsidRPr="00FB7ABD">
              <w:rPr>
                <w:rFonts w:cs="Arial"/>
                <w:sz w:val="22"/>
                <w:szCs w:val="24"/>
                <w:u w:val="single"/>
              </w:rPr>
              <w:t xml:space="preserve"> </w:t>
            </w:r>
          </w:p>
          <w:p w:rsidR="008E4F31" w:rsidRPr="00D17F96" w:rsidRDefault="00E052F3" w:rsidP="00FB7ABD">
            <w:pPr>
              <w:rPr>
                <w:rFonts w:cs="Arial"/>
                <w:szCs w:val="24"/>
              </w:rPr>
            </w:pPr>
            <w:r w:rsidRPr="00D17F96">
              <w:rPr>
                <w:rFonts w:cs="Arial"/>
                <w:szCs w:val="24"/>
              </w:rPr>
              <w:t xml:space="preserve">Up to a </w:t>
            </w:r>
            <w:r w:rsidRPr="00D17F96">
              <w:rPr>
                <w:rFonts w:cs="Arial"/>
                <w:b/>
                <w:szCs w:val="24"/>
              </w:rPr>
              <w:t xml:space="preserve">maximum </w:t>
            </w:r>
            <w:r w:rsidRPr="00D17F96">
              <w:rPr>
                <w:rFonts w:cs="Arial"/>
                <w:szCs w:val="24"/>
              </w:rPr>
              <w:t xml:space="preserve">of 13 laboratories will be procured to deliver HPV primary screening services across England, with full geographical coverage required by December 2019. </w:t>
            </w:r>
          </w:p>
          <w:p w:rsidR="00E052F3" w:rsidRDefault="00E052F3" w:rsidP="00FB7ABD">
            <w:pPr>
              <w:rPr>
                <w:rFonts w:cs="Arial"/>
                <w:sz w:val="22"/>
                <w:szCs w:val="24"/>
              </w:rPr>
            </w:pPr>
          </w:p>
          <w:p w:rsidR="00E052F3" w:rsidRPr="00E052F3" w:rsidRDefault="00E052F3" w:rsidP="00E052F3">
            <w:pPr>
              <w:pStyle w:val="ListParagraph"/>
              <w:numPr>
                <w:ilvl w:val="0"/>
                <w:numId w:val="26"/>
              </w:numPr>
              <w:rPr>
                <w:rFonts w:cs="Arial"/>
                <w:szCs w:val="24"/>
              </w:rPr>
            </w:pPr>
            <w:r>
              <w:rPr>
                <w:rFonts w:cs="Arial"/>
                <w:szCs w:val="24"/>
              </w:rPr>
              <w:t xml:space="preserve">Given the requirement to manage a minimum throughput of 35,000 </w:t>
            </w:r>
            <w:r w:rsidR="00E17EAA">
              <w:rPr>
                <w:rFonts w:cs="Arial"/>
                <w:szCs w:val="24"/>
              </w:rPr>
              <w:t xml:space="preserve">cytology </w:t>
            </w:r>
            <w:r>
              <w:rPr>
                <w:rFonts w:cs="Arial"/>
                <w:szCs w:val="24"/>
              </w:rPr>
              <w:t>samples per year, w</w:t>
            </w:r>
            <w:r w:rsidRPr="00E052F3">
              <w:rPr>
                <w:rFonts w:cs="Arial"/>
                <w:szCs w:val="24"/>
              </w:rPr>
              <w:t xml:space="preserve">hat </w:t>
            </w:r>
            <w:r w:rsidR="0059781F">
              <w:rPr>
                <w:rFonts w:cs="Arial"/>
                <w:szCs w:val="24"/>
              </w:rPr>
              <w:t>would appropriate geogra</w:t>
            </w:r>
            <w:bookmarkStart w:id="0" w:name="_GoBack"/>
            <w:bookmarkEnd w:id="0"/>
            <w:r w:rsidR="0059781F">
              <w:rPr>
                <w:rFonts w:cs="Arial"/>
                <w:szCs w:val="24"/>
              </w:rPr>
              <w:t xml:space="preserve">phical footprints look like in each of the NHS England regions? </w:t>
            </w:r>
            <w:r w:rsidR="00D95C82">
              <w:rPr>
                <w:rFonts w:cs="Arial"/>
                <w:szCs w:val="24"/>
              </w:rPr>
              <w:t>(</w:t>
            </w:r>
            <w:r w:rsidR="00D95C82" w:rsidRPr="00D95C82">
              <w:rPr>
                <w:rFonts w:cs="Arial"/>
                <w:b/>
                <w:szCs w:val="24"/>
              </w:rPr>
              <w:t>please see appendix 1 for a map of NHS England regions</w:t>
            </w:r>
            <w:r w:rsidR="00D95C82">
              <w:rPr>
                <w:rFonts w:cs="Arial"/>
                <w:szCs w:val="24"/>
              </w:rPr>
              <w:t>)</w:t>
            </w:r>
            <w:r w:rsidRPr="00E052F3">
              <w:rPr>
                <w:rFonts w:cs="Arial"/>
                <w:szCs w:val="24"/>
              </w:rPr>
              <w:t>:</w:t>
            </w:r>
          </w:p>
          <w:p w:rsidR="00E052F3" w:rsidRDefault="00601218" w:rsidP="00601218">
            <w:pPr>
              <w:pStyle w:val="ListParagraph"/>
              <w:numPr>
                <w:ilvl w:val="0"/>
                <w:numId w:val="27"/>
              </w:numPr>
              <w:rPr>
                <w:rFonts w:cs="Arial"/>
                <w:szCs w:val="24"/>
              </w:rPr>
            </w:pPr>
            <w:r>
              <w:rPr>
                <w:rFonts w:cs="Arial"/>
                <w:szCs w:val="24"/>
              </w:rPr>
              <w:t>London</w:t>
            </w:r>
          </w:p>
          <w:p w:rsidR="00601218" w:rsidRDefault="00601218" w:rsidP="00601218">
            <w:pPr>
              <w:pStyle w:val="ListParagraph"/>
              <w:numPr>
                <w:ilvl w:val="0"/>
                <w:numId w:val="27"/>
              </w:numPr>
              <w:rPr>
                <w:rFonts w:cs="Arial"/>
                <w:szCs w:val="24"/>
              </w:rPr>
            </w:pPr>
            <w:r>
              <w:rPr>
                <w:rFonts w:cs="Arial"/>
                <w:szCs w:val="24"/>
              </w:rPr>
              <w:t>Midlands and East</w:t>
            </w:r>
          </w:p>
          <w:p w:rsidR="00601218" w:rsidRDefault="00601218" w:rsidP="00601218">
            <w:pPr>
              <w:pStyle w:val="ListParagraph"/>
              <w:numPr>
                <w:ilvl w:val="0"/>
                <w:numId w:val="27"/>
              </w:numPr>
              <w:rPr>
                <w:rFonts w:cs="Arial"/>
                <w:szCs w:val="24"/>
              </w:rPr>
            </w:pPr>
            <w:r>
              <w:rPr>
                <w:rFonts w:cs="Arial"/>
                <w:szCs w:val="24"/>
              </w:rPr>
              <w:t>South</w:t>
            </w:r>
          </w:p>
          <w:p w:rsidR="00601218" w:rsidRDefault="00601218" w:rsidP="00601218">
            <w:pPr>
              <w:pStyle w:val="ListParagraph"/>
              <w:numPr>
                <w:ilvl w:val="0"/>
                <w:numId w:val="27"/>
              </w:numPr>
              <w:rPr>
                <w:rFonts w:cs="Arial"/>
                <w:szCs w:val="24"/>
              </w:rPr>
            </w:pPr>
            <w:r>
              <w:rPr>
                <w:rFonts w:cs="Arial"/>
                <w:szCs w:val="24"/>
              </w:rPr>
              <w:t>North</w:t>
            </w:r>
          </w:p>
          <w:p w:rsidR="00E052F3" w:rsidRPr="00E17EAA" w:rsidRDefault="00E052F3" w:rsidP="00601218">
            <w:pPr>
              <w:rPr>
                <w:rFonts w:cs="Arial"/>
                <w:szCs w:val="24"/>
              </w:rPr>
            </w:pPr>
          </w:p>
          <w:p w:rsidR="00E052F3" w:rsidRDefault="00E052F3" w:rsidP="00E052F3">
            <w:pPr>
              <w:pStyle w:val="ListParagraph"/>
              <w:numPr>
                <w:ilvl w:val="0"/>
                <w:numId w:val="26"/>
              </w:numPr>
              <w:rPr>
                <w:rFonts w:cs="Arial"/>
                <w:szCs w:val="24"/>
              </w:rPr>
            </w:pPr>
            <w:r>
              <w:rPr>
                <w:rFonts w:cs="Arial"/>
                <w:szCs w:val="24"/>
              </w:rPr>
              <w:t xml:space="preserve">Please comment on why </w:t>
            </w:r>
            <w:r w:rsidR="00926EF2">
              <w:rPr>
                <w:rFonts w:cs="Arial"/>
                <w:szCs w:val="24"/>
              </w:rPr>
              <w:t xml:space="preserve">you believe the </w:t>
            </w:r>
            <w:r>
              <w:rPr>
                <w:rFonts w:cs="Arial"/>
                <w:szCs w:val="24"/>
              </w:rPr>
              <w:t xml:space="preserve">answer to Q1 delivers good clinical </w:t>
            </w:r>
            <w:r w:rsidR="003E0368">
              <w:rPr>
                <w:rFonts w:cs="Arial"/>
                <w:szCs w:val="24"/>
              </w:rPr>
              <w:t>outcomes and clinical viability</w:t>
            </w:r>
          </w:p>
          <w:p w:rsidR="00E052F3" w:rsidRDefault="00E052F3" w:rsidP="00E052F3">
            <w:pPr>
              <w:pStyle w:val="ListParagraph"/>
              <w:rPr>
                <w:rFonts w:cs="Arial"/>
                <w:szCs w:val="24"/>
              </w:rPr>
            </w:pPr>
          </w:p>
          <w:p w:rsidR="00E052F3" w:rsidRDefault="00E052F3" w:rsidP="00E052F3">
            <w:pPr>
              <w:pStyle w:val="ListParagraph"/>
              <w:numPr>
                <w:ilvl w:val="0"/>
                <w:numId w:val="26"/>
              </w:numPr>
              <w:rPr>
                <w:rFonts w:cs="Arial"/>
                <w:szCs w:val="24"/>
              </w:rPr>
            </w:pPr>
            <w:r>
              <w:rPr>
                <w:rFonts w:cs="Arial"/>
                <w:szCs w:val="24"/>
              </w:rPr>
              <w:t xml:space="preserve">What do you </w:t>
            </w:r>
            <w:r w:rsidR="0065411A">
              <w:rPr>
                <w:rFonts w:cs="Arial"/>
                <w:szCs w:val="24"/>
              </w:rPr>
              <w:t>foresee as the risks associated with your response to</w:t>
            </w:r>
            <w:r w:rsidR="003E0368">
              <w:rPr>
                <w:rFonts w:cs="Arial"/>
                <w:szCs w:val="24"/>
              </w:rPr>
              <w:t xml:space="preserve"> Q1</w:t>
            </w:r>
          </w:p>
          <w:p w:rsidR="00E052F3" w:rsidRPr="00E052F3" w:rsidRDefault="00E052F3" w:rsidP="00E052F3">
            <w:pPr>
              <w:rPr>
                <w:rFonts w:cs="Arial"/>
                <w:szCs w:val="24"/>
              </w:rPr>
            </w:pPr>
          </w:p>
          <w:p w:rsidR="00E052F3" w:rsidRPr="00B93A8B" w:rsidRDefault="00E052F3" w:rsidP="00E052F3">
            <w:pPr>
              <w:pStyle w:val="ListParagraph"/>
              <w:numPr>
                <w:ilvl w:val="0"/>
                <w:numId w:val="26"/>
              </w:numPr>
              <w:rPr>
                <w:rFonts w:cs="Arial"/>
                <w:szCs w:val="24"/>
              </w:rPr>
            </w:pPr>
            <w:r w:rsidRPr="00B93A8B">
              <w:rPr>
                <w:rFonts w:cs="Arial"/>
                <w:szCs w:val="24"/>
              </w:rPr>
              <w:t>In what region(s) would you be interested in delivering this service?</w:t>
            </w:r>
          </w:p>
          <w:p w:rsidR="00601218" w:rsidRPr="00B93A8B" w:rsidRDefault="00601218" w:rsidP="00601218">
            <w:pPr>
              <w:pStyle w:val="ListParagraph"/>
              <w:rPr>
                <w:rFonts w:cs="Arial"/>
                <w:szCs w:val="24"/>
              </w:rPr>
            </w:pPr>
          </w:p>
          <w:p w:rsidR="00601218" w:rsidRPr="00B93A8B" w:rsidRDefault="00601218" w:rsidP="00E052F3">
            <w:pPr>
              <w:pStyle w:val="ListParagraph"/>
              <w:numPr>
                <w:ilvl w:val="0"/>
                <w:numId w:val="26"/>
              </w:numPr>
              <w:rPr>
                <w:rFonts w:cs="Arial"/>
                <w:szCs w:val="24"/>
              </w:rPr>
            </w:pPr>
            <w:r w:rsidRPr="00B93A8B">
              <w:rPr>
                <w:rFonts w:cs="Arial"/>
                <w:szCs w:val="24"/>
              </w:rPr>
              <w:t xml:space="preserve">What scale of service would you be interested in delivering? </w:t>
            </w:r>
          </w:p>
          <w:p w:rsidR="00601218" w:rsidRPr="00B93A8B" w:rsidRDefault="00601218" w:rsidP="00601218">
            <w:pPr>
              <w:pStyle w:val="ListParagraph"/>
              <w:rPr>
                <w:rFonts w:cs="Arial"/>
                <w:szCs w:val="24"/>
              </w:rPr>
            </w:pPr>
          </w:p>
          <w:tbl>
            <w:tblPr>
              <w:tblStyle w:val="TableGrid"/>
              <w:tblW w:w="0" w:type="auto"/>
              <w:tblInd w:w="720" w:type="dxa"/>
              <w:tblLook w:val="04A0" w:firstRow="1" w:lastRow="0" w:firstColumn="1" w:lastColumn="0" w:noHBand="0" w:noVBand="1"/>
            </w:tblPr>
            <w:tblGrid>
              <w:gridCol w:w="1701"/>
              <w:gridCol w:w="1842"/>
              <w:gridCol w:w="1686"/>
              <w:gridCol w:w="1559"/>
            </w:tblGrid>
            <w:tr w:rsidR="00B93A8B" w:rsidRPr="00B93A8B" w:rsidTr="00601218">
              <w:trPr>
                <w:trHeight w:val="717"/>
              </w:trPr>
              <w:tc>
                <w:tcPr>
                  <w:tcW w:w="1701" w:type="dxa"/>
                </w:tcPr>
                <w:p w:rsidR="00601218" w:rsidRPr="00B93A8B" w:rsidRDefault="00601218" w:rsidP="00CA0678">
                  <w:pPr>
                    <w:rPr>
                      <w:rFonts w:cs="Arial"/>
                      <w:b/>
                      <w:szCs w:val="24"/>
                    </w:rPr>
                  </w:pPr>
                  <w:r w:rsidRPr="00B93A8B">
                    <w:rPr>
                      <w:rFonts w:cs="Arial"/>
                      <w:b/>
                      <w:szCs w:val="24"/>
                    </w:rPr>
                    <w:t>250,000-350,000 samples</w:t>
                  </w:r>
                </w:p>
              </w:tc>
              <w:tc>
                <w:tcPr>
                  <w:tcW w:w="1842" w:type="dxa"/>
                </w:tcPr>
                <w:p w:rsidR="00601218" w:rsidRPr="00B93A8B" w:rsidRDefault="00601218" w:rsidP="00CA0678">
                  <w:pPr>
                    <w:rPr>
                      <w:rFonts w:cs="Arial"/>
                      <w:b/>
                      <w:szCs w:val="24"/>
                    </w:rPr>
                  </w:pPr>
                  <w:r w:rsidRPr="00B93A8B">
                    <w:rPr>
                      <w:rFonts w:cs="Arial"/>
                      <w:b/>
                      <w:szCs w:val="24"/>
                    </w:rPr>
                    <w:t>351,000 – 600,000 samples</w:t>
                  </w:r>
                </w:p>
              </w:tc>
              <w:tc>
                <w:tcPr>
                  <w:tcW w:w="1686" w:type="dxa"/>
                </w:tcPr>
                <w:p w:rsidR="00601218" w:rsidRPr="00B93A8B" w:rsidRDefault="00601218" w:rsidP="00CA0678">
                  <w:pPr>
                    <w:rPr>
                      <w:rFonts w:cs="Arial"/>
                      <w:b/>
                      <w:szCs w:val="24"/>
                    </w:rPr>
                  </w:pPr>
                  <w:r w:rsidRPr="00B93A8B">
                    <w:rPr>
                      <w:rFonts w:cs="Arial"/>
                      <w:b/>
                      <w:szCs w:val="24"/>
                    </w:rPr>
                    <w:t>601,000 + samples</w:t>
                  </w:r>
                </w:p>
              </w:tc>
              <w:tc>
                <w:tcPr>
                  <w:tcW w:w="1559" w:type="dxa"/>
                </w:tcPr>
                <w:p w:rsidR="00601218" w:rsidRPr="00B93A8B" w:rsidRDefault="00601218" w:rsidP="00CA0678">
                  <w:pPr>
                    <w:rPr>
                      <w:rFonts w:cs="Arial"/>
                      <w:b/>
                      <w:szCs w:val="24"/>
                    </w:rPr>
                  </w:pPr>
                  <w:r w:rsidRPr="00B93A8B">
                    <w:rPr>
                      <w:rFonts w:cs="Arial"/>
                      <w:b/>
                      <w:szCs w:val="24"/>
                    </w:rPr>
                    <w:t>Other</w:t>
                  </w:r>
                  <w:r w:rsidR="00926EF2">
                    <w:rPr>
                      <w:rFonts w:cs="Arial"/>
                      <w:b/>
                      <w:szCs w:val="24"/>
                    </w:rPr>
                    <w:t xml:space="preserve"> (please state range)</w:t>
                  </w:r>
                </w:p>
              </w:tc>
            </w:tr>
            <w:tr w:rsidR="00B93A8B" w:rsidRPr="00B93A8B" w:rsidTr="00601218">
              <w:trPr>
                <w:trHeight w:val="235"/>
              </w:trPr>
              <w:tc>
                <w:tcPr>
                  <w:tcW w:w="1701" w:type="dxa"/>
                </w:tcPr>
                <w:p w:rsidR="00601218" w:rsidRPr="00B93A8B" w:rsidRDefault="00601218" w:rsidP="00CA0678">
                  <w:pPr>
                    <w:rPr>
                      <w:rFonts w:cs="Arial"/>
                      <w:szCs w:val="24"/>
                    </w:rPr>
                  </w:pPr>
                </w:p>
              </w:tc>
              <w:tc>
                <w:tcPr>
                  <w:tcW w:w="1842" w:type="dxa"/>
                </w:tcPr>
                <w:p w:rsidR="00601218" w:rsidRPr="00B93A8B" w:rsidRDefault="00601218" w:rsidP="00CA0678">
                  <w:pPr>
                    <w:rPr>
                      <w:rFonts w:cs="Arial"/>
                      <w:szCs w:val="24"/>
                    </w:rPr>
                  </w:pPr>
                </w:p>
              </w:tc>
              <w:tc>
                <w:tcPr>
                  <w:tcW w:w="1686" w:type="dxa"/>
                </w:tcPr>
                <w:p w:rsidR="00601218" w:rsidRPr="00B93A8B" w:rsidRDefault="00601218" w:rsidP="00CA0678">
                  <w:pPr>
                    <w:rPr>
                      <w:rFonts w:cs="Arial"/>
                      <w:szCs w:val="24"/>
                    </w:rPr>
                  </w:pPr>
                </w:p>
              </w:tc>
              <w:tc>
                <w:tcPr>
                  <w:tcW w:w="1559" w:type="dxa"/>
                </w:tcPr>
                <w:p w:rsidR="00601218" w:rsidRPr="00B93A8B" w:rsidRDefault="00601218" w:rsidP="00CA0678">
                  <w:pPr>
                    <w:rPr>
                      <w:rFonts w:cs="Arial"/>
                      <w:szCs w:val="24"/>
                    </w:rPr>
                  </w:pPr>
                </w:p>
              </w:tc>
            </w:tr>
          </w:tbl>
          <w:p w:rsidR="00601218" w:rsidRDefault="00601218" w:rsidP="00601218">
            <w:pPr>
              <w:pStyle w:val="ListParagraph"/>
              <w:rPr>
                <w:rFonts w:cs="Arial"/>
                <w:szCs w:val="24"/>
              </w:rPr>
            </w:pPr>
          </w:p>
          <w:p w:rsidR="00B1530D" w:rsidRPr="00416D28" w:rsidRDefault="00416D28" w:rsidP="00416D28">
            <w:pPr>
              <w:rPr>
                <w:rFonts w:cs="Arial"/>
                <w:i/>
                <w:color w:val="FF0000"/>
                <w:szCs w:val="24"/>
              </w:rPr>
            </w:pPr>
            <w:r w:rsidRPr="00416D28">
              <w:rPr>
                <w:rFonts w:cs="Arial"/>
                <w:i/>
                <w:color w:val="FF0000"/>
                <w:szCs w:val="24"/>
              </w:rPr>
              <w:t>Please try to limit your answers to around 1000 words; the use of graphics/flow diagrams in your responses  are also permitted</w:t>
            </w:r>
          </w:p>
        </w:tc>
      </w:tr>
    </w:tbl>
    <w:p w:rsidR="00B1530D" w:rsidRDefault="00B1530D" w:rsidP="00B1530D">
      <w:pPr>
        <w:spacing w:after="0"/>
      </w:pPr>
    </w:p>
    <w:tbl>
      <w:tblPr>
        <w:tblStyle w:val="TableGrid"/>
        <w:tblW w:w="0" w:type="auto"/>
        <w:tblLook w:val="04A0" w:firstRow="1" w:lastRow="0" w:firstColumn="1" w:lastColumn="0" w:noHBand="0" w:noVBand="1"/>
      </w:tblPr>
      <w:tblGrid>
        <w:gridCol w:w="9242"/>
      </w:tblGrid>
      <w:tr w:rsidR="00B1530D" w:rsidTr="007B57FD">
        <w:trPr>
          <w:trHeight w:val="1409"/>
        </w:trPr>
        <w:tc>
          <w:tcPr>
            <w:tcW w:w="9242" w:type="dxa"/>
          </w:tcPr>
          <w:p w:rsidR="00B1530D" w:rsidRDefault="008E4F31" w:rsidP="008E4F31">
            <w:pPr>
              <w:rPr>
                <w:b/>
                <w:sz w:val="22"/>
                <w:u w:val="single"/>
              </w:rPr>
            </w:pPr>
            <w:r w:rsidRPr="007B57FD">
              <w:rPr>
                <w:b/>
                <w:sz w:val="22"/>
                <w:u w:val="single"/>
              </w:rPr>
              <w:t>Contract Duration</w:t>
            </w:r>
          </w:p>
          <w:p w:rsidR="00A00DB5" w:rsidRPr="00B93A8B" w:rsidRDefault="00A00DB5" w:rsidP="008E4F31">
            <w:pPr>
              <w:rPr>
                <w:sz w:val="22"/>
              </w:rPr>
            </w:pPr>
            <w:r w:rsidRPr="00B93A8B">
              <w:rPr>
                <w:sz w:val="22"/>
              </w:rPr>
              <w:t xml:space="preserve">The </w:t>
            </w:r>
            <w:r w:rsidR="00926EF2">
              <w:rPr>
                <w:sz w:val="22"/>
              </w:rPr>
              <w:t xml:space="preserve">type of contract awarded for </w:t>
            </w:r>
            <w:r w:rsidRPr="00B93A8B">
              <w:rPr>
                <w:sz w:val="22"/>
              </w:rPr>
              <w:t xml:space="preserve">providers of the new service will be the NHS Standard Contract - </w:t>
            </w:r>
            <w:hyperlink r:id="rId9" w:history="1">
              <w:r w:rsidR="00B93A8B" w:rsidRPr="006C31AA">
                <w:rPr>
                  <w:rStyle w:val="Hyperlink"/>
                </w:rPr>
                <w:t>https://www.england.nhs.uk/nhs-standard-contract/2017-19-update-march/</w:t>
              </w:r>
            </w:hyperlink>
            <w:r w:rsidR="00B93A8B">
              <w:rPr>
                <w:rStyle w:val="Hyperlink"/>
              </w:rPr>
              <w:t xml:space="preserve"> </w:t>
            </w:r>
            <w:r w:rsidR="00B93A8B">
              <w:rPr>
                <w:rStyle w:val="Hyperlink"/>
                <w:color w:val="auto"/>
              </w:rPr>
              <w:t xml:space="preserve"> </w:t>
            </w:r>
            <w:r w:rsidRPr="00B93A8B">
              <w:rPr>
                <w:sz w:val="22"/>
              </w:rPr>
              <w:t xml:space="preserve"> </w:t>
            </w:r>
          </w:p>
          <w:p w:rsidR="00A00DB5" w:rsidRPr="00A00DB5" w:rsidRDefault="00A00DB5" w:rsidP="008E4F31">
            <w:pPr>
              <w:rPr>
                <w:sz w:val="22"/>
              </w:rPr>
            </w:pPr>
          </w:p>
          <w:p w:rsidR="00593845" w:rsidRPr="007B57FD" w:rsidRDefault="008E4F31" w:rsidP="007B57FD">
            <w:pPr>
              <w:pStyle w:val="ListParagraph"/>
              <w:numPr>
                <w:ilvl w:val="0"/>
                <w:numId w:val="24"/>
              </w:numPr>
            </w:pPr>
            <w:r w:rsidRPr="007B57FD">
              <w:t xml:space="preserve">Considering the </w:t>
            </w:r>
            <w:r w:rsidR="0025534F" w:rsidRPr="007B57FD">
              <w:t xml:space="preserve">service as a whole, including </w:t>
            </w:r>
            <w:r w:rsidRPr="007B57FD">
              <w:t>levels of investment</w:t>
            </w:r>
            <w:r w:rsidR="0025534F" w:rsidRPr="007B57FD">
              <w:t>, workforce and pathway changes</w:t>
            </w:r>
            <w:r w:rsidRPr="007B57FD">
              <w:t xml:space="preserve">, what would </w:t>
            </w:r>
            <w:r w:rsidR="00926EF2">
              <w:t>you consider to be</w:t>
            </w:r>
            <w:r w:rsidRPr="007B57FD">
              <w:t xml:space="preserve"> a viable and appropriate duration for this contract? </w:t>
            </w:r>
          </w:p>
          <w:p w:rsidR="007B57FD" w:rsidRPr="00FB7ABD" w:rsidRDefault="007B57FD" w:rsidP="008E4F31"/>
          <w:p w:rsidR="00DD373B" w:rsidRDefault="0025534F" w:rsidP="00926EF2">
            <w:pPr>
              <w:ind w:left="720"/>
            </w:pPr>
            <w:r w:rsidRPr="00FB7ABD">
              <w:t xml:space="preserve">Please explain </w:t>
            </w:r>
            <w:r w:rsidR="00926EF2">
              <w:t>your</w:t>
            </w:r>
            <w:r w:rsidR="00926EF2" w:rsidRPr="00FB7ABD">
              <w:t xml:space="preserve"> </w:t>
            </w:r>
            <w:r w:rsidRPr="00FB7ABD">
              <w:t>reasons for selecting this contract length</w:t>
            </w:r>
            <w:r w:rsidR="007B57FD">
              <w:t>.</w:t>
            </w:r>
            <w:r w:rsidRPr="00FB7ABD">
              <w:t xml:space="preserve"> </w:t>
            </w:r>
          </w:p>
          <w:p w:rsidR="00416D28" w:rsidRDefault="00416D28" w:rsidP="00926EF2">
            <w:pPr>
              <w:ind w:left="720"/>
            </w:pPr>
          </w:p>
          <w:p w:rsidR="00416D28" w:rsidRPr="007B57FD" w:rsidRDefault="00416D28" w:rsidP="00416D28">
            <w:r w:rsidRPr="00416D28">
              <w:rPr>
                <w:rFonts w:cs="Arial"/>
                <w:i/>
                <w:color w:val="FF0000"/>
                <w:szCs w:val="24"/>
              </w:rPr>
              <w:t>Please try to limit your answers to around 1000 words; the use of graphics/flow diagrams in your responses  are also permitted</w:t>
            </w:r>
          </w:p>
        </w:tc>
      </w:tr>
    </w:tbl>
    <w:p w:rsidR="00DD373B" w:rsidRDefault="00DD373B" w:rsidP="00B1530D">
      <w:pPr>
        <w:spacing w:after="0"/>
      </w:pPr>
    </w:p>
    <w:tbl>
      <w:tblPr>
        <w:tblStyle w:val="TableGrid"/>
        <w:tblW w:w="0" w:type="auto"/>
        <w:tblLook w:val="04A0" w:firstRow="1" w:lastRow="0" w:firstColumn="1" w:lastColumn="0" w:noHBand="0" w:noVBand="1"/>
      </w:tblPr>
      <w:tblGrid>
        <w:gridCol w:w="9242"/>
      </w:tblGrid>
      <w:tr w:rsidR="00B1530D" w:rsidTr="00B1530D">
        <w:tc>
          <w:tcPr>
            <w:tcW w:w="9242" w:type="dxa"/>
          </w:tcPr>
          <w:p w:rsidR="00B1530D" w:rsidRPr="00827F71" w:rsidRDefault="008E4F31" w:rsidP="008E4F31">
            <w:pPr>
              <w:rPr>
                <w:rFonts w:cs="Arial"/>
                <w:b/>
                <w:sz w:val="22"/>
                <w:u w:val="single"/>
              </w:rPr>
            </w:pPr>
            <w:r w:rsidRPr="00827F71">
              <w:rPr>
                <w:rFonts w:cs="Arial"/>
                <w:b/>
                <w:sz w:val="22"/>
                <w:u w:val="single"/>
              </w:rPr>
              <w:t>Pricing</w:t>
            </w:r>
          </w:p>
          <w:p w:rsidR="00593845" w:rsidRPr="00B93A8B" w:rsidRDefault="008E4F31" w:rsidP="00827F71">
            <w:pPr>
              <w:pStyle w:val="ListParagraph"/>
              <w:numPr>
                <w:ilvl w:val="0"/>
                <w:numId w:val="23"/>
              </w:numPr>
            </w:pPr>
            <w:r w:rsidRPr="00B93A8B">
              <w:t xml:space="preserve">We are currently working to develop a pricing model for the new service. </w:t>
            </w:r>
            <w:r w:rsidR="00926EF2">
              <w:t xml:space="preserve"> What would be your </w:t>
            </w:r>
            <w:r w:rsidR="00593845" w:rsidRPr="00B93A8B">
              <w:t>preferred pricing model</w:t>
            </w:r>
            <w:r w:rsidR="00926EF2">
              <w:t xml:space="preserve"> (please tick)</w:t>
            </w:r>
            <w:r w:rsidR="00593845" w:rsidRPr="00B93A8B">
              <w:t>:</w:t>
            </w:r>
          </w:p>
          <w:p w:rsidR="00593845" w:rsidRPr="00B93A8B" w:rsidRDefault="00593845" w:rsidP="00FB7ABD">
            <w:pPr>
              <w:pStyle w:val="ListParagraph"/>
              <w:numPr>
                <w:ilvl w:val="0"/>
                <w:numId w:val="15"/>
              </w:numPr>
            </w:pPr>
            <w:r w:rsidRPr="00B93A8B">
              <w:t>Cost per case</w:t>
            </w:r>
          </w:p>
          <w:p w:rsidR="00827F71" w:rsidRDefault="00593845" w:rsidP="00827F71">
            <w:pPr>
              <w:pStyle w:val="ListParagraph"/>
              <w:numPr>
                <w:ilvl w:val="0"/>
                <w:numId w:val="15"/>
              </w:numPr>
            </w:pPr>
            <w:r w:rsidRPr="00B93A8B">
              <w:t>Block</w:t>
            </w:r>
          </w:p>
          <w:p w:rsidR="00926EF2" w:rsidRPr="00B93A8B" w:rsidRDefault="00926EF2" w:rsidP="00827F71">
            <w:pPr>
              <w:pStyle w:val="ListParagraph"/>
              <w:numPr>
                <w:ilvl w:val="0"/>
                <w:numId w:val="15"/>
              </w:numPr>
            </w:pPr>
            <w:r>
              <w:t>Other (please state)</w:t>
            </w:r>
          </w:p>
          <w:p w:rsidR="00140B45" w:rsidRPr="00B93A8B" w:rsidRDefault="00140B45" w:rsidP="00140B45">
            <w:pPr>
              <w:pStyle w:val="ListParagraph"/>
              <w:ind w:left="1080"/>
            </w:pPr>
          </w:p>
          <w:p w:rsidR="008E4F31" w:rsidRPr="00B93A8B" w:rsidRDefault="008E4F31" w:rsidP="00827F71">
            <w:pPr>
              <w:ind w:left="720"/>
            </w:pPr>
            <w:r w:rsidRPr="00B93A8B">
              <w:t>A</w:t>
            </w:r>
            <w:r w:rsidR="003E0368" w:rsidRPr="00B93A8B">
              <w:t>re there a</w:t>
            </w:r>
            <w:r w:rsidRPr="00B93A8B">
              <w:t xml:space="preserve">ny </w:t>
            </w:r>
            <w:r w:rsidR="003E0368" w:rsidRPr="00B93A8B">
              <w:t xml:space="preserve">other </w:t>
            </w:r>
            <w:r w:rsidRPr="00B93A8B">
              <w:t xml:space="preserve">comments or anything </w:t>
            </w:r>
            <w:r w:rsidR="003E0368" w:rsidRPr="00B93A8B">
              <w:t xml:space="preserve">else </w:t>
            </w:r>
            <w:r w:rsidRPr="00B93A8B">
              <w:t xml:space="preserve">we should be considering in relation to </w:t>
            </w:r>
            <w:r w:rsidR="00926EF2">
              <w:t>the pricing model</w:t>
            </w:r>
            <w:r w:rsidRPr="00B93A8B">
              <w:t>?</w:t>
            </w:r>
          </w:p>
          <w:p w:rsidR="00593845" w:rsidRPr="00B93A8B" w:rsidRDefault="00593845" w:rsidP="008E4F31"/>
          <w:p w:rsidR="00593845" w:rsidRPr="00B93A8B" w:rsidRDefault="00593845" w:rsidP="00827F71">
            <w:pPr>
              <w:pStyle w:val="ListParagraph"/>
              <w:numPr>
                <w:ilvl w:val="0"/>
                <w:numId w:val="23"/>
              </w:numPr>
            </w:pPr>
            <w:r w:rsidRPr="00B93A8B">
              <w:t>If cost per case</w:t>
            </w:r>
            <w:r w:rsidR="00926EF2">
              <w:t>,</w:t>
            </w:r>
            <w:r w:rsidRPr="00B93A8B">
              <w:t xml:space="preserve"> would you expect this price to include </w:t>
            </w:r>
            <w:r w:rsidRPr="00B93A8B">
              <w:rPr>
                <w:b/>
              </w:rPr>
              <w:t>all</w:t>
            </w:r>
            <w:r w:rsidRPr="00B93A8B">
              <w:t xml:space="preserve"> elements (transport, IT, consumables </w:t>
            </w:r>
            <w:r w:rsidR="00827F71" w:rsidRPr="00B93A8B">
              <w:t>etc.</w:t>
            </w:r>
            <w:r w:rsidRPr="00B93A8B">
              <w:t>) of the programme or would you prefer a model where the cost are separately identified in a more transparent ‘open book’ approach?</w:t>
            </w:r>
            <w:r w:rsidR="001661DC" w:rsidRPr="00B93A8B">
              <w:t xml:space="preserve"> Equally, are there some elements that you would expect to be included in the price and some which are separated out?</w:t>
            </w:r>
          </w:p>
          <w:p w:rsidR="00827F71" w:rsidRPr="00B93A8B" w:rsidRDefault="00827F71" w:rsidP="00827F71">
            <w:pPr>
              <w:pStyle w:val="ListParagraph"/>
            </w:pPr>
          </w:p>
          <w:p w:rsidR="00593845" w:rsidRPr="00B93A8B" w:rsidRDefault="00593845" w:rsidP="00827F71">
            <w:pPr>
              <w:pStyle w:val="ListParagraph"/>
              <w:numPr>
                <w:ilvl w:val="0"/>
                <w:numId w:val="23"/>
              </w:numPr>
            </w:pPr>
            <w:r w:rsidRPr="00B93A8B">
              <w:t xml:space="preserve">Please comment on the risks associated with your preferred option    </w:t>
            </w:r>
          </w:p>
          <w:p w:rsidR="00593845" w:rsidRPr="00FB7ABD" w:rsidRDefault="00593845" w:rsidP="008E4F31"/>
          <w:p w:rsidR="00593845" w:rsidRPr="008E4F31" w:rsidRDefault="00416D28" w:rsidP="008E4F31">
            <w:pPr>
              <w:rPr>
                <w:color w:val="FF0000"/>
              </w:rPr>
            </w:pPr>
            <w:r w:rsidRPr="00416D28">
              <w:rPr>
                <w:rFonts w:cs="Arial"/>
                <w:i/>
                <w:color w:val="FF0000"/>
                <w:szCs w:val="24"/>
              </w:rPr>
              <w:t>Please try to limit your answers to around 1000 words; the use of graphics/flow diagrams in your responses  are also permitted</w:t>
            </w:r>
          </w:p>
        </w:tc>
      </w:tr>
    </w:tbl>
    <w:p w:rsidR="006213EB" w:rsidRDefault="006213EB" w:rsidP="00B1530D">
      <w:pPr>
        <w:spacing w:after="0"/>
      </w:pPr>
    </w:p>
    <w:p w:rsidR="00B93A8B" w:rsidRDefault="00B93A8B" w:rsidP="00B1530D">
      <w:pPr>
        <w:spacing w:after="0"/>
      </w:pPr>
    </w:p>
    <w:tbl>
      <w:tblPr>
        <w:tblStyle w:val="TableGrid"/>
        <w:tblW w:w="0" w:type="auto"/>
        <w:tblLook w:val="04A0" w:firstRow="1" w:lastRow="0" w:firstColumn="1" w:lastColumn="0" w:noHBand="0" w:noVBand="1"/>
      </w:tblPr>
      <w:tblGrid>
        <w:gridCol w:w="9242"/>
      </w:tblGrid>
      <w:tr w:rsidR="00B1530D" w:rsidTr="005C30DF">
        <w:tc>
          <w:tcPr>
            <w:tcW w:w="9242" w:type="dxa"/>
            <w:tcBorders>
              <w:bottom w:val="nil"/>
            </w:tcBorders>
          </w:tcPr>
          <w:p w:rsidR="00B1530D" w:rsidRPr="00827F71" w:rsidRDefault="008E4F31" w:rsidP="00B1530D">
            <w:pPr>
              <w:rPr>
                <w:rFonts w:cs="Arial"/>
                <w:sz w:val="22"/>
                <w:u w:val="single"/>
              </w:rPr>
            </w:pPr>
            <w:r w:rsidRPr="00827F71">
              <w:rPr>
                <w:rFonts w:cs="Arial"/>
                <w:b/>
                <w:sz w:val="22"/>
                <w:u w:val="single"/>
              </w:rPr>
              <w:t xml:space="preserve">Transport </w:t>
            </w:r>
          </w:p>
          <w:p w:rsidR="001F1080" w:rsidRPr="00827F71" w:rsidRDefault="0059781F" w:rsidP="00827F71">
            <w:pPr>
              <w:pStyle w:val="ListParagraph"/>
              <w:numPr>
                <w:ilvl w:val="0"/>
                <w:numId w:val="22"/>
              </w:numPr>
            </w:pPr>
            <w:r>
              <w:t>The model of transportation of samples from</w:t>
            </w:r>
            <w:r w:rsidR="001F1080" w:rsidRPr="00827F71">
              <w:t xml:space="preserve"> Primary Care/Provider facilities to the laboratories </w:t>
            </w:r>
            <w:r>
              <w:t>should be:</w:t>
            </w:r>
          </w:p>
          <w:p w:rsidR="005C30DF" w:rsidRPr="00827F71" w:rsidRDefault="00F47712" w:rsidP="00F47712">
            <w:pPr>
              <w:pStyle w:val="ListParagraph"/>
              <w:numPr>
                <w:ilvl w:val="0"/>
                <w:numId w:val="17"/>
              </w:numPr>
            </w:pPr>
            <w:r w:rsidRPr="00827F71">
              <w:t>Sensible and viable</w:t>
            </w:r>
          </w:p>
          <w:p w:rsidR="00F47712" w:rsidRPr="00827F71" w:rsidRDefault="00F47712" w:rsidP="00F47712">
            <w:pPr>
              <w:pStyle w:val="ListParagraph"/>
              <w:numPr>
                <w:ilvl w:val="0"/>
                <w:numId w:val="17"/>
              </w:numPr>
            </w:pPr>
            <w:r w:rsidRPr="00827F71">
              <w:t>Safe and efficient</w:t>
            </w:r>
          </w:p>
          <w:p w:rsidR="00F47712" w:rsidRPr="00B93A8B" w:rsidRDefault="00F47712" w:rsidP="00F47712">
            <w:pPr>
              <w:pStyle w:val="ListParagraph"/>
              <w:numPr>
                <w:ilvl w:val="0"/>
                <w:numId w:val="17"/>
              </w:numPr>
            </w:pPr>
            <w:r w:rsidRPr="00B93A8B">
              <w:t>Be in place from day one of the service commencement</w:t>
            </w:r>
          </w:p>
          <w:p w:rsidR="00F2586A" w:rsidRDefault="00F2586A" w:rsidP="00F47712">
            <w:pPr>
              <w:pStyle w:val="ListParagraph"/>
              <w:numPr>
                <w:ilvl w:val="0"/>
                <w:numId w:val="17"/>
              </w:numPr>
            </w:pPr>
            <w:r w:rsidRPr="00B93A8B">
              <w:t>Ensure viability of cross-border transportation</w:t>
            </w:r>
          </w:p>
          <w:p w:rsidR="0059781F" w:rsidRDefault="0059781F" w:rsidP="0059781F"/>
          <w:p w:rsidR="0059781F" w:rsidRPr="0059781F" w:rsidRDefault="0059781F" w:rsidP="0059781F">
            <w:pPr>
              <w:ind w:left="720"/>
            </w:pPr>
            <w:r>
              <w:t xml:space="preserve">If you were awarded the contract, what would be the key things that would need to be put in place to ensure the above criteria were met? </w:t>
            </w:r>
          </w:p>
          <w:p w:rsidR="00140B45" w:rsidRPr="0059781F" w:rsidRDefault="00140B45" w:rsidP="0059781F"/>
          <w:p w:rsidR="0059781F" w:rsidRDefault="00140B45" w:rsidP="00140B45">
            <w:pPr>
              <w:pStyle w:val="ListParagraph"/>
              <w:numPr>
                <w:ilvl w:val="0"/>
                <w:numId w:val="22"/>
              </w:numPr>
            </w:pPr>
            <w:r w:rsidRPr="00B93A8B">
              <w:t>What do you foresee as the risks and issues in relation to transportation</w:t>
            </w:r>
            <w:r w:rsidR="00524976">
              <w:t xml:space="preserve"> of samples</w:t>
            </w:r>
            <w:r w:rsidR="0059781F">
              <w:t>, described in Q1?</w:t>
            </w:r>
          </w:p>
          <w:p w:rsidR="0059781F" w:rsidRDefault="0059781F" w:rsidP="0059781F">
            <w:pPr>
              <w:pStyle w:val="ListParagraph"/>
            </w:pPr>
          </w:p>
          <w:p w:rsidR="00416D28" w:rsidRDefault="0059781F" w:rsidP="00416D28">
            <w:pPr>
              <w:pStyle w:val="ListParagraph"/>
              <w:numPr>
                <w:ilvl w:val="0"/>
                <w:numId w:val="22"/>
              </w:numPr>
            </w:pPr>
            <w:r w:rsidRPr="0059781F">
              <w:t xml:space="preserve">What do you foresee as the risks and issues in relation to transportation of samples, </w:t>
            </w:r>
            <w:r>
              <w:t>where there may be a change to existing processes and providers?</w:t>
            </w:r>
          </w:p>
          <w:p w:rsidR="0059781F" w:rsidRPr="00075DD7" w:rsidRDefault="0059781F" w:rsidP="00075DD7"/>
          <w:p w:rsidR="00416D28" w:rsidRPr="00416D28" w:rsidRDefault="00416D28" w:rsidP="00416D28">
            <w:r w:rsidRPr="00416D28">
              <w:rPr>
                <w:rFonts w:cs="Arial"/>
                <w:i/>
                <w:color w:val="FF0000"/>
                <w:szCs w:val="24"/>
              </w:rPr>
              <w:t>Please try to limit your answers to around 1000 words; the use of graphics/flow diagrams in your responses  are also permitted</w:t>
            </w:r>
          </w:p>
        </w:tc>
      </w:tr>
      <w:tr w:rsidR="00B1530D" w:rsidTr="005C30DF">
        <w:tc>
          <w:tcPr>
            <w:tcW w:w="9242" w:type="dxa"/>
            <w:tcBorders>
              <w:top w:val="nil"/>
            </w:tcBorders>
          </w:tcPr>
          <w:p w:rsidR="00B1530D" w:rsidRDefault="00B1530D" w:rsidP="00B1530D"/>
        </w:tc>
      </w:tr>
    </w:tbl>
    <w:p w:rsidR="00B1530D" w:rsidRDefault="00B1530D" w:rsidP="00B1530D">
      <w:pPr>
        <w:spacing w:after="0"/>
      </w:pPr>
    </w:p>
    <w:tbl>
      <w:tblPr>
        <w:tblStyle w:val="TableGrid"/>
        <w:tblW w:w="0" w:type="auto"/>
        <w:tblLook w:val="04A0" w:firstRow="1" w:lastRow="0" w:firstColumn="1" w:lastColumn="0" w:noHBand="0" w:noVBand="1"/>
      </w:tblPr>
      <w:tblGrid>
        <w:gridCol w:w="9242"/>
      </w:tblGrid>
      <w:tr w:rsidR="005C30DF" w:rsidTr="00CA0678">
        <w:tc>
          <w:tcPr>
            <w:tcW w:w="9242" w:type="dxa"/>
            <w:tcBorders>
              <w:bottom w:val="nil"/>
            </w:tcBorders>
          </w:tcPr>
          <w:p w:rsidR="005C30DF" w:rsidRPr="00827F71" w:rsidRDefault="00295482" w:rsidP="005C30DF">
            <w:pPr>
              <w:rPr>
                <w:rFonts w:cs="Arial"/>
                <w:sz w:val="22"/>
                <w:u w:val="single"/>
              </w:rPr>
            </w:pPr>
            <w:r w:rsidRPr="00827F71">
              <w:rPr>
                <w:rFonts w:cs="Arial"/>
                <w:b/>
                <w:sz w:val="22"/>
                <w:u w:val="single"/>
              </w:rPr>
              <w:t>Mobilisation of service</w:t>
            </w:r>
          </w:p>
        </w:tc>
      </w:tr>
      <w:tr w:rsidR="005C30DF" w:rsidTr="00CA0678">
        <w:tc>
          <w:tcPr>
            <w:tcW w:w="9242" w:type="dxa"/>
            <w:tcBorders>
              <w:top w:val="nil"/>
            </w:tcBorders>
          </w:tcPr>
          <w:p w:rsidR="00735C1B" w:rsidRPr="00827F71" w:rsidRDefault="00735C1B" w:rsidP="00735C1B">
            <w:pPr>
              <w:pStyle w:val="ListParagraph"/>
              <w:numPr>
                <w:ilvl w:val="0"/>
                <w:numId w:val="21"/>
              </w:numPr>
            </w:pPr>
            <w:r w:rsidRPr="00827F71">
              <w:t xml:space="preserve">Considering the elements </w:t>
            </w:r>
            <w:r w:rsidR="00EE4EB8">
              <w:t xml:space="preserve">of setting up a new service </w:t>
            </w:r>
            <w:r w:rsidRPr="00827F71">
              <w:t xml:space="preserve">that </w:t>
            </w:r>
            <w:r w:rsidR="008F4237">
              <w:t xml:space="preserve">will need to be fully rolled out </w:t>
            </w:r>
            <w:r w:rsidRPr="00827F71">
              <w:t xml:space="preserve">by December 2019, how long </w:t>
            </w:r>
            <w:r w:rsidR="00524976">
              <w:t>do you think is required</w:t>
            </w:r>
            <w:r w:rsidR="00EE4EB8">
              <w:t xml:space="preserve"> for the mobilisation </w:t>
            </w:r>
            <w:r w:rsidRPr="00827F71">
              <w:t xml:space="preserve">of the new service to ensure that </w:t>
            </w:r>
            <w:r w:rsidR="00524976">
              <w:t>roll out can be completed</w:t>
            </w:r>
            <w:r w:rsidRPr="00827F71">
              <w:t xml:space="preserve"> by this date?</w:t>
            </w:r>
          </w:p>
          <w:p w:rsidR="00827F71" w:rsidRPr="00827F71" w:rsidRDefault="00827F71" w:rsidP="00827F71">
            <w:pPr>
              <w:pStyle w:val="ListParagraph"/>
            </w:pPr>
          </w:p>
          <w:p w:rsidR="008F4237" w:rsidRDefault="00735C1B" w:rsidP="008F4237">
            <w:pPr>
              <w:pStyle w:val="ListParagraph"/>
              <w:numPr>
                <w:ilvl w:val="0"/>
                <w:numId w:val="21"/>
              </w:numPr>
            </w:pPr>
            <w:r w:rsidRPr="00827F71">
              <w:t>Alongside this,</w:t>
            </w:r>
            <w:r w:rsidR="008018A7">
              <w:t xml:space="preserve"> what needs to be considered within the approach to rolling out the service on a large footprint?</w:t>
            </w:r>
          </w:p>
          <w:p w:rsidR="008018A7" w:rsidRPr="008018A7" w:rsidRDefault="008018A7" w:rsidP="008018A7"/>
          <w:p w:rsidR="008F4237" w:rsidRPr="00B93A8B" w:rsidRDefault="008F4237" w:rsidP="008F4237">
            <w:pPr>
              <w:pStyle w:val="ListParagraph"/>
              <w:numPr>
                <w:ilvl w:val="0"/>
                <w:numId w:val="21"/>
              </w:numPr>
            </w:pPr>
            <w:r w:rsidRPr="00B93A8B">
              <w:t>What do you foresee as the risks and issues in relation to the mobilisation period?</w:t>
            </w:r>
          </w:p>
          <w:p w:rsidR="00794B27" w:rsidRPr="00B93A8B" w:rsidRDefault="00794B27" w:rsidP="00B93A8B">
            <w:pPr>
              <w:pStyle w:val="ListParagraph"/>
            </w:pPr>
          </w:p>
          <w:p w:rsidR="00661B44" w:rsidRDefault="00794B27" w:rsidP="008F4237">
            <w:pPr>
              <w:pStyle w:val="ListParagraph"/>
              <w:numPr>
                <w:ilvl w:val="0"/>
                <w:numId w:val="21"/>
              </w:numPr>
            </w:pPr>
            <w:r w:rsidRPr="00B93A8B">
              <w:t>Would you prefer an approach where</w:t>
            </w:r>
            <w:r w:rsidR="00661B44">
              <w:t>:</w:t>
            </w:r>
          </w:p>
          <w:p w:rsidR="00661B44" w:rsidRPr="00661B44" w:rsidRDefault="00661B44" w:rsidP="00661B44">
            <w:pPr>
              <w:pStyle w:val="ListParagraph"/>
            </w:pPr>
          </w:p>
          <w:p w:rsidR="00661B44" w:rsidRDefault="00661B44" w:rsidP="00661B44">
            <w:pPr>
              <w:pStyle w:val="ListParagraph"/>
              <w:numPr>
                <w:ilvl w:val="1"/>
                <w:numId w:val="21"/>
              </w:numPr>
            </w:pPr>
            <w:r>
              <w:t>T</w:t>
            </w:r>
            <w:r w:rsidR="00524976">
              <w:t>he</w:t>
            </w:r>
            <w:r w:rsidR="00794B27" w:rsidRPr="00B93A8B">
              <w:t xml:space="preserve">re is a phased mobilisation </w:t>
            </w:r>
            <w:r w:rsidR="00DE3DD3">
              <w:t xml:space="preserve">of service commencement </w:t>
            </w:r>
            <w:r w:rsidR="00794B27" w:rsidRPr="00B93A8B">
              <w:t>across a number of months</w:t>
            </w:r>
            <w:r>
              <w:t xml:space="preserve"> following the contract start date,</w:t>
            </w:r>
            <w:r w:rsidR="00794B27" w:rsidRPr="00B93A8B">
              <w:t xml:space="preserve"> </w:t>
            </w:r>
            <w:r w:rsidR="00524976" w:rsidRPr="00B93A8B">
              <w:t>or</w:t>
            </w:r>
            <w:r>
              <w:t>;</w:t>
            </w:r>
          </w:p>
          <w:p w:rsidR="00661B44" w:rsidRDefault="00661B44" w:rsidP="00661B44">
            <w:pPr>
              <w:pStyle w:val="ListParagraph"/>
              <w:numPr>
                <w:ilvl w:val="1"/>
                <w:numId w:val="21"/>
              </w:numPr>
            </w:pPr>
            <w:r>
              <w:t>There is</w:t>
            </w:r>
            <w:r w:rsidR="00524976">
              <w:t xml:space="preserve"> a long</w:t>
            </w:r>
            <w:r>
              <w:t>er</w:t>
            </w:r>
            <w:r w:rsidR="00524976">
              <w:t xml:space="preserve"> mobilisation</w:t>
            </w:r>
            <w:r>
              <w:t xml:space="preserve"> period</w:t>
            </w:r>
            <w:r w:rsidR="00524976">
              <w:t xml:space="preserve"> with 100% roll out</w:t>
            </w:r>
            <w:r w:rsidR="00CE64E4">
              <w:t xml:space="preserve"> of HPV primary screening</w:t>
            </w:r>
            <w:r w:rsidR="00524976">
              <w:t xml:space="preserve"> on the same day as the </w:t>
            </w:r>
            <w:r w:rsidR="00CE64E4">
              <w:t>start of the contract</w:t>
            </w:r>
          </w:p>
          <w:p w:rsidR="00661B44" w:rsidRDefault="00661B44" w:rsidP="00661B44"/>
          <w:p w:rsidR="00794B27" w:rsidRPr="00661B44" w:rsidRDefault="00794B27" w:rsidP="00661B44">
            <w:pPr>
              <w:ind w:left="720"/>
            </w:pPr>
            <w:r w:rsidRPr="00661B44">
              <w:t xml:space="preserve"> Please explain your reasons </w:t>
            </w:r>
            <w:r w:rsidR="008018A7" w:rsidRPr="00661B44">
              <w:t>for your answer.</w:t>
            </w:r>
            <w:r w:rsidRPr="00661B44">
              <w:t xml:space="preserve"> </w:t>
            </w:r>
          </w:p>
          <w:p w:rsidR="00416D28" w:rsidRPr="00416D28" w:rsidRDefault="00416D28" w:rsidP="00416D28">
            <w:pPr>
              <w:pStyle w:val="ListParagraph"/>
            </w:pPr>
          </w:p>
          <w:p w:rsidR="00416D28" w:rsidRPr="00416D28" w:rsidRDefault="00416D28" w:rsidP="00416D28">
            <w:r w:rsidRPr="00416D28">
              <w:rPr>
                <w:rFonts w:cs="Arial"/>
                <w:i/>
                <w:color w:val="FF0000"/>
                <w:szCs w:val="24"/>
              </w:rPr>
              <w:t>Please try to limit your answers to around 1000 words; the use of graphics/flow diagrams in your responses  are also permitted</w:t>
            </w:r>
          </w:p>
          <w:p w:rsidR="00653CC4" w:rsidRPr="00827F71" w:rsidRDefault="00653CC4" w:rsidP="00CA0678"/>
        </w:tc>
      </w:tr>
    </w:tbl>
    <w:p w:rsidR="00295482" w:rsidRDefault="00295482" w:rsidP="00B1530D">
      <w:pPr>
        <w:spacing w:after="0"/>
      </w:pPr>
    </w:p>
    <w:tbl>
      <w:tblPr>
        <w:tblStyle w:val="TableGrid"/>
        <w:tblW w:w="0" w:type="auto"/>
        <w:tblLook w:val="04A0" w:firstRow="1" w:lastRow="0" w:firstColumn="1" w:lastColumn="0" w:noHBand="0" w:noVBand="1"/>
      </w:tblPr>
      <w:tblGrid>
        <w:gridCol w:w="9242"/>
      </w:tblGrid>
      <w:tr w:rsidR="005C30DF" w:rsidTr="00CA0678">
        <w:tc>
          <w:tcPr>
            <w:tcW w:w="9242" w:type="dxa"/>
            <w:tcBorders>
              <w:bottom w:val="nil"/>
            </w:tcBorders>
          </w:tcPr>
          <w:p w:rsidR="006E5F3E" w:rsidRPr="00827F71" w:rsidRDefault="00827F71" w:rsidP="00CA0678">
            <w:pPr>
              <w:rPr>
                <w:u w:val="single"/>
              </w:rPr>
            </w:pPr>
            <w:r w:rsidRPr="00827F71">
              <w:rPr>
                <w:rFonts w:cs="Arial"/>
                <w:b/>
                <w:sz w:val="22"/>
                <w:u w:val="single"/>
              </w:rPr>
              <w:t>Any other comments:</w:t>
            </w:r>
          </w:p>
          <w:p w:rsidR="006E5F3E" w:rsidRPr="008018A7" w:rsidRDefault="00827F71" w:rsidP="008018A7">
            <w:pPr>
              <w:tabs>
                <w:tab w:val="left" w:pos="5925"/>
              </w:tabs>
            </w:pPr>
            <w:r w:rsidRPr="00827F71">
              <w:t xml:space="preserve">Are there any other elements that commissioners should be deliberating in addition to the questions above? Please use this as an opportunity to highlight anything else which should be considered in relation to this procurement process. </w:t>
            </w:r>
          </w:p>
        </w:tc>
      </w:tr>
      <w:tr w:rsidR="005C30DF" w:rsidTr="00CA0678">
        <w:tc>
          <w:tcPr>
            <w:tcW w:w="9242" w:type="dxa"/>
            <w:tcBorders>
              <w:top w:val="nil"/>
            </w:tcBorders>
          </w:tcPr>
          <w:p w:rsidR="005C30DF" w:rsidRDefault="005C30DF" w:rsidP="00CA0678"/>
        </w:tc>
      </w:tr>
    </w:tbl>
    <w:p w:rsidR="00926EF2" w:rsidRDefault="00926EF2" w:rsidP="00B1530D">
      <w:pPr>
        <w:spacing w:after="0"/>
      </w:pPr>
    </w:p>
    <w:sectPr w:rsidR="00926EF2" w:rsidSect="00A177EF">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0F" w:rsidRDefault="0029550F" w:rsidP="00A177EF">
      <w:pPr>
        <w:spacing w:after="0" w:line="240" w:lineRule="auto"/>
      </w:pPr>
      <w:r>
        <w:separator/>
      </w:r>
    </w:p>
  </w:endnote>
  <w:endnote w:type="continuationSeparator" w:id="0">
    <w:p w:rsidR="0029550F" w:rsidRDefault="0029550F"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0F" w:rsidRDefault="0029550F" w:rsidP="00A177EF">
      <w:pPr>
        <w:spacing w:after="0" w:line="240" w:lineRule="auto"/>
      </w:pPr>
      <w:r>
        <w:separator/>
      </w:r>
    </w:p>
  </w:footnote>
  <w:footnote w:type="continuationSeparator" w:id="0">
    <w:p w:rsidR="0029550F" w:rsidRDefault="0029550F"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FCC2CBD"/>
    <w:multiLevelType w:val="hybridMultilevel"/>
    <w:tmpl w:val="3FB46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B02484"/>
    <w:multiLevelType w:val="hybridMultilevel"/>
    <w:tmpl w:val="2D8E2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2A553F"/>
    <w:multiLevelType w:val="hybridMultilevel"/>
    <w:tmpl w:val="3C78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4B7D6B"/>
    <w:multiLevelType w:val="hybridMultilevel"/>
    <w:tmpl w:val="AAEEF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1101ACB"/>
    <w:multiLevelType w:val="hybridMultilevel"/>
    <w:tmpl w:val="B244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A7C0C"/>
    <w:multiLevelType w:val="hybridMultilevel"/>
    <w:tmpl w:val="5316E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850441"/>
    <w:multiLevelType w:val="hybridMultilevel"/>
    <w:tmpl w:val="B128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CB24CA"/>
    <w:multiLevelType w:val="hybridMultilevel"/>
    <w:tmpl w:val="DA5ED5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A01690A"/>
    <w:multiLevelType w:val="hybridMultilevel"/>
    <w:tmpl w:val="CB54153E"/>
    <w:lvl w:ilvl="0" w:tplc="BFACB64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437E68F4"/>
    <w:multiLevelType w:val="hybridMultilevel"/>
    <w:tmpl w:val="099AB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1F5F9F"/>
    <w:multiLevelType w:val="hybridMultilevel"/>
    <w:tmpl w:val="2BC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3557A7"/>
    <w:multiLevelType w:val="hybridMultilevel"/>
    <w:tmpl w:val="D5BAE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273265"/>
    <w:multiLevelType w:val="hybridMultilevel"/>
    <w:tmpl w:val="C2BAF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534E6D"/>
    <w:multiLevelType w:val="hybridMultilevel"/>
    <w:tmpl w:val="91B0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6B55A9"/>
    <w:multiLevelType w:val="hybridMultilevel"/>
    <w:tmpl w:val="D812E1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C6E7E7E"/>
    <w:multiLevelType w:val="hybridMultilevel"/>
    <w:tmpl w:val="0796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513BF3"/>
    <w:multiLevelType w:val="hybridMultilevel"/>
    <w:tmpl w:val="571E9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2D47C65"/>
    <w:multiLevelType w:val="hybridMultilevel"/>
    <w:tmpl w:val="05E0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7"/>
  </w:num>
  <w:num w:numId="4">
    <w:abstractNumId w:val="0"/>
  </w:num>
  <w:num w:numId="5">
    <w:abstractNumId w:val="15"/>
  </w:num>
  <w:num w:numId="6">
    <w:abstractNumId w:val="10"/>
  </w:num>
  <w:num w:numId="7">
    <w:abstractNumId w:val="19"/>
  </w:num>
  <w:num w:numId="8">
    <w:abstractNumId w:val="22"/>
  </w:num>
  <w:num w:numId="9">
    <w:abstractNumId w:val="25"/>
  </w:num>
  <w:num w:numId="10">
    <w:abstractNumId w:val="14"/>
  </w:num>
  <w:num w:numId="11">
    <w:abstractNumId w:val="26"/>
  </w:num>
  <w:num w:numId="12">
    <w:abstractNumId w:val="23"/>
  </w:num>
  <w:num w:numId="13">
    <w:abstractNumId w:val="8"/>
  </w:num>
  <w:num w:numId="14">
    <w:abstractNumId w:val="3"/>
  </w:num>
  <w:num w:numId="15">
    <w:abstractNumId w:val="6"/>
  </w:num>
  <w:num w:numId="16">
    <w:abstractNumId w:val="18"/>
  </w:num>
  <w:num w:numId="17">
    <w:abstractNumId w:val="4"/>
  </w:num>
  <w:num w:numId="18">
    <w:abstractNumId w:val="2"/>
  </w:num>
  <w:num w:numId="19">
    <w:abstractNumId w:val="11"/>
  </w:num>
  <w:num w:numId="20">
    <w:abstractNumId w:val="1"/>
  </w:num>
  <w:num w:numId="21">
    <w:abstractNumId w:val="9"/>
  </w:num>
  <w:num w:numId="22">
    <w:abstractNumId w:val="5"/>
  </w:num>
  <w:num w:numId="23">
    <w:abstractNumId w:val="17"/>
  </w:num>
  <w:num w:numId="24">
    <w:abstractNumId w:val="13"/>
  </w:num>
  <w:num w:numId="25">
    <w:abstractNumId w:val="24"/>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0AF2"/>
    <w:rsid w:val="0001586E"/>
    <w:rsid w:val="00021C47"/>
    <w:rsid w:val="000348C9"/>
    <w:rsid w:val="000456DF"/>
    <w:rsid w:val="00045A90"/>
    <w:rsid w:val="00050BEC"/>
    <w:rsid w:val="00057142"/>
    <w:rsid w:val="00063A43"/>
    <w:rsid w:val="00075DD7"/>
    <w:rsid w:val="00092737"/>
    <w:rsid w:val="00094D6C"/>
    <w:rsid w:val="000A3280"/>
    <w:rsid w:val="000C3460"/>
    <w:rsid w:val="000F415F"/>
    <w:rsid w:val="00100517"/>
    <w:rsid w:val="00137962"/>
    <w:rsid w:val="00140B45"/>
    <w:rsid w:val="001661DC"/>
    <w:rsid w:val="001731F1"/>
    <w:rsid w:val="00173D7C"/>
    <w:rsid w:val="001837FE"/>
    <w:rsid w:val="00191FC3"/>
    <w:rsid w:val="001A2C9C"/>
    <w:rsid w:val="001B0C13"/>
    <w:rsid w:val="001E063E"/>
    <w:rsid w:val="001F1080"/>
    <w:rsid w:val="002022D7"/>
    <w:rsid w:val="002211DD"/>
    <w:rsid w:val="0025534F"/>
    <w:rsid w:val="00256FF0"/>
    <w:rsid w:val="00257B4D"/>
    <w:rsid w:val="00295482"/>
    <w:rsid w:val="0029550F"/>
    <w:rsid w:val="002F5552"/>
    <w:rsid w:val="0031531C"/>
    <w:rsid w:val="00340490"/>
    <w:rsid w:val="0034699A"/>
    <w:rsid w:val="00350934"/>
    <w:rsid w:val="00361A83"/>
    <w:rsid w:val="003B56DE"/>
    <w:rsid w:val="003E0368"/>
    <w:rsid w:val="00416D28"/>
    <w:rsid w:val="0042702D"/>
    <w:rsid w:val="00481971"/>
    <w:rsid w:val="0049535C"/>
    <w:rsid w:val="004A0E4D"/>
    <w:rsid w:val="004E74D5"/>
    <w:rsid w:val="004F0453"/>
    <w:rsid w:val="00524976"/>
    <w:rsid w:val="00552BD9"/>
    <w:rsid w:val="00552CBC"/>
    <w:rsid w:val="00593845"/>
    <w:rsid w:val="0059781F"/>
    <w:rsid w:val="005C30DF"/>
    <w:rsid w:val="005D00BE"/>
    <w:rsid w:val="005E011B"/>
    <w:rsid w:val="005F2BDB"/>
    <w:rsid w:val="005F6219"/>
    <w:rsid w:val="00601218"/>
    <w:rsid w:val="006213EB"/>
    <w:rsid w:val="00624555"/>
    <w:rsid w:val="006248B5"/>
    <w:rsid w:val="00635275"/>
    <w:rsid w:val="00653CC4"/>
    <w:rsid w:val="0065411A"/>
    <w:rsid w:val="00654EEF"/>
    <w:rsid w:val="00661B44"/>
    <w:rsid w:val="00665043"/>
    <w:rsid w:val="006D0198"/>
    <w:rsid w:val="006D0A64"/>
    <w:rsid w:val="006E5F3E"/>
    <w:rsid w:val="006E67AE"/>
    <w:rsid w:val="00701068"/>
    <w:rsid w:val="00722D05"/>
    <w:rsid w:val="00735C1B"/>
    <w:rsid w:val="0074086E"/>
    <w:rsid w:val="00754549"/>
    <w:rsid w:val="00756B64"/>
    <w:rsid w:val="00791D4E"/>
    <w:rsid w:val="00794B27"/>
    <w:rsid w:val="007A2062"/>
    <w:rsid w:val="007B57FD"/>
    <w:rsid w:val="008018A7"/>
    <w:rsid w:val="00802CD9"/>
    <w:rsid w:val="0081627A"/>
    <w:rsid w:val="00825549"/>
    <w:rsid w:val="00826162"/>
    <w:rsid w:val="00827F71"/>
    <w:rsid w:val="008300E3"/>
    <w:rsid w:val="00854A6D"/>
    <w:rsid w:val="00876C74"/>
    <w:rsid w:val="008D3235"/>
    <w:rsid w:val="008D5547"/>
    <w:rsid w:val="008E4F31"/>
    <w:rsid w:val="008F4237"/>
    <w:rsid w:val="00926EF2"/>
    <w:rsid w:val="0094276D"/>
    <w:rsid w:val="009526E3"/>
    <w:rsid w:val="009574E1"/>
    <w:rsid w:val="00971C53"/>
    <w:rsid w:val="00975367"/>
    <w:rsid w:val="009E6715"/>
    <w:rsid w:val="00A00DB5"/>
    <w:rsid w:val="00A177EF"/>
    <w:rsid w:val="00A2426C"/>
    <w:rsid w:val="00A41CD9"/>
    <w:rsid w:val="00A6565B"/>
    <w:rsid w:val="00AA0101"/>
    <w:rsid w:val="00AE32F2"/>
    <w:rsid w:val="00AF7276"/>
    <w:rsid w:val="00B07829"/>
    <w:rsid w:val="00B1530D"/>
    <w:rsid w:val="00B41FC1"/>
    <w:rsid w:val="00B66422"/>
    <w:rsid w:val="00B802C5"/>
    <w:rsid w:val="00B93A8B"/>
    <w:rsid w:val="00BB0BA0"/>
    <w:rsid w:val="00BC03F7"/>
    <w:rsid w:val="00BC17C2"/>
    <w:rsid w:val="00BE7ACA"/>
    <w:rsid w:val="00BF1C91"/>
    <w:rsid w:val="00C15D15"/>
    <w:rsid w:val="00C54208"/>
    <w:rsid w:val="00C57C46"/>
    <w:rsid w:val="00C633B6"/>
    <w:rsid w:val="00C643EC"/>
    <w:rsid w:val="00C936FC"/>
    <w:rsid w:val="00C94521"/>
    <w:rsid w:val="00CD6522"/>
    <w:rsid w:val="00CE091F"/>
    <w:rsid w:val="00CE4BA7"/>
    <w:rsid w:val="00CE64E4"/>
    <w:rsid w:val="00D07B66"/>
    <w:rsid w:val="00D12011"/>
    <w:rsid w:val="00D123B0"/>
    <w:rsid w:val="00D17F96"/>
    <w:rsid w:val="00D27BEB"/>
    <w:rsid w:val="00D51FB3"/>
    <w:rsid w:val="00D95C82"/>
    <w:rsid w:val="00DA5481"/>
    <w:rsid w:val="00DD373B"/>
    <w:rsid w:val="00DE00B0"/>
    <w:rsid w:val="00DE3DD3"/>
    <w:rsid w:val="00DE64A9"/>
    <w:rsid w:val="00DF5FBD"/>
    <w:rsid w:val="00E052F3"/>
    <w:rsid w:val="00E17EAA"/>
    <w:rsid w:val="00E577CC"/>
    <w:rsid w:val="00E62E9B"/>
    <w:rsid w:val="00E733B1"/>
    <w:rsid w:val="00E74637"/>
    <w:rsid w:val="00E91184"/>
    <w:rsid w:val="00EB6388"/>
    <w:rsid w:val="00EC2737"/>
    <w:rsid w:val="00EC7D10"/>
    <w:rsid w:val="00ED6CDE"/>
    <w:rsid w:val="00EE28E4"/>
    <w:rsid w:val="00EE3602"/>
    <w:rsid w:val="00EE4EB8"/>
    <w:rsid w:val="00EF5A1B"/>
    <w:rsid w:val="00F11C22"/>
    <w:rsid w:val="00F2586A"/>
    <w:rsid w:val="00F47712"/>
    <w:rsid w:val="00F52C56"/>
    <w:rsid w:val="00FB7ABD"/>
    <w:rsid w:val="00FD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600987167">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ngland.nhs.uk/nhs-standard-contract/2017-19-update-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B8C5-825F-420C-835F-3DC7224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Horrocks Chris (0DE) Arden &amp; GEM CSU</cp:lastModifiedBy>
  <cp:revision>2</cp:revision>
  <cp:lastPrinted>2015-10-14T14:33:00Z</cp:lastPrinted>
  <dcterms:created xsi:type="dcterms:W3CDTF">2018-03-26T13:51:00Z</dcterms:created>
  <dcterms:modified xsi:type="dcterms:W3CDTF">2018-03-26T13:51:00Z</dcterms:modified>
</cp:coreProperties>
</file>